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180" w:after="283"/>
        <w:jc w:val="both"/>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spacing w:lineRule="auto" w:line="288" w:before="18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930" w:type="dxa"/>
        <w:jc w:val="center"/>
        <w:tblInd w:w="0" w:type="dxa"/>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3" w:type="dxa"/>
            <w:tcBorders/>
            <w:shd w:fill="auto" w:val="clear"/>
            <w:vAlign w:val="center"/>
          </w:tcPr>
          <w:p>
            <w:pPr>
              <w:pStyle w:val="TableContents"/>
              <w:spacing w:before="0" w:after="283"/>
              <w:rPr>
                <w:sz w:val="4"/>
                <w:szCs w:val="4"/>
              </w:rPr>
            </w:pPr>
            <w:r>
              <w:rPr>
                <w:sz w:val="4"/>
                <w:szCs w:val="4"/>
              </w:rPr>
            </w:r>
          </w:p>
        </w:tc>
        <w:tc>
          <w:tcPr>
            <w:tcW w:w="2773" w:type="dxa"/>
            <w:tcBorders/>
            <w:shd w:fill="auto" w:val="clear"/>
            <w:vAlign w:val="center"/>
          </w:tcPr>
          <w:p>
            <w:pPr>
              <w:pStyle w:val="TableContents"/>
              <w:spacing w:before="0" w:after="283"/>
              <w:rPr>
                <w:sz w:val="4"/>
                <w:szCs w:val="4"/>
              </w:rPr>
            </w:pPr>
            <w:r>
              <w:rPr>
                <w:sz w:val="4"/>
                <w:szCs w:val="4"/>
              </w:rPr>
            </w:r>
          </w:p>
        </w:tc>
        <w:tc>
          <w:tcPr>
            <w:tcW w:w="3933"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930" w:type="dxa"/>
        <w:jc w:val="center"/>
        <w:tblInd w:w="0" w:type="dxa"/>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3" w:type="dxa"/>
            <w:tcBorders/>
            <w:shd w:fill="auto" w:val="clear"/>
            <w:vAlign w:val="center"/>
          </w:tcPr>
          <w:p>
            <w:pPr>
              <w:pStyle w:val="TableContents"/>
              <w:spacing w:before="0" w:after="283"/>
              <w:rPr>
                <w:sz w:val="4"/>
                <w:szCs w:val="4"/>
              </w:rPr>
            </w:pPr>
            <w:r>
              <w:rPr>
                <w:sz w:val="4"/>
                <w:szCs w:val="4"/>
              </w:rPr>
            </w:r>
          </w:p>
        </w:tc>
        <w:tc>
          <w:tcPr>
            <w:tcW w:w="2773" w:type="dxa"/>
            <w:tcBorders/>
            <w:shd w:fill="auto" w:val="clear"/>
            <w:vAlign w:val="center"/>
          </w:tcPr>
          <w:p>
            <w:pPr>
              <w:pStyle w:val="TableContents"/>
              <w:spacing w:before="0" w:after="283"/>
              <w:rPr>
                <w:sz w:val="4"/>
                <w:szCs w:val="4"/>
              </w:rPr>
            </w:pPr>
            <w:r>
              <w:rPr>
                <w:sz w:val="4"/>
                <w:szCs w:val="4"/>
              </w:rPr>
            </w:r>
          </w:p>
        </w:tc>
        <w:tc>
          <w:tcPr>
            <w:tcW w:w="3933"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 to __________</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001-38372 (VICI Properties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333-264352-01 (VICI Properties L.P.)</w:t>
      </w:r>
    </w:p>
    <w:p>
      <w:pPr>
        <w:pStyle w:val="TextBody"/>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VICI Properties Inc. </w:t>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VICI Properties L.P.</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268" w:type="dxa"/>
        <w:jc w:val="center"/>
        <w:tblInd w:w="0" w:type="dxa"/>
        <w:tblCellMar>
          <w:top w:w="28" w:type="dxa"/>
          <w:left w:w="28" w:type="dxa"/>
          <w:bottom w:w="28" w:type="dxa"/>
          <w:right w:w="28" w:type="dxa"/>
        </w:tblCellMar>
      </w:tblPr>
      <w:tblGrid>
        <w:gridCol w:w="1648"/>
        <w:gridCol w:w="1450"/>
        <w:gridCol w:w="1462"/>
        <w:gridCol w:w="654"/>
        <w:gridCol w:w="654"/>
        <w:gridCol w:w="656"/>
        <w:gridCol w:w="801"/>
        <w:gridCol w:w="801"/>
        <w:gridCol w:w="1142"/>
      </w:tblGrid>
      <w:tr>
        <w:trPr/>
        <w:tc>
          <w:tcPr>
            <w:tcW w:w="1648"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Inc.)</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81-4177147</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L.P.)</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35-2576503</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535 Madison Avenue, 20th Floor New York, New York 10022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(646) 949-4631 </w:t>
      </w:r>
    </w:p>
    <w:p>
      <w:pPr>
        <w:pStyle w:val="TextBody"/>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881" w:type="dxa"/>
        <w:jc w:val="left"/>
        <w:tblInd w:w="0" w:type="dxa"/>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VICI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7091" w:type="dxa"/>
        <w:jc w:val="left"/>
        <w:tblInd w:w="0" w:type="dxa"/>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p>
    <w:tbl>
      <w:tblPr>
        <w:tblW w:w="7091" w:type="dxa"/>
        <w:jc w:val="left"/>
        <w:tblInd w:w="0" w:type="dxa"/>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spacing w:lineRule="auto" w:line="288" w:before="6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9544" w:type="dxa"/>
        <w:jc w:val="left"/>
        <w:tblInd w:w="0" w:type="dxa"/>
        <w:tblCellMar>
          <w:top w:w="28" w:type="dxa"/>
          <w:left w:w="28" w:type="dxa"/>
          <w:bottom w:w="28" w:type="dxa"/>
          <w:right w:w="28" w:type="dxa"/>
        </w:tblCellMar>
      </w:tblPr>
      <w:tblGrid>
        <w:gridCol w:w="640"/>
        <w:gridCol w:w="563"/>
        <w:gridCol w:w="567"/>
        <w:gridCol w:w="129"/>
        <w:gridCol w:w="129"/>
        <w:gridCol w:w="129"/>
        <w:gridCol w:w="678"/>
        <w:gridCol w:w="678"/>
        <w:gridCol w:w="683"/>
        <w:gridCol w:w="129"/>
        <w:gridCol w:w="129"/>
        <w:gridCol w:w="129"/>
        <w:gridCol w:w="109"/>
        <w:gridCol w:w="109"/>
        <w:gridCol w:w="109"/>
        <w:gridCol w:w="584"/>
        <w:gridCol w:w="584"/>
        <w:gridCol w:w="586"/>
        <w:gridCol w:w="131"/>
        <w:gridCol w:w="131"/>
        <w:gridCol w:w="131"/>
        <w:gridCol w:w="678"/>
        <w:gridCol w:w="678"/>
        <w:gridCol w:w="683"/>
        <w:gridCol w:w="131"/>
        <w:gridCol w:w="131"/>
        <w:gridCol w:w="186"/>
      </w:tblGrid>
      <w:tr>
        <w:trPr/>
        <w:tc>
          <w:tcPr>
            <w:tcW w:w="6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583"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L.P.</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932" w:type="dxa"/>
        <w:jc w:val="left"/>
        <w:tblInd w:w="0" w:type="dxa"/>
        <w:tblCellMar>
          <w:top w:w="28" w:type="dxa"/>
          <w:left w:w="28" w:type="dxa"/>
          <w:bottom w:w="28" w:type="dxa"/>
          <w:right w:w="28" w:type="dxa"/>
        </w:tblCellMar>
      </w:tblPr>
      <w:tblGrid>
        <w:gridCol w:w="837"/>
        <w:gridCol w:w="735"/>
        <w:gridCol w:w="738"/>
        <w:gridCol w:w="109"/>
        <w:gridCol w:w="109"/>
        <w:gridCol w:w="109"/>
        <w:gridCol w:w="671"/>
        <w:gridCol w:w="671"/>
        <w:gridCol w:w="953"/>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60" w:after="283"/>
              <w:ind w:left="0" w:right="0" w:firstLine="360"/>
              <w:jc w:val="left"/>
              <w:rPr/>
            </w:pPr>
            <w:r>
              <w:rPr>
                <w:rFonts w:ascii="Times New Roman;sans-serif" w:hAnsi="Times New Roman;sans-serif"/>
                <w:b w:val="false"/>
                <w:color w:val="000000"/>
                <w:sz w:val="18"/>
              </w:rPr>
              <w:t>VICI Properties Inc.  ☐</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VICI Properties L.P.  ☐ </w:t>
            </w:r>
          </w:p>
        </w:tc>
      </w:tr>
    </w:tbl>
    <w:p>
      <w:pPr>
        <w:pStyle w:val="TextBody"/>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w:t>
      </w:r>
    </w:p>
    <w:tbl>
      <w:tblPr>
        <w:tblW w:w="7045" w:type="dxa"/>
        <w:jc w:val="left"/>
        <w:tblInd w:w="0" w:type="dxa"/>
        <w:tblCellMar>
          <w:top w:w="28" w:type="dxa"/>
          <w:left w:w="28" w:type="dxa"/>
          <w:bottom w:w="28" w:type="dxa"/>
          <w:right w:w="28" w:type="dxa"/>
        </w:tblCellMar>
      </w:tblPr>
      <w:tblGrid>
        <w:gridCol w:w="1222"/>
        <w:gridCol w:w="1075"/>
        <w:gridCol w:w="1077"/>
        <w:gridCol w:w="109"/>
        <w:gridCol w:w="109"/>
        <w:gridCol w:w="109"/>
        <w:gridCol w:w="978"/>
        <w:gridCol w:w="978"/>
        <w:gridCol w:w="1388"/>
      </w:tblGrid>
      <w:tr>
        <w:trPr/>
        <w:tc>
          <w:tcPr>
            <w:tcW w:w="1222"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r>
              <w:rPr>
                <w:rFonts w:ascii="Times New Roman;sans-serif" w:hAnsi="Times New Roman;sans-serif"/>
                <w:b w:val="false"/>
                <w:color w:val="000000"/>
                <w:sz w:val="18"/>
              </w:rPr>
              <w:t>VICI Properties L.P.  Yes  ☐   No  </w:t>
            </w:r>
            <w:r>
              <w:rPr>
                <w:color w:val="000000"/>
              </w:rPr>
              <w:t>☒ </w:t>
            </w:r>
          </w:p>
        </w:tc>
      </w:tr>
    </w:tbl>
    <w:p>
      <w:pPr>
        <w:pStyle w:val="TextBody"/>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April 28, 2023, VICI Properties Inc. had 1,004,238,490 shares of common stock, $0.01 par value per share, outstanding. VICI Properties L.P. has no common stock outstanding.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80" w:after="283"/>
                        <w:jc w:val="both"/>
                        <w:rPr/>
                      </w:pPr>
                      <w:r>
                        <w:rPr/>
                      </w:r>
                    </w:p>
                  </w:txbxContent>
                </v:textbox>
              </v:rect>
            </w:pict>
          </mc:Fallback>
        </mc:AlternateContent>
      </w:r>
    </w:p>
    <w:p>
      <w:pPr>
        <w:pStyle w:val="TextBody"/>
        <w:spacing w:before="180" w:after="283"/>
        <w:jc w:val="both"/>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three months ended March 31, 2023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generally the entity that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is a real estate investment trust (“REIT”) that is the sole owner of VICI Properties GP LLC (the “General Partner”), the sole general partner of VICI LP. As of March 31, 2023, VICI owns 100% of the limited liability company interests of VICI Properties HoldCo LLC (“HoldCo”), which in turn owns approximately 98.8% of the limited liability company interest of VICI OP (such interests, “VICI OP Units”), our operating partnership, which in turns owns 100% of the limited partnership interest in VICI LP. The balance of the VICI OP Units not held by HoldCo are held by MGM Resorts International or its affiliates.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diagram details VICI’s organizational structure as of March 31, 2023.</w:t>
      </w:r>
    </w:p>
    <w:p>
      <w:pPr>
        <w:pStyle w:val="TextBody"/>
        <w:spacing w:before="180" w:after="283"/>
        <w:jc w:val="center"/>
        <w:rPr/>
      </w:pPr>
      <w:r>
        <w:rPr/>
        <w:drawing>
          <wp:inline distT="0" distB="6350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combining the quarterly reports on Form 10-Q of VICI and VICI LP into this single report:</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enhances investors’ understanding of VICI and VICI LP by enabling investors to view the business as a whole in the same manner as management views and operates the business;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eliminates duplicative disclosure and provides a more streamlined and readable presentation;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180" w:after="283"/>
        <w:jc w:val="both"/>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March 31, 2023,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help investors understand the differences between VICI and VICI LP, this report provides: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separate consolidated financial statements for VICI and VICI LP;</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Part I, Item 4. Controls and Procedures sections; </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separate Part II, Item 2. Issuer Purchases of Equity Securities sections related to each entity;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Exhibits 31 and 32 certifications for each VICI and VICI LP in order to establish that the requisite certifications have been made and that VICI and VICI LP are each compliant with Rule 13a-14(a) or Rule 15d-14(a) of the Securities Exchange Act of 1934 and 18 U.S.C. §1350.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180" w:after="283"/>
        <w:rPr/>
      </w:pPr>
      <w:r>
        <w:rPr/>
      </w:r>
    </w:p>
    <w:p>
      <w:pPr>
        <w:pStyle w:val="TextBody"/>
        <w:spacing w:lineRule="auto" w:line="288" w:before="0" w:after="0"/>
        <w:rPr/>
      </w:pPr>
      <w:hyperlink w:anchor="i402613ae68904b5587c68802b3f0ad2f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430"/>
        <w:gridCol w:w="283"/>
        <w:gridCol w:w="283"/>
        <w:gridCol w:w="615"/>
        <w:gridCol w:w="615"/>
        <w:gridCol w:w="593"/>
        <w:gridCol w:w="2324"/>
        <w:gridCol w:w="2041"/>
        <w:gridCol w:w="1968"/>
        <w:gridCol w:w="337"/>
        <w:gridCol w:w="283"/>
        <w:gridCol w:w="433"/>
      </w:tblGrid>
      <w:tr>
        <w:trPr/>
        <w:tc>
          <w:tcPr>
            <w:tcW w:w="43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968"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FORM 10-Q</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 THE QUARTER ENDED MARCH 31, 2023</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3">
              <w:r>
                <w:rPr>
                  <w:rStyle w:val="InternetLink"/>
                  <w:rFonts w:ascii="Times New Roman;sans-serif" w:hAnsi="Times New Roman;sans-serif"/>
                  <w:b/>
                  <w:color w:val="0000FF"/>
                  <w:sz w:val="20"/>
                  <w:u w:val="single"/>
                </w:rPr>
                <w:t>PART I.</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3">
              <w:r>
                <w:rPr>
                  <w:rStyle w:val="InternetLink"/>
                  <w:rFonts w:ascii="Times New Roman;sans-serif" w:hAnsi="Times New Roman;sans-serif"/>
                  <w:b/>
                  <w:color w:val="0000FF"/>
                  <w:sz w:val="20"/>
                  <w:u w:val="single"/>
                </w:rPr>
                <w:t>FINANCIAL INFORMATION</w:t>
              </w:r>
            </w:hyperlink>
          </w:p>
        </w:tc>
        <w:tc>
          <w:tcPr>
            <w:tcW w:w="10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3">
              <w:r>
                <w:rPr>
                  <w:rStyle w:val="InternetLink"/>
                  <w:rFonts w:ascii="Times New Roman;sans-serif" w:hAnsi="Times New Roman;sans-serif"/>
                  <w:b w:val="false"/>
                  <w:color w:val="0000FF"/>
                  <w:sz w:val="20"/>
                  <w:u w:val="single"/>
                </w:rPr>
                <w:t>Item 1.</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3">
              <w:r>
                <w:rPr>
                  <w:rStyle w:val="InternetLink"/>
                  <w:rFonts w:ascii="Times New Roman;sans-serif" w:hAnsi="Times New Roman;sans-serif"/>
                  <w:b w:val="false"/>
                  <w:color w:val="0000FF"/>
                  <w:sz w:val="20"/>
                  <w:u w:val="single"/>
                </w:rPr>
                <w:t>Financial Statements of VICI Properties Inc. (Unaudited)</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3">
              <w:r>
                <w:rPr>
                  <w:rStyle w:val="InternetLink"/>
                  <w:rFonts w:ascii="Times New Roman;sans-serif" w:hAnsi="Times New Roman;sans-serif"/>
                  <w:b w:val="false"/>
                  <w:color w:val="0000FF"/>
                  <w:sz w:val="20"/>
                  <w:u w:val="single"/>
                </w:rPr>
                <w:t>5</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9">
              <w:r>
                <w:rPr>
                  <w:rStyle w:val="InternetLink"/>
                  <w:rFonts w:ascii="Times New Roman;sans-serif" w:hAnsi="Times New Roman;sans-serif"/>
                  <w:b w:val="false"/>
                  <w:color w:val="0000FF"/>
                  <w:sz w:val="20"/>
                  <w:u w:val="single"/>
                </w:rPr>
                <w:t>Consolidated Balance Sheets as of March 31, 2023 and December 31, 2022</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9">
              <w:r>
                <w:rPr>
                  <w:rStyle w:val="InternetLink"/>
                  <w:rFonts w:ascii="Times New Roman;sans-serif" w:hAnsi="Times New Roman;sans-serif"/>
                  <w:b w:val="false"/>
                  <w:color w:val="0000FF"/>
                  <w:sz w:val="20"/>
                  <w:u w:val="single"/>
                </w:rPr>
                <w:t>5</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22">
              <w:r>
                <w:rPr>
                  <w:rStyle w:val="InternetLink"/>
                  <w:rFonts w:ascii="Times New Roman;sans-serif" w:hAnsi="Times New Roman;sans-serif"/>
                  <w:b w:val="false"/>
                  <w:color w:val="0000FF"/>
                  <w:sz w:val="20"/>
                  <w:u w:val="single"/>
                </w:rPr>
                <w:t>Consolidated Statements of Operations and Comprehensive Income for the Three Months Ended March 31, 2023 and 2022</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22">
              <w:r>
                <w:rPr>
                  <w:rStyle w:val="InternetLink"/>
                  <w:rFonts w:ascii="Times New Roman;sans-serif" w:hAnsi="Times New Roman;sans-serif"/>
                  <w:b w:val="false"/>
                  <w:color w:val="0000FF"/>
                  <w:sz w:val="20"/>
                  <w:u w:val="single"/>
                </w:rPr>
                <w:t>6</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25">
              <w:r>
                <w:rPr>
                  <w:rStyle w:val="InternetLink"/>
                  <w:rFonts w:ascii="Times New Roman;sans-serif" w:hAnsi="Times New Roman;sans-serif"/>
                  <w:b w:val="false"/>
                  <w:color w:val="0000FF"/>
                  <w:sz w:val="20"/>
                  <w:u w:val="single"/>
                </w:rPr>
                <w:t>Consolidated Statements of Stockholders’ Equity for the Three Months Ended March 31, 2023 and 2022</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25">
              <w:r>
                <w:rPr>
                  <w:rStyle w:val="InternetLink"/>
                  <w:rFonts w:ascii="Times New Roman;sans-serif" w:hAnsi="Times New Roman;sans-serif"/>
                  <w:b w:val="false"/>
                  <w:color w:val="0000FF"/>
                  <w:sz w:val="20"/>
                  <w:u w:val="single"/>
                </w:rPr>
                <w:t>7</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28">
              <w:r>
                <w:rPr>
                  <w:rStyle w:val="InternetLink"/>
                  <w:rFonts w:ascii="Times New Roman;sans-serif" w:hAnsi="Times New Roman;sans-serif"/>
                  <w:b w:val="false"/>
                  <w:color w:val="0000FF"/>
                  <w:sz w:val="20"/>
                  <w:u w:val="single"/>
                </w:rPr>
                <w:t>Consolidated Statements of Cash Flows for the Three Months Ended March 31, 2023 and 2022</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28">
              <w:r>
                <w:rPr>
                  <w:rStyle w:val="InternetLink"/>
                  <w:rFonts w:ascii="Times New Roman;sans-serif" w:hAnsi="Times New Roman;sans-serif"/>
                  <w:b w:val="false"/>
                  <w:color w:val="0000FF"/>
                  <w:sz w:val="20"/>
                  <w:u w:val="single"/>
                </w:rPr>
                <w:t>8</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31">
              <w:r>
                <w:rPr>
                  <w:rStyle w:val="InternetLink"/>
                  <w:rFonts w:ascii="Times New Roman;sans-serif" w:hAnsi="Times New Roman;sans-serif"/>
                  <w:b w:val="false"/>
                  <w:color w:val="0000FF"/>
                  <w:sz w:val="20"/>
                  <w:u w:val="single"/>
                </w:rPr>
                <w:t>Financial Statements of VICI Properties L.P. (Unaudited)</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31">
              <w:r>
                <w:rPr>
                  <w:rStyle w:val="InternetLink"/>
                  <w:rFonts w:ascii="Times New Roman;sans-serif" w:hAnsi="Times New Roman;sans-serif"/>
                  <w:b w:val="false"/>
                  <w:color w:val="0000FF"/>
                  <w:sz w:val="20"/>
                  <w:u w:val="single"/>
                </w:rPr>
                <w:t>10</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34">
              <w:r>
                <w:rPr>
                  <w:rStyle w:val="InternetLink"/>
                  <w:rFonts w:ascii="Times New Roman;sans-serif" w:hAnsi="Times New Roman;sans-serif"/>
                  <w:b w:val="false"/>
                  <w:color w:val="0000FF"/>
                  <w:sz w:val="20"/>
                  <w:u w:val="single"/>
                </w:rPr>
                <w:t>Consolidated Balance Sheets as of March 31, 2023 and December 31, 2022</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34">
              <w:r>
                <w:rPr>
                  <w:rStyle w:val="InternetLink"/>
                  <w:rFonts w:ascii="Times New Roman;sans-serif" w:hAnsi="Times New Roman;sans-serif"/>
                  <w:b w:val="false"/>
                  <w:color w:val="0000FF"/>
                  <w:sz w:val="20"/>
                  <w:u w:val="single"/>
                </w:rPr>
                <w:t>10</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37">
              <w:r>
                <w:rPr>
                  <w:rStyle w:val="InternetLink"/>
                  <w:rFonts w:ascii="Times New Roman;sans-serif" w:hAnsi="Times New Roman;sans-serif"/>
                  <w:b w:val="false"/>
                  <w:color w:val="0000FF"/>
                  <w:sz w:val="20"/>
                  <w:u w:val="single"/>
                </w:rPr>
                <w:t>Consolidated Statements of Operations and Comprehensive Income for the Three Months Ended March 31, 2023 and 2022</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37">
              <w:r>
                <w:rPr>
                  <w:rStyle w:val="InternetLink"/>
                  <w:rFonts w:ascii="Times New Roman;sans-serif" w:hAnsi="Times New Roman;sans-serif"/>
                  <w:b w:val="false"/>
                  <w:color w:val="0000FF"/>
                  <w:sz w:val="20"/>
                  <w:u w:val="single"/>
                </w:rPr>
                <w:t>11</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40">
              <w:r>
                <w:rPr>
                  <w:rStyle w:val="InternetLink"/>
                  <w:rFonts w:ascii="Times New Roman;sans-serif" w:hAnsi="Times New Roman;sans-serif"/>
                  <w:b w:val="false"/>
                  <w:color w:val="0000FF"/>
                  <w:sz w:val="20"/>
                  <w:u w:val="single"/>
                </w:rPr>
                <w:t>Consolidated Statements of Partners’ Capital for the Three Months Ended March 31, 2023 and 2022</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40">
              <w:r>
                <w:rPr>
                  <w:rStyle w:val="InternetLink"/>
                  <w:rFonts w:ascii="Times New Roman;sans-serif" w:hAnsi="Times New Roman;sans-serif"/>
                  <w:b w:val="false"/>
                  <w:color w:val="0000FF"/>
                  <w:sz w:val="20"/>
                  <w:u w:val="single"/>
                </w:rPr>
                <w:t>12</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43">
              <w:r>
                <w:rPr>
                  <w:rStyle w:val="InternetLink"/>
                  <w:rFonts w:ascii="Times New Roman;sans-serif" w:hAnsi="Times New Roman;sans-serif"/>
                  <w:b w:val="false"/>
                  <w:color w:val="0000FF"/>
                  <w:sz w:val="20"/>
                  <w:u w:val="single"/>
                </w:rPr>
                <w:t>Consolidated Statements of Cash Flows for the Three Months Ended March 31, 2023 and 2022</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43">
              <w:r>
                <w:rPr>
                  <w:rStyle w:val="InternetLink"/>
                  <w:rFonts w:ascii="Times New Roman;sans-serif" w:hAnsi="Times New Roman;sans-serif"/>
                  <w:b w:val="false"/>
                  <w:color w:val="0000FF"/>
                  <w:sz w:val="20"/>
                  <w:u w:val="single"/>
                </w:rPr>
                <w:t>13</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46">
              <w:r>
                <w:rPr>
                  <w:rStyle w:val="InternetLink"/>
                  <w:rFonts w:ascii="Times New Roman;sans-serif" w:hAnsi="Times New Roman;sans-serif"/>
                  <w:b w:val="false"/>
                  <w:color w:val="0000FF"/>
                  <w:sz w:val="20"/>
                  <w:u w:val="single"/>
                </w:rPr>
                <w:t>Notes to Consolidated Financial Statements</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46">
              <w:r>
                <w:rPr>
                  <w:rStyle w:val="InternetLink"/>
                  <w:rFonts w:ascii="Times New Roman;sans-serif" w:hAnsi="Times New Roman;sans-serif"/>
                  <w:b w:val="false"/>
                  <w:color w:val="0000FF"/>
                  <w:sz w:val="20"/>
                  <w:u w:val="single"/>
                </w:rPr>
                <w:t>15</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97">
              <w:r>
                <w:rPr>
                  <w:rStyle w:val="InternetLink"/>
                  <w:rFonts w:ascii="Times New Roman;sans-serif" w:hAnsi="Times New Roman;sans-serif"/>
                  <w:b w:val="false"/>
                  <w:color w:val="0000FF"/>
                  <w:sz w:val="20"/>
                  <w:u w:val="single"/>
                </w:rPr>
                <w:t>Item 2.</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9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97">
              <w:r>
                <w:rPr>
                  <w:rStyle w:val="InternetLink"/>
                  <w:rFonts w:ascii="Times New Roman;sans-serif" w:hAnsi="Times New Roman;sans-serif"/>
                  <w:b w:val="false"/>
                  <w:color w:val="0000FF"/>
                  <w:sz w:val="20"/>
                  <w:u w:val="single"/>
                </w:rPr>
                <w:t>50</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00">
              <w:r>
                <w:rPr>
                  <w:rStyle w:val="InternetLink"/>
                  <w:rFonts w:ascii="Times New Roman;sans-serif" w:hAnsi="Times New Roman;sans-serif"/>
                  <w:b w:val="false"/>
                  <w:color w:val="0000FF"/>
                  <w:sz w:val="20"/>
                  <w:u w:val="single"/>
                </w:rPr>
                <w:t>Item 3.</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00">
              <w:r>
                <w:rPr>
                  <w:rStyle w:val="InternetLink"/>
                  <w:rFonts w:ascii="Times New Roman;sans-serif" w:hAnsi="Times New Roman;sans-serif"/>
                  <w:b w:val="false"/>
                  <w:color w:val="0000FF"/>
                  <w:sz w:val="20"/>
                  <w:u w:val="single"/>
                </w:rPr>
                <w:t>Quantitative and Qualitative Disclosures About Market Risk</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00">
              <w:r>
                <w:rPr>
                  <w:rStyle w:val="InternetLink"/>
                  <w:rFonts w:ascii="Times New Roman;sans-serif" w:hAnsi="Times New Roman;sans-serif"/>
                  <w:b w:val="false"/>
                  <w:color w:val="0000FF"/>
                  <w:sz w:val="20"/>
                  <w:u w:val="single"/>
                </w:rPr>
                <w:t>64</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03">
              <w:r>
                <w:rPr>
                  <w:rStyle w:val="InternetLink"/>
                  <w:rFonts w:ascii="Times New Roman;sans-serif" w:hAnsi="Times New Roman;sans-serif"/>
                  <w:b w:val="false"/>
                  <w:color w:val="0000FF"/>
                  <w:sz w:val="20"/>
                  <w:u w:val="single"/>
                </w:rPr>
                <w:t>Item 4.</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03">
              <w:r>
                <w:rPr>
                  <w:rStyle w:val="InternetLink"/>
                  <w:rFonts w:ascii="Times New Roman;sans-serif" w:hAnsi="Times New Roman;sans-serif"/>
                  <w:b w:val="false"/>
                  <w:color w:val="0000FF"/>
                  <w:sz w:val="20"/>
                  <w:u w:val="single"/>
                </w:rPr>
                <w:t>Controls and Procedures</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03">
              <w:r>
                <w:rPr>
                  <w:rStyle w:val="InternetLink"/>
                  <w:rFonts w:ascii="Times New Roman;sans-serif" w:hAnsi="Times New Roman;sans-serif"/>
                  <w:b w:val="false"/>
                  <w:color w:val="0000FF"/>
                  <w:sz w:val="20"/>
                  <w:u w:val="single"/>
                </w:rPr>
                <w:t>65</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06">
              <w:r>
                <w:rPr>
                  <w:rStyle w:val="InternetLink"/>
                  <w:rFonts w:ascii="Times New Roman;sans-serif" w:hAnsi="Times New Roman;sans-serif"/>
                  <w:b/>
                  <w:color w:val="0000FF"/>
                  <w:sz w:val="20"/>
                  <w:u w:val="single"/>
                </w:rPr>
                <w:t>PART II.</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06">
              <w:r>
                <w:rPr>
                  <w:rStyle w:val="InternetLink"/>
                  <w:rFonts w:ascii="Times New Roman;sans-serif" w:hAnsi="Times New Roman;sans-serif"/>
                  <w:b/>
                  <w:color w:val="0000FF"/>
                  <w:sz w:val="20"/>
                  <w:u w:val="single"/>
                </w:rPr>
                <w:t>OTHER INFORMATION</w:t>
              </w:r>
            </w:hyperlink>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09">
              <w:r>
                <w:rPr>
                  <w:rStyle w:val="InternetLink"/>
                  <w:rFonts w:ascii="Times New Roman;sans-serif" w:hAnsi="Times New Roman;sans-serif"/>
                  <w:b w:val="false"/>
                  <w:color w:val="0000FF"/>
                  <w:sz w:val="20"/>
                  <w:u w:val="single"/>
                </w:rPr>
                <w:t>Item 1.</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09">
              <w:r>
                <w:rPr>
                  <w:rStyle w:val="InternetLink"/>
                  <w:rFonts w:ascii="Times New Roman;sans-serif" w:hAnsi="Times New Roman;sans-serif"/>
                  <w:b w:val="false"/>
                  <w:color w:val="0000FF"/>
                  <w:sz w:val="20"/>
                  <w:u w:val="single"/>
                </w:rPr>
                <w:t>Legal Proceedings</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09">
              <w:r>
                <w:rPr>
                  <w:rStyle w:val="InternetLink"/>
                  <w:rFonts w:ascii="Times New Roman;sans-serif" w:hAnsi="Times New Roman;sans-serif"/>
                  <w:b w:val="false"/>
                  <w:color w:val="0000FF"/>
                  <w:sz w:val="20"/>
                  <w:u w:val="single"/>
                </w:rPr>
                <w:t>66</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12">
              <w:r>
                <w:rPr>
                  <w:rStyle w:val="InternetLink"/>
                  <w:rFonts w:ascii="Times New Roman;sans-serif" w:hAnsi="Times New Roman;sans-serif"/>
                  <w:b w:val="false"/>
                  <w:color w:val="0000FF"/>
                  <w:sz w:val="20"/>
                  <w:u w:val="single"/>
                </w:rPr>
                <w:t>Item 1A.</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12">
              <w:r>
                <w:rPr>
                  <w:rStyle w:val="InternetLink"/>
                  <w:rFonts w:ascii="Times New Roman;sans-serif" w:hAnsi="Times New Roman;sans-serif"/>
                  <w:b w:val="false"/>
                  <w:color w:val="0000FF"/>
                  <w:sz w:val="20"/>
                  <w:u w:val="single"/>
                </w:rPr>
                <w:t>Risk Factors</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12">
              <w:r>
                <w:rPr>
                  <w:rStyle w:val="InternetLink"/>
                  <w:rFonts w:ascii="Times New Roman;sans-serif" w:hAnsi="Times New Roman;sans-serif"/>
                  <w:b w:val="false"/>
                  <w:color w:val="0000FF"/>
                  <w:sz w:val="20"/>
                  <w:u w:val="single"/>
                </w:rPr>
                <w:t>66</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15">
              <w:r>
                <w:rPr>
                  <w:rStyle w:val="InternetLink"/>
                  <w:rFonts w:ascii="Times New Roman;sans-serif" w:hAnsi="Times New Roman;sans-serif"/>
                  <w:b w:val="false"/>
                  <w:color w:val="0000FF"/>
                  <w:sz w:val="20"/>
                  <w:u w:val="single"/>
                </w:rPr>
                <w:t>Item 2.</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15">
              <w:r>
                <w:rPr>
                  <w:rStyle w:val="InternetLink"/>
                  <w:rFonts w:ascii="Times New Roman;sans-serif" w:hAnsi="Times New Roman;sans-serif"/>
                  <w:b w:val="false"/>
                  <w:color w:val="0000FF"/>
                  <w:sz w:val="20"/>
                  <w:u w:val="single"/>
                </w:rPr>
                <w:t>Unregistered Sales of Equity Securities and Use of Proceeds</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15">
              <w:r>
                <w:rPr>
                  <w:rStyle w:val="InternetLink"/>
                  <w:rFonts w:ascii="Times New Roman;sans-serif" w:hAnsi="Times New Roman;sans-serif"/>
                  <w:b w:val="false"/>
                  <w:color w:val="0000FF"/>
                  <w:sz w:val="20"/>
                  <w:u w:val="single"/>
                </w:rPr>
                <w:t>66</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18">
              <w:r>
                <w:rPr>
                  <w:rStyle w:val="InternetLink"/>
                  <w:rFonts w:ascii="Times New Roman;sans-serif" w:hAnsi="Times New Roman;sans-serif"/>
                  <w:b w:val="false"/>
                  <w:color w:val="0000FF"/>
                  <w:sz w:val="20"/>
                  <w:u w:val="single"/>
                </w:rPr>
                <w:t>Item 3.</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18">
              <w:r>
                <w:rPr>
                  <w:rStyle w:val="InternetLink"/>
                  <w:rFonts w:ascii="Times New Roman;sans-serif" w:hAnsi="Times New Roman;sans-serif"/>
                  <w:b w:val="false"/>
                  <w:color w:val="0000FF"/>
                  <w:sz w:val="20"/>
                  <w:u w:val="single"/>
                </w:rPr>
                <w:t>Defaults Upon Senior Securities</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18">
              <w:r>
                <w:rPr>
                  <w:rStyle w:val="InternetLink"/>
                  <w:rFonts w:ascii="Times New Roman;sans-serif" w:hAnsi="Times New Roman;sans-serif"/>
                  <w:b w:val="false"/>
                  <w:color w:val="0000FF"/>
                  <w:sz w:val="20"/>
                  <w:u w:val="single"/>
                </w:rPr>
                <w:t>66</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21">
              <w:r>
                <w:rPr>
                  <w:rStyle w:val="InternetLink"/>
                  <w:rFonts w:ascii="Times New Roman;sans-serif" w:hAnsi="Times New Roman;sans-serif"/>
                  <w:b w:val="false"/>
                  <w:color w:val="0000FF"/>
                  <w:sz w:val="20"/>
                  <w:u w:val="single"/>
                </w:rPr>
                <w:t>Item 4.</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21">
              <w:r>
                <w:rPr>
                  <w:rStyle w:val="InternetLink"/>
                  <w:rFonts w:ascii="Times New Roman;sans-serif" w:hAnsi="Times New Roman;sans-serif"/>
                  <w:b w:val="false"/>
                  <w:color w:val="0000FF"/>
                  <w:sz w:val="20"/>
                  <w:u w:val="single"/>
                </w:rPr>
                <w:t>Mine Safety Disclosures</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21">
              <w:r>
                <w:rPr>
                  <w:rStyle w:val="InternetLink"/>
                  <w:rFonts w:ascii="Times New Roman;sans-serif" w:hAnsi="Times New Roman;sans-serif"/>
                  <w:b w:val="false"/>
                  <w:color w:val="0000FF"/>
                  <w:sz w:val="20"/>
                  <w:u w:val="single"/>
                </w:rPr>
                <w:t>66</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24">
              <w:r>
                <w:rPr>
                  <w:rStyle w:val="InternetLink"/>
                  <w:rFonts w:ascii="Times New Roman;sans-serif" w:hAnsi="Times New Roman;sans-serif"/>
                  <w:b w:val="false"/>
                  <w:color w:val="0000FF"/>
                  <w:sz w:val="20"/>
                  <w:u w:val="single"/>
                </w:rPr>
                <w:t>Item 5</w:t>
              </w:r>
            </w:hyperlink>
            <w:r>
              <w:rPr>
                <w:rFonts w:ascii="Times New Roman;sans-serif" w:hAnsi="Times New Roman;sans-serif"/>
                <w:b w:val="false"/>
                <w:color w:val="000000"/>
                <w:sz w:val="20"/>
              </w:rPr>
              <w:t>.</w:t>
            </w:r>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24">
              <w:r>
                <w:rPr>
                  <w:rStyle w:val="InternetLink"/>
                  <w:rFonts w:ascii="Times New Roman;sans-serif" w:hAnsi="Times New Roman;sans-serif"/>
                  <w:b w:val="false"/>
                  <w:color w:val="0000FF"/>
                  <w:sz w:val="20"/>
                  <w:u w:val="single"/>
                </w:rPr>
                <w:t>Other Information</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24">
              <w:r>
                <w:rPr>
                  <w:rStyle w:val="InternetLink"/>
                  <w:rFonts w:ascii="Times New Roman;sans-serif" w:hAnsi="Times New Roman;sans-serif"/>
                  <w:b w:val="false"/>
                  <w:color w:val="0000FF"/>
                  <w:sz w:val="20"/>
                  <w:u w:val="single"/>
                </w:rPr>
                <w:t>67</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27">
              <w:r>
                <w:rPr>
                  <w:rStyle w:val="InternetLink"/>
                  <w:rFonts w:ascii="Times New Roman;sans-serif" w:hAnsi="Times New Roman;sans-serif"/>
                  <w:b w:val="false"/>
                  <w:color w:val="0000FF"/>
                  <w:sz w:val="20"/>
                  <w:u w:val="single"/>
                </w:rPr>
                <w:t>Item 6.</w:t>
              </w:r>
            </w:hyperlink>
          </w:p>
        </w:tc>
        <w:tc>
          <w:tcPr>
            <w:tcW w:w="81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27">
              <w:r>
                <w:rPr>
                  <w:rStyle w:val="InternetLink"/>
                  <w:rFonts w:ascii="Times New Roman;sans-serif" w:hAnsi="Times New Roman;sans-serif"/>
                  <w:b w:val="false"/>
                  <w:color w:val="0000FF"/>
                  <w:sz w:val="20"/>
                  <w:u w:val="single"/>
                </w:rPr>
                <w:t>Exhibits</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27">
              <w:r>
                <w:rPr>
                  <w:rStyle w:val="InternetLink"/>
                  <w:rFonts w:ascii="Times New Roman;sans-serif" w:hAnsi="Times New Roman;sans-serif"/>
                  <w:b w:val="false"/>
                  <w:color w:val="0000FF"/>
                  <w:sz w:val="20"/>
                  <w:u w:val="single"/>
                </w:rPr>
                <w:t>67</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2"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2613ae68904b5587c68802b3f0ad2f_130">
              <w:r>
                <w:rPr>
                  <w:rStyle w:val="InternetLink"/>
                  <w:rFonts w:ascii="Times New Roman;sans-serif" w:hAnsi="Times New Roman;sans-serif"/>
                  <w:b/>
                  <w:color w:val="0000FF"/>
                  <w:sz w:val="20"/>
                  <w:u w:val="single"/>
                </w:rPr>
                <w:t>Signatures</w:t>
              </w:r>
            </w:hyperlink>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02613ae68904b5587c68802b3f0ad2f_130">
              <w:r>
                <w:rPr>
                  <w:rStyle w:val="InternetLink"/>
                  <w:rFonts w:ascii="Times New Roman;sans-serif" w:hAnsi="Times New Roman;sans-serif"/>
                  <w:b w:val="false"/>
                  <w:color w:val="0000FF"/>
                  <w:sz w:val="20"/>
                  <w:u w:val="single"/>
                </w:rPr>
                <w:t>68</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PART I        FINANCIAL INFORMATION</w:t>
      </w:r>
    </w:p>
    <w:p>
      <w:pPr>
        <w:pStyle w:val="TextBody"/>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p>
      <w:pPr>
        <w:pStyle w:val="TextBody"/>
        <w:spacing w:before="0" w:after="0"/>
        <w:ind w:left="0" w:right="0" w:hanging="14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2744"/>
        <w:gridCol w:w="2098"/>
        <w:gridCol w:w="2131"/>
        <w:gridCol w:w="211"/>
        <w:gridCol w:w="1081"/>
        <w:gridCol w:w="109"/>
        <w:gridCol w:w="109"/>
        <w:gridCol w:w="109"/>
        <w:gridCol w:w="109"/>
        <w:gridCol w:w="219"/>
        <w:gridCol w:w="1123"/>
        <w:gridCol w:w="162"/>
      </w:tblGrid>
      <w:tr>
        <w:trPr/>
        <w:tc>
          <w:tcPr>
            <w:tcW w:w="2744"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22,579,820 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936,328 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37,575,826 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16,606,240 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213,388 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payable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380,178 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952,472 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18,178,278 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15,285,713 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1,350,000,000 shares authorized and 1,004,204,918 and 963,096,563 shares issued and outstanding at March 31, 2023 and December 31, 2022, respectively </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$0.01 par value, 50,000,000 shares authorized and no shares outstanding at March 31, 2023 and December 31, 2022 </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22,910,509 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21,645,499 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185,353 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21,933,637 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356,476 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23,674,535 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22,290,113 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41,852,813 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37,575,826 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spacing w:lineRule="auto" w:line="288" w:before="60" w:after="283"/>
        <w:jc w:val="both"/>
        <w:rPr/>
      </w:pPr>
      <w:r>
        <w:rPr>
          <w:rFonts w:ascii="Times New Roman;sans-serif" w:hAnsi="Times New Roman;sans-serif"/>
          <w:b w:val="false"/>
          <w:i/>
          <w:color w:val="000000"/>
          <w:sz w:val="16"/>
        </w:rPr>
        <w:t xml:space="preserve">Note: As of March 31, 2023 and December 31, 2022, our Investments in leases - sales-type, Investments in leases - financing receivables, Investments in loans and securities and Other assets (sales-type sub-leases) are net of $716.6 million, $689.5 million, $15.7 million and $17.0 million, respectively, and $570.4 million, $726.7 million, $6.9 million and $19.8 million of allowance for credit losses, respectively. Refer to </w:t>
      </w:r>
      <w:hyperlink w:anchor="i402613ae68904b5587c68802b3f0ad2f_67">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8768" w:type="dxa"/>
        <w:jc w:val="center"/>
        <w:tblInd w:w="0" w:type="dxa"/>
        <w:tblCellMar>
          <w:top w:w="28" w:type="dxa"/>
          <w:left w:w="28" w:type="dxa"/>
          <w:bottom w:w="28" w:type="dxa"/>
          <w:right w:w="28" w:type="dxa"/>
        </w:tblCellMar>
      </w:tblPr>
      <w:tblGrid>
        <w:gridCol w:w="1884"/>
        <w:gridCol w:w="1660"/>
        <w:gridCol w:w="1676"/>
        <w:gridCol w:w="271"/>
        <w:gridCol w:w="1065"/>
        <w:gridCol w:w="109"/>
        <w:gridCol w:w="109"/>
        <w:gridCol w:w="109"/>
        <w:gridCol w:w="109"/>
        <w:gridCol w:w="241"/>
        <w:gridCol w:w="945"/>
        <w:gridCol w:w="109"/>
        <w:gridCol w:w="109"/>
        <w:gridCol w:w="109"/>
        <w:gridCol w:w="109"/>
        <w:gridCol w:w="154"/>
      </w:tblGrid>
      <w:tr>
        <w:trPr/>
        <w:tc>
          <w:tcPr>
            <w:tcW w:w="1884"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1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per common share </w:t>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87"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shares of common stock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1,001,526,645 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684,341,045 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1,003,831,325 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687,914,683 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cash flow hedges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stockholders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1505" w:type="dxa"/>
        <w:jc w:val="center"/>
        <w:tblInd w:w="0" w:type="dxa"/>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736"/>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11,755,069 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12,108,268 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78,906 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12,187,174 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3,218,097 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($0.3600 per common share)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14,971,890 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109,495 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15,404,678 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79,108 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15,483,786 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21,645,499 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185,353 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21,933,637 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356,476 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22,290,113 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9,121 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527,861 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($0.3900 per common share)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22,910,509 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170,441 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23,311,246 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363,289 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23,674,535 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024" w:type="dxa"/>
        <w:jc w:val="center"/>
        <w:tblInd w:w="0" w:type="dxa"/>
        <w:tblCellMar>
          <w:top w:w="28" w:type="dxa"/>
          <w:left w:w="28" w:type="dxa"/>
          <w:bottom w:w="28" w:type="dxa"/>
          <w:right w:w="28" w:type="dxa"/>
        </w:tblCellMar>
      </w:tblPr>
      <w:tblGrid>
        <w:gridCol w:w="2654"/>
        <w:gridCol w:w="2336"/>
        <w:gridCol w:w="2344"/>
        <w:gridCol w:w="213"/>
        <w:gridCol w:w="837"/>
        <w:gridCol w:w="109"/>
        <w:gridCol w:w="109"/>
        <w:gridCol w:w="109"/>
        <w:gridCol w:w="109"/>
        <w:gridCol w:w="213"/>
        <w:gridCol w:w="837"/>
        <w:gridCol w:w="154"/>
      </w:tblGrid>
      <w:tr>
        <w:trPr/>
        <w:tc>
          <w:tcPr>
            <w:tcW w:w="2654"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234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remeasurement gain</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(4,012,096)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(4,028,245)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 of common stock, net</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3,559,160 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spacing w:before="180" w:after="283"/>
        <w:jc w:val="both"/>
        <w:rPr/>
      </w:pPr>
      <w:r>
        <w:rPr/>
      </w:r>
    </w:p>
    <w:tbl>
      <w:tblPr>
        <w:tblW w:w="9098" w:type="dxa"/>
        <w:jc w:val="center"/>
        <w:tblInd w:w="0" w:type="dxa"/>
        <w:tblCellMar>
          <w:top w:w="28" w:type="dxa"/>
          <w:left w:w="28" w:type="dxa"/>
          <w:bottom w:w="28" w:type="dxa"/>
          <w:right w:w="28" w:type="dxa"/>
        </w:tblCellMar>
      </w:tblPr>
      <w:tblGrid>
        <w:gridCol w:w="2330"/>
        <w:gridCol w:w="2046"/>
        <w:gridCol w:w="2058"/>
        <w:gridCol w:w="211"/>
        <w:gridCol w:w="826"/>
        <w:gridCol w:w="109"/>
        <w:gridCol w:w="109"/>
        <w:gridCol w:w="109"/>
        <w:gridCol w:w="109"/>
        <w:gridCol w:w="211"/>
        <w:gridCol w:w="826"/>
        <w:gridCol w:w="154"/>
      </w:tblGrid>
      <w:tr>
        <w:trPr/>
        <w:tc>
          <w:tcPr>
            <w:tcW w:w="2330" w:type="dxa"/>
            <w:tcBorders/>
            <w:shd w:fill="auto" w:val="clear"/>
            <w:vAlign w:val="center"/>
          </w:tcPr>
          <w:p>
            <w:pPr>
              <w:pStyle w:val="TableContents"/>
              <w:spacing w:before="0" w:after="283"/>
              <w:rPr>
                <w:sz w:val="4"/>
                <w:szCs w:val="4"/>
              </w:rPr>
            </w:pPr>
            <w:r>
              <w:rPr>
                <w:sz w:val="4"/>
                <w:szCs w:val="4"/>
              </w:rPr>
            </w:r>
          </w:p>
        </w:tc>
        <w:tc>
          <w:tcPr>
            <w:tcW w:w="2046"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Effect of exchange rate changes on cash, cash equivalents and restricted cash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and distributions declared, not paid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right-of-use assets in exchange for lease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12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2709"/>
        <w:gridCol w:w="2110"/>
        <w:gridCol w:w="2143"/>
        <w:gridCol w:w="211"/>
        <w:gridCol w:w="1081"/>
        <w:gridCol w:w="109"/>
        <w:gridCol w:w="109"/>
        <w:gridCol w:w="109"/>
        <w:gridCol w:w="109"/>
        <w:gridCol w:w="220"/>
        <w:gridCol w:w="1132"/>
        <w:gridCol w:w="163"/>
      </w:tblGrid>
      <w:tr>
        <w:trPr/>
        <w:tc>
          <w:tcPr>
            <w:tcW w:w="2709" w:type="dxa"/>
            <w:tcBorders/>
            <w:shd w:fill="auto" w:val="clear"/>
            <w:vAlign w:val="center"/>
          </w:tcPr>
          <w:p>
            <w:pPr>
              <w:pStyle w:val="TableContents"/>
              <w:spacing w:before="0" w:after="283"/>
              <w:rPr>
                <w:sz w:val="4"/>
                <w:szCs w:val="4"/>
              </w:rPr>
            </w:pPr>
            <w:r>
              <w:rPr>
                <w:sz w:val="4"/>
                <w:szCs w:val="4"/>
              </w:rPr>
            </w:r>
          </w:p>
        </w:tc>
        <w:tc>
          <w:tcPr>
            <w:tcW w:w="2110" w:type="dxa"/>
            <w:tcBorders/>
            <w:shd w:fill="auto" w:val="clear"/>
            <w:vAlign w:val="center"/>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22,579,820 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856,605 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41,724,165 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37,429,770 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16,606,240 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206,643 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380,581 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937,655 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15,264,554 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Partners’ Capital</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 capital, 1,016,436,291 and 975,327,936 operating partnership units issued and outstanding as of March 31, 2023 and December 31, 2022, respectively</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23,316,182 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21,900,511 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185,201 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LP’s capital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23,486,289 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22,085,712 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attributable to partners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22,165,216 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41,724,165 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37,429,770 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spacing w:lineRule="auto" w:line="288" w:before="60" w:after="283"/>
        <w:jc w:val="both"/>
        <w:rPr/>
      </w:pPr>
      <w:r>
        <w:rPr>
          <w:rFonts w:ascii="Times New Roman;sans-serif" w:hAnsi="Times New Roman;sans-serif"/>
          <w:b w:val="false"/>
          <w:i/>
          <w:color w:val="000000"/>
          <w:sz w:val="16"/>
        </w:rPr>
        <w:t xml:space="preserve">Note: As of March 31, 2023 and December 31, 2022, our Investments in leases - sales-type, Investments in leases - financing receivables, Investments in loans and securities and Other assets (sales-type sub-leases) are net of $716.6 million, $689.5 million, $15.7 million and $17.0 million, respectively, and $570.4 million, $726.7 million, $6.9 million and $19.8 million of allowance for credit losses, respectively. Refer to </w:t>
      </w:r>
      <w:hyperlink w:anchor="i402613ae68904b5587c68802b3f0ad2f_67">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8453" w:type="dxa"/>
        <w:jc w:val="left"/>
        <w:tblInd w:w="0" w:type="dxa"/>
        <w:tblCellMar>
          <w:top w:w="28" w:type="dxa"/>
          <w:left w:w="28" w:type="dxa"/>
          <w:bottom w:w="28" w:type="dxa"/>
          <w:right w:w="28" w:type="dxa"/>
        </w:tblCellMar>
      </w:tblPr>
      <w:tblGrid>
        <w:gridCol w:w="1824"/>
        <w:gridCol w:w="1607"/>
        <w:gridCol w:w="1623"/>
        <w:gridCol w:w="271"/>
        <w:gridCol w:w="1065"/>
        <w:gridCol w:w="109"/>
        <w:gridCol w:w="109"/>
        <w:gridCol w:w="109"/>
        <w:gridCol w:w="109"/>
        <w:gridCol w:w="211"/>
        <w:gridCol w:w="826"/>
        <w:gridCol w:w="109"/>
        <w:gridCol w:w="109"/>
        <w:gridCol w:w="109"/>
        <w:gridCol w:w="109"/>
        <w:gridCol w:w="154"/>
      </w:tblGrid>
      <w:tr>
        <w:trPr/>
        <w:tc>
          <w:tcPr>
            <w:tcW w:w="1824"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Net income per Partnership unit</w:t>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972"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Partnership units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1,013,758,018 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684,341,045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1,016,062,698 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687,914,683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cash flow hedges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partners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CellMar>
          <w:top w:w="28" w:type="dxa"/>
          <w:left w:w="28" w:type="dxa"/>
          <w:bottom w:w="28" w:type="dxa"/>
          <w:right w:w="28" w:type="dxa"/>
        </w:tblCellMar>
      </w:tblPr>
      <w:tblGrid>
        <w:gridCol w:w="1061"/>
        <w:gridCol w:w="792"/>
        <w:gridCol w:w="794"/>
        <w:gridCol w:w="205"/>
        <w:gridCol w:w="1007"/>
        <w:gridCol w:w="113"/>
        <w:gridCol w:w="109"/>
        <w:gridCol w:w="109"/>
        <w:gridCol w:w="109"/>
        <w:gridCol w:w="433"/>
        <w:gridCol w:w="1632"/>
        <w:gridCol w:w="244"/>
        <w:gridCol w:w="109"/>
        <w:gridCol w:w="109"/>
        <w:gridCol w:w="109"/>
        <w:gridCol w:w="335"/>
        <w:gridCol w:w="1105"/>
        <w:gridCol w:w="186"/>
        <w:gridCol w:w="109"/>
        <w:gridCol w:w="109"/>
        <w:gridCol w:w="109"/>
        <w:gridCol w:w="196"/>
        <w:gridCol w:w="961"/>
        <w:gridCol w:w="160"/>
      </w:tblGrid>
      <w:tr>
        <w:trPr/>
        <w:tc>
          <w:tcPr>
            <w:tcW w:w="106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12,010,698 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78,906 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12,090,488 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238,348 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240,653 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3,229,165 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3,229,165 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(281,990)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(281,990)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15,198,823 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109,495 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79,108 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15,387,426 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21,900,511 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185,201 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79,504 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22,165,216 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522,076 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524,915 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23,316,182 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170,107 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23,566,354 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r>
        <w:trPr/>
        <w:tc>
          <w:tcPr>
            <w:tcW w:w="264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024" w:type="dxa"/>
        <w:jc w:val="left"/>
        <w:tblInd w:w="0" w:type="dxa"/>
        <w:tblCellMar>
          <w:top w:w="28" w:type="dxa"/>
          <w:left w:w="28" w:type="dxa"/>
          <w:bottom w:w="28" w:type="dxa"/>
          <w:right w:w="28" w:type="dxa"/>
        </w:tblCellMar>
      </w:tblPr>
      <w:tblGrid>
        <w:gridCol w:w="2654"/>
        <w:gridCol w:w="2336"/>
        <w:gridCol w:w="2344"/>
        <w:gridCol w:w="213"/>
        <w:gridCol w:w="837"/>
        <w:gridCol w:w="109"/>
        <w:gridCol w:w="109"/>
        <w:gridCol w:w="109"/>
        <w:gridCol w:w="109"/>
        <w:gridCol w:w="213"/>
        <w:gridCol w:w="837"/>
        <w:gridCol w:w="154"/>
      </w:tblGrid>
      <w:tr>
        <w:trPr/>
        <w:tc>
          <w:tcPr>
            <w:tcW w:w="2654"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234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remeasurement gain</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(4,012,096)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(4,027,791)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Parent</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3,219,202 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Parent</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8034" w:type="dxa"/>
        <w:jc w:val="left"/>
        <w:tblInd w:w="0" w:type="dxa"/>
        <w:tblCellMar>
          <w:top w:w="28" w:type="dxa"/>
          <w:left w:w="28" w:type="dxa"/>
          <w:bottom w:w="28" w:type="dxa"/>
          <w:right w:w="28" w:type="dxa"/>
        </w:tblCellMar>
      </w:tblPr>
      <w:tblGrid>
        <w:gridCol w:w="1945"/>
        <w:gridCol w:w="1708"/>
        <w:gridCol w:w="1717"/>
        <w:gridCol w:w="211"/>
        <w:gridCol w:w="826"/>
        <w:gridCol w:w="109"/>
        <w:gridCol w:w="109"/>
        <w:gridCol w:w="109"/>
        <w:gridCol w:w="109"/>
        <w:gridCol w:w="211"/>
        <w:gridCol w:w="826"/>
        <w:gridCol w:w="154"/>
      </w:tblGrid>
      <w:tr>
        <w:trPr/>
        <w:tc>
          <w:tcPr>
            <w:tcW w:w="1945" w:type="dxa"/>
            <w:tcBorders/>
            <w:shd w:fill="auto" w:val="clear"/>
            <w:vAlign w:val="center"/>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17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right-of-use assets in exchange for lease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these notes, the words the “Company,” “VICI,” “we,” “our,” and “us” refer to VICI Properties Inc. and its subsidiaries, including VICI LP, on a consolidated basis, unless otherwise stated or the context requires otherwise. </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Apollo” refers to Apollo Global Management, Inc., a Delaware corporation, and, as the context requires, certain of its subsidiaries and affiliates.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April 2022 Notes” refer collectively to (i) the $500.0 million aggregate principal amount of 4.375% senior unsecured notes due 2025, (ii) the $1,250.0 million aggregate principal amount of 4.750% senior unsecured notes due 2028, (iii) the $1,000.0 million aggregate principal amount of 4.950% senior unsecured notes due 2030, (iv) the $1,500.0 million aggregate principal amount of 5.125% senior unsecured notes due 2032, and (v) the $750.0 million aggregate principal amount of 5.625% senior unsecured notes due 2052, in each case issued by VICI LP in April 2022.</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Caesars” refers to Caesars Entertainment, Inc., a Delaware corporation and, as the context requires, its subsidiaries.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Caesars Las Vegas Master Lease” refers to the lease agreement for Caesars Palace Las Vegas and the Harrah’s Las Vegas facilities,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Caesars Leases” refer collectively to the Caesars Las Vegas Master Lease, the Caesars Regional Master Lease and the Joliet Lease, in each case, unless the context otherwise requires.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Caesars Regional Master Lease” refers to the lease agreement for the regional properties (other than the facility in Joliet, Illinois) leased to Caesars,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Century Casinos” refers to Century Casinos, Inc., a Delaware corporation, and, as the context requires, its subsidiaries.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Century Master Lease” refers to the lease agreement for the (i) Mountaineer Casino, Racetrack &amp; Resort located in New Cumberland, West Virginia, (ii) Century Casino Caruthersville located in Caruthersville, Missouri and (iii) Century Casino Cape Girardeau located in Cape Girardeau, Missouri, as amended from time to time.</w:t>
      </w:r>
    </w:p>
    <w:p>
      <w:pPr>
        <w:pStyle w:val="TextBody"/>
        <w:spacing w:lineRule="auto" w:line="288" w:before="120" w:after="283"/>
        <w:jc w:val="both"/>
        <w:rPr/>
      </w:pPr>
      <w:r>
        <w:rPr>
          <w:color w:val="000000"/>
        </w:rPr>
        <w:t>“</w:t>
      </w:r>
      <w:r>
        <w:rPr>
          <w:rFonts w:ascii="Times New Roman;sans-serif" w:hAnsi="Times New Roman;sans-serif"/>
          <w:b w:val="false"/>
          <w:i/>
          <w:color w:val="000000"/>
          <w:sz w:val="20"/>
        </w:rPr>
        <w:t>CNB” refers to Cherokee Nation Businesses, L.L.C., and, as the context requires, its subsidiaries.</w:t>
      </w:r>
      <w:r>
        <w:rPr>
          <w:color w:val="000000"/>
        </w:rPr>
        <w:t xml:space="preserve"> </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Co-Issuer” refers to VICI Note Co. Inc., a Delaware corporation, and co-issuer of the November 2019 Notes, February 2020 Notes and Exchange Notes. </w:t>
      </w:r>
    </w:p>
    <w:p>
      <w:pPr>
        <w:pStyle w:val="TextBody"/>
        <w:spacing w:lineRule="auto" w:line="288" w:before="120" w:after="283"/>
        <w:jc w:val="both"/>
        <w:rPr>
          <w:color w:val="000000"/>
          <w:highlight w:val="white"/>
        </w:rPr>
      </w:pPr>
      <w:r>
        <w:rPr>
          <w:color w:val="000000"/>
          <w:highlight w:val="white"/>
        </w:rPr>
        <w:t>“</w:t>
      </w:r>
      <w:r>
        <w:rPr>
          <w:rFonts w:ascii="Times New Roman;sans-serif" w:hAnsi="Times New Roman;sans-serif"/>
          <w:b w:val="false"/>
          <w:i/>
          <w:color w:val="000000"/>
          <w:sz w:val="20"/>
          <w:highlight w:val="white"/>
        </w:rPr>
        <w:t>Credit Agreement” refers to the Credit Agreement, dated as of February 8, 2022, by and among VICI LP, the lenders from time to time party thereto, and JPMorgan Chase Bank, N.A., as administrative agent,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Credit Facilities” refer collectively to the Delayed Draw Term Loan and the Revolving Credit Facility. </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Delayed Draw Term Loan” refers to the three-year unsecured delayed draw term loan facility of VICI LP provided under the Credit Agreement entered into in February 2022, which expired undrawn in accordance with its terms on February 8, 2023.</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EBCI” refers to the Eastern Band of Cherokee Indians, a federally recognized Tribe located in western North Carolina, and, as the context requires, its subsidiary and affiliate entities.</w:t>
      </w:r>
    </w:p>
    <w:p>
      <w:pPr>
        <w:pStyle w:val="TextBody"/>
        <w:spacing w:lineRule="auto" w:line="288" w:before="120" w:after="283"/>
        <w:jc w:val="both"/>
        <w:rPr/>
      </w:pPr>
      <w:r>
        <w:rPr>
          <w:color w:val="000000"/>
        </w:rPr>
        <w:t>“</w:t>
      </w:r>
      <w:r>
        <w:rPr>
          <w:rFonts w:ascii="Times New Roman;sans-serif" w:hAnsi="Times New Roman;sans-serif"/>
          <w:b w:val="false"/>
          <w:i/>
          <w:color w:val="000000"/>
          <w:sz w:val="20"/>
        </w:rPr>
        <w:t xml:space="preserve">Exchange Notes” refer collectively to (i) </w:t>
      </w:r>
      <w:r>
        <w:rPr>
          <w:rFonts w:ascii="Times New Roman;sans-serif" w:hAnsi="Times New Roman;sans-serif"/>
          <w:b w:val="false"/>
          <w:i/>
          <w:color w:val="000000"/>
          <w:sz w:val="20"/>
          <w:highlight w:val="white"/>
        </w:rPr>
        <w:t xml:space="preserve">the </w:t>
      </w:r>
      <w:r>
        <w:rPr>
          <w:rFonts w:ascii="Times New Roman;sans-serif" w:hAnsi="Times New Roman;sans-serif"/>
          <w:b w:val="false"/>
          <w:i/>
          <w:color w:val="000000"/>
          <w:sz w:val="20"/>
        </w:rPr>
        <w:t>$1,024.2 million</w:t>
      </w:r>
      <w:r>
        <w:rPr>
          <w:color w:val="000000"/>
          <w:highlight w:val="white"/>
        </w:rPr>
        <w:t xml:space="preserve"> </w:t>
      </w:r>
      <w:r>
        <w:rPr>
          <w:rFonts w:ascii="Times New Roman;sans-serif" w:hAnsi="Times New Roman;sans-serif"/>
          <w:b w:val="false"/>
          <w:i/>
          <w:color w:val="000000"/>
          <w:sz w:val="20"/>
          <w:highlight w:val="white"/>
        </w:rPr>
        <w:t xml:space="preserve">aggregate principal amount of </w:t>
      </w:r>
      <w:r>
        <w:rPr>
          <w:rFonts w:ascii="Times New Roman;sans-serif" w:hAnsi="Times New Roman;sans-serif"/>
          <w:b w:val="false"/>
          <w:i/>
          <w:color w:val="000000"/>
          <w:sz w:val="20"/>
        </w:rPr>
        <w:t>5.625% senior unsecured notes due 2024, (ii) the</w:t>
      </w:r>
      <w:r>
        <w:rPr>
          <w:color w:val="000000"/>
          <w:highlight w:val="white"/>
        </w:rPr>
        <w:t xml:space="preserve"> </w:t>
      </w:r>
      <w:r>
        <w:rPr>
          <w:rFonts w:ascii="Times New Roman;sans-serif" w:hAnsi="Times New Roman;sans-serif"/>
          <w:b w:val="false"/>
          <w:i/>
          <w:color w:val="000000"/>
          <w:sz w:val="20"/>
        </w:rPr>
        <w:t>$799.4 million</w:t>
      </w:r>
      <w:r>
        <w:rPr>
          <w:color w:val="000000"/>
          <w:highlight w:val="white"/>
        </w:rPr>
        <w:t xml:space="preserve"> </w:t>
      </w:r>
      <w:r>
        <w:rPr>
          <w:rFonts w:ascii="Times New Roman;sans-serif" w:hAnsi="Times New Roman;sans-serif"/>
          <w:b w:val="false"/>
          <w:i/>
          <w:color w:val="000000"/>
          <w:sz w:val="20"/>
          <w:highlight w:val="white"/>
        </w:rPr>
        <w:t xml:space="preserve">aggregate principal amount of </w:t>
      </w:r>
      <w:r>
        <w:rPr>
          <w:rFonts w:ascii="Times New Roman;sans-serif" w:hAnsi="Times New Roman;sans-serif"/>
          <w:b w:val="false"/>
          <w:i/>
          <w:color w:val="000000"/>
          <w:sz w:val="20"/>
        </w:rPr>
        <w:t>4.625% senior unsecured notes due 2025, (iii) the</w:t>
      </w:r>
      <w:r>
        <w:rPr>
          <w:color w:val="000000"/>
          <w:highlight w:val="white"/>
        </w:rPr>
        <w:t xml:space="preserve"> </w:t>
      </w:r>
      <w:r>
        <w:rPr>
          <w:rFonts w:ascii="Times New Roman;sans-serif" w:hAnsi="Times New Roman;sans-serif"/>
          <w:b w:val="false"/>
          <w:i/>
          <w:color w:val="000000"/>
          <w:sz w:val="20"/>
        </w:rPr>
        <w:t>$480.5 million</w:t>
      </w:r>
      <w:r>
        <w:rPr>
          <w:color w:val="000000"/>
        </w:rPr>
        <w:t xml:space="preserve"> </w:t>
      </w:r>
      <w:r>
        <w:rPr>
          <w:rFonts w:ascii="Times New Roman;sans-serif" w:hAnsi="Times New Roman;sans-serif"/>
          <w:b w:val="false"/>
          <w:i/>
          <w:color w:val="000000"/>
          <w:sz w:val="20"/>
          <w:highlight w:val="white"/>
        </w:rPr>
        <w:t>aggregate principal amount of</w:t>
      </w:r>
      <w:r>
        <w:rPr>
          <w:color w:val="000000"/>
        </w:rPr>
        <w:t xml:space="preserve"> </w:t>
      </w:r>
      <w:r>
        <w:rPr>
          <w:rFonts w:ascii="Times New Roman;sans-serif" w:hAnsi="Times New Roman;sans-serif"/>
          <w:b w:val="false"/>
          <w:i/>
          <w:color w:val="000000"/>
          <w:sz w:val="20"/>
        </w:rPr>
        <w:t>4.500% senior unsecured notes due 2026, (iv) the</w:t>
      </w:r>
      <w:r>
        <w:rPr>
          <w:color w:val="000000"/>
          <w:highlight w:val="white"/>
        </w:rPr>
        <w:t xml:space="preserve"> </w:t>
      </w:r>
      <w:r>
        <w:rPr>
          <w:rFonts w:ascii="Times New Roman;sans-serif" w:hAnsi="Times New Roman;sans-serif"/>
          <w:b w:val="false"/>
          <w:i/>
          <w:color w:val="000000"/>
          <w:sz w:val="20"/>
        </w:rPr>
        <w:t>$729.5 million</w:t>
      </w:r>
      <w:r>
        <w:rPr>
          <w:color w:val="000000"/>
          <w:highlight w:val="white"/>
        </w:rPr>
        <w:t xml:space="preserve"> </w:t>
      </w:r>
      <w:r>
        <w:rPr>
          <w:rFonts w:ascii="Times New Roman;sans-serif" w:hAnsi="Times New Roman;sans-serif"/>
          <w:b w:val="false"/>
          <w:i/>
          <w:color w:val="000000"/>
          <w:sz w:val="20"/>
          <w:highlight w:val="white"/>
        </w:rPr>
        <w:t>aggregate principal amount of</w:t>
      </w:r>
      <w:r>
        <w:rPr>
          <w:color w:val="000000"/>
        </w:rPr>
        <w:t xml:space="preserve"> </w:t>
      </w:r>
      <w:r>
        <w:rPr>
          <w:rFonts w:ascii="Times New Roman;sans-serif" w:hAnsi="Times New Roman;sans-serif"/>
          <w:b w:val="false"/>
          <w:i/>
          <w:color w:val="000000"/>
          <w:sz w:val="20"/>
        </w:rPr>
        <w:t>5.750% senior unsecured notes due 2027, (v) the</w:t>
      </w:r>
      <w:r>
        <w:rPr>
          <w:color w:val="000000"/>
          <w:highlight w:val="white"/>
        </w:rPr>
        <w:t xml:space="preserve"> </w:t>
      </w:r>
      <w:r>
        <w:rPr>
          <w:rFonts w:ascii="Times New Roman;sans-serif" w:hAnsi="Times New Roman;sans-serif"/>
          <w:b w:val="false"/>
          <w:i/>
          <w:color w:val="000000"/>
          <w:sz w:val="20"/>
        </w:rPr>
        <w:t>$349.3 million</w:t>
      </w:r>
      <w:r>
        <w:rPr>
          <w:color w:val="000000"/>
          <w:highlight w:val="white"/>
        </w:rPr>
        <w:t xml:space="preserve"> </w:t>
      </w:r>
      <w:r>
        <w:rPr>
          <w:rFonts w:ascii="Times New Roman;sans-serif" w:hAnsi="Times New Roman;sans-serif"/>
          <w:b w:val="false"/>
          <w:i/>
          <w:color w:val="000000"/>
          <w:sz w:val="20"/>
          <w:highlight w:val="white"/>
        </w:rPr>
        <w:t>aggregate principal amount of</w:t>
      </w:r>
      <w:r>
        <w:rPr>
          <w:color w:val="000000"/>
        </w:rPr>
        <w:t xml:space="preserve"> </w:t>
      </w:r>
      <w:r>
        <w:rPr>
          <w:rFonts w:ascii="Times New Roman;sans-serif" w:hAnsi="Times New Roman;sans-serif"/>
          <w:b w:val="false"/>
          <w:i/>
          <w:color w:val="000000"/>
          <w:sz w:val="20"/>
        </w:rPr>
        <w:t>4.500% senior unsecured notes due 2028, and (vi) the</w:t>
      </w:r>
      <w:r>
        <w:rPr>
          <w:color w:val="000000"/>
          <w:highlight w:val="white"/>
        </w:rPr>
        <w:t xml:space="preserve"> </w:t>
      </w:r>
      <w:r>
        <w:rPr>
          <w:rFonts w:ascii="Times New Roman;sans-serif" w:hAnsi="Times New Roman;sans-serif"/>
          <w:b w:val="false"/>
          <w:i/>
          <w:color w:val="000000"/>
          <w:sz w:val="20"/>
        </w:rPr>
        <w:t>$727.1 million</w:t>
      </w:r>
      <w:r>
        <w:rPr>
          <w:color w:val="000000"/>
          <w:highlight w:val="white"/>
        </w:rPr>
        <w:t xml:space="preserve"> </w:t>
      </w:r>
      <w:r>
        <w:rPr>
          <w:rFonts w:ascii="Times New Roman;sans-serif" w:hAnsi="Times New Roman;sans-serif"/>
          <w:b w:val="false"/>
          <w:i/>
          <w:color w:val="000000"/>
          <w:sz w:val="20"/>
          <w:highlight w:val="white"/>
        </w:rPr>
        <w:t>aggregate principal amount of</w:t>
      </w:r>
      <w:r>
        <w:rPr>
          <w:color w:val="000000"/>
        </w:rPr>
        <w:t xml:space="preserve"> </w:t>
      </w:r>
      <w:r>
        <w:rPr>
          <w:rFonts w:ascii="Times New Roman;sans-serif" w:hAnsi="Times New Roman;sans-serif"/>
          <w:b w:val="false"/>
          <w:i/>
          <w:color w:val="000000"/>
          <w:sz w:val="20"/>
        </w:rPr>
        <w:t xml:space="preserve">3.875% senior unsecured notes due 2029, in each case issued by VICI LP and Co-Issuer, in April 2022 pursuant to the Exchange Offers and Consent Solicitations (as defined herein). </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February 2020 Notes” refer collectively to (i) the $750.0 million aggregate principal amount of 3.500% senior unsecured notes due 2025, (ii) the $750.0 million aggregate principal amount of 3.750% senior unsecured notes due 2027, and (iii) the $1.0 billion aggregate principal amount of 4.125% senior unsecured notes due 2030, in each case issued by VICI LP and Co-</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in February 2020.</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Forum Convention Center Mortgage Loan” refers to a $400.0 million mortgage loan agreement entered into on September 18, 2020 with Caesars for a term of five years and secured by, among other things, the Caesars Forum Convention Center in Las Vegas which was repaid in full on May 1, 2023. In connection therewith, the Company’s call right under the put-call agreement relating to the Caesars Forum Convention Center was extended from December 31, 2026 to December 31, 2028.</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Foundation Gaming” refers to Foundation Gaming &amp; Entertainment, LLC and, as the context requires, its subsidiaries.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Foundation Master Lease” refers to the lease agreement for the Fitz Casino &amp; Hotel, located in Tunica, Mississippi, and the WaterView Casino &amp; Hotel, located in Vicksburg, Mississippi,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Gold Strike Lease” refers to the lease agreement with CNB for the Gold Strike Casino Resort, located in Tunica, Mississippi (“Gold Strike”),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Greektown Lease” refers to the lease agreement for the Greektown Casino-Hotel, located in Detroit, Michigan,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Hard Rock” means Hard Rock International, and, as the context requires, its subsidiary and affiliate entities.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Hard Rock Cincinnati Lease” refers to the lease agreement for the Hard Rock Cincinnati Casino, located in Cincinnati, Ohio,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JACK Entertainment” refers to JACK Ohio LLC, and, as the context requires, its subsidiary and affiliate entities.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JACK Master Lease” refers to the lease agreement for the JACK Cleveland Casino located in Cleveland, Ohio, and the JACK Thistledown Racino facility located in North Randall, Ohio,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Joliet Lease” refers to the lease agreement for the facility in Joliet, Illinois, as amended from time to time. </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Lease Agreements” refer collectively to our leases with our respective tenants, unless the context otherwise requires. </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Margaritaville Lease” refers to the lease agreement for Margaritaville Resort Casino, located in Bossier City, Louisiana,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MGM” refers to MGM Resorts International, a Delaware corporation, and, as the context requires, its subsidiaries.</w:t>
      </w:r>
    </w:p>
    <w:p>
      <w:pPr>
        <w:pStyle w:val="TextBody"/>
        <w:spacing w:lineRule="auto" w:line="288" w:before="120" w:after="283"/>
        <w:jc w:val="both"/>
        <w:rPr>
          <w:color w:val="000000"/>
          <w:highlight w:val="white"/>
        </w:rPr>
      </w:pPr>
      <w:r>
        <w:rPr>
          <w:color w:val="000000"/>
          <w:highlight w:val="white"/>
        </w:rPr>
        <w:t>“</w:t>
      </w:r>
      <w:r>
        <w:rPr>
          <w:rFonts w:ascii="Times New Roman;sans-serif" w:hAnsi="Times New Roman;sans-serif"/>
          <w:b w:val="false"/>
          <w:i/>
          <w:color w:val="000000"/>
          <w:sz w:val="20"/>
          <w:highlight w:val="white"/>
        </w:rPr>
        <w:t>MGM Grand/Mandalay Bay JV” refers to a joint venture that holds the real estate assets of MGM Grand Las Vegas and Mandalay Bay, in which we hold a 100% ownership stake following our acquisition of the remaining 49.9% ownership stake from our former joint venture partner on January 9, 2023, as further described herein.</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MGM Grand/Mandalay Bay Lease” refers to the lease agreement for MGM Grand Las Vegas and Mandalay Bay,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MGM Leases” refer collectively to the MGM Master Lease and the MGM Grand/Mandalay Bay Lease, in each case, unless the context otherwise requires.</w:t>
      </w:r>
    </w:p>
    <w:p>
      <w:pPr>
        <w:pStyle w:val="TextBody"/>
        <w:spacing w:lineRule="auto" w:line="288" w:before="120" w:after="283"/>
        <w:jc w:val="both"/>
        <w:rPr/>
      </w:pPr>
      <w:r>
        <w:rPr>
          <w:color w:val="000000"/>
          <w:highlight w:val="white"/>
        </w:rPr>
        <w:t>“</w:t>
      </w:r>
      <w:r>
        <w:rPr>
          <w:rFonts w:ascii="Times New Roman;sans-serif" w:hAnsi="Times New Roman;sans-serif"/>
          <w:b w:val="false"/>
          <w:i/>
          <w:color w:val="000000"/>
          <w:sz w:val="20"/>
          <w:highlight w:val="white"/>
        </w:rPr>
        <w:t xml:space="preserve">MGM Master Lease” refers to the lease agreement for the properties leased to MGM, excluding those leased under the </w:t>
      </w:r>
      <w:r>
        <w:rPr>
          <w:rFonts w:ascii="Times New Roman;sans-serif" w:hAnsi="Times New Roman;sans-serif"/>
          <w:b w:val="false"/>
          <w:i/>
          <w:color w:val="000000"/>
          <w:sz w:val="20"/>
        </w:rPr>
        <w:t>MGM Grand/Mandalay Bay Lease,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MGP” refers to MGM Growth Properties LLC, a Delaware limited liability company, which was acquired by the Company on April 29, 2022, and, as the context requires, its subsidiaries.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MGP Master Transaction Agreement” refers to that certain Master Transaction Agreement between the Company, MGP, MGP OP, VICI LP, REIT Merger Sub, VICI OP, and MGM entered into on August 4, 2021.</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MGP OP” refers to MGM Growth Properties Operating Partnership LP, a Delaware limited partnership, which was acquired by the Company on April 29, 2022, and, as the context requires, its subsidiaries.</w:t>
      </w:r>
    </w:p>
    <w:p>
      <w:pPr>
        <w:pStyle w:val="TextBody"/>
        <w:spacing w:lineRule="auto" w:line="288" w:before="120" w:after="283"/>
        <w:jc w:val="both"/>
        <w:rPr/>
      </w:pPr>
      <w:r>
        <w:rPr>
          <w:color w:val="000000"/>
          <w:highlight w:val="white"/>
        </w:rPr>
        <w:t>“</w:t>
      </w:r>
      <w:r>
        <w:rPr>
          <w:rFonts w:ascii="Times New Roman;sans-serif" w:hAnsi="Times New Roman;sans-serif"/>
          <w:b w:val="false"/>
          <w:i/>
          <w:color w:val="000000"/>
          <w:sz w:val="20"/>
          <w:highlight w:val="white"/>
        </w:rPr>
        <w:t xml:space="preserve">MGP OP Notes” refer collectively to the notes </w:t>
      </w:r>
      <w:r>
        <w:rPr>
          <w:rFonts w:ascii="Times New Roman;sans-serif" w:hAnsi="Times New Roman;sans-serif"/>
          <w:b w:val="false"/>
          <w:i/>
          <w:color w:val="000000"/>
          <w:sz w:val="20"/>
        </w:rPr>
        <w:t>issued by MGP OP and MGP Finance Co-Issuer, Inc. (“MGP Co-Issuer” and, together with MGP OP, the “MGP Issuers”), consisting of</w:t>
      </w:r>
      <w:r>
        <w:rPr>
          <w:color w:val="000000"/>
          <w:highlight w:val="white"/>
        </w:rPr>
        <w:t xml:space="preserve"> </w:t>
      </w:r>
      <w:r>
        <w:rPr>
          <w:rFonts w:ascii="Times New Roman;sans-serif" w:hAnsi="Times New Roman;sans-serif"/>
          <w:b w:val="false"/>
          <w:i/>
          <w:color w:val="000000"/>
          <w:sz w:val="20"/>
          <w:highlight w:val="white"/>
        </w:rPr>
        <w:t xml:space="preserve">(i) the </w:t>
      </w:r>
      <w:r>
        <w:rPr>
          <w:rFonts w:ascii="Times New Roman;sans-serif" w:hAnsi="Times New Roman;sans-serif"/>
          <w:b w:val="false"/>
          <w:i/>
          <w:color w:val="000000"/>
          <w:sz w:val="20"/>
        </w:rPr>
        <w:t xml:space="preserve">5.625% Senior Notes due 2024 issued pursuant to the indenture, dated as of April 20, 2016, (ii) the 4.625% Senior Notes due 2025 issued pursuant to the indenture, dated as of June 5, 2020, (iii) the 4.500% Senior Notes due 2026 issued pursuant to the indenture, dated as of August 12, 2016, (iv) the 5.750% Senior Notes due 2027 issued pursuant to the indenture, dated as of January 25, 2019, (v) the 4.500% Senior Notes due 2028 issued pursuant to the indenture, dated as of September 21, 2017, and (vi) the 3.875% Senior Notes due 2029 issued pursuant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to the indenture, dated as of November 19, 2020, in each case, as amended or supplemented as of the date hereof, among the MGP Issuers and U.S. Bank National Association, as trustee (the “MGP Trustee”). </w:t>
      </w:r>
    </w:p>
    <w:p>
      <w:pPr>
        <w:pStyle w:val="TextBody"/>
        <w:spacing w:lineRule="auto" w:line="288" w:before="120" w:after="283"/>
        <w:jc w:val="both"/>
        <w:rPr>
          <w:color w:val="000000"/>
          <w:highlight w:val="white"/>
        </w:rPr>
      </w:pPr>
      <w:r>
        <w:rPr>
          <w:color w:val="000000"/>
          <w:highlight w:val="white"/>
        </w:rPr>
        <w:t>“</w:t>
      </w:r>
      <w:r>
        <w:rPr>
          <w:rFonts w:ascii="Times New Roman;sans-serif" w:hAnsi="Times New Roman;sans-serif"/>
          <w:b w:val="false"/>
          <w:i/>
          <w:color w:val="000000"/>
          <w:sz w:val="20"/>
          <w:highlight w:val="white"/>
        </w:rPr>
        <w:t>MGP Transactions” refer collectively to a series of transactions pursuant to the MGP Master Transaction Agreement in connection with our acquisition of MGP on April 29, 2022, as contemplated by the MGP Master Transaction Agreement, including the tax protection agreement with MGM and the MGM Master Lease.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Mirage Lease” refers to the lease agreement with Hard Rock for the Mirage, located in Las Vegas, Nevada,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November 2019 Notes” refer collectively to (i) the $1.25 billion aggregate principal amount of 4.250% senior unsecured notes due 2026, and (ii) the $1.0 billion aggregate principal amount of 4.625% senior unsecured notes due 2029, in each case issued by the VICI Issuers in November 2019.</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Partner Property Growth Fund” refers to certain arrangements with certain tenants relating to our funding of “same-store” capital improvements, including redevelopment, new construction projects and other property improvements, in exchange for increased rent pursuant to the terms of our existing Lease Agreements with such tenants.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PENN Entertainment” refers to PENN Entertainment, Inc., a Pennsylvania corporation, and, as the context requires, its subsidiaries.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PENN Entertainment Leases” refer collectively to the Margaritaville Lease and the Greektown Lease, unless the context otherwise requires.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PURE Canadian Gaming” refers to PURE Canadian Gaming, Corp., an Alberta corporation, and, as the context requires, its subsidiaries.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PURE Master Lease” refers to the lease agreement for the (i) PURE Casino Edmonton located in Edmonton, Alberta, (ii) PURE Casino Yellowhead located in Edmonton, Alberta, (iii) PURE Casino Calgary located in Calgary, Alberta and (iv) PURE Casino Lethbridge located in Lethbridge, Alberta (collectively, the “PURE Portfolio”),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Revolving Credit Facility” refers to the four-year unsecured revolving credit facility of VICI LP provided under the Credit Agreement entered into in February 2022, as amended from time to time. </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Seminole Hard Rock” refers to Seminole Hard Rock Entertainment, Inc.</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Senior Unsecured Notes” refer collectively to the November 2019 Notes, the February 2020 Notes, the April 2022 Notes, the Exchange Notes and the MGP OP Notes. </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Southern Indiana Lease” refers to the lease agreement with EBCI for the Caesars Southern Indiana Casino and Hotel, located in Elizabeth, Indiana (“Caesars Southern Indiana”),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Venetian Acquisition” refers to our acquisition of the Venetian Resort, with Apollo, which closed on February 23, 2022.</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Venetian Lease” refers to the lease agreement for the Venetian Resort Las Vegas and Venetian Convention &amp; Expo Center, located in Las Vegas, Nevada (the “Venetian Resort”), as amended from time to time.</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Venetian Tenant” refers to an affiliate of certain funds managed by affiliates of Apollo.</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VICI Golf” refers to VICI Golf LLC, a Delaware limited liability company that is the owner of our golf business.</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VICI Issuers” refer to VICI LP and VICI Note Co. Inc., a Delaware corporation.</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VICI LP” refers to VICI Properties L.P., a Delaware limited partnership and a wholly owned subsidiary of VICI OP.</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VICI OP” refers to VICI Properties OP LLC, a Delaware limited liability company and a consolidated subsidiary of VICI, which serves as our operating partnership. </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VICI OP Units” refer to limited liability company interests in VICI OP. </w:t>
      </w:r>
    </w:p>
    <w:p>
      <w:pPr>
        <w:pStyle w:val="TextBody"/>
        <w:spacing w:lineRule="auto" w:line="288" w:before="120" w:after="283"/>
        <w:jc w:val="both"/>
        <w:rPr>
          <w:color w:val="000000"/>
        </w:rPr>
      </w:pPr>
      <w:r>
        <w:rPr>
          <w:color w:val="000000"/>
        </w:rPr>
        <w:t>“</w:t>
      </w:r>
      <w:r>
        <w:rPr>
          <w:rFonts w:ascii="Times New Roman;sans-serif" w:hAnsi="Times New Roman;sans-serif"/>
          <w:b w:val="false"/>
          <w:i/>
          <w:color w:val="000000"/>
          <w:sz w:val="20"/>
        </w:rPr>
        <w:t>VICI PropCo” refers to VICI Properties 1 LLC, a Delaware limited liability company and an indirect wholly owned subsidiary of VICI.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 — Business and Organization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primarily engaged in the business of owning and acquiring gaming, hospitality and entertainment destinations, subject to long-term triple-net leases. As of March 31, 2023, our geographically diverse real estate portfolio consisted of 49 gaming facilities in the United States and Canada, including Caesars Palace Las Vegas, MGM Grand and the Venetian Resort. Our properties are leased to, and our tenants are, subsidiaries of, or entities managed by, Apollo, Caesars, Century Casinos, CNB, EBCI, Foundation Gaming, JACK Entertainment, MGM, PENN Entertainment, PURE Canadian Gaming and Seminole Hard Rock, with Caesars and MGM being our largest tenants. VICI also owns four championship golf courses located near certain of our properties.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the parent company, is a Maryland corporation and internally managed real estate investment trust (“REIT”) for U.S. federal income tax purposes. Our real property business, which represents the substantial majority of our assets, is conducted through VICI OP and indirectly through VICI LP and our golf course business, VICI Golf, is conducted through a direct wholly owned taxable REIT subsidiary (“TRS”) of VICI. As a REIT, we generally will not be subject to U.S. federal income taxes on our taxable income to the extent that we annually distribute all of our net taxable income to stockholders and maintain our qualification as a REIT.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2 — Summary of Significant Accounting Policies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 </w:t>
      </w:r>
    </w:p>
    <w:p>
      <w:pPr>
        <w:pStyle w:val="TextBody"/>
        <w:spacing w:lineRule="auto" w:line="288" w:before="180" w:after="283"/>
        <w:jc w:val="both"/>
        <w:rPr/>
      </w:pPr>
      <w:r>
        <w:rPr>
          <w:rFonts w:ascii="Times New Roman;sans-serif" w:hAnsi="Times New Roman;sans-serif"/>
          <w:b w:val="false"/>
          <w:color w:val="000000"/>
          <w:sz w:val="20"/>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3">
        <w:r>
          <w:rPr>
            <w:rStyle w:val="InternetLink"/>
            <w:rFonts w:ascii="Times New Roman;sans-serif" w:hAnsi="Times New Roman;sans-serif"/>
            <w:b w:val="false"/>
            <w:color w:val="0000FF"/>
            <w:sz w:val="20"/>
            <w:u w:val="single"/>
          </w:rPr>
          <w:t>Annual Report on Form 10-K</w:t>
        </w:r>
      </w:hyperlink>
      <w:r>
        <w:rPr>
          <w:rFonts w:ascii="Times New Roman;sans-serif" w:hAnsi="Times New Roman;sans-serif"/>
          <w:b w:val="false"/>
          <w:color w:val="000000"/>
          <w:sz w:val="20"/>
        </w:rPr>
        <w:t>, as updated from time to time in our other filings with the SEC.</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adjustments (consisting of normal recurring accruals) considered necessary for a fair statement of results for the interim period have been included. Certain prior period amounts have been reclassified to conform to the current period presentation.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months ended March 31, 2023 are not necessarily indicative of the results that may be expected for the year ending December 31, 2023.</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non-controlling interests and classify such interests as a component of consolidated stockholders’ equity or partners’ capital, separate from VICI stockholders’ equity and VICI LP partners’ capital. As of March 31, 2023, VICI’s non-controlling interests represent an approximate 1.2% third-party ownership of VICI OP in the form of VICI OP Units and a 20% third-party ownership of Harrah’s Joliet LandCo LLC, the entity that owns the Harrah’s Joliet facility and is the lessor under the related Joliet Lease. As VICI OP is a parent entity of VICI LP, VICI LP’s only non-controlling interest is that of third-party ownership of Harrah’s Joliet LandCo LLC.</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of cash-on-hand and cash-in-bank. Any investments with an original maturity of three months or less from the date of purchase are considered cash equivalents and are carried at cost, which approximates fair value. As of March 31, 2023 and December 31, 2022, we did not have any restricted cash.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had $217.3 million of short-term investments as of December 31, 2022. We did not have any short-term investments as of March 31, 2023.</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Purchase Price Accounting</w:t>
      </w:r>
    </w:p>
    <w:p>
      <w:pPr>
        <w:pStyle w:val="TextBody"/>
        <w:spacing w:lineRule="auto" w:line="288" w:before="180" w:after="283"/>
        <w:jc w:val="both"/>
        <w:rPr/>
      </w:pPr>
      <w:r>
        <w:rPr>
          <w:rFonts w:ascii="Times New Roman;sans-serif" w:hAnsi="Times New Roman;sans-serif"/>
          <w:b w:val="false"/>
          <w:color w:val="000000"/>
          <w:sz w:val="20"/>
        </w:rPr>
        <w:t xml:space="preserve">We assess all of our property acquisitions under ASC 805 -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 workforce, or (iii)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TextBody"/>
        <w:spacing w:lineRule="auto" w:line="288" w:before="180" w:after="283"/>
        <w:jc w:val="both"/>
        <w:rPr/>
      </w:pPr>
      <w:r>
        <w:rPr>
          <w:rFonts w:ascii="Times New Roman;sans-serif" w:hAnsi="Times New Roman;sans-serif"/>
          <w:b w:val="false"/>
          <w:color w:val="000000"/>
          <w:sz w:val="20"/>
        </w:rPr>
        <w:t xml:space="preserve">We allocate the purchase price to the identifiable assets acquired and liabilities assumed, as applicable, using their relative fair value. Generally, with the exception of the MGP Transactions and the MGM Grand/Mandalay Bay JV Interest Acquisition (each as further described in </w:t>
      </w:r>
      <w:hyperlink w:anchor="i402613ae68904b5587c68802b3f0ad2f_58">
        <w:r>
          <w:rPr>
            <w:rStyle w:val="InternetLink"/>
          </w:rPr>
          <w:t>Note 3 - P</w:t>
        </w:r>
      </w:hyperlink>
      <w:hyperlink w:anchor="i402613ae68904b5587c68802b3f0ad2f_58">
        <w:r>
          <w:rPr>
            <w:rStyle w:val="InternetLink"/>
          </w:rPr>
          <w:t>roperty Transactions</w:t>
        </w:r>
      </w:hyperlink>
      <w:r>
        <w:rPr>
          <w:rFonts w:ascii="Times New Roman;sans-serif" w:hAnsi="Times New Roman;sans-serif"/>
          <w:b w:val="false"/>
          <w:color w:val="000000"/>
          <w:sz w:val="20"/>
        </w:rPr>
        <w:t xml:space="preserve">), our acquisitions consist of properties without existing leases or debt and, accordingly, the assets acquired are comprised of land, building and site improvements. Further, since all the components of our leases are classified as sales-type leases or financing receivables, as further described below, the assets acquired are transferred into the net investment in lease or financing receivable, as applicable.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Sales-type, Net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that the land and building components of all of the Caesars Leases (excluding the Harrah’s New Orleans, Harrah’s Laughlin and Harrah’s Atlantic City components (the “Harrah’s Call Properties”) of the Caesars Regional Master Lease), Century Master Lease, Gold Strike Lease, Hard Rock Cincinnati Lease, MGM Grand/Mandalay Bay Lease, PENN Entertainment Leases, Southern Indiana Lease and Venetian Lease meet the definition of a sales-type lease under ASC 842.</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Financing Receivables, Net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spacing w:lineRule="auto" w:line="288" w:before="180" w:after="283"/>
        <w:jc w:val="both"/>
        <w:rPr/>
      </w:pPr>
      <w:r>
        <w:rPr>
          <w:rFonts w:ascii="Times New Roman;sans-serif" w:hAnsi="Times New Roman;sans-serif"/>
          <w:b w:val="false"/>
          <w:color w:val="000000"/>
          <w:sz w:val="20"/>
        </w:rPr>
        <w:t xml:space="preserve">We determined that the land and building components of the Foundation Master Lease, Harrah’s Call Properties components of the Caesars Regional Master Lease, JACK Master Lease, MGM Master Lease and PURE Master Lease meet the definition of a sales-type lease </w:t>
      </w:r>
      <w:r>
        <w:rPr>
          <w:rFonts w:ascii="Times New Roman;sans-serif" w:hAnsi="Times New Roman;sans-serif"/>
          <w:b w:val="false"/>
          <w:color w:val="000000"/>
          <w:sz w:val="20"/>
          <w:highlight w:val="white"/>
        </w:rPr>
        <w:t xml:space="preserve">and, since we purchased and leased the assets back to the sellers under sale leaseback transactions, control is not considered to have transferred to us under GAAP. Accordingly, such leases are accounted for as Investments in leases - financing receivables on our Balance Sheet, net of allowance for credit losses, in accordance with ASC 310. </w:t>
      </w:r>
    </w:p>
    <w:p>
      <w:pPr>
        <w:pStyle w:val="TextBody"/>
        <w:spacing w:lineRule="auto" w:line="276"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Term</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Leases and Lease Financing Receivables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and loans, as applicable, in our Statement of Operations and a portion is recorded as a change to Investments in leases - sales-type, net or Investments in leases - financing receivables, net, as applicable.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Loans and Securities, net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loans are held-for-investment and are carried at historical cost, inclusive of unamortized loan origination costs and fees and allowances for credit losses. Income is recognized on an effective interest basis at a constant rate of return over the life of the related loan.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use a discounted cash flow model to estimate the Allowance for credit losses, or CECL allowance for our Investments in leases - sales-type, Investments in leases - financing receivables and certain of our loans and securities, which comprise the substantial majority of our CECL allowance. This model requires us to develop cash flows which project estimated credit losses over the life of the lease, loan or security and discount these cash flows at the asset’s effective interest rate. We then record a CECL allowance equal to the difference between the amortized cost basis of the asset and the present value of the expected credit loss cash flows.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tenants and borrowers and their parent guarantors, as applicable, over the life of each individual lease or financial asset. We have engaged a nationally recognized data analytics firm to assist us with estimating both the PD and LGD of our tenants and borrowers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or borrower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borrowers and their parent guarantors, as applicable. We are unable to use our historical data to estimate losses as we have no loss history to date.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CECL allowance is recorded as a reduction to our net Investments in leases - sales-type, Investments in leases - financing receivables, Investments in loans and securities and Sales-type sub-leases (included in Other assets)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through the Partner Property Growth Fund.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all of our other investments subject to the CECL model. The CECL allowance related to these future commitments is recorded as a component of Other liabilities on our Balance Sheet.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Charge-offs are deducted from the allowance in the period in which they are deemed uncollectible. Recoveries previously written off are recorded when received. There were no charge-offs or recoveries for the three months ended March 31, 2023 and 2022.</w:t>
      </w:r>
    </w:p>
    <w:p>
      <w:pPr>
        <w:pStyle w:val="TextBody"/>
        <w:spacing w:lineRule="auto" w:line="288" w:before="180" w:after="283"/>
        <w:jc w:val="both"/>
        <w:rPr/>
      </w:pPr>
      <w:r>
        <w:rPr>
          <w:rFonts w:ascii="Times New Roman;sans-serif" w:hAnsi="Times New Roman;sans-serif"/>
          <w:b w:val="false"/>
          <w:color w:val="000000"/>
          <w:sz w:val="20"/>
        </w:rPr>
        <w:t xml:space="preserve">Refer to </w:t>
      </w:r>
      <w:hyperlink w:anchor="i402613ae68904b5587c68802b3f0ad2f_67">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information.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 and Remeasurement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in the PURE Portfolio is denominated in Canadian Dollars (“CAD” or “C$”), and accordingly, we translate the financial statements of the subsidiaries that own the PURE Portfolio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Sheets. Certain balance sheet items, primarily equity and capital-related accounts, are reflected at the historical exchange rate. Income Statement accounts are translated using the average exchange rate for the period.</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consolidated subsidiaries have intercompany and third-party debt that is denominated CAD, which is not our and our consolidated subsidiaries functional currency of USD. When the debt and related operating receivables and/or payables are remeasured to the functional currency of the entity, a gain or loss can result. The resulting adjustment is reflected in Other gains (losses), net in the Statement of Operations.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 and Other Expenses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 </w:t>
      </w:r>
    </w:p>
    <w:p>
      <w:pPr>
        <w:pStyle w:val="TextBody"/>
        <w:spacing w:lineRule="auto" w:line="276" w:before="180" w:after="283"/>
        <w:rPr>
          <w:rFonts w:ascii="Times New Roman;sans-serif" w:hAnsi="Times New Roman;sans-serif"/>
          <w:b/>
          <w:i/>
          <w:color w:val="000000"/>
          <w:sz w:val="20"/>
        </w:rPr>
      </w:pPr>
      <w:r>
        <w:rPr>
          <w:rFonts w:ascii="Times New Roman;sans-serif" w:hAnsi="Times New Roman;sans-serif"/>
          <w:b/>
          <w:i/>
          <w:color w:val="000000"/>
          <w:sz w:val="20"/>
        </w:rPr>
        <w:t xml:space="preserve">Fair Value Measurements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spacing w:lineRule="auto" w:line="288" w:before="180" w:after="283"/>
        <w:jc w:val="both"/>
        <w:rPr/>
      </w:pPr>
      <w:r>
        <w:rPr>
          <w:rFonts w:ascii="Times New Roman;sans-serif" w:hAnsi="Times New Roman;sans-serif"/>
          <w:b w:val="false"/>
          <w:color w:val="000000"/>
          <w:sz w:val="20"/>
        </w:rPr>
        <w:t xml:space="preserve">Refer to </w:t>
      </w:r>
      <w:hyperlink w:anchor="i402613ae68904b5587c68802b3f0ad2f_79">
        <w:r>
          <w:rPr>
            <w:rStyle w:val="InternetLink"/>
            <w:rFonts w:ascii="Times New Roman;sans-serif" w:hAnsi="Times New Roman;sans-serif"/>
            <w:b w:val="false"/>
            <w:color w:val="0000FF"/>
            <w:sz w:val="20"/>
            <w:u w:val="single"/>
          </w:rPr>
          <w:t>Note 9 - Fair Value</w:t>
        </w:r>
      </w:hyperlink>
      <w:r>
        <w:rPr>
          <w:color w:val="000000"/>
        </w:rPr>
        <w:t xml:space="preserve"> </w:t>
      </w:r>
      <w:r>
        <w:rPr>
          <w:rFonts w:ascii="Times New Roman;sans-serif" w:hAnsi="Times New Roman;sans-serif"/>
          <w:b w:val="false"/>
          <w:color w:val="000000"/>
          <w:sz w:val="20"/>
        </w:rPr>
        <w:t xml:space="preserve">for further information.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 Financial Instruments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derivative financial instruments as either Other assets or Other liabilities on our Balance Sheet at fair value.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component of Accumulated other comprehensive income (loss) in our Balance Sheet with a corresponding change in Unrealized gain (loss) in cash flows hedges within Other comprehensive income on our Statement of Operations.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Caesars and MGM are the guarantors of all the lease payment obligations of the tenants under the applicable leases of the properties that they each respectively lease from us. Revenue from the Caesars Leases represented 38% of our lease revenues for the three months ended March 31, 2023 and 76% of our lease revenues for the three months ended March 31, 2022. Revenue from the MGM Leases represented 39% of our lease revenues for the three months ended March 31, 2023. We did not have any revenue from the MGM Leases for the three months ended March 31, 2022 as the MGP Transactions closed on April 29, 2022. Additionally, our properties on the Las Vegas Strip generated approximately 48% and 38% of our lease revenues for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three months ended March 31, 2023 and 2022, respectively. Other than having two tenants from which we derive and will continue to derive a substantial portion of our revenue and our concentration in the Las Vegas market, we do not believe there are any other significant concentrations of credit risk.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3 — Real Estate Transactions </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2023 Property Acquisitions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PURE Canadian Gaming Transaction</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6, 2023, we acquired the real estate assets of PURE Casino Edmonton, PURE Casino Yellowhead, PURE Casino Calgary, and PURE Casino Lethbridge, all of which are located in Alberta, Canada, from PURE Canadian Gaming for an aggregate purchase price of approximately C$271.9 million (approximately US$200.8 million based on the exchange rate at the time of the acquisition) (the “PURE Canadian Gaming Transaction”). We financed the PURE Canadian Gaming Transaction with a combination of cash on hand and a C$140.0 million (approximately US$103.4 million based on the exchange rate at the time of the acquisition) draw under our Revolving Credit Facility. Simultaneous with the acquisition, we entered into the PURE Master Lease. The PURE Master Lease has an initial total annual rent of approximately C$21.8 million (approximately US$16.1 million based on the exchange rate at the time of the acquisition), an initial term of 25 years, with four 5-year tenant renewal options, escalation of 1.25% per annum in lease years two and three (and thereafter at the greater of 1.5% and the Canadian Consumer Price Index, capped at 2.5%) and minimum capital expenditure requirements of 1.0% of annual net revenue (excluding gaming equipment). The tenant’s obligations under the PURE Master Lease are guaranteed by the parent entity of PURE Canadian Gaming. We determined that the PURE Canadian Gaming Transaction should be accounted for as an asset acquisition under ASC 805-50 and further, that the land and building components of the PURE Master Lease meet the definition of a sales-type lease. Since we purchased and leased the assets back to the seller under a sale leaseback transaction, control is not considered to have transferred to us under GAAP. Accordingly, the PURE Master Lease is accounted for as Investments in leases - financing receivables on our Balance Sheet, net of an initial allowance for estimated credit losses in the amount of $19.6 million.</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MGM Grand/Mandalay Bay JV Interest Acquisition</w:t>
      </w:r>
    </w:p>
    <w:p>
      <w:pPr>
        <w:pStyle w:val="TextBody"/>
        <w:spacing w:lineRule="auto" w:line="288" w:before="180" w:after="283"/>
        <w:jc w:val="both"/>
        <w:rPr/>
      </w:pPr>
      <w:r>
        <w:rPr>
          <w:rFonts w:ascii="Times New Roman;sans-serif" w:hAnsi="Times New Roman;sans-serif"/>
          <w:b w:val="false"/>
          <w:color w:val="000000"/>
          <w:sz w:val="20"/>
        </w:rPr>
        <w:t xml:space="preserve">On January 9, 2023, we closed on the previously announced acquisition of the remaining 49.9% interest in the MGM Grand/Mandalay Bay JV (previously referred to as the “BREIT JV”) from Blackstone Real Estate Income Trust, Inc. (“BREIT”) (the “MGM Grand/Mandalay Bay JV Interest Acquisition”) for cash consideration of $1,261.9 million. We also assumed BREIT’s $1,497.0 million pro rata share of an aggregate $3.0 billion of property-level debt, which matures in 2032 and bears interest at a fixed rate of 3.558% per annum through March 2030. The cash consideration was funded through a combination of cash on hand and proceeds from the settlement of the November 2022 Forward Sale Agreements and ATM Forward Sale Agreements (each as described in </w:t>
      </w:r>
      <w:hyperlink w:anchor="i402613ae68904b5587c68802b3f0ad2f_85">
        <w:r>
          <w:rPr>
            <w:rStyle w:val="InternetLink"/>
          </w:rPr>
          <w:t xml:space="preserve">Note 11 - </w:t>
        </w:r>
      </w:hyperlink>
      <w:hyperlink w:anchor="i402613ae68904b5587c68802b3f0ad2f_85">
        <w:r>
          <w:rPr>
            <w:rStyle w:val="InternetLink"/>
          </w:rPr>
          <w:t>Stockholders Equity</w:t>
        </w:r>
      </w:hyperlink>
      <w:r>
        <w:rPr>
          <w:rFonts w:ascii="Times New Roman;sans-serif" w:hAnsi="Times New Roman;sans-serif"/>
          <w:b w:val="false"/>
          <w:color w:val="000000"/>
          <w:sz w:val="20"/>
        </w:rPr>
        <w:t xml:space="preserve">). The MGM Grand/Mandalay Bay Lease currently has an annual rent of $309.9 million, all of which we are entitled to following the closing of the MGM Grand/Mandalay Bay JV Interest Acquisition. The MGM Grand/Mandalay Bay Lease has a remaining initial lease term of approximately 27 years (expiring in 2050), with two ten-year tenant renewal options. Rent under the MGM Grand/Mandalay Bay Lease escalates annually at 2.0% through 2035 (year 15 of the initial lease term) and thereafter at the greater of 2.0% or the Consumer Price Index (“CPI”) (subject to a 3.0% ceiling). As of December 31, 2022, the MGM Grand/Mandalay Bay JV was accounted for as an equity method investment under the voting interest model within Investment in unconsolidated affiliate on our Balance Sheets.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with closing of the MGM Grand/Mandalay Bay JV, as a result of acquiring full ownership, we consolidated the joint venture and determined that the consolidation should be accounted for as an asset acquisition under ASC 805-50. In application of the asset acquisition guidance we retained the prior cost basis of our 50.1% interest, which we previously acquired in connection with the MGP Transaction, and combined such basis to the purchase price of the MGM Grand/Mandalay Bay JV Interest Acquisition. The following is a summary of our net assets acquired upon consolidation of the MGM Grand/Mandalay Bay JV:</w:t>
      </w:r>
    </w:p>
    <w:tbl>
      <w:tblPr>
        <w:tblW w:w="9032" w:type="dxa"/>
        <w:jc w:val="left"/>
        <w:tblInd w:w="0" w:type="dxa"/>
        <w:tblCellMar>
          <w:top w:w="28" w:type="dxa"/>
          <w:left w:w="28" w:type="dxa"/>
          <w:bottom w:w="28" w:type="dxa"/>
          <w:right w:w="28" w:type="dxa"/>
        </w:tblCellMar>
      </w:tblPr>
      <w:tblGrid>
        <w:gridCol w:w="2663"/>
        <w:gridCol w:w="2344"/>
        <w:gridCol w:w="2357"/>
        <w:gridCol w:w="109"/>
        <w:gridCol w:w="109"/>
        <w:gridCol w:w="109"/>
        <w:gridCol w:w="211"/>
        <w:gridCol w:w="976"/>
        <w:gridCol w:w="154"/>
      </w:tblGrid>
      <w:tr>
        <w:trPr/>
        <w:tc>
          <w:tcPr>
            <w:tcW w:w="2663" w:type="dxa"/>
            <w:tcBorders/>
            <w:shd w:fill="auto" w:val="clear"/>
            <w:vAlign w:val="center"/>
          </w:tcPr>
          <w:p>
            <w:pPr>
              <w:pStyle w:val="TableContents"/>
              <w:spacing w:before="0" w:after="283"/>
              <w:rPr>
                <w:sz w:val="4"/>
                <w:szCs w:val="4"/>
              </w:rPr>
            </w:pPr>
            <w:r>
              <w:rPr>
                <w:sz w:val="4"/>
                <w:szCs w:val="4"/>
              </w:rPr>
            </w:r>
          </w:p>
        </w:tc>
        <w:tc>
          <w:tcPr>
            <w:tcW w:w="2344" w:type="dxa"/>
            <w:tcBorders/>
            <w:shd w:fill="auto" w:val="clear"/>
            <w:vAlign w:val="center"/>
          </w:tcPr>
          <w:p>
            <w:pPr>
              <w:pStyle w:val="TableContents"/>
              <w:spacing w:before="0" w:after="283"/>
              <w:rPr>
                <w:sz w:val="4"/>
                <w:szCs w:val="4"/>
              </w:rPr>
            </w:pPr>
            <w:r>
              <w:rPr>
                <w:sz w:val="4"/>
                <w:szCs w:val="4"/>
              </w:rPr>
            </w:r>
          </w:p>
        </w:tc>
        <w:tc>
          <w:tcPr>
            <w:tcW w:w="2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prior 50.1% interest acquired in connection with the MGP Transactions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paid for MGM Grand/Mandalay Bay JV Interest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805-50, we allocated the net assets acquired by major categories of assets acquired and liabilities assumed using relative fair value. The following is a summary of the allocated relative fair values of the assets acquired and liabilities assumed in the consolidation of the MGM Grand/Mandalay Bay JV:</w:t>
      </w:r>
    </w:p>
    <w:tbl>
      <w:tblPr>
        <w:tblW w:w="5193" w:type="dxa"/>
        <w:jc w:val="left"/>
        <w:tblInd w:w="0" w:type="dxa"/>
        <w:tblCellMar>
          <w:top w:w="28" w:type="dxa"/>
          <w:left w:w="28" w:type="dxa"/>
          <w:bottom w:w="28" w:type="dxa"/>
          <w:right w:w="28" w:type="dxa"/>
        </w:tblCellMar>
      </w:tblPr>
      <w:tblGrid>
        <w:gridCol w:w="1277"/>
        <w:gridCol w:w="1122"/>
        <w:gridCol w:w="1126"/>
        <w:gridCol w:w="109"/>
        <w:gridCol w:w="109"/>
        <w:gridCol w:w="109"/>
        <w:gridCol w:w="211"/>
        <w:gridCol w:w="976"/>
        <w:gridCol w:w="154"/>
      </w:tblGrid>
      <w:tr>
        <w:trPr/>
        <w:tc>
          <w:tcPr>
            <w:tcW w:w="127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Debt, net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(2,747,877)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Accrued expenses and deferred revenue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Amount represents their current carrying value, which is equal to fair value.</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Amount represents the fair value of the $3.0 billion principal amount of CMBS debt as of January 9, 2023, which was estimated as a $252.1 million discount to principal value. The fair value of the debt was estimated by modeling the contractual cash flows and discounting them back to the present value using an estimated market yield. Additionally, we considered current market rates and conditions by evaluating similar borrowing agreements with comparable loan-to-value ratios and credit profiles. The inputs used in determining the fair value measurement are considered Level 3 of the fair value hierarchy.</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closing of the MGM Grand/Mandalay Bay JV Interest Acquisition and consolidation of the MGM Grand/Mandalay Bay Lease, we assessed the lease classification of the MGM Grand/Mandalay Bay Lease and determined that it met the definition of a sales-type lease. Accordingly, the relative fair value of the MGM Grand/Mandalay Bay Lease of $5.5 billion was recorded as an Investment in leases - sales-type on our Balance Sheet, net of an initial allowance for estimated credit losses in the amount of $210.0 million.</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Gold Strike Severance Lease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15, 2023, in connection with MGM’s sale of the operations of Gold Strike, we entered into the Gold Strike Lease with CNB related to the land and real estate assets of Gold Strike, and entered into an amendment to the MGM Master Lease in order to account for the divestiture of the operations of Gold Strike. The Gold Strike Lease has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The Gold Strike Lease is guaranteed by CNB. Upon the closing of the sale of Gold Strike, the MGM Master Lease was amended to account for MGM’s divestiture of the Gold Strike operations and resulted in a reduction of the annual base rent under the MGM Master Lease by $40.0 million. </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2023 Loan and Security Investment Activity</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Hard Rock Ottawa Secured Notes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2023, we purchased $85.0 million of senior secured notes issued by H.R. Ottawa, L.P. (“Hard Rock Ottawa Notes”), which owns and operates the Hard Rock Ottawa Casino. H.R. Ottawa, L.P. intends to use the proceeds of the Hard Rock Ottawa Notes to fund a portion of (i) the redevelopment and rebrand of the existing Rideau Carleton Raceway Casino, located in Ottawa, Canada, (ii) the development of an integrated “Hard Rock” branded hotel with approximately 150 rooms, and (iii) the repayment of existing debt. The Hard Rock Ottawa Notes are denominated and issued in USD. </w:t>
      </w:r>
    </w:p>
    <w:p>
      <w:pPr>
        <w:pStyle w:val="TextBody"/>
        <w:spacing w:before="180" w:after="283"/>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Pending Transactions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Rocky Gap Casino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24, 2022, we and Century Casinos entered into definitive agreements to acquire Rocky Gap Casino Resort (“Rocky Gap Casino”), located in Flintstone, Maryland, from Golden Entertainment, Inc. for an aggregate purchase price of $260.0 million. Pursuant to the transaction agreements, we will acquire an interest in the land and buildings associated with Rocky Gap Casino for approximately $203.9 million, and Century Casinos will acquire the operating assets of the property for approximately $56.1 million. Simultaneous with the closing of the transaction, the Century Master Lease will be amended to include Rocky Gap Casino, and annual rent under the Century Master Lease will increase by $15.5 million. Additionally, the terms of the Century Master Lease will be extended such that, upon closing of the transaction, the lease will have a full 15-year initial base lease term remaining, with four 5-year tenant renewal options. The tenant’s obligations under the Century Master Lease will continue to be guaranteed by Century Casinos. The transaction is subject to customary regulatory approvals and closing conditions and is expected to close in mid-2023.</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Significant 2022 Transactions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MGP Transactions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we closed on the previously announced MGP Transactions governed by the MGP Master Transaction Agreement, pursuant to which we acquired MGP for total consideration of $11.6 billion, plus the assumption of approximately $5.7 billion principal amount of debt, inclusive of a 50.1% share of the MGM Grand/Mandalay Bay JV CMBS debt, at the time. Upon closing, the MGP Transactions added $1,012.2 million of annualized rent to our portfolio from 15 Class A entertainment casino resort properties spread across nine regions and comprising 36,000 hotel rooms, 3.6 million square feet of meeting and convention space and hundreds of food, beverage and entertainment venues. Under the terms of the MGP Master Transaction Agreement, each outstanding MGP Class A common share was converted into 1.366 (the “Exchange Ratio”) shares of VICI common stock. The fixed Exchange Ratio represented an agreed upon price of $43.00 per share of MGP Class A common shares based on VICI’s trailing 5-day volume weighted average price of $31.47 as of July 30, 2021. MGM received $43.00 per unit in cash for the redemption of the majority of its MGP OP units that it held for total cash consideration of approximately $4.404 billion and also acquired approximately 12.2 million units in VICI OP. The MGP Class B share that was held by MGM was cancelled and ceased to exist simultaneous with closing.</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MGP Class A common shares converted to shares of VICI common stock was determined as follows:</w:t>
      </w:r>
    </w:p>
    <w:tbl>
      <w:tblPr>
        <w:tblW w:w="7160" w:type="dxa"/>
        <w:jc w:val="left"/>
        <w:tblInd w:w="0" w:type="dxa"/>
        <w:tblCellMar>
          <w:top w:w="28" w:type="dxa"/>
          <w:left w:w="28" w:type="dxa"/>
          <w:bottom w:w="28" w:type="dxa"/>
          <w:right w:w="28" w:type="dxa"/>
        </w:tblCellMar>
      </w:tblPr>
      <w:tblGrid>
        <w:gridCol w:w="2108"/>
        <w:gridCol w:w="1853"/>
        <w:gridCol w:w="1859"/>
        <w:gridCol w:w="593"/>
        <w:gridCol w:w="593"/>
        <w:gridCol w:w="154"/>
      </w:tblGrid>
      <w:tr>
        <w:trPr/>
        <w:tc>
          <w:tcPr>
            <w:tcW w:w="2108"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c>
          <w:tcPr>
            <w:tcW w:w="185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Class A common shares outstanding as of April 29, 2022</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156,757,773 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Ratio</w:t>
            </w:r>
          </w:p>
        </w:tc>
        <w:tc>
          <w:tcPr>
            <w:tcW w:w="13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VICI common stock issued </w:t>
            </w:r>
            <w:r>
              <w:rPr>
                <w:rFonts w:ascii="Times New Roman;sans-serif" w:hAnsi="Times New Roman;sans-serif"/>
                <w:b w:val="false"/>
                <w:i/>
                <w:color w:val="000000"/>
                <w:sz w:val="13"/>
              </w:rPr>
              <w:t>(1)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214,131,064 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common stock issued for MGP stock-based compensation awards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common stock issued</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214,552,532 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76" w:before="0" w:after="0"/>
        <w:rPr>
          <w:rFonts w:ascii="Times New Roman;sans-serif" w:hAnsi="Times New Roman;sans-serif"/>
          <w:b w:val="false"/>
          <w:i/>
          <w:color w:val="000000"/>
          <w:sz w:val="16"/>
        </w:rPr>
      </w:pPr>
      <w:r>
        <w:rPr>
          <w:rFonts w:ascii="Times New Roman;sans-serif" w:hAnsi="Times New Roman;sans-serif"/>
          <w:b w:val="false"/>
          <w:i/>
          <w:color w:val="000000"/>
          <w:sz w:val="16"/>
        </w:rPr>
        <w:t>(1) Amount excludes the cash paid in lieu of approximately 54 fractional MGP Class A common shares.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 with the closing of the MGP Transactions on April 29, 2022, we entered into the MGM Master Lease. The MGM Master Lease has an initial term of 25 years, with three 10-year tenant renewal options and had an initial total annual rent of $860.0 million. Rent under the MGM Master Lease escalates at a rate of 2.0% per annum for the first 10 years and thereafter at the greater of 2.0% per annum or the increase in CPI, subject to a 3.0% cap. The total annual rent under the MGM Master Lease was reduced by $90.0 million upon the close of MGM’s sale of the operations of the Mirage to Hard Rock and entrance into the Mirage Lease on December 19, 2022, and further reduced by $40.0 million upon the close of MGM’s sale of the operations of Gold Strike on February 15, 2023 (which results in total annual rent under the MGM Master Lease of $730.0 million). Additionally, we retained a 50.1% ownership stake in the MGM Grand/Mandalay Bay JV, which owns the real estate assets of MGM Grand Las Vegas and Mandalay Bay. At the time of acquisition, the MGM Grand/Mandalay Bay Lease provided for total annual base rent of approximately $303.8 million, and had an initial term of thirty years with two 10-year tenant renewal options. Rent under the MGM Grand/Mandalay Bay Lease escalates at a rate of 2.0% per annum for the first 15 years and thereafter at the greater of 2.0% per annum or CPI, subject to a 3.0% cap. On January 9, 2023, we closed on the MGM Grand/Mandalay Bay JV Interest Acquisition and accordingly own 100% of the interest in the MGM Grand/Mandalay Bay JV, including the full $3.0 billion of CMBS debt held by the joint venture.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assessed the MGP Transactions in accordance with ASC 805, and determined that the acquisition of MGP did not meet the definition of a business as substantially all the assets were concentrated in a group of similarly identifiable acquired assets, and did not include a substantive process in the form of an acquired workforce. Accordingly, the MGP Transactions were accounted for as an asset acquisition under ASC 805-50 and we determined the consideration transferred under the MGP Transactions was $11.6 billion, comprised of the following:</w:t>
      </w:r>
    </w:p>
    <w:tbl>
      <w:tblPr>
        <w:tblW w:w="8913" w:type="dxa"/>
        <w:jc w:val="left"/>
        <w:tblInd w:w="0" w:type="dxa"/>
        <w:tblCellMar>
          <w:top w:w="28" w:type="dxa"/>
          <w:left w:w="28" w:type="dxa"/>
          <w:bottom w:w="28" w:type="dxa"/>
          <w:right w:w="28" w:type="dxa"/>
        </w:tblCellMar>
      </w:tblPr>
      <w:tblGrid>
        <w:gridCol w:w="2578"/>
        <w:gridCol w:w="2273"/>
        <w:gridCol w:w="2289"/>
        <w:gridCol w:w="109"/>
        <w:gridCol w:w="109"/>
        <w:gridCol w:w="109"/>
        <w:gridCol w:w="211"/>
        <w:gridCol w:w="1081"/>
        <w:gridCol w:w="154"/>
      </w:tblGrid>
      <w:tr>
        <w:trPr/>
        <w:tc>
          <w:tcPr>
            <w:tcW w:w="2578" w:type="dxa"/>
            <w:tcBorders/>
            <w:shd w:fill="auto" w:val="clear"/>
            <w:vAlign w:val="center"/>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c>
          <w:tcPr>
            <w:tcW w:w="2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REIT Merger Consideration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payment to MGM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VICI OP Units retained by MGM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Repayment of MGP revolving credit facility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Transactions costs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consideration transferred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11,556,990 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 of MGP OP Notes and Exchange Notes, at principal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 of our proportionate share of the BREIT JV CMBS debt, at principal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17,259,990 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Amount represents the dollar value of 214,375,990 shares of VICI common stock, multiplied by the VICI stock price at the time of closing of $30.64 per share, which were issued in exchange for the MGP Class A common shares outstanding immediately prior to the REIT Merger and certain of the MGP stock-based compensation awards, converted to shares of VICI common stock.</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Amount represents 12,231,373 VICI OP Units retained by MGM as non-controlling interest in VICI OP, multiplied by the VICI stock price at the time of closing of $30.64 per share.</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Represents the total amount outstanding under MGP’s revolving credit facility as of April 29, 2022. In connection with the MGP Transactions, such amount was repaid in full and the related credit agreement was terminated. </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In accordance with ASC 805-50, all direct and incremental costs related to the MGP Transactions, primarily related to success-based fees and third-party advisory fees, were included in the consideration transferred.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805-50, we allocated the purchase price by major categories of assets acquired and liabilities assumed using relative fair value. The following is a summary of the allocated relative fair values of the assets acquired and liabilities assumed in the MGP Transactions valued as of April 29, 2022:</w:t>
      </w:r>
    </w:p>
    <w:tbl>
      <w:tblPr>
        <w:tblW w:w="5897" w:type="dxa"/>
        <w:jc w:val="left"/>
        <w:tblInd w:w="0" w:type="dxa"/>
        <w:tblCellMar>
          <w:top w:w="28" w:type="dxa"/>
          <w:left w:w="28" w:type="dxa"/>
          <w:bottom w:w="28" w:type="dxa"/>
          <w:right w:w="28" w:type="dxa"/>
        </w:tblCellMar>
      </w:tblPr>
      <w:tblGrid>
        <w:gridCol w:w="1494"/>
        <w:gridCol w:w="1313"/>
        <w:gridCol w:w="1317"/>
        <w:gridCol w:w="109"/>
        <w:gridCol w:w="109"/>
        <w:gridCol w:w="109"/>
        <w:gridCol w:w="211"/>
        <w:gridCol w:w="1081"/>
        <w:gridCol w:w="154"/>
      </w:tblGrid>
      <w:tr>
        <w:trPr/>
        <w:tc>
          <w:tcPr>
            <w:tcW w:w="1494"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Investment in unconsolidated affiliate </w:t>
            </w:r>
            <w:r>
              <w:rPr>
                <w:rFonts w:ascii="Times New Roman;sans-serif" w:hAnsi="Times New Roman;sans-serif"/>
                <w:b w:val="false"/>
                <w:i/>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1,465,814 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Debt, net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(4,106,082)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Accrued expenses and deferred revenue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liabilities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We valued the real estate portfolio at relative fair value using rent multiples taking into consideration a variety of factors, including (i) asset quality and location, (ii) property and lease-level operating performance and (iii) supply and demand dynamics of each property’s respective market. The multiples used ranged from 15.0x - 18.5x with a weighted average rent multiple of 16.7x, as determined using relative fair value. </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fair value of these assets is based on significant “unobservable” market inputs and, as such, these fair value measurements are considered Level 3 of the fair value hierarchy.</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We value the Investment in unconsolidated affiliate at relative fair based on our percentage ownership of the net assets of the BREIT JV.</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Amounts represents their current carrying value which is equal to fair value. The Other assets and Other liabilities amounts include the gross presentation of certain MGP ground leases which we assumed in connection with the MGP Transactions.</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(5) Amount represents the fair value of debt as of April 29, 2022, which was estimated as a $93.9 million discount to the notional value. The fair value of our debt instruments was estimated using quoted prices for identical or similar liabilities in markets that are not active and, as such, these fair value measurements are considered Level 2 of the fair value hierarchy.</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closing of the MGP Transactions and entry into the MGM Master Lease, we assessed the lease classification of the MGM Master Lease and determined that it met the definition of a sales-type lease. Further, since MGM controlled and consolidated MGP prior to the MGP Transactions, the lease was assessed under the sale-leaseback guidance and determined to be a failed sale-leaseback under which the lease is accounted for as a financing receivable under ASC 310.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the MGM Grand/Mandalay Bay JV, we determined that such investment should be accounted for as an equity method investment and, accordingly, recorded the relative fair value as an Investment in unconsolidated affiliate on our Balance Sheet. The requirement to record our investment in the MGM Grand/Mandalay Bay JV at relative fair value under ASC 805 resulted in a difference in our acquired basis from that of the underlying records, or historical cost basis, of the MGM Grand/Mandalay Bay JV. Accordingly, we compared our proportionate share of the historical cost basis of the MGM Grand/Mandalay Bay JV as of April 29, 2022 to our proportionate share of the relative fair value, the difference of which was amortized through Income from unconsolidated affiliate over the life of the related asset or liability. On January 9, 2023, we acquired the remaining 49.9% interest in the MGM Grand/Mandalay Bay JV from BREIT and consolidated the operations of the joint venture. Refer to “MGM Grand/Mandalay Bay JV Interest Acquisition” above for further details.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4 — Real Estate Portfolio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real estate portfolio consisted of the following: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sales-type, representing our investment in 25 casino assets leased on a triple-net basis to our tenants, Apollo, Caesars, Century Casinos, EBCI, Hard Rock, MGM and PENN Entertainment under ten separate lease agreements;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financing receivables, representing our investment in 24 casino assets leased on a triple-net basis to our tenants, Caesars, CNB, Foundation Gaming, Hard Rock, JACK Entertainment, MGM and PURE Canadian Gaming under seven separate lease agreements;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loans and securities, representing our investments in eleven senior secured and mezzanine loans and the Hard Rock Ottawa Notes;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Land, representing our investment in certain underdeveloped or undeveloped land adjacent to the Las Vegas strip and non-operating, vacant land parcels.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balances of our real estate portfolio as of March 31, 2023 and December 31, 2022:</w:t>
      </w:r>
    </w:p>
    <w:tbl>
      <w:tblPr>
        <w:tblW w:w="7593" w:type="dxa"/>
        <w:jc w:val="left"/>
        <w:tblInd w:w="0" w:type="dxa"/>
        <w:tblCellMar>
          <w:top w:w="28" w:type="dxa"/>
          <w:left w:w="28" w:type="dxa"/>
          <w:bottom w:w="28" w:type="dxa"/>
          <w:right w:w="28" w:type="dxa"/>
        </w:tblCellMar>
      </w:tblPr>
      <w:tblGrid>
        <w:gridCol w:w="1549"/>
        <w:gridCol w:w="1361"/>
        <w:gridCol w:w="1365"/>
        <w:gridCol w:w="211"/>
        <w:gridCol w:w="1081"/>
        <w:gridCol w:w="109"/>
        <w:gridCol w:w="109"/>
        <w:gridCol w:w="109"/>
        <w:gridCol w:w="109"/>
        <w:gridCol w:w="232"/>
        <w:gridCol w:w="1189"/>
        <w:gridCol w:w="169"/>
      </w:tblGrid>
      <w:tr>
        <w:trPr/>
        <w:tc>
          <w:tcPr>
            <w:tcW w:w="1549"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Investments in leases - sales-type, net </w:t>
            </w:r>
            <w:r>
              <w:rPr>
                <w:rFonts w:ascii="Times New Roman;sans-serif" w:hAnsi="Times New Roman;sans-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22,579,820 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Investments in leases - financing receivables, net </w:t>
            </w:r>
            <w:r>
              <w:rPr>
                <w:rFonts w:ascii="Times New Roman;sans-serif" w:hAnsi="Times New Roman;sans-serif"/>
                <w:b w:val="false"/>
                <w:i/>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in leases,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39,631,007 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33,913,095 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Investment in unconsolidated affiliate </w:t>
            </w:r>
            <w:r>
              <w:rPr>
                <w:rFonts w:ascii="Times New Roman;sans-serif" w:hAnsi="Times New Roman;sans-serif"/>
                <w:b w:val="false"/>
                <w:i/>
                <w:color w:val="000000"/>
                <w:sz w:val="13"/>
              </w:rPr>
              <w:t>(2)</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portfolio</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40,671,091 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36,213,223 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At lease inception (or upon modification), we determine the estimated residual values of the leased property (not guaranteed) under the respective Lease Agreements, which has a material impact on the determination of the rate implicit in the lease and the lease classification. As of March 31, 2023 and December 31, 2022, the estimated residual values of the leased properties under our Lease Agreements were $15.6 billion and $11.5 billion, respectively. </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Represents our 50.1% investment in the MGM Grand/Mandalay Bay JV prior to the MGM Grand/Mandalay Bay JV Interest Acquisition on January 9, 2023, which was accounted for as an equity method investment.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in Leases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leases and lease financing receivables:</w:t>
      </w:r>
    </w:p>
    <w:tbl>
      <w:tblPr>
        <w:tblW w:w="8290" w:type="dxa"/>
        <w:jc w:val="left"/>
        <w:tblInd w:w="0" w:type="dxa"/>
        <w:tblCellMar>
          <w:top w:w="28" w:type="dxa"/>
          <w:left w:w="28" w:type="dxa"/>
          <w:bottom w:w="28" w:type="dxa"/>
          <w:right w:w="28" w:type="dxa"/>
        </w:tblCellMar>
      </w:tblPr>
      <w:tblGrid>
        <w:gridCol w:w="1881"/>
        <w:gridCol w:w="1652"/>
        <w:gridCol w:w="1657"/>
        <w:gridCol w:w="211"/>
        <w:gridCol w:w="826"/>
        <w:gridCol w:w="109"/>
        <w:gridCol w:w="109"/>
        <w:gridCol w:w="109"/>
        <w:gridCol w:w="109"/>
        <w:gridCol w:w="211"/>
        <w:gridCol w:w="826"/>
        <w:gridCol w:w="109"/>
        <w:gridCol w:w="109"/>
        <w:gridCol w:w="109"/>
        <w:gridCol w:w="109"/>
        <w:gridCol w:w="154"/>
      </w:tblGrid>
      <w:tr>
        <w:trPr/>
        <w:tc>
          <w:tcPr>
            <w:tcW w:w="1881"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 fixed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Income from sales-type leases - contingent rent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Income from lease financing receivables - fixed rent </w:t>
            </w:r>
            <w:r>
              <w:rPr>
                <w:rFonts w:ascii="Times New Roman;sans-serif" w:hAnsi="Times New Roman;sans-serif"/>
                <w:b w:val="false"/>
                <w:i/>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Income from lease financing receivables - contingent rent</w:t>
            </w:r>
            <w:r>
              <w:rPr>
                <w:color w:val="000000"/>
              </w:rPr>
              <w:t xml:space="preserve"> </w:t>
            </w:r>
            <w:r>
              <w:rPr>
                <w:rFonts w:ascii="Times New Roman;sans-serif" w:hAnsi="Times New Roman;sans-serif"/>
                <w:b w:val="false"/>
                <w:i/>
                <w:color w:val="000000"/>
                <w:sz w:val="13"/>
              </w:rPr>
              <w:t>(1) (2)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March 31, 2023, we have recognized contingent rent from our Margaritaville Lease and Greektown Lease in relation to the variable rent portion of the respective leases and the Caesars Las Vegas Master Lease, Caesars Regional Master Lease, Joliet Lease and Century Master Lease in relation to the CPI portion of the annual escalator.</w:t>
      </w:r>
    </w:p>
    <w:p>
      <w:pPr>
        <w:pStyle w:val="TextBody"/>
        <w:spacing w:lineRule="auto" w:line="288" w:before="0" w:after="0"/>
        <w:jc w:val="both"/>
        <w:rPr/>
      </w:pPr>
      <w:r>
        <w:rPr>
          <w:rFonts w:ascii="Times New Roman;sans-serif" w:hAnsi="Times New Roman;sans-serif"/>
          <w:b w:val="false"/>
          <w:i/>
          <w:color w:val="000000"/>
          <w:sz w:val="16"/>
        </w:rPr>
        <w:t>(2) Represents the MGM Master Lease, Harrah’s Call Properties, JACK Master Lease, Foundation Master Lease and PURE Master Lease, all of which were sale leaseback transactions. In accordance with ASC 842,</w:t>
      </w:r>
      <w:r>
        <w:rPr>
          <w:color w:val="000000"/>
          <w:highlight w:val="white"/>
        </w:rPr>
        <w:t xml:space="preserve"> </w:t>
      </w:r>
      <w:r>
        <w:rPr>
          <w:rFonts w:ascii="Times New Roman;sans-serif" w:hAnsi="Times New Roman;sans-serif"/>
          <w:b w:val="false"/>
          <w:i/>
          <w:color w:val="000000"/>
          <w:sz w:val="16"/>
          <w:highlight w:val="white"/>
        </w:rPr>
        <w:t>since the lease agreements were determined to meet the definition of a sales-type lease and control of the asset is not considered to have been transferred to us, such lease agreements are accounted for as financings under ASC 310.</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Amounts represent the non-cash adjustment to the minimum lease payments from sales-type leases and lease financing receivables in order to recognize income on an effective interest basis at a constant rate of return over the term of the leases.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minimum lease payments owed to us for each of the five succeeding years under sales-type leases and our leases accounted for as financing receivables, are as follows:</w:t>
      </w:r>
    </w:p>
    <w:tbl>
      <w:tblPr>
        <w:tblW w:w="8620" w:type="dxa"/>
        <w:jc w:val="left"/>
        <w:tblInd w:w="0" w:type="dxa"/>
        <w:tblCellMar>
          <w:top w:w="28" w:type="dxa"/>
          <w:left w:w="28" w:type="dxa"/>
          <w:bottom w:w="28" w:type="dxa"/>
          <w:right w:w="28" w:type="dxa"/>
        </w:tblCellMar>
      </w:tblPr>
      <w:tblGrid>
        <w:gridCol w:w="967"/>
        <w:gridCol w:w="850"/>
        <w:gridCol w:w="852"/>
        <w:gridCol w:w="109"/>
        <w:gridCol w:w="109"/>
        <w:gridCol w:w="109"/>
        <w:gridCol w:w="211"/>
        <w:gridCol w:w="1081"/>
        <w:gridCol w:w="109"/>
        <w:gridCol w:w="109"/>
        <w:gridCol w:w="109"/>
        <w:gridCol w:w="109"/>
        <w:gridCol w:w="109"/>
        <w:gridCol w:w="109"/>
        <w:gridCol w:w="271"/>
        <w:gridCol w:w="1389"/>
        <w:gridCol w:w="140"/>
        <w:gridCol w:w="109"/>
        <w:gridCol w:w="109"/>
        <w:gridCol w:w="109"/>
        <w:gridCol w:w="211"/>
        <w:gridCol w:w="1186"/>
        <w:gridCol w:w="154"/>
      </w:tblGrid>
      <w:tr>
        <w:trPr/>
        <w:tc>
          <w:tcPr>
            <w:tcW w:w="967"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6" w:type="dxa"/>
            <w:gridSpan w:val="11"/>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Minimum Lease Payments </w:t>
            </w:r>
            <w:r>
              <w:rPr>
                <w:rFonts w:ascii="Times New Roman;sans-serif" w:hAnsi="Times New Roman;sans-serif"/>
                <w:b/>
                <w:i/>
                <w:color w:val="000000"/>
                <w:sz w:val="12"/>
              </w:rPr>
              <w:t>(1) (2)</w:t>
            </w:r>
          </w:p>
        </w:tc>
        <w:tc>
          <w:tcPr>
            <w:tcW w:w="1878" w:type="dxa"/>
            <w:gridSpan w:val="6"/>
            <w:tcBorders/>
            <w:shd w:fill="auto" w:val="clea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7"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 in Leases</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6"/>
            <w:tcBorders/>
            <w:shd w:fill="auto" w:val="clea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Sales-Type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Receivables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859,428 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1,164,081 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2,846,907 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1,185,650 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2,898,162 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1,207,803 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2,946,444 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1,230,444 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2,995,989 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1,793,651 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1,253,781 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3,047,432 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77,247,331 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87,195,403 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164,442,734 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87,183,060 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94,096,590 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181,279,650 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 xml:space="preserve">Weighted Average Lease Term </w:t>
            </w:r>
            <w:r>
              <w:rPr>
                <w:rFonts w:ascii="Times New Roman;sans-serif" w:hAnsi="Times New Roman;sans-serif"/>
                <w:b/>
                <w:i/>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years</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Minimum lease payments do not include contingent rent, as discussed above, that may be received under the Lease Agreements.</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The minimum lease payments and weighted average remaining lease term assumes the exercise of all tenant renewal options, consistent with our conclusions under ASC 842 and ASC 310.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Lease Provisions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owned 49 properties leased under 16 separate Lease Agreements with subsidiaries of, or entities managed by, Apollo, Caesars, Century Casinos, CNB, EBCI, Foundation Gaming, JACK Entertainment, MGM, PENN Entertainment, PURE Canadian Gaming and Seminole Hard Rock, certain of which are master lease agreements governing multiple properties and certain of which are for single assets. Our Lease Agreements are generally long-term in nature with initial terms ranging from 15 to 30 years and are structured with several tenant renewal options extending the term of the lease for another 5 to 30 years. All of our Lease Agreements provide for annual base rent escalations, which range from 1% in the earlier years to the greater of 2% or CPI in later years, with certain of our leases providing for a cap with respect to the maximum CPI-based increase. Additionally, certain of our Lease Agreements provide for a variable rent component in which a portion of the annual rent, generally 20%, is subject to adjustment based on the revenues of the underlying asset in specified periods.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Overview</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material lease provisions of our Caesars Leases and MGM Leases, our two most significant tenants:</w:t>
      </w:r>
    </w:p>
    <w:tbl>
      <w:tblPr>
        <w:tblW w:w="10205" w:type="dxa"/>
        <w:jc w:val="left"/>
        <w:tblInd w:w="0" w:type="dxa"/>
        <w:tblCellMar>
          <w:top w:w="28" w:type="dxa"/>
          <w:left w:w="28" w:type="dxa"/>
          <w:bottom w:w="28" w:type="dxa"/>
          <w:right w:w="28" w:type="dxa"/>
        </w:tblCellMar>
      </w:tblPr>
      <w:tblGrid>
        <w:gridCol w:w="645"/>
        <w:gridCol w:w="424"/>
        <w:gridCol w:w="426"/>
        <w:gridCol w:w="109"/>
        <w:gridCol w:w="109"/>
        <w:gridCol w:w="109"/>
        <w:gridCol w:w="610"/>
        <w:gridCol w:w="528"/>
        <w:gridCol w:w="530"/>
        <w:gridCol w:w="109"/>
        <w:gridCol w:w="109"/>
        <w:gridCol w:w="109"/>
        <w:gridCol w:w="640"/>
        <w:gridCol w:w="513"/>
        <w:gridCol w:w="515"/>
        <w:gridCol w:w="109"/>
        <w:gridCol w:w="109"/>
        <w:gridCol w:w="109"/>
        <w:gridCol w:w="109"/>
        <w:gridCol w:w="109"/>
        <w:gridCol w:w="757"/>
        <w:gridCol w:w="571"/>
        <w:gridCol w:w="574"/>
        <w:gridCol w:w="109"/>
        <w:gridCol w:w="109"/>
        <w:gridCol w:w="109"/>
        <w:gridCol w:w="566"/>
        <w:gridCol w:w="566"/>
        <w:gridCol w:w="814"/>
      </w:tblGrid>
      <w:tr>
        <w:trPr/>
        <w:tc>
          <w:tcPr>
            <w:tcW w:w="645"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r>
      <w:tr>
        <w:trPr/>
        <w:tc>
          <w:tcPr>
            <w:tcW w:w="1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Regional Master Lease and Joliet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Caesars Las Vegas </w:t>
              <w:br/>
              <w:t>Master Lease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Master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MGM Grand/</w:t>
            </w:r>
          </w:p>
          <w:p>
            <w:pPr>
              <w:pStyle w:val="TableContents"/>
              <w:spacing w:lineRule="auto" w:line="240" w:before="0" w:after="0"/>
              <w:jc w:val="center"/>
              <w:rPr/>
            </w:pPr>
            <w:r>
              <w:rPr>
                <w:rFonts w:ascii="Times New Roman;sans-serif" w:hAnsi="Times New Roman;sans-serif"/>
                <w:b/>
                <w:color w:val="000000"/>
                <w:sz w:val="18"/>
              </w:rPr>
              <w:t xml:space="preserve">Mandalay Bay Lease </w:t>
            </w:r>
            <w:r>
              <w:rPr>
                <w:rFonts w:ascii="Times New Roman;sans-serif" w:hAnsi="Times New Roman;sans-serif"/>
                <w:b/>
                <w:i/>
                <w:color w:val="000000"/>
                <w:sz w:val="12"/>
              </w:rPr>
              <w:t>(1)</w:t>
            </w:r>
          </w:p>
        </w:tc>
      </w:tr>
      <w:tr>
        <w:trPr/>
        <w:tc>
          <w:tcPr>
            <w:tcW w:w="1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 Provision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2"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94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1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2/28/2050</w:t>
            </w:r>
          </w:p>
        </w:tc>
      </w:tr>
      <w:tr>
        <w:trPr/>
        <w:tc>
          <w:tcPr>
            <w:tcW w:w="1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ten-year terms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Two, ten-year terms</w:t>
            </w:r>
          </w:p>
        </w:tc>
      </w:tr>
      <w:tr>
        <w:trPr/>
        <w:tc>
          <w:tcPr>
            <w:tcW w:w="1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11/1/22 - 10/31/23 </w:t>
              <w:br/>
              <w:t>(Lease Year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11/1/22 - 10/31/23 </w:t>
              <w:br/>
              <w:t>(Lease Year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5/1/23-4/30/24 (Lease Year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3/1/23 - 2/29/24 (Lease Year 4)</w:t>
            </w:r>
          </w:p>
        </w:tc>
      </w:tr>
      <w:tr>
        <w:trPr/>
        <w:tc>
          <w:tcPr>
            <w:tcW w:w="1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$703,678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$454,478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$744,600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$309,873 </w:t>
            </w:r>
          </w:p>
        </w:tc>
      </w:tr>
      <w:tr>
        <w:trPr/>
        <w:tc>
          <w:tcPr>
            <w:tcW w:w="14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Annual escalator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2-5 - 1.5%</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6-end of term - CPI subject to 2.0% floor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2-10 - 2%</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years 11-end of term - &gt;2% / change in CPI (capped at 3%)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2-15 - 2%</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16-end of term - &gt;2% / change in CPI (capped at 3%)</w:t>
            </w:r>
          </w:p>
        </w:tc>
      </w:tr>
      <w:tr>
        <w:trPr/>
        <w:tc>
          <w:tcPr>
            <w:tcW w:w="14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Variable rent adjustment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70% base rent / 30% variable rent</w:t>
            </w:r>
          </w:p>
          <w:p>
            <w:pPr>
              <w:pStyle w:val="TableContents"/>
              <w:spacing w:lineRule="auto" w:line="240" w:before="0" w:after="0"/>
              <w:jc w:val="left"/>
              <w:rPr/>
            </w:pPr>
            <w:r>
              <w:rPr>
                <w:rFonts w:ascii="Times New Roman;sans-serif" w:hAnsi="Times New Roman;sans-serif"/>
                <w:b/>
                <w:color w:val="000000"/>
                <w:sz w:val="20"/>
              </w:rPr>
              <w:t>Years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Years 8,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1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On January 9, 2023, we closed on the MGM Grand/Mandalay Bay JV Interest Acquisition and acquired the remaining 49.9% interest in the MGM Grand/Mandalay Bay JV and accordingly, the amounts set forth above reflect our consolidated interest. </w:t>
      </w:r>
    </w:p>
    <w:p>
      <w:pPr>
        <w:pStyle w:val="TextBody"/>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$694.6 million. </w:t>
      </w:r>
    </w:p>
    <w:p>
      <w:pPr>
        <w:pStyle w:val="TextBody"/>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Any amounts representing rents in excess of the CPI floors specified above are considered contingent rent in accordance with GAAP.</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Variable rent is not subject to the Escalator.</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 Requirements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tbl>
      <w:tblPr>
        <w:tblW w:w="10205" w:type="dxa"/>
        <w:jc w:val="left"/>
        <w:tblInd w:w="0" w:type="dxa"/>
        <w:tblCellMar>
          <w:top w:w="28" w:type="dxa"/>
          <w:left w:w="28" w:type="dxa"/>
          <w:bottom w:w="28" w:type="dxa"/>
          <w:right w:w="28" w:type="dxa"/>
        </w:tblCellMar>
      </w:tblPr>
      <w:tblGrid>
        <w:gridCol w:w="508"/>
        <w:gridCol w:w="446"/>
        <w:gridCol w:w="451"/>
        <w:gridCol w:w="109"/>
        <w:gridCol w:w="109"/>
        <w:gridCol w:w="109"/>
        <w:gridCol w:w="511"/>
        <w:gridCol w:w="511"/>
        <w:gridCol w:w="512"/>
        <w:gridCol w:w="109"/>
        <w:gridCol w:w="109"/>
        <w:gridCol w:w="109"/>
        <w:gridCol w:w="435"/>
        <w:gridCol w:w="399"/>
        <w:gridCol w:w="400"/>
        <w:gridCol w:w="109"/>
        <w:gridCol w:w="109"/>
        <w:gridCol w:w="109"/>
        <w:gridCol w:w="673"/>
        <w:gridCol w:w="589"/>
        <w:gridCol w:w="592"/>
        <w:gridCol w:w="109"/>
        <w:gridCol w:w="109"/>
        <w:gridCol w:w="109"/>
        <w:gridCol w:w="109"/>
        <w:gridCol w:w="109"/>
        <w:gridCol w:w="563"/>
        <w:gridCol w:w="515"/>
        <w:gridCol w:w="517"/>
        <w:gridCol w:w="392"/>
        <w:gridCol w:w="272"/>
        <w:gridCol w:w="393"/>
      </w:tblGrid>
      <w:tr>
        <w:trPr/>
        <w:tc>
          <w:tcPr>
            <w:tcW w:w="50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Regional Master Lease and Joliet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Las Vegas Master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MGM Grand/ Mandalay Bay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Venetian Lease</w:t>
            </w:r>
          </w:p>
        </w:tc>
        <w:tc>
          <w:tcPr>
            <w:tcW w:w="10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All Other Leases </w:t>
            </w:r>
            <w:r>
              <w:rPr>
                <w:rFonts w:ascii="Times New Roman;sans-serif" w:hAnsi="Times New Roman;sans-serif"/>
                <w:b/>
                <w:i/>
                <w:color w:val="000000"/>
                <w:sz w:val="13"/>
              </w:rPr>
              <w:t>(1)</w:t>
            </w:r>
          </w:p>
        </w:tc>
      </w:tr>
      <w:tr>
        <w:trPr/>
        <w:tc>
          <w:tcPr>
            <w:tcW w:w="14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of net revenues based on rolling three-year basis</w:t>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of net revenues</w:t>
            </w:r>
          </w:p>
        </w:tc>
      </w:tr>
      <w:tr>
        <w:trPr/>
        <w:tc>
          <w:tcPr>
            <w:tcW w:w="14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Rolling three-year minimum</w:t>
            </w:r>
            <w:r>
              <w:rPr>
                <w:color w:val="000000"/>
              </w:rPr>
              <w:t xml:space="preserve">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million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 million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the tenants under our other Lease Agreements not specifically outlined in the table, as specified in the respective Lease Agreements.</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Caesars Leases require a $107.5 million floor on annual capital expenditures for Caesars Palace Las Vegas, Joliet and the Regional Master Lease properties in the aggregate. Additionally, annual building &amp; improvement capital improvements must be equal to or greater than 1% of prior year net revenues.</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Certain tenants under the Caesars Leases,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Regional Master Lease and Joliet Lease are required to expend a minimum of $531.9 million on capital expenditures (including gaming equipment) across certain of its affiliates and other assets, together with the $380.3 million requirement. </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Investments in Loans and Securities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in loans and securities as of March 31, 2023 and December 31, 2022:</w:t>
      </w:r>
    </w:p>
    <w:tbl>
      <w:tblPr>
        <w:tblW w:w="10205" w:type="dxa"/>
        <w:jc w:val="left"/>
        <w:tblInd w:w="0" w:type="dxa"/>
        <w:tblCellMar>
          <w:top w:w="28" w:type="dxa"/>
          <w:left w:w="28" w:type="dxa"/>
          <w:bottom w:w="28" w:type="dxa"/>
          <w:right w:w="28" w:type="dxa"/>
        </w:tblCellMar>
      </w:tblPr>
      <w:tblGrid>
        <w:gridCol w:w="124"/>
        <w:gridCol w:w="109"/>
        <w:gridCol w:w="459"/>
        <w:gridCol w:w="438"/>
        <w:gridCol w:w="440"/>
        <w:gridCol w:w="109"/>
        <w:gridCol w:w="109"/>
        <w:gridCol w:w="109"/>
        <w:gridCol w:w="227"/>
        <w:gridCol w:w="892"/>
        <w:gridCol w:w="117"/>
        <w:gridCol w:w="109"/>
        <w:gridCol w:w="109"/>
        <w:gridCol w:w="109"/>
        <w:gridCol w:w="228"/>
        <w:gridCol w:w="895"/>
        <w:gridCol w:w="118"/>
        <w:gridCol w:w="109"/>
        <w:gridCol w:w="109"/>
        <w:gridCol w:w="109"/>
        <w:gridCol w:w="308"/>
        <w:gridCol w:w="1209"/>
        <w:gridCol w:w="160"/>
        <w:gridCol w:w="109"/>
        <w:gridCol w:w="109"/>
        <w:gridCol w:w="109"/>
        <w:gridCol w:w="414"/>
        <w:gridCol w:w="320"/>
        <w:gridCol w:w="800"/>
        <w:gridCol w:w="109"/>
        <w:gridCol w:w="109"/>
        <w:gridCol w:w="109"/>
        <w:gridCol w:w="381"/>
        <w:gridCol w:w="381"/>
        <w:gridCol w:w="5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72" w:type="dxa"/>
            <w:gridSpan w:val="3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Carrying Value</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Future Funding Commitments</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Senior Secured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years</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Senior Secured Loans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526,110 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523,707 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649,810 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years</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293,510 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284,821 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321,999 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8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904,620 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886,524 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971,809 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years</w:t>
            </w:r>
          </w:p>
        </w:tc>
      </w:tr>
    </w:tbl>
    <w:tbl>
      <w:tblPr>
        <w:tblW w:w="10205" w:type="dxa"/>
        <w:jc w:val="left"/>
        <w:tblInd w:w="0" w:type="dxa"/>
        <w:tblCellMar>
          <w:top w:w="28" w:type="dxa"/>
          <w:left w:w="28" w:type="dxa"/>
          <w:bottom w:w="28" w:type="dxa"/>
          <w:right w:w="28" w:type="dxa"/>
        </w:tblCellMar>
      </w:tblPr>
      <w:tblGrid>
        <w:gridCol w:w="124"/>
        <w:gridCol w:w="109"/>
        <w:gridCol w:w="442"/>
        <w:gridCol w:w="422"/>
        <w:gridCol w:w="423"/>
        <w:gridCol w:w="109"/>
        <w:gridCol w:w="109"/>
        <w:gridCol w:w="109"/>
        <w:gridCol w:w="228"/>
        <w:gridCol w:w="896"/>
        <w:gridCol w:w="118"/>
        <w:gridCol w:w="109"/>
        <w:gridCol w:w="109"/>
        <w:gridCol w:w="109"/>
        <w:gridCol w:w="229"/>
        <w:gridCol w:w="899"/>
        <w:gridCol w:w="118"/>
        <w:gridCol w:w="109"/>
        <w:gridCol w:w="109"/>
        <w:gridCol w:w="109"/>
        <w:gridCol w:w="282"/>
        <w:gridCol w:w="1306"/>
        <w:gridCol w:w="145"/>
        <w:gridCol w:w="109"/>
        <w:gridCol w:w="109"/>
        <w:gridCol w:w="109"/>
        <w:gridCol w:w="349"/>
        <w:gridCol w:w="327"/>
        <w:gridCol w:w="819"/>
        <w:gridCol w:w="109"/>
        <w:gridCol w:w="109"/>
        <w:gridCol w:w="109"/>
        <w:gridCol w:w="387"/>
        <w:gridCol w:w="387"/>
        <w:gridCol w:w="5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72" w:type="dxa"/>
            <w:gridSpan w:val="3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Carrying Value</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Future Funding Commitments</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584,049 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years</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196,597 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192,898 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514,882 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8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692,498 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1,098,931 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Carrying value includes unamortized loan origination costs and are net of allowance for credit losses.</w:t>
      </w:r>
    </w:p>
    <w:p>
      <w:pPr>
        <w:pStyle w:val="TextBody"/>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Our future funding commitments are subject to our borrowers’ compliance with the financial covenants and other applicable provisions of each respective loan agreement.</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The weighted average interest rate is based on current outstanding principal balance and SOFR, as applicable for floating rate loans, as of March 31, 2023.</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Assumes all extension options are exercised; however, our loans may be repaid, subject to certain conditions, prior to such date.</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(5) Represents our investment in the Hard Rock Ottawa Notes, which are accounted for as held-to-maturity securities. </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(6) Subsequent to quarter-end, on May 1, 2023, the Forum Convention Center Mortgage Loan, representing $400.0 million in principal balance of our senior secured loans, was repaid in full.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Note 5 — Allowance for Credit Losses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326, we are required to estimate and record non-cash credit losses related to our historical and any future investments in sales-type leases, lease financing receivables, loans and securities classified as held-to-maturity.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recognized a $111.5 million increase in our allowance for credit losses primarily driven by (i) initial CECL allowances in relation to (a) the consolidation of the MGM Grand/Mandalay Bay JV in connection with the MGM Grand/Mandalay Bay JV Interest Acquisition and related classification of the MGM Grand/Mandalay Bay Lease as a sales-type lease, (b) the PURE Canadian Gaming Transaction and related classification of the PURE Master Lease as a lease financing receivable and (c) the purchase of the Hard Rock Ottawa Notes, and (ii) an increase in the Long-Term Period, probability of default, or PD, as a result of a standard annual update made to the Long-Term PD default study we utilize to estimate our CECL allowance. This increase was partially offset by (i) a decrease in the reasonable and supportable period, or R&amp;S Period, PD of our tenants and their parent guarantors as a result of their market performance during the current quarter and (ii) changes in the macroeconomic model used to scenario condition our R&amp;S Period PD.</w:t>
      </w:r>
    </w:p>
    <w:p>
      <w:pPr>
        <w:pStyle w:val="TextBody"/>
        <w:spacing w:lineRule="auto" w:line="288" w:before="18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three months ended March 31, 2022, we recognized an $80.8 million increase in our allowance for credit losses primarily driven by (i) the initial CECL allowance in relation to (a) the Venetian Acquisition and classification of the Venetian Lease as a sales-type lease, (b) the estimated future funding commitments under our Property Growth Fund Agreement with the Venetian Tenant and (c) the sales-type sub-lease agreements we assumed in connection with the Venetian Acquisition and are required to present gross and (ii) the increase in the R&amp;S Period PD of our tenants and their parent guarantors as a result of market volatility during the first quarter of 2022. This was partially offset by a decrease in the Long-Term Period PD as a result of a standard annual update made to the Long-Term PD default study we utilize to estimate our CECL allowance.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and since our formation date on October 6, 2017, all of our Lease Agreements and loan and security investments are current in payment of their obligations to us and no investments are on non-accrual status.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allowance for credit losses as of March 31, 2023 and December 31, 2022:</w:t>
      </w:r>
    </w:p>
    <w:tbl>
      <w:tblPr>
        <w:tblW w:w="10205" w:type="dxa"/>
        <w:jc w:val="left"/>
        <w:tblInd w:w="0" w:type="dxa"/>
        <w:tblCellMar>
          <w:top w:w="28" w:type="dxa"/>
          <w:left w:w="28" w:type="dxa"/>
          <w:bottom w:w="28" w:type="dxa"/>
          <w:right w:w="28" w:type="dxa"/>
        </w:tblCellMar>
      </w:tblPr>
      <w:tblGrid>
        <w:gridCol w:w="1029"/>
        <w:gridCol w:w="894"/>
        <w:gridCol w:w="857"/>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501"/>
        <w:gridCol w:w="458"/>
        <w:gridCol w:w="1334"/>
      </w:tblGrid>
      <w:tr>
        <w:trPr/>
        <w:tc>
          <w:tcPr>
            <w:tcW w:w="1029"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r>
      <w:tr>
        <w:trPr/>
        <w:tc>
          <w:tcPr>
            <w:tcW w:w="2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23,296,424 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22,579,820 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3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3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3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42,723,768 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(1,438,801)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41,284,967 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CellMar>
          <w:top w:w="28" w:type="dxa"/>
          <w:left w:w="28" w:type="dxa"/>
          <w:bottom w:w="28" w:type="dxa"/>
          <w:right w:w="28" w:type="dxa"/>
        </w:tblCellMar>
      </w:tblPr>
      <w:tblGrid>
        <w:gridCol w:w="1029"/>
        <w:gridCol w:w="894"/>
        <w:gridCol w:w="857"/>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501"/>
        <w:gridCol w:w="458"/>
        <w:gridCol w:w="1334"/>
      </w:tblGrid>
      <w:tr>
        <w:trPr/>
        <w:tc>
          <w:tcPr>
            <w:tcW w:w="1029"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r>
      <w:tr>
        <w:trPr/>
        <w:tc>
          <w:tcPr>
            <w:tcW w:w="2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17,467,477 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3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3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36,687,106 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35,363,397 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The total allowance excludes the CECL allowance for unfunded commitments of our senior secured and mezzanine loans. As of March 31, 2023 and December 31, 2022, such allowance is $41.3 million and $45.1 million, respectively, and is recorded in Other liabilities.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reflects the roll-forward of the allowance for credit losses on our real estate portfolio for the three months ended March 31, 2023 and 2022:</w:t>
      </w:r>
    </w:p>
    <w:tbl>
      <w:tblPr>
        <w:tblW w:w="7251" w:type="dxa"/>
        <w:jc w:val="left"/>
        <w:tblInd w:w="0" w:type="dxa"/>
        <w:tblCellMar>
          <w:top w:w="28" w:type="dxa"/>
          <w:left w:w="28" w:type="dxa"/>
          <w:bottom w:w="28" w:type="dxa"/>
          <w:right w:w="28" w:type="dxa"/>
        </w:tblCellMar>
      </w:tblPr>
      <w:tblGrid>
        <w:gridCol w:w="1489"/>
        <w:gridCol w:w="1309"/>
        <w:gridCol w:w="1312"/>
        <w:gridCol w:w="109"/>
        <w:gridCol w:w="109"/>
        <w:gridCol w:w="109"/>
        <w:gridCol w:w="211"/>
        <w:gridCol w:w="976"/>
        <w:gridCol w:w="109"/>
        <w:gridCol w:w="109"/>
        <w:gridCol w:w="109"/>
        <w:gridCol w:w="109"/>
        <w:gridCol w:w="211"/>
        <w:gridCol w:w="826"/>
        <w:gridCol w:w="154"/>
      </w:tblGrid>
      <w:tr>
        <w:trPr/>
        <w:tc>
          <w:tcPr>
            <w:tcW w:w="1489"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allowance from current period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credit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Balance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Credit Quality Indicators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TextBody"/>
        <w:spacing w:lineRule="auto" w:line="288" w:before="18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tables detail the amortized cost basis of our investments by the credit quality indicator we assigned to each lease or loan guarantor as of March 31, 2023 and 2022:</w:t>
      </w:r>
    </w:p>
    <w:tbl>
      <w:tblPr>
        <w:tblW w:w="12153" w:type="dxa"/>
        <w:jc w:val="left"/>
        <w:tblInd w:w="0" w:type="dxa"/>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1081"/>
        <w:gridCol w:w="154"/>
      </w:tblGrid>
      <w:tr>
        <w:trPr/>
        <w:tc>
          <w:tcPr>
            <w:tcW w:w="41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39"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N/A</w:t>
            </w:r>
            <w:r>
              <w:rPr>
                <w:rFonts w:ascii="Times New Roman;sans-serif" w:hAnsi="Times New Roman;sans-serif"/>
                <w:b/>
                <w:i/>
                <w:color w:val="000000"/>
                <w:sz w:val="12"/>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33,078,752 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42,723,768 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12003" w:type="dxa"/>
        <w:jc w:val="left"/>
        <w:tblInd w:w="0" w:type="dxa"/>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826"/>
        <w:gridCol w:w="109"/>
        <w:gridCol w:w="109"/>
        <w:gridCol w:w="109"/>
        <w:gridCol w:w="109"/>
        <w:gridCol w:w="211"/>
        <w:gridCol w:w="108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1081"/>
        <w:gridCol w:w="154"/>
      </w:tblGrid>
      <w:tr>
        <w:trPr/>
        <w:tc>
          <w:tcPr>
            <w:tcW w:w="41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89"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r>
      <w:tr>
        <w:trPr/>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N/A</w:t>
            </w:r>
            <w:r>
              <w:rPr>
                <w:rFonts w:ascii="Times New Roman;sans-serif" w:hAnsi="Times New Roman;sans-serif"/>
                <w:b/>
                <w:i/>
                <w:color w:val="000000"/>
                <w:sz w:val="12"/>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21,330,419 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(1)Excludes the CECL allowance for unfunded commitments recorded in Other liabilities as such commitments are not currently reflected on our Balance Sheet, rather the CECL allowance is based on our current best estimate of future funding commitments.</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(2)We estimate the CECL allowance for our senior secured and mezzanine loans, excluding the Forum Convention Center Mortgage Loan and Hard Rock Ottawa Notes, using a traditional commercial real estate model based on standardized credit metrics to estimate potential losses.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6 — Other Assets and Other Liabilities </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assets as of March 31, 2023 and December 31, 2022:</w:t>
      </w:r>
    </w:p>
    <w:tbl>
      <w:tblPr>
        <w:tblW w:w="7435" w:type="dxa"/>
        <w:jc w:val="left"/>
        <w:tblInd w:w="0" w:type="dxa"/>
        <w:tblCellMar>
          <w:top w:w="28" w:type="dxa"/>
          <w:left w:w="28" w:type="dxa"/>
          <w:bottom w:w="28" w:type="dxa"/>
          <w:right w:w="28" w:type="dxa"/>
        </w:tblCellMar>
      </w:tblPr>
      <w:tblGrid>
        <w:gridCol w:w="1533"/>
        <w:gridCol w:w="1347"/>
        <w:gridCol w:w="1350"/>
        <w:gridCol w:w="237"/>
        <w:gridCol w:w="930"/>
        <w:gridCol w:w="122"/>
        <w:gridCol w:w="109"/>
        <w:gridCol w:w="109"/>
        <w:gridCol w:w="109"/>
        <w:gridCol w:w="281"/>
        <w:gridCol w:w="1103"/>
        <w:gridCol w:w="205"/>
      </w:tblGrid>
      <w:tr>
        <w:trPr/>
        <w:tc>
          <w:tcPr>
            <w:tcW w:w="1533"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Sales-type sub-leases, net </w:t>
            </w:r>
            <w:r>
              <w:rPr>
                <w:rFonts w:ascii="Times New Roman;sans-serif" w:hAnsi="Times New Roman;sans-serif"/>
                <w:b w:val="false"/>
                <w:i/>
                <w:color w:val="000000"/>
                <w:sz w:val="13"/>
              </w:rPr>
              <w:t>(1)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767,436 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in operations, net</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and sub-lease right of use assets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financing costs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acquisition costs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12,834 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receivables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934,049 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936,328 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spacing w:lineRule="auto" w:line="288" w:before="60" w:after="283"/>
        <w:jc w:val="both"/>
        <w:rPr/>
      </w:pPr>
      <w:r>
        <w:rPr>
          <w:rFonts w:ascii="Times New Roman;sans-serif" w:hAnsi="Times New Roman;sans-serif"/>
          <w:b w:val="false"/>
          <w:i/>
          <w:color w:val="000000"/>
          <w:sz w:val="16"/>
        </w:rPr>
        <w:t xml:space="preserve">(1) As of March 31, 2023 and December 31, 2022, sales-type sub-leases are net of $17.0 million and $19.8 million of Allowance for credit losses, respectively. Refer to </w:t>
      </w:r>
      <w:hyperlink w:anchor="i402613ae68904b5587c68802b3f0ad2f_67">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used in operations, included within other assets, is primarily attributable to the land, building and improvements of our golf operations and consists of the following as of March 31, 2023 and December 31, 2022: </w:t>
      </w:r>
    </w:p>
    <w:tbl>
      <w:tblPr>
        <w:tblW w:w="7632" w:type="dxa"/>
        <w:jc w:val="left"/>
        <w:tblInd w:w="0" w:type="dxa"/>
        <w:tblCellMar>
          <w:top w:w="28" w:type="dxa"/>
          <w:left w:w="28" w:type="dxa"/>
          <w:bottom w:w="28" w:type="dxa"/>
          <w:right w:w="28" w:type="dxa"/>
        </w:tblCellMar>
      </w:tblPr>
      <w:tblGrid>
        <w:gridCol w:w="1599"/>
        <w:gridCol w:w="1408"/>
        <w:gridCol w:w="1418"/>
        <w:gridCol w:w="261"/>
        <w:gridCol w:w="894"/>
        <w:gridCol w:w="135"/>
        <w:gridCol w:w="109"/>
        <w:gridCol w:w="109"/>
        <w:gridCol w:w="109"/>
        <w:gridCol w:w="309"/>
        <w:gridCol w:w="1056"/>
        <w:gridCol w:w="225"/>
      </w:tblGrid>
      <w:tr>
        <w:trPr/>
        <w:tc>
          <w:tcPr>
            <w:tcW w:w="1599"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and equipment </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used in operations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(17,811)</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used in operations, net</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933" w:type="dxa"/>
        <w:jc w:val="center"/>
        <w:tblInd w:w="0" w:type="dxa"/>
        <w:tblCellMar>
          <w:top w:w="28" w:type="dxa"/>
          <w:left w:w="28" w:type="dxa"/>
          <w:bottom w:w="28" w:type="dxa"/>
          <w:right w:w="28" w:type="dxa"/>
        </w:tblCellMar>
      </w:tblPr>
      <w:tblGrid>
        <w:gridCol w:w="677"/>
        <w:gridCol w:w="595"/>
        <w:gridCol w:w="602"/>
        <w:gridCol w:w="286"/>
        <w:gridCol w:w="633"/>
        <w:gridCol w:w="148"/>
        <w:gridCol w:w="148"/>
        <w:gridCol w:w="148"/>
        <w:gridCol w:w="148"/>
        <w:gridCol w:w="286"/>
        <w:gridCol w:w="633"/>
        <w:gridCol w:w="148"/>
        <w:gridCol w:w="109"/>
        <w:gridCol w:w="109"/>
        <w:gridCol w:w="109"/>
        <w:gridCol w:w="154"/>
      </w:tblGrid>
      <w:tr>
        <w:trPr/>
        <w:tc>
          <w:tcPr>
            <w:tcW w:w="67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Liabilities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liabilities as of March 31, 2023 and December 31, 2022:</w:t>
      </w:r>
    </w:p>
    <w:tbl>
      <w:tblPr>
        <w:tblW w:w="6940" w:type="dxa"/>
        <w:jc w:val="left"/>
        <w:tblInd w:w="0" w:type="dxa"/>
        <w:tblCellMar>
          <w:top w:w="28" w:type="dxa"/>
          <w:left w:w="28" w:type="dxa"/>
          <w:bottom w:w="28" w:type="dxa"/>
          <w:right w:w="28" w:type="dxa"/>
        </w:tblCellMar>
      </w:tblPr>
      <w:tblGrid>
        <w:gridCol w:w="1354"/>
        <w:gridCol w:w="1189"/>
        <w:gridCol w:w="1192"/>
        <w:gridCol w:w="237"/>
        <w:gridCol w:w="930"/>
        <w:gridCol w:w="122"/>
        <w:gridCol w:w="109"/>
        <w:gridCol w:w="109"/>
        <w:gridCol w:w="109"/>
        <w:gridCol w:w="281"/>
        <w:gridCol w:w="1103"/>
        <w:gridCol w:w="205"/>
      </w:tblGrid>
      <w:tr>
        <w:trPr/>
        <w:tc>
          <w:tcPr>
            <w:tcW w:w="135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sub-lease liabilities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liabilities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sub-lease liabilities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 allowance for unfunded commitments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45,110 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954,543 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952,472 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7— Debt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debt obligations as of March 31, 2023 and December 31, 2022:</w:t>
      </w:r>
    </w:p>
    <w:tbl>
      <w:tblPr>
        <w:tblW w:w="10170" w:type="dxa"/>
        <w:jc w:val="left"/>
        <w:tblInd w:w="0" w:type="dxa"/>
        <w:tblCellMar>
          <w:top w:w="28" w:type="dxa"/>
          <w:left w:w="28" w:type="dxa"/>
          <w:bottom w:w="28" w:type="dxa"/>
          <w:right w:w="28" w:type="dxa"/>
        </w:tblCellMar>
      </w:tblPr>
      <w:tblGrid>
        <w:gridCol w:w="1324"/>
        <w:gridCol w:w="1166"/>
        <w:gridCol w:w="1169"/>
        <w:gridCol w:w="109"/>
        <w:gridCol w:w="109"/>
        <w:gridCol w:w="109"/>
        <w:gridCol w:w="265"/>
        <w:gridCol w:w="265"/>
        <w:gridCol w:w="266"/>
        <w:gridCol w:w="109"/>
        <w:gridCol w:w="109"/>
        <w:gridCol w:w="109"/>
        <w:gridCol w:w="454"/>
        <w:gridCol w:w="454"/>
        <w:gridCol w:w="456"/>
        <w:gridCol w:w="109"/>
        <w:gridCol w:w="109"/>
        <w:gridCol w:w="109"/>
        <w:gridCol w:w="223"/>
        <w:gridCol w:w="1146"/>
        <w:gridCol w:w="115"/>
        <w:gridCol w:w="109"/>
        <w:gridCol w:w="109"/>
        <w:gridCol w:w="109"/>
        <w:gridCol w:w="227"/>
        <w:gridCol w:w="1166"/>
        <w:gridCol w:w="166"/>
      </w:tblGrid>
      <w:tr>
        <w:trPr/>
        <w:tc>
          <w:tcPr>
            <w:tcW w:w="132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CAD Borrowings </w:t>
            </w:r>
            <w:r>
              <w:rPr>
                <w:rFonts w:ascii="Times New Roman;sans-serif" w:hAnsi="Times New Roman;sans-serif"/>
                <w:b w:val="false"/>
                <w:i/>
                <w:color w:val="000000"/>
                <w:sz w:val="13"/>
              </w:rPr>
              <w:t>(2)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CDOR + 1.05%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MGM Grand/Mandalay Bay CMBS Debt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2,753,800 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November 2019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1,239,538 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989,331 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February 2020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745,606 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743,505 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988,999 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April 2022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496,701 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1,237,710 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988,050 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1,481,308 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735,483 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Exchange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1,024,169 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1,028,276 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799,368 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785,244 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480,524 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464,191 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729,466 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737,943 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349,325 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337,168 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663,086 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MGP OP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4.340%</w:t>
            </w:r>
            <w:r>
              <w:rPr>
                <w:color w:val="000000"/>
              </w:rPr>
              <w:t xml:space="preserve"> </w:t>
            </w:r>
            <w:r>
              <w:rPr>
                <w:rFonts w:ascii="Times New Roman;sans-serif" w:hAnsi="Times New Roman;sans-serif"/>
                <w:b w:val="false"/>
                <w:i/>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17,053,572 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16,606,240 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9045" w:type="dxa"/>
        <w:jc w:val="left"/>
        <w:tblInd w:w="0" w:type="dxa"/>
        <w:tblCellMar>
          <w:top w:w="28" w:type="dxa"/>
          <w:left w:w="28" w:type="dxa"/>
          <w:bottom w:w="28" w:type="dxa"/>
          <w:right w:w="28" w:type="dxa"/>
        </w:tblCellMar>
      </w:tblPr>
      <w:tblGrid>
        <w:gridCol w:w="939"/>
        <w:gridCol w:w="827"/>
        <w:gridCol w:w="828"/>
        <w:gridCol w:w="109"/>
        <w:gridCol w:w="109"/>
        <w:gridCol w:w="109"/>
        <w:gridCol w:w="265"/>
        <w:gridCol w:w="265"/>
        <w:gridCol w:w="266"/>
        <w:gridCol w:w="109"/>
        <w:gridCol w:w="109"/>
        <w:gridCol w:w="109"/>
        <w:gridCol w:w="434"/>
        <w:gridCol w:w="434"/>
        <w:gridCol w:w="436"/>
        <w:gridCol w:w="109"/>
        <w:gridCol w:w="109"/>
        <w:gridCol w:w="109"/>
        <w:gridCol w:w="223"/>
        <w:gridCol w:w="1146"/>
        <w:gridCol w:w="115"/>
        <w:gridCol w:w="109"/>
        <w:gridCol w:w="109"/>
        <w:gridCol w:w="109"/>
        <w:gridCol w:w="227"/>
        <w:gridCol w:w="1166"/>
        <w:gridCol w:w="166"/>
      </w:tblGrid>
      <w:tr>
        <w:trPr/>
        <w:tc>
          <w:tcPr>
            <w:tcW w:w="939"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br/>
              <w:t>Maturity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Revolving Credit Facility </w:t>
            </w:r>
            <w:r>
              <w:rPr>
                <w:rFonts w:ascii="Times New Roman;sans-serif" w:hAnsi="Times New Roman;sans-serif"/>
                <w:b w:val="false"/>
                <w:i/>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Delayed Draw Term Loan </w:t>
            </w:r>
            <w:r>
              <w:rPr>
                <w:rFonts w:ascii="Times New Roman;sans-serif" w:hAnsi="Times New Roman;sans-serif"/>
                <w:b w:val="false"/>
                <w:i/>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November 2019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1,238,825 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988,931 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February 2020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745,020 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743,086 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988,626 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April 2022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496,314 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1,237,082 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987,618 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1,480,799 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735,360 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Exchange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1,024,169 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1,029,226 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799,368 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783,659 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480,524 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463,018 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729,466 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738,499 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349,325 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336,545 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660,489 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MGP OP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4.496%</w:t>
            </w:r>
            <w:r>
              <w:rPr>
                <w:color w:val="000000"/>
              </w:rPr>
              <w:t xml:space="preserve"> </w:t>
            </w:r>
            <w:r>
              <w:rPr>
                <w:rFonts w:ascii="Times New Roman;sans-serif" w:hAnsi="Times New Roman;sans-serif"/>
                <w:b w:val="false"/>
                <w:i/>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(1)Carrying value is net of unamortized original issue discount and unamortized debt issuance costs incurred in conjunction with debt.</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(2)Interest on any outstanding balance is payable monthly. Borrowings under the Revolving Credit Facility bear interest at a rate based on a credit rating-based pricing grid with a range of 0.775% to 1.325% margin plus SOFR (or CDOR, as applicable) with an additional 0.10% adjustment for SOFR loans, as applicable. Additionally, the commitment fees under the Revolving Credit Facility are calculated on a credit rating-based pricing grid with a range of 0.15% to 0.375%, depending on our credit ratings. For the three months ended March 31, 2023, the commitment fee for the Revolving Credit Facility was 0.250%. </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(3)On January 3, 2023, we drew on the Revolving Credit Facility in the amount of C$140.0 million to fund a portion of the purchase price of the PURE Canadian Gaming Transaction. The balance above is inclusive of foreign currency remeasurement.</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(4)Interest is payable monthly.</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(5)Interest is payable semi-annually.</w:t>
      </w:r>
    </w:p>
    <w:p>
      <w:pPr>
        <w:pStyle w:val="TextBody"/>
        <w:spacing w:lineRule="auto" w:line="288" w:before="0" w:after="0"/>
        <w:ind w:left="0" w:right="0" w:hanging="360"/>
        <w:jc w:val="both"/>
        <w:rPr/>
      </w:pPr>
      <w:r>
        <w:rPr>
          <w:rFonts w:ascii="Times New Roman;sans-serif" w:hAnsi="Times New Roman;sans-serif"/>
          <w:b w:val="false"/>
          <w:i/>
          <w:color w:val="000000"/>
          <w:sz w:val="16"/>
        </w:rPr>
        <w:t xml:space="preserve">(6)Interest rates represent the contractual interest rates adjusted to account for the impact of the forward-starting interest rate swaps and treasury locks (as further described in </w:t>
      </w:r>
      <w:hyperlink w:anchor="i402613ae68904b5587c68802b3f0ad2f_76">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xml:space="preserve">). The contractual interest rates on the April 2022 Notes maturing 2028, 2030 and 2032 are 4.750%, 4.950% and 5.125%, respectively.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0" w:after="0"/>
        <w:ind w:left="0" w:right="0" w:hanging="360"/>
        <w:jc w:val="both"/>
        <w:rPr/>
      </w:pPr>
      <w:r>
        <w:rPr>
          <w:rFonts w:ascii="Times New Roman;sans-serif" w:hAnsi="Times New Roman;sans-serif"/>
          <w:b w:val="false"/>
          <w:i/>
          <w:color w:val="000000"/>
          <w:sz w:val="16"/>
        </w:rPr>
        <w:t xml:space="preserve">(7)The interest rate represents the weighted average interest rates of the Senior Unsecured Notes adjusted to account for the impact of the forward-starting interest rate swaps and treasury locks (as further described in </w:t>
      </w:r>
      <w:hyperlink w:anchor="i402613ae68904b5587c68802b3f0ad2f_76">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as applicable. The contractual weighted average interest rate as of March 31, 2023, which excludes the impact of the forward-starting interest rate swaps and treasury locks, is 4.45%.</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(8)The Delayed Draw Term Loan was available to be drawn up to 12 months following the effective date of February 8, 2022. On February 8, 2023, the Delayed Draw Term Loan facility expired undrawn in accordance with its terms.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schedule of future minimum principal payments of our debt obligations as of March 31, 2023:</w:t>
      </w:r>
    </w:p>
    <w:tbl>
      <w:tblPr>
        <w:tblW w:w="6327" w:type="dxa"/>
        <w:jc w:val="left"/>
        <w:tblInd w:w="0" w:type="dxa"/>
        <w:tblCellMar>
          <w:top w:w="28" w:type="dxa"/>
          <w:left w:w="28" w:type="dxa"/>
          <w:bottom w:w="28" w:type="dxa"/>
          <w:right w:w="28" w:type="dxa"/>
        </w:tblCellMar>
      </w:tblPr>
      <w:tblGrid>
        <w:gridCol w:w="1081"/>
        <w:gridCol w:w="951"/>
        <w:gridCol w:w="953"/>
        <w:gridCol w:w="109"/>
        <w:gridCol w:w="109"/>
        <w:gridCol w:w="109"/>
        <w:gridCol w:w="440"/>
        <w:gridCol w:w="2254"/>
        <w:gridCol w:w="321"/>
      </w:tblGrid>
      <w:tr>
        <w:trPr/>
        <w:tc>
          <w:tcPr>
            <w:tcW w:w="1081"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Minimum Principal Payments</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1,853,572 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principal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17,053,572 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Senior Unsecured Notes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 Notes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13, 2021, we announced that the VICI Issuers commenced (i) private exchange offers to certain eligible holders (collectively, the “Exchange Offers”) for any and all of each series of the MGP OP Notes for up to an aggregate principal amount of $4.2 billion of new notes issued by the VICI Issuers and (ii) consent solicitations with respect to each series of MGP OP Notes (collectively, the “Consent Solicitations”) to adopt certain proposed amendments to each of the indentures governing the MGP OP Notes (collectively, the “MGP OP Notes Indentures”), which, among other things, eliminated or modified certain of the covenants, restrictions, provisions and events of default in each of the MGP OP Notes Indentures. Upon settlement of the Exchange Offers and Consent Solicitations on April 29, 2022, supplemental indentures to each of the MGP OP Notes Indentures that effected the proposed amendments became operative.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VICI Issuers issued $1,024.2 million in aggregate principal amount of 5.625% Senior Notes due May 1, 2024, $799.4 million in aggregate principal amount of 4.625% Senior Notes due June 15, 2025, $480.5 million in aggregate principal amount of 4.500% Senior Notes due September 1, 2026, $729.5 million in aggregate principal amount of 5.750% Senior Notes due February 1, 2027, $349.3 million in aggregate principal amount of 4.500% Senior Notes due January 15, 2028 and $727.1 million in aggregate principal amount of 3.875% Senior Notes due February 15, 2029 in exchange for the validly tendered and not validly withdrawn MGP OP Notes, originally issued by the MGP Issuers, pursuant to the settlement of the Exchange Offers and Consent Solicitations in connection with the closing of the MGP Transactions. The Exchange Notes were issued with the same interest rate, maturity date and redemption terms as the corresponding series of MGP OP Notes, in each case under a supplemental indenture dated as of April 29, 2022, between the VICI Issuers and UMB Bank, National Association, as trustee (the “Trustee”).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 Notes due 2025, 2026, 2027, 2028, and 2029 are redeemable at our option, in whole or in part, at any time on or after February 1, 2024, March 15, 2025, June 1, 2026, November 1, 2026, October 15, 2027 and November 15, 2028, respectively, at the redemption prices set forth in the respective indenture governing such Exchange Notes. We may redeem some or all of such notes prior to such respective dates at a price equal to 100% of the principal amount thereof plus a “make-whole” premium.</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MGP OP Notes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issuance of the Exchange Notes pursuant to the settlement of the Exchange Offers and Consent Solicitations, $25.8 million in aggregate principal amount of MGP OP Notes due 2024, $0.6 million in aggregate principal amount of MGP OP Notes due 2025, $19.5 million in aggregate principal amount of MGP OP Notes due 2026, $20.5 million in aggregate principal amount of MGP OP Notes due 2027, $0.7 million in aggregate principal amount of MGP OP Notes due 2028 and $22.9 million in aggregate principal amount of MGP OP Notes due 2029 remain outstanding.</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series of the MGP OP Notes is redeemable at our option, in whole or in part, at any time on or after the same dates as set forth above with respect to the corresponding maturity series of the Exchange Notes. We may redeem some or all of such notes prior to such respective dates at a price equal to 100% of the principal amount thereof plus a “make-whole” premium.</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April 2022 Notes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VICI LP, our wholly owned subsidiary, issued (i) $500.0 million in aggregate principal amount of 4.375% Senior Notes due 2025, which mature on May 15, 2025, (ii) $1,250.0 million in aggregate principal amount of 4.750% Senior Notes due 2028, which mature on February 15, 2028, (iii) $1,000.0 million in aggregate principal amount of 4.950% Senior Notes due 2030, which mature on February 15, 2030, (iv) $1,500.0 million in aggregate principal amount of 5.125% Senior Notes due 2032, which mature on May 15, 2032, and (v) $750.0 million in aggregate principal amount of 5.625% Senior Notes due 2052, which mature on May 15, 2052, (collectively, the “April 2022 Notes”) in each case under a supplemental indenture dated as of April 29, 2022, between VICI LP and the Trustee. We used the net proceeds of the offering to (i) fund the consideration for the redemption of a majority of the VICI OP Units received by MGM in the Partnership Merger for $4,404.0 million in cash in connection with the closing of the MGP Transactions on April 29, 2022, and (ii) pay down the outstanding $600.0 million balance on our Revolving Credit Facility.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their maturity date, in the case of the April 2022 Notes due 2025, and January 15, 2028 (one month prior to the maturity date of the April 2022 Notes due 2028), December 15, 2029 (two months prior to the maturity date of the April 2022 Notes due 2030), February 15, 2032 (three months prior to the maturity date of the April 2022 Notes due 2032) and November 15, 2051 (six months prior to the maturity date of the April 2022 Notes due 2052), respectively, in the case of the April 2022 Notes due 2028, 2030, 2032 and 2052, we may redeem the April 2022 Notes at our option, in whole or in part, at any time and from time to time, at a price equal to 100% of the principal amount thereof plus a “make-whole” premium. On or after January 15, 2028, December 15, 2029, February 15, 2032 and November 15, 2051, respectively, we may redeem the April 2022 Notes due 2028, 2030, 2032 and 2052 at a redemption price equal to 100% of the principal amount of such Notes to be redeemed, plus accrued and unpaid interest thereon to the redemption date.</w:t>
      </w:r>
    </w:p>
    <w:p>
      <w:pPr>
        <w:pStyle w:val="TextBody"/>
        <w:spacing w:lineRule="auto" w:line="288" w:before="180" w:after="283"/>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February 2020 Notes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5, 2020, the VICI Issuers issued (i) $750.0 million in aggregate principal amount of 3.500% Senior Notes due 2025, which mature on February 15, 2025, (ii) $750.0 million in aggregate principal amount of 3.750% Senior Notes due 2027, which mature on February 15, 2027, and (iii) $1,000.0 million in aggregate principal amount of 4.125% Senior Notes due 2030, which mature on August 15, 2030 (collectively, the “February 2020 Notes”), under separate indentures, each dated as of February 5, 2020, among the VICI Issuers, the subsidiary guarantors party thereto and the Trustee.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February 2020 Notes due 2025, 2027 and 2030 are redeemable at our option, in whole or in part, at any time on or after February 15, 2022, February 15, 2023, and February 15, 2025, respectively, at the redemption prices set forth in the respective indenture. We may redeem some or all of the February 2020 Notes due 2025, 2027 and 2030 prior to such respective dates at a price equal to 100% of the principal amount thereof plus a “make-whole” premium. Prior to February 15, 2022, with respect to the February 2020 Notes due 2025, and February 15, 2023, with respect to the February 2020 Notes due 2027 and 2030, we may redeem up to 40% of the aggregate principal amount of the February 2020 Notes due 2025, 2027 and 2030 using the proceeds of certain equity offerings at the redemption price set forth in the respective indenture.</w:t>
      </w:r>
    </w:p>
    <w:p>
      <w:pPr>
        <w:pStyle w:val="TextBody"/>
        <w:spacing w:lineRule="auto" w:line="288" w:before="180" w:after="283"/>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November 2019 Notes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26, 2019, the VICI Issuers issued (i) $1,250.0 million in aggregate principal amount of 4.250% Senior Notes due 2026, which mature on December 1, 2026, and (ii) $1,000.0 million in aggregate principal amount of 4.625% Senior Notes due 2029, which mature on December 1, 2029 (collectively, the “November 2019 Notes”), under separate indentures, each dated as of November 26, 2019, among the VICI Issuers, the subsidiary guarantors party thereto and the Trustee.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November 2019 Notes due 2026 and 2029 are redeemable at our option, in whole or in part, at any time on or after December 1, 2022 and December 1, 2024, respectively, at the redemption prices set forth in the respective indenture. We may redeem some or all of the November 2019 Notes due 2026 or 2029 prior to such respective dates at a price equal to 100% of the principal amount thereof plus a “make-whole” premium. Prior to December 1, 2022, we may redeem up to 40% of the aggregate principal amount of the November 2019 Notes due 2026 or 2029 using the proceeds of certain equity offerings at the redemption price set forth in the respective indenture.</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Guarantee and Financial Covenants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Senior Unsecured Notes are guaranteed by any subsidiaries of VICI LP. The Exchange Notes, the MGP OP Notes and the April 2022 Notes benefit from a pledge of the limited partnership interests of VICI LP directly owned by VICI OP (the “Limited Equity Pledge”). The Limited Equity Pledge has also been granted in favor of (i) the administrative agent and the lenders under the Credit Agreement and (ii) the trustee under the indentures governing, and the holders of, the November 2019 Notes and the February 2020 Notes.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April 2022 Notes contains certain covenants that limit the ability of VICI LP and its subsidiaries to incur secured and unsecured indebtedness and VICI LP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Unsecured Credit Facilities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8, 2022, VICI LP entered into the Credit Agreement providing for (i) the Revolving Credit Facility in the amount of $2.5 billion scheduled to mature on March 31, 2026 and (ii) the Delayed Draw Term Loan in the amount of $1.0 billion scheduled to mature on March 31, 2025. The Delayed Draw Term Loan was available to be drawn for up to 12 months following the effective date and, accordingly, expired undrawn in accordance with its terms on February 8, 2023.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includes two six-month maturity extension options the exercise of which is subject to customary conditions and the payment of an extension fee of 0.0625% on the extended commitments. Additionally, the Revolving Credit Facility includes the option to increase the revolving loan commitments by up to $1.0 billion to the extent that any one or more lenders (from the syndicate or otherwise) agree to provide such additional credit extensions. On July 15, 2022, the Credit Agreement was amended pursuant to a First Amendment among VICI LP and the lenders party to the Credit Agreement, in order to permit borrowings under the Revolving Credit Facility in certain foreign currencies in an aggregate principal amount of up to the equivalent of $1.25 billion.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bear interest, at VICI LP’s option, at a rate based on SOFR (or CDOR for Canadian dollars) (including a credit spread adjustment for SOFR) plus a margin ranging from 0.775% to 1.325% or a base rate (or Canadian prime rate for Canadian dollars) plus a margin ranging from 0.00% to 0.325%, in each case, with the actual margin determined according to VICI LP’s debt ratings. The base rate for USD is the highest of (i) the prime rate of interest last quoted by the Wall Street Journal in the U.S. then in effect, (ii) the NYFRB rate from time to time plus 0.5% and (iii) the SOFR rate for a one-month interest period plus 1.0%, subject in each case to a floor of 1.0%. The Canadian prime rate is the highest of (i) the PRIMCAN Index rate and (ii) the average rate for thirty day Canadian Dollar bankers’ acceptance quoted by Reuters plus 1.0%, subject in each case to a floor of 1.0%. In addition, the Revolving Credit Facility requires the payment of a facility fee ranging from 0.15% to 0.375% (depending on VICI LP’s debt rating) of total revolving commitments.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Credit Agreement, VICI LP is subject to, among other things, customary covenants and the maintenance of various financial covenants. The Credit Agreement is consistent with certain tax-related requirements related to security for the Company’s debt.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18, 2022, we drew on the Revolving Credit Facility in the amount of $600.0 million to fund a portion of the purchase price of the Venetian Acquisition. On April 29, 2022, we repaid the outstanding balance of the Revolving Credit Facility using the proceeds from the April 2022 Notes offering.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we drew on the Revolving Credit Facility in the amount of C$140.0 million to fund a portion of the purchase price of the PURE Canadian Gaming Transaction.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MGM Grand/Mandalay Bay CMBS Debt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2023, as a result of the MGM Grand/Mandalay Bay JV Interest Acquisition, we consolidated the assets and liabilities of the MGM Grand/Mandalay Bay JV, which includes the $3.0 billion in principal amount of outstanding CMBS debt (the “MGM Grand/ Mandalay Bay CMBS Debt”). The MGM Grand/Mandalay Bay CMBS Debt was originally incurred on February 14, 2020 pursuant to a loan agreement (as amended from time to time, the “MGM Grand/Mandalay Bay CMBS Loan Agreement”), and is secured primarily by mortgages on certain affiliates of the MGM Grand/Mandalay Bay JV’s fee interest in the real estate assets related to the MGM Grand Las Vegas and the Mandalay Bay Resort and Casino. The MGM Grand/Mandalay Bay CMBS Debt matures in March 2032 and bears interest at 3.558% per annum until March 2030 at which time the rate can change in accordance with the terms of the MGM Grand Mandalay Bay CMBS Loan Agreement until maturity. The MGM Grand/Mandalay Bay CMBS Loan Agreement contains certain customary affirmative and negative covenants and events of default, including, among other things, restrictions on the ability of the MGM Grand/Mandalay Bay JV and certain of its affiliates to incur additional debt and transfer, pledge or assign certain equity interests or its assets, and covenants requiring certain affiliates of the MGM Grand/Mandalay Bay JV to exist as “special purpose entities,” maintain certain ongoing reserve funds and comply with other customary obligations for commercial mortgage-backed securities loan financings.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Bridge Facilities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 2021 and August 4, 2021, in connection with the completion of the Venetian Acquisition and MGP Transactions, respectively, VICI PropCo entered into Commitment Letters with certain lenders pursuant to which they provided commitments in an amount up to $4.0 billion and $9.3 billion, respectively, in the aggregate, each consisting of a 364-day first lien secured bridge facility (the “Venetian Acquisition Bridge Facility” and the “MGP Transactions Bridge Facility,” respectively), for the purpose of providing a portion of the financing necessary in connection with the closing of the Venetian Acquisition and MGP Transactions, as applicable. In each case the commitments were subject to a tiered commitment fee based on the period the respective commitment was outstanding and a structuring fee. During the three months ended March 31, 2022, we recognized $12.5 million in such fees which were recorded in Interest expense in our Statement of Operations. We did not recognize any such fees during the three months ended March 31, 2023, since the Venetian Acquisition Bridge Facility and MGP Transactions Bridge Facility were fully terminated on February 23, 2022 and April 29, 2022, respectively, in connection with such closings.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Financial Covenants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our debt obligations are subject to certain customary financial and protective covenants that restrict VICI LP,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March 31, 2023, we were in compliance with all financial covenants under our debt obligations.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2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8 — Derivatives </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Forward-Starting Derivatives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we entered into two forward-starting interest rate swap agreements with an aggregate notional amount of $250.0 million to hedge against changes in future cash flows resulting from changes in interest rates from the trade date through the forecasted issuance of $250.0 million of senior unsecured notes. We hedged our exposure to the variability in future cash flows for a forecasted issuance of long-term debt over a maximum period ending December 2024. The forward-starting interest rate swaps are designated as cash-flow hedges.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our outstanding interest rate derivatives that were designated as cash flow hedges of interest rate risk as of March 31, 2023. As of December 31, 2022, there were no derivative instruments outstanding.</w:t>
      </w:r>
    </w:p>
    <w:tbl>
      <w:tblPr>
        <w:tblW w:w="10205" w:type="dxa"/>
        <w:jc w:val="center"/>
        <w:tblInd w:w="0" w:type="dxa"/>
        <w:tblCellMar>
          <w:top w:w="28" w:type="dxa"/>
          <w:left w:w="28" w:type="dxa"/>
          <w:bottom w:w="28" w:type="dxa"/>
          <w:right w:w="28" w:type="dxa"/>
        </w:tblCellMar>
      </w:tblPr>
      <w:tblGrid>
        <w:gridCol w:w="918"/>
        <w:gridCol w:w="558"/>
        <w:gridCol w:w="545"/>
        <w:gridCol w:w="109"/>
        <w:gridCol w:w="109"/>
        <w:gridCol w:w="109"/>
        <w:gridCol w:w="470"/>
        <w:gridCol w:w="470"/>
        <w:gridCol w:w="472"/>
        <w:gridCol w:w="109"/>
        <w:gridCol w:w="109"/>
        <w:gridCol w:w="109"/>
        <w:gridCol w:w="309"/>
        <w:gridCol w:w="237"/>
        <w:gridCol w:w="229"/>
        <w:gridCol w:w="109"/>
        <w:gridCol w:w="109"/>
        <w:gridCol w:w="109"/>
        <w:gridCol w:w="211"/>
        <w:gridCol w:w="826"/>
        <w:gridCol w:w="109"/>
        <w:gridCol w:w="109"/>
        <w:gridCol w:w="109"/>
        <w:gridCol w:w="109"/>
        <w:gridCol w:w="724"/>
        <w:gridCol w:w="724"/>
        <w:gridCol w:w="728"/>
        <w:gridCol w:w="109"/>
        <w:gridCol w:w="109"/>
        <w:gridCol w:w="109"/>
        <w:gridCol w:w="302"/>
        <w:gridCol w:w="302"/>
        <w:gridCol w:w="436"/>
      </w:tblGrid>
      <w:tr>
        <w:trPr/>
        <w:tc>
          <w:tcPr>
            <w:tcW w:w="91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2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7"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Instruments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r>
      <w:tr>
        <w:trPr/>
        <w:tc>
          <w:tcPr>
            <w:tcW w:w="2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3.4565%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USD-SOFR-COMPOUND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r>
        <w:trPr/>
        <w:tc>
          <w:tcPr>
            <w:tcW w:w="2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3.0615%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USD-SOFR-COMPOUND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December 2021 through April 2022, we entered into five forward-starting interest rate swap agreements with an aggregate notional amount of $2.5 billion and two U.S. Treasury Rate Lock agreements with an aggregate notional amount of $500.0 million to hedge against changes in future cash flows resulting from changes in interest rates from the trade date through the forecasted issuance date of $3.0 billion of long-term debt. The forward-starting interest rate swaps and treasury locks were designated as cash-flow hedges. In April 2022 in connection with the April 2022 Notes offering, we settled the outstanding forward-starting interest rate swaps for total net proceeds of $202.3 million and the treasury locks for total net proceeds of $4.5 million. Since the forward-starting swaps and treasury locks were hedging the interest rate risk on the April 2022 Notes, the unrealized gain in Accumulated other comprehensive income will be amortized over the term of the respective derivative instruments, which matches that of the underlying note, as a reduction in interest expense.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our forward-starting derivative financial instruments on our Statement of Operations:</w:t>
      </w:r>
    </w:p>
    <w:tbl>
      <w:tblPr>
        <w:tblW w:w="10205" w:type="dxa"/>
        <w:jc w:val="left"/>
        <w:tblInd w:w="0" w:type="dxa"/>
        <w:tblCellMar>
          <w:top w:w="28" w:type="dxa"/>
          <w:left w:w="28" w:type="dxa"/>
          <w:bottom w:w="28" w:type="dxa"/>
          <w:right w:w="28" w:type="dxa"/>
        </w:tblCellMar>
      </w:tblPr>
      <w:tblGrid>
        <w:gridCol w:w="2614"/>
        <w:gridCol w:w="2282"/>
        <w:gridCol w:w="2294"/>
        <w:gridCol w:w="216"/>
        <w:gridCol w:w="691"/>
        <w:gridCol w:w="111"/>
        <w:gridCol w:w="111"/>
        <w:gridCol w:w="111"/>
        <w:gridCol w:w="111"/>
        <w:gridCol w:w="216"/>
        <w:gridCol w:w="848"/>
        <w:gridCol w:w="111"/>
        <w:gridCol w:w="109"/>
        <w:gridCol w:w="109"/>
        <w:gridCol w:w="109"/>
        <w:gridCol w:w="162"/>
      </w:tblGrid>
      <w:tr>
        <w:trPr/>
        <w:tc>
          <w:tcPr>
            <w:tcW w:w="2614"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c>
          <w:tcPr>
            <w:tcW w:w="229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gridSpan w:val="2"/>
            <w:tcBorders/>
            <w:shd w:fill="auto" w:val="clear"/>
          </w:tcPr>
          <w:p>
            <w:pPr>
              <w:pStyle w:val="TableContents"/>
              <w:spacing w:before="0" w:after="283"/>
              <w:rPr>
                <w:sz w:val="4"/>
                <w:szCs w:val="4"/>
              </w:rPr>
            </w:pPr>
            <w:r>
              <w:rPr>
                <w:sz w:val="4"/>
                <w:szCs w:val="4"/>
              </w:rPr>
            </w:r>
          </w:p>
        </w:tc>
      </w:tr>
      <w:tr>
        <w:trPr/>
        <w:tc>
          <w:tcPr>
            <w:tcW w:w="7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recorded in other comprehensive income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interest expense related to the amortization of the forward-starting interest rate swaps and treasury locks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Net Investment Hedges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C$140.0 million draw on the Revolving Credit Facility in connection with the PURE Canadian Gaming Transaction reduces the impact of exchange rate variations associated with our investment in the PURE Canadian Gaming entities and accordingly, has been designated as a hedge of the net investment in the PURE Canadian Gaming entities. As a non-derivative net investment hedge, the impact of changes in foreign currency exchange rates on the principal balance are recognized as a cumulative translation adjustment within accumulated other comprehensive income. For the three months ended March 31, 2023 we recognized $2.4 million in unrealized losses related to such net investment hedge, which were recorded as a component of Foreign currency translation adjustments in the Statement of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9 — Fair Value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assets and liabilities measured at fair value on a recurring basis as of March 31, 2023 and December 31, 2022:</w:t>
      </w:r>
    </w:p>
    <w:tbl>
      <w:tblPr>
        <w:tblW w:w="10058" w:type="dxa"/>
        <w:jc w:val="left"/>
        <w:tblInd w:w="0" w:type="dxa"/>
        <w:tblCellMar>
          <w:top w:w="28" w:type="dxa"/>
          <w:left w:w="28" w:type="dxa"/>
          <w:bottom w:w="28" w:type="dxa"/>
          <w:right w:w="28" w:type="dxa"/>
        </w:tblCellMar>
      </w:tblPr>
      <w:tblGrid>
        <w:gridCol w:w="1858"/>
        <w:gridCol w:w="1633"/>
        <w:gridCol w:w="1638"/>
        <w:gridCol w:w="338"/>
        <w:gridCol w:w="987"/>
        <w:gridCol w:w="174"/>
        <w:gridCol w:w="109"/>
        <w:gridCol w:w="109"/>
        <w:gridCol w:w="109"/>
        <w:gridCol w:w="213"/>
        <w:gridCol w:w="411"/>
        <w:gridCol w:w="110"/>
        <w:gridCol w:w="109"/>
        <w:gridCol w:w="109"/>
        <w:gridCol w:w="109"/>
        <w:gridCol w:w="211"/>
        <w:gridCol w:w="616"/>
        <w:gridCol w:w="109"/>
        <w:gridCol w:w="109"/>
        <w:gridCol w:w="109"/>
        <w:gridCol w:w="109"/>
        <w:gridCol w:w="213"/>
        <w:gridCol w:w="411"/>
        <w:gridCol w:w="155"/>
      </w:tblGrid>
      <w:tr>
        <w:trPr/>
        <w:tc>
          <w:tcPr>
            <w:tcW w:w="1858" w:type="dxa"/>
            <w:tcBorders/>
            <w:shd w:fill="auto" w:val="clear"/>
            <w:vAlign w:val="center"/>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9"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5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0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29"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r>
    </w:tbl>
    <w:tbl>
      <w:tblPr>
        <w:tblW w:w="7344" w:type="dxa"/>
        <w:jc w:val="left"/>
        <w:tblInd w:w="0" w:type="dxa"/>
        <w:tblCellMar>
          <w:top w:w="28" w:type="dxa"/>
          <w:left w:w="28" w:type="dxa"/>
          <w:bottom w:w="28" w:type="dxa"/>
          <w:right w:w="28" w:type="dxa"/>
        </w:tblCellMar>
      </w:tblPr>
      <w:tblGrid>
        <w:gridCol w:w="799"/>
        <w:gridCol w:w="702"/>
        <w:gridCol w:w="704"/>
        <w:gridCol w:w="276"/>
        <w:gridCol w:w="1081"/>
        <w:gridCol w:w="142"/>
        <w:gridCol w:w="109"/>
        <w:gridCol w:w="109"/>
        <w:gridCol w:w="109"/>
        <w:gridCol w:w="213"/>
        <w:gridCol w:w="411"/>
        <w:gridCol w:w="110"/>
        <w:gridCol w:w="109"/>
        <w:gridCol w:w="109"/>
        <w:gridCol w:w="109"/>
        <w:gridCol w:w="211"/>
        <w:gridCol w:w="826"/>
        <w:gridCol w:w="109"/>
        <w:gridCol w:w="109"/>
        <w:gridCol w:w="109"/>
        <w:gridCol w:w="109"/>
        <w:gridCol w:w="213"/>
        <w:gridCol w:w="411"/>
        <w:gridCol w:w="155"/>
      </w:tblGrid>
      <w:tr>
        <w:trPr/>
        <w:tc>
          <w:tcPr>
            <w:tcW w:w="79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9"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1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Short-term investments </w:t>
            </w:r>
            <w:r>
              <w:rPr>
                <w:rFonts w:ascii="Times New Roman;sans-serif" w:hAnsi="Times New Roman;sans-serif"/>
                <w:b w:val="false"/>
                <w:i/>
                <w:color w:val="000000"/>
                <w:sz w:val="13"/>
              </w:rPr>
              <w:t>(2)</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spacing w:lineRule="auto" w:line="288" w:before="60" w:after="283"/>
        <w:rPr>
          <w:rFonts w:ascii="Times New Roman;sans-serif" w:hAnsi="Times New Roman;sans-serif"/>
          <w:b w:val="false"/>
          <w:i/>
          <w:color w:val="000000"/>
          <w:sz w:val="16"/>
        </w:rPr>
      </w:pPr>
      <w:r>
        <w:rPr>
          <w:rFonts w:ascii="Times New Roman;sans-serif" w:hAnsi="Times New Roman;sans-serif"/>
          <w:b w:val="false"/>
          <w:i/>
          <w:color w:val="000000"/>
          <w:sz w:val="16"/>
        </w:rPr>
        <w:t>(1) 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TextBody"/>
        <w:spacing w:lineRule="auto" w:line="288" w:before="60" w:after="283"/>
        <w:rPr>
          <w:rFonts w:ascii="Times New Roman;sans-serif" w:hAnsi="Times New Roman;sans-serif"/>
          <w:b w:val="false"/>
          <w:i/>
          <w:color w:val="000000"/>
          <w:sz w:val="16"/>
        </w:rPr>
      </w:pPr>
      <w:r>
        <w:rPr>
          <w:rFonts w:ascii="Times New Roman;sans-serif" w:hAnsi="Times New Roman;sans-serif"/>
          <w:b w:val="false"/>
          <w:i/>
          <w:color w:val="000000"/>
          <w:sz w:val="16"/>
        </w:rPr>
        <w:t>(2) The carrying value of these investments is equal to their fair value due to the short-term nature of the investments as well as their credit quality.</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our financial instruments as of March 31, 2023 and December 31, 2022 for which fair value is only disclosed are as follows:</w:t>
      </w:r>
    </w:p>
    <w:tbl>
      <w:tblPr>
        <w:tblW w:w="10205" w:type="dxa"/>
        <w:jc w:val="left"/>
        <w:tblInd w:w="0" w:type="dxa"/>
        <w:tblCellMar>
          <w:top w:w="28" w:type="dxa"/>
          <w:left w:w="28" w:type="dxa"/>
          <w:bottom w:w="28" w:type="dxa"/>
          <w:right w:w="28" w:type="dxa"/>
        </w:tblCellMar>
      </w:tblPr>
      <w:tblGrid>
        <w:gridCol w:w="1265"/>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9"/>
      </w:tblGrid>
      <w:tr>
        <w:trPr/>
        <w:tc>
          <w:tcPr>
            <w:tcW w:w="1265"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4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17,051,187 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17,566,724 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17,871,771 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Investments in loans and securities </w:t>
            </w:r>
            <w:r>
              <w:rPr>
                <w:rFonts w:ascii="Times New Roman;sans-serif" w:hAnsi="Times New Roman;sans-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886,524 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675,456 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2"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 xml:space="preserve">Debt </w:t>
            </w:r>
            <w:r>
              <w:rPr>
                <w:rFonts w:ascii="Times New Roman;sans-serif" w:hAnsi="Times New Roman;sans-serif"/>
                <w:b w:val="false"/>
                <w:i/>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2,753,800 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13,748,868 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13,146,280 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13,020,636 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(1)These investments represent the JACK Master Lease, the Harrah’s Call Properties, the MGM Master Lease, the Foundation Master Lease and the PURE Master Lease. In relation to the Harrah’s Call Properties, JACK Master Lease and MGM Master Lease the fair value of these assets is based on significant “unobservable” market inputs and, as such, these fair value measurements are considered Level 3 of the fair value hierarchy. In relation to the Foundation Master Lease and PURE Master Lease, given the proximity of the date of our investment to the date of the financial statements, we determined that the fair value materially approximates the purchase price of the acquisition of these financial assets.</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(2)These investments represent our investments in eleven senior secured and mezzanine loans and one series of senior secured notes. The fair value of investments in loans is based on significant “unobservable” market inputs and, as such, these fair value measurements are considered Level 3 of the fair value hierarchy. In relation to our investments in securities, representing the Hard Rock Ottawa Notes, given the proximity of the date of our investment to the date of the financial statements, we determined that the fair value materially approximates the purchase price of the acquisition of these financial assets.</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10 — Commitments and Contingent Liabilities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from time to time, we may be subject to legal claims and administrative proceedings. As of March 31, 2023, we are not subject to any litigation that we believe could have, individually or in the aggregate, a material adverse effect on our business, financial condition or results of operations, liquidity or cash flows.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Operating Lease Commitments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liable under various operating leases for: (i) land at the Cascata golf course, which expires in 2038 and has three 10-year extension options and (ii) certain corporate offices, the most material of which is our corporate headquarters in New York, NY, which expires in 2030 and has one five-year renewal option. The discount rates for the leases were determined based on the yield of our then current secured borrowings, adjusted to match borrowings of similar terms, and are between 5.3% and 5.5%. The weighted average remaining lease term as of March 31, 2023 under our operating leases was 13.4 years.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rental expense, included in golf operations and general and administrative expenses in our Statement of Operations and contractual rent expense under these agreements were as follows:</w:t>
      </w:r>
    </w:p>
    <w:tbl>
      <w:tblPr>
        <w:tblW w:w="4498" w:type="dxa"/>
        <w:jc w:val="left"/>
        <w:tblInd w:w="0" w:type="dxa"/>
        <w:tblCellMar>
          <w:top w:w="28" w:type="dxa"/>
          <w:left w:w="28" w:type="dxa"/>
          <w:bottom w:w="28" w:type="dxa"/>
          <w:right w:w="28" w:type="dxa"/>
        </w:tblCellMar>
      </w:tblPr>
      <w:tblGrid>
        <w:gridCol w:w="521"/>
        <w:gridCol w:w="458"/>
        <w:gridCol w:w="460"/>
        <w:gridCol w:w="286"/>
        <w:gridCol w:w="633"/>
        <w:gridCol w:w="148"/>
        <w:gridCol w:w="148"/>
        <w:gridCol w:w="148"/>
        <w:gridCol w:w="148"/>
        <w:gridCol w:w="286"/>
        <w:gridCol w:w="633"/>
        <w:gridCol w:w="148"/>
        <w:gridCol w:w="109"/>
        <w:gridCol w:w="109"/>
        <w:gridCol w:w="109"/>
        <w:gridCol w:w="154"/>
      </w:tblGrid>
      <w:tr>
        <w:trPr/>
        <w:tc>
          <w:tcPr>
            <w:tcW w:w="521"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expense</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minimum lease commitments relating to the base lease rent portion of noncancelable operating leases at March 31, 2023 are as follows: </w:t>
      </w:r>
    </w:p>
    <w:tbl>
      <w:tblPr>
        <w:tblW w:w="5022" w:type="dxa"/>
        <w:jc w:val="left"/>
        <w:tblInd w:w="0" w:type="dxa"/>
        <w:tblCellMar>
          <w:top w:w="28" w:type="dxa"/>
          <w:left w:w="28" w:type="dxa"/>
          <w:bottom w:w="28" w:type="dxa"/>
          <w:right w:w="28" w:type="dxa"/>
        </w:tblCellMar>
      </w:tblPr>
      <w:tblGrid>
        <w:gridCol w:w="1076"/>
        <w:gridCol w:w="946"/>
        <w:gridCol w:w="948"/>
        <w:gridCol w:w="109"/>
        <w:gridCol w:w="109"/>
        <w:gridCol w:w="109"/>
        <w:gridCol w:w="335"/>
        <w:gridCol w:w="1145"/>
        <w:gridCol w:w="245"/>
      </w:tblGrid>
      <w:tr>
        <w:trPr/>
        <w:tc>
          <w:tcPr>
            <w:tcW w:w="10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Commitments</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13,138 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15,855 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Sub-Lease Commitments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acquisitions necessitate that we assume, as the lessee, ground and use leases that are integral to the operations of the property, the cost of which is passed to our tenants through the Lease Agreements, which require the tenants to pay all costs associated with such ground and use leases and provide for their direct payment to the landlord.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we are the primary obligor of certain of such ground and use leases and, accordingly, have presented these leases on a gross basis on our Balance Sheet and Statement of Operations. The following is a summary of the leases, the lease classification of which has been determined to be either an operating sub-lease or finance sub-lease.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Sub-Lease Commitments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following information, we assessed the lease classification of certain of the sub-leases to our tenants through the Lease Agreements, and our obligation as primary obligor of the leases and determined that they meet the definition of an operating lease. Accordingly, we have recorded sub-lease right-of-use assets in Other assets and sub-lease liabilities in Other liabilities.</w:t>
      </w:r>
    </w:p>
    <w:tbl>
      <w:tblPr>
        <w:tblW w:w="7167" w:type="dxa"/>
        <w:jc w:val="left"/>
        <w:tblInd w:w="0" w:type="dxa"/>
        <w:tblCellMar>
          <w:top w:w="28" w:type="dxa"/>
          <w:left w:w="28" w:type="dxa"/>
          <w:bottom w:w="28" w:type="dxa"/>
          <w:right w:w="28" w:type="dxa"/>
        </w:tblCellMar>
      </w:tblPr>
      <w:tblGrid>
        <w:gridCol w:w="1435"/>
        <w:gridCol w:w="1261"/>
        <w:gridCol w:w="1264"/>
        <w:gridCol w:w="261"/>
        <w:gridCol w:w="894"/>
        <w:gridCol w:w="135"/>
        <w:gridCol w:w="109"/>
        <w:gridCol w:w="109"/>
        <w:gridCol w:w="109"/>
        <w:gridCol w:w="309"/>
        <w:gridCol w:w="1056"/>
        <w:gridCol w:w="225"/>
      </w:tblGrid>
      <w:tr>
        <w:trPr/>
        <w:tc>
          <w:tcPr>
            <w:tcW w:w="1435"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assets (operating sub-leases)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(operating sub-lease liabilities)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28,953 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Total rental income and rental expense, included in Other income and Other expenses, respectively, in our Statement of Operations and contractual rent expense under these agreements were as follows:</w:t>
      </w:r>
    </w:p>
    <w:tbl>
      <w:tblPr>
        <w:tblW w:w="5412" w:type="dxa"/>
        <w:jc w:val="left"/>
        <w:tblInd w:w="0" w:type="dxa"/>
        <w:tblCellMar>
          <w:top w:w="28" w:type="dxa"/>
          <w:left w:w="28" w:type="dxa"/>
          <w:bottom w:w="28" w:type="dxa"/>
          <w:right w:w="28" w:type="dxa"/>
        </w:tblCellMar>
      </w:tblPr>
      <w:tblGrid>
        <w:gridCol w:w="853"/>
        <w:gridCol w:w="750"/>
        <w:gridCol w:w="752"/>
        <w:gridCol w:w="265"/>
        <w:gridCol w:w="775"/>
        <w:gridCol w:w="137"/>
        <w:gridCol w:w="137"/>
        <w:gridCol w:w="137"/>
        <w:gridCol w:w="137"/>
        <w:gridCol w:w="265"/>
        <w:gridCol w:w="586"/>
        <w:gridCol w:w="137"/>
        <w:gridCol w:w="109"/>
        <w:gridCol w:w="109"/>
        <w:gridCol w:w="109"/>
        <w:gridCol w:w="154"/>
      </w:tblGrid>
      <w:tr>
        <w:trPr/>
        <w:tc>
          <w:tcPr>
            <w:tcW w:w="853"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 and expense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minimum lease commitments relating to the sub-leases at March 31, 2023 are as follows: </w:t>
      </w:r>
    </w:p>
    <w:tbl>
      <w:tblPr>
        <w:tblW w:w="5022" w:type="dxa"/>
        <w:jc w:val="left"/>
        <w:tblInd w:w="0" w:type="dxa"/>
        <w:tblCellMar>
          <w:top w:w="28" w:type="dxa"/>
          <w:left w:w="28" w:type="dxa"/>
          <w:bottom w:w="28" w:type="dxa"/>
          <w:right w:w="28" w:type="dxa"/>
        </w:tblCellMar>
      </w:tblPr>
      <w:tblGrid>
        <w:gridCol w:w="1076"/>
        <w:gridCol w:w="946"/>
        <w:gridCol w:w="948"/>
        <w:gridCol w:w="109"/>
        <w:gridCol w:w="109"/>
        <w:gridCol w:w="109"/>
        <w:gridCol w:w="335"/>
        <w:gridCol w:w="1145"/>
        <w:gridCol w:w="245"/>
      </w:tblGrid>
      <w:tr>
        <w:trPr/>
        <w:tc>
          <w:tcPr>
            <w:tcW w:w="10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Commitments</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for the operating sub-leases were determined based on the yield of our secured borrowings at the time of assumption of the leases, adjusted to match borrowings of similar terms, and are between 2.6% and 2.9%. The weighted average remaining lease term as of March 31, 2023 under our operating sub-lease was 5.2 years.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Finance Sub-Lease Commitments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following information, we assessed the lease classification of certain of the sub-leases to our tenants through the Lease Agreements, and our obligation as primary obligor of the ground and use leases and determined that they meet the definition of a sales-type lease and finance lease. Accordingly, we have recorded a sales-type sub-lease in Other assets and finance sub-lease liability in Other liabilities.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balance and location in our Balance Sheet of the ground and use sub-leases as of March 31, 2023 and December 31, 2022:</w:t>
      </w:r>
    </w:p>
    <w:tbl>
      <w:tblPr>
        <w:tblW w:w="7421" w:type="dxa"/>
        <w:jc w:val="left"/>
        <w:tblInd w:w="0" w:type="dxa"/>
        <w:tblCellMar>
          <w:top w:w="28" w:type="dxa"/>
          <w:left w:w="28" w:type="dxa"/>
          <w:bottom w:w="28" w:type="dxa"/>
          <w:right w:w="28" w:type="dxa"/>
        </w:tblCellMar>
      </w:tblPr>
      <w:tblGrid>
        <w:gridCol w:w="1369"/>
        <w:gridCol w:w="1203"/>
        <w:gridCol w:w="1207"/>
        <w:gridCol w:w="237"/>
        <w:gridCol w:w="930"/>
        <w:gridCol w:w="122"/>
        <w:gridCol w:w="109"/>
        <w:gridCol w:w="109"/>
        <w:gridCol w:w="109"/>
        <w:gridCol w:w="284"/>
        <w:gridCol w:w="1114"/>
        <w:gridCol w:w="147"/>
        <w:gridCol w:w="109"/>
        <w:gridCol w:w="109"/>
        <w:gridCol w:w="109"/>
        <w:gridCol w:w="154"/>
      </w:tblGrid>
      <w:tr>
        <w:trPr/>
        <w:tc>
          <w:tcPr>
            <w:tcW w:w="1369"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assets (sales-type sub-leases, net)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767,436 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(finance sub-lease liabilities)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784,407 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rental income and rental expense, included in Other income and Other expenses, respectively, in our Statement of Operations and contractual rent expense under these agreements were as follows:</w:t>
      </w:r>
    </w:p>
    <w:tbl>
      <w:tblPr>
        <w:tblW w:w="5415" w:type="dxa"/>
        <w:jc w:val="left"/>
        <w:tblInd w:w="0" w:type="dxa"/>
        <w:tblCellMar>
          <w:top w:w="28" w:type="dxa"/>
          <w:left w:w="28" w:type="dxa"/>
          <w:bottom w:w="28" w:type="dxa"/>
          <w:right w:w="28" w:type="dxa"/>
        </w:tblCellMar>
      </w:tblPr>
      <w:tblGrid>
        <w:gridCol w:w="853"/>
        <w:gridCol w:w="750"/>
        <w:gridCol w:w="752"/>
        <w:gridCol w:w="236"/>
        <w:gridCol w:w="807"/>
        <w:gridCol w:w="122"/>
        <w:gridCol w:w="122"/>
        <w:gridCol w:w="122"/>
        <w:gridCol w:w="122"/>
        <w:gridCol w:w="236"/>
        <w:gridCol w:w="690"/>
        <w:gridCol w:w="122"/>
        <w:gridCol w:w="109"/>
        <w:gridCol w:w="109"/>
        <w:gridCol w:w="109"/>
        <w:gridCol w:w="154"/>
      </w:tblGrid>
      <w:tr>
        <w:trPr/>
        <w:tc>
          <w:tcPr>
            <w:tcW w:w="853"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 and expense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minimum lease commitments relating to the ground and use sub-leases at March 31, 2023 are as follows: </w:t>
      </w:r>
    </w:p>
    <w:tbl>
      <w:tblPr>
        <w:tblW w:w="5022" w:type="dxa"/>
        <w:jc w:val="left"/>
        <w:tblInd w:w="0" w:type="dxa"/>
        <w:tblCellMar>
          <w:top w:w="28" w:type="dxa"/>
          <w:left w:w="28" w:type="dxa"/>
          <w:bottom w:w="28" w:type="dxa"/>
          <w:right w:w="28" w:type="dxa"/>
        </w:tblCellMar>
      </w:tblPr>
      <w:tblGrid>
        <w:gridCol w:w="1076"/>
        <w:gridCol w:w="946"/>
        <w:gridCol w:w="948"/>
        <w:gridCol w:w="109"/>
        <w:gridCol w:w="109"/>
        <w:gridCol w:w="109"/>
        <w:gridCol w:w="271"/>
        <w:gridCol w:w="1256"/>
        <w:gridCol w:w="198"/>
      </w:tblGrid>
      <w:tr>
        <w:trPr/>
        <w:tc>
          <w:tcPr>
            <w:tcW w:w="10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Commitments</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59,039 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59,174 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59,174 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2,496,361 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2,836,583 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2,052,176 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sub-lease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784,407 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rates for the finance ground and use sub-leases were determined based on the yield of our secured borrowings at the time of assumption of the leases, adjusted to match borrowings of similar terms, and are between 6% and 8%. The weighted average remaining lease term as of March 31, 2023 under our finance sub-leases was 54.5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11 — Stockholders' Equity </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Stock</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Authorized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the authority to issue 1,400,000,000 shares of stock, consisting of 1,350,000,000 shares of common stock, $0.01 par value per share, and 50,000,000 shares of preferred stock, $0.01 par value per share.</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Public Offerings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Forward Offerings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terms of the forward sale agreements outstanding as of March 31, 2023: </w:t>
      </w:r>
    </w:p>
    <w:tbl>
      <w:tblPr>
        <w:tblW w:w="10205" w:type="dxa"/>
        <w:jc w:val="left"/>
        <w:tblInd w:w="0" w:type="dxa"/>
        <w:tblCellMar>
          <w:top w:w="28" w:type="dxa"/>
          <w:left w:w="28" w:type="dxa"/>
          <w:bottom w:w="28" w:type="dxa"/>
          <w:right w:w="28" w:type="dxa"/>
        </w:tblCellMar>
      </w:tblPr>
      <w:tblGrid>
        <w:gridCol w:w="499"/>
        <w:gridCol w:w="439"/>
        <w:gridCol w:w="442"/>
        <w:gridCol w:w="302"/>
        <w:gridCol w:w="302"/>
        <w:gridCol w:w="304"/>
        <w:gridCol w:w="109"/>
        <w:gridCol w:w="109"/>
        <w:gridCol w:w="109"/>
        <w:gridCol w:w="554"/>
        <w:gridCol w:w="326"/>
        <w:gridCol w:w="278"/>
        <w:gridCol w:w="109"/>
        <w:gridCol w:w="109"/>
        <w:gridCol w:w="109"/>
        <w:gridCol w:w="279"/>
        <w:gridCol w:w="816"/>
        <w:gridCol w:w="144"/>
        <w:gridCol w:w="109"/>
        <w:gridCol w:w="109"/>
        <w:gridCol w:w="109"/>
        <w:gridCol w:w="244"/>
        <w:gridCol w:w="956"/>
        <w:gridCol w:w="126"/>
        <w:gridCol w:w="109"/>
        <w:gridCol w:w="109"/>
        <w:gridCol w:w="109"/>
        <w:gridCol w:w="296"/>
        <w:gridCol w:w="865"/>
        <w:gridCol w:w="152"/>
        <w:gridCol w:w="109"/>
        <w:gridCol w:w="109"/>
        <w:gridCol w:w="109"/>
        <w:gridCol w:w="219"/>
        <w:gridCol w:w="857"/>
        <w:gridCol w:w="170"/>
      </w:tblGrid>
      <w:tr>
        <w:trPr/>
        <w:tc>
          <w:tcPr>
            <w:tcW w:w="49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9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Effective Date </w:t>
            </w:r>
            <w:r>
              <w:rPr>
                <w:rFonts w:ascii="Times New Roman;sans-serif" w:hAnsi="Times New Roman;sans-serif"/>
                <w:b/>
                <w:i/>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Total Shares Sold </w:t>
            </w:r>
            <w:r>
              <w:rPr>
                <w:rFonts w:ascii="Times New Roman;sans-serif" w:hAnsi="Times New Roman;sans-serif"/>
                <w:b/>
                <w:i/>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Public Offering 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Offering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Forward Sale 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Net Value</w:t>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January 2023 Offering </w:t>
            </w:r>
            <w:r>
              <w:rPr>
                <w:rFonts w:ascii="Times New Roman;sans-serif" w:hAnsi="Times New Roman;sans-serif"/>
                <w:b w:val="false"/>
                <w:i/>
                <w:color w:val="000000"/>
                <w:sz w:val="13"/>
              </w:rPr>
              <w:t>(3)</w:t>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18,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(1)The forward sale agreements generally require settlement within twelve months of the trade date, which is January 16, 2024 with respect to the January 2023 Offering. </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 amount is inclusive of 3,952,500 shares sold pursuant to the exercise in full of the underwriters’ option to purchase additional common stock.</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(3)As of March 31, 2023, the net forward sales price per share under the January 2023 Offering was $31.69 and would result in us receiving approximately $960.4 million in net cash proceeds if we were to physically settle the shares. Alternatively, if we were to cash settle the shares under the January 2023 Offering, it would result in a cash outflow of $28.1 million, or, if we were to net share settle the shares under the January 2023 Offering, it would result in us issuing approximately 0.9 million shares. </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(4)Subsequent to quarter-end, on April 4, 2023, we physically settled 3,200,000 shares under the January 2023 Forward Sale Agreements at a forward share price of $31.71 per share, in exchange for total net proceeds of approximately $101.5 million.</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receive any proceeds from the sale of shares at the time we entered into each of the respective forward sale agreements. We determined that the forward sale agreements meet the criteria for equity classification and, therefore, are exempt from derivative accounting. We recorded the forward sale agreements at fair value at inception, which we determined to be zero. Subsequent changes to fair value are not required under equity classification.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settlement activity of the outstanding forward sale agreements during the three months ended March 31, 2023 and 2022: </w:t>
      </w:r>
    </w:p>
    <w:tbl>
      <w:tblPr>
        <w:tblW w:w="10205" w:type="dxa"/>
        <w:jc w:val="left"/>
        <w:tblInd w:w="0" w:type="dxa"/>
        <w:tblCellMar>
          <w:top w:w="28" w:type="dxa"/>
          <w:left w:w="28" w:type="dxa"/>
          <w:bottom w:w="28" w:type="dxa"/>
          <w:right w:w="28" w:type="dxa"/>
        </w:tblCellMar>
      </w:tblPr>
      <w:tblGrid>
        <w:gridCol w:w="786"/>
        <w:gridCol w:w="571"/>
        <w:gridCol w:w="575"/>
        <w:gridCol w:w="382"/>
        <w:gridCol w:w="382"/>
        <w:gridCol w:w="383"/>
        <w:gridCol w:w="109"/>
        <w:gridCol w:w="109"/>
        <w:gridCol w:w="109"/>
        <w:gridCol w:w="354"/>
        <w:gridCol w:w="354"/>
        <w:gridCol w:w="356"/>
        <w:gridCol w:w="109"/>
        <w:gridCol w:w="109"/>
        <w:gridCol w:w="109"/>
        <w:gridCol w:w="694"/>
        <w:gridCol w:w="561"/>
        <w:gridCol w:w="405"/>
        <w:gridCol w:w="109"/>
        <w:gridCol w:w="109"/>
        <w:gridCol w:w="109"/>
        <w:gridCol w:w="374"/>
        <w:gridCol w:w="1093"/>
        <w:gridCol w:w="193"/>
        <w:gridCol w:w="109"/>
        <w:gridCol w:w="109"/>
        <w:gridCol w:w="109"/>
        <w:gridCol w:w="224"/>
        <w:gridCol w:w="1038"/>
        <w:gridCol w:w="172"/>
      </w:tblGrid>
      <w:tr>
        <w:trPr/>
        <w:tc>
          <w:tcPr>
            <w:tcW w:w="78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19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Forward Share Price Upon Settlement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w:t>
            </w:r>
          </w:p>
        </w:tc>
      </w:tr>
      <w:tr>
        <w:trPr/>
        <w:tc>
          <w:tcPr>
            <w:tcW w:w="19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2022 Forward Sale Agreements</w:t>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18,975,000 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575,628 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Forward Sale Agreements</w:t>
            </w:r>
          </w:p>
        </w:tc>
        <w:tc>
          <w:tcPr>
            <w:tcW w:w="11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50,000,000 </w:t>
            </w:r>
          </w:p>
        </w:tc>
        <w:tc>
          <w:tcPr>
            <w:tcW w:w="4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1,390,600 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2021 Forward Sale Agreements</w:t>
            </w:r>
          </w:p>
        </w:tc>
        <w:tc>
          <w:tcPr>
            <w:tcW w:w="11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69,000,000 </w:t>
            </w:r>
          </w:p>
        </w:tc>
        <w:tc>
          <w:tcPr>
            <w:tcW w:w="4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1,828,600 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137,975,000 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3,794,828 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Program</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we entered into an equity distribution agreement, pursuant to which we may sell, from time to time, up to an aggregate sales price of $1,500.0 million of our common stock (the “ATM Program”) and terminated our prior equity distribution agreement, pursuant to which we previously sold, from time to time, shares of our common stock.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did not sell any shares under the ATM Program or the previous equity distribution agreement. We have no obligation to sell the remaining shares available for sale under the ATM Program.</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settlement activity of the outstanding forward shares under the ATM Program, all of which were sold subject to a forward sale agreement (collectively, the “ATM Forward Sale Agreements”) and the previous equity distribution agreement, as applicable, during the three months ended March 31, 2023. As of March 31, 2023, we do not have any forward shares outstanding under the ATM Program. </w:t>
      </w:r>
    </w:p>
    <w:tbl>
      <w:tblPr>
        <w:tblW w:w="10205" w:type="dxa"/>
        <w:jc w:val="left"/>
        <w:tblInd w:w="0" w:type="dxa"/>
        <w:tblCellMar>
          <w:top w:w="28" w:type="dxa"/>
          <w:left w:w="28" w:type="dxa"/>
          <w:bottom w:w="28" w:type="dxa"/>
          <w:right w:w="28" w:type="dxa"/>
        </w:tblCellMar>
      </w:tblPr>
      <w:tblGrid>
        <w:gridCol w:w="804"/>
        <w:gridCol w:w="632"/>
        <w:gridCol w:w="636"/>
        <w:gridCol w:w="363"/>
        <w:gridCol w:w="363"/>
        <w:gridCol w:w="365"/>
        <w:gridCol w:w="109"/>
        <w:gridCol w:w="109"/>
        <w:gridCol w:w="109"/>
        <w:gridCol w:w="358"/>
        <w:gridCol w:w="358"/>
        <w:gridCol w:w="359"/>
        <w:gridCol w:w="109"/>
        <w:gridCol w:w="109"/>
        <w:gridCol w:w="109"/>
        <w:gridCol w:w="694"/>
        <w:gridCol w:w="500"/>
        <w:gridCol w:w="415"/>
        <w:gridCol w:w="109"/>
        <w:gridCol w:w="109"/>
        <w:gridCol w:w="109"/>
        <w:gridCol w:w="385"/>
        <w:gridCol w:w="1124"/>
        <w:gridCol w:w="198"/>
        <w:gridCol w:w="109"/>
        <w:gridCol w:w="109"/>
        <w:gridCol w:w="109"/>
        <w:gridCol w:w="236"/>
        <w:gridCol w:w="928"/>
        <w:gridCol w:w="179"/>
      </w:tblGrid>
      <w:tr>
        <w:trPr/>
        <w:tc>
          <w:tcPr>
            <w:tcW w:w="804"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0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Forward Share Price Upon Settlement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w:t>
            </w:r>
          </w:p>
        </w:tc>
      </w:tr>
      <w:tr>
        <w:trPr/>
        <w:tc>
          <w:tcPr>
            <w:tcW w:w="2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2022 ATM Forward Sale Agreement</w:t>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6,317,805 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208,402 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2022 ATM Forward Sale Agreement</w:t>
            </w:r>
          </w:p>
        </w:tc>
        <w:tc>
          <w:tcPr>
            <w:tcW w:w="10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3,918,807 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133,073 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2022 ATM Forward Sale Agreement</w:t>
            </w:r>
          </w:p>
        </w:tc>
        <w:tc>
          <w:tcPr>
            <w:tcW w:w="10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3,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11,380,980 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355,168 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21,617,592 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696,643 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Outstanding</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issuance of outstanding shares of common stock, including restricted common stock:</w:t>
      </w:r>
    </w:p>
    <w:tbl>
      <w:tblPr>
        <w:tblW w:w="10205" w:type="dxa"/>
        <w:jc w:val="left"/>
        <w:tblInd w:w="0" w:type="dxa"/>
        <w:tblCellMar>
          <w:top w:w="28" w:type="dxa"/>
          <w:left w:w="28" w:type="dxa"/>
          <w:bottom w:w="28" w:type="dxa"/>
          <w:right w:w="28" w:type="dxa"/>
        </w:tblCellMar>
      </w:tblPr>
      <w:tblGrid>
        <w:gridCol w:w="2227"/>
        <w:gridCol w:w="1959"/>
        <w:gridCol w:w="1965"/>
        <w:gridCol w:w="109"/>
        <w:gridCol w:w="109"/>
        <w:gridCol w:w="109"/>
        <w:gridCol w:w="927"/>
        <w:gridCol w:w="409"/>
        <w:gridCol w:w="222"/>
        <w:gridCol w:w="222"/>
        <w:gridCol w:w="222"/>
        <w:gridCol w:w="222"/>
        <w:gridCol w:w="823"/>
        <w:gridCol w:w="363"/>
        <w:gridCol w:w="317"/>
      </w:tblGrid>
      <w:tr>
        <w:trPr/>
        <w:tc>
          <w:tcPr>
            <w:tcW w:w="2227"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6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1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Common Stock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963,096,563 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628,942,092 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8" w:type="dxa"/>
            <w:gridSpan w:val="3"/>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r>
      <w:tr>
        <w:trPr/>
        <w:tc>
          <w:tcPr>
            <w:tcW w:w="6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physical settlement of forward sale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40,592,592 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119,000,000 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8" w:type="dxa"/>
            <w:gridSpan w:val="3"/>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r>
      <w:tr>
        <w:trPr/>
        <w:tc>
          <w:tcPr>
            <w:tcW w:w="6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8" w:type="dxa"/>
            <w:gridSpan w:val="3"/>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r>
      <w:tr>
        <w:trPr/>
        <w:tc>
          <w:tcPr>
            <w:tcW w:w="6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unrestricted common stock under the stock incentive program, net of forfeitures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515,763 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471,219 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Balance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1,004,204,918 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748,413,311 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Dividends declared (on a per share basis) during the three months ended March 31, 2023 and 2022 were as follows:</w:t>
      </w:r>
    </w:p>
    <w:tbl>
      <w:tblPr>
        <w:tblW w:w="9217" w:type="dxa"/>
        <w:jc w:val="left"/>
        <w:tblInd w:w="0" w:type="dxa"/>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40"/>
        <w:gridCol w:w="940"/>
        <w:gridCol w:w="955"/>
        <w:gridCol w:w="109"/>
        <w:gridCol w:w="109"/>
        <w:gridCol w:w="109"/>
        <w:gridCol w:w="211"/>
        <w:gridCol w:w="721"/>
        <w:gridCol w:w="154"/>
      </w:tblGrid>
      <w:tr>
        <w:trPr/>
        <w:tc>
          <w:tcPr>
            <w:tcW w:w="51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217"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tbl>
      <w:tblPr>
        <w:tblW w:w="9217" w:type="dxa"/>
        <w:jc w:val="left"/>
        <w:tblInd w:w="0" w:type="dxa"/>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40"/>
        <w:gridCol w:w="940"/>
        <w:gridCol w:w="955"/>
        <w:gridCol w:w="109"/>
        <w:gridCol w:w="109"/>
        <w:gridCol w:w="109"/>
        <w:gridCol w:w="211"/>
        <w:gridCol w:w="721"/>
        <w:gridCol w:w="154"/>
      </w:tblGrid>
      <w:tr>
        <w:trPr/>
        <w:tc>
          <w:tcPr>
            <w:tcW w:w="51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217"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24,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7,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2022 -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12 — Earnings Per Share and Earnings Per Unit </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spacing w:lineRule="auto" w:line="288" w:before="180" w:after="283"/>
        <w:jc w:val="both"/>
        <w:rPr/>
      </w:pPr>
      <w:r>
        <w:rPr>
          <w:rFonts w:ascii="Times New Roman;sans-serif" w:hAnsi="Times New Roman;sans-serif"/>
          <w:b w:val="false"/>
          <w:color w:val="000000"/>
          <w:sz w:val="20"/>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402613ae68904b5587c68802b3f0ad2f_85">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8966" w:type="dxa"/>
        <w:jc w:val="left"/>
        <w:tblInd w:w="0" w:type="dxa"/>
        <w:tblCellMar>
          <w:top w:w="28" w:type="dxa"/>
          <w:left w:w="28" w:type="dxa"/>
          <w:bottom w:w="28" w:type="dxa"/>
          <w:right w:w="28" w:type="dxa"/>
        </w:tblCellMar>
      </w:tblPr>
      <w:tblGrid>
        <w:gridCol w:w="1889"/>
        <w:gridCol w:w="1662"/>
        <w:gridCol w:w="1669"/>
        <w:gridCol w:w="678"/>
        <w:gridCol w:w="298"/>
        <w:gridCol w:w="286"/>
        <w:gridCol w:w="286"/>
        <w:gridCol w:w="286"/>
        <w:gridCol w:w="286"/>
        <w:gridCol w:w="573"/>
        <w:gridCol w:w="286"/>
        <w:gridCol w:w="286"/>
        <w:gridCol w:w="109"/>
        <w:gridCol w:w="109"/>
        <w:gridCol w:w="109"/>
        <w:gridCol w:w="154"/>
      </w:tblGrid>
      <w:tr>
        <w:trPr/>
        <w:tc>
          <w:tcPr>
            <w:tcW w:w="1889"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8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shares: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1,001,527 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684,341 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1,003,831 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687,915 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8320" w:type="dxa"/>
        <w:jc w:val="left"/>
        <w:tblInd w:w="0" w:type="dxa"/>
        <w:tblCellMar>
          <w:top w:w="28" w:type="dxa"/>
          <w:left w:w="28" w:type="dxa"/>
          <w:bottom w:w="28" w:type="dxa"/>
          <w:right w:w="28" w:type="dxa"/>
        </w:tblCellMar>
      </w:tblPr>
      <w:tblGrid>
        <w:gridCol w:w="1888"/>
        <w:gridCol w:w="1661"/>
        <w:gridCol w:w="1671"/>
        <w:gridCol w:w="211"/>
        <w:gridCol w:w="826"/>
        <w:gridCol w:w="109"/>
        <w:gridCol w:w="109"/>
        <w:gridCol w:w="109"/>
        <w:gridCol w:w="109"/>
        <w:gridCol w:w="211"/>
        <w:gridCol w:w="826"/>
        <w:gridCol w:w="109"/>
        <w:gridCol w:w="109"/>
        <w:gridCol w:w="109"/>
        <w:gridCol w:w="109"/>
        <w:gridCol w:w="154"/>
      </w:tblGrid>
      <w:tr>
        <w:trPr/>
        <w:tc>
          <w:tcPr>
            <w:tcW w:w="1888"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80" w:after="283"/>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Earnings Per Unit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 </w:t>
      </w:r>
    </w:p>
    <w:p>
      <w:pPr>
        <w:pStyle w:val="TextBody"/>
        <w:spacing w:before="180" w:after="283"/>
        <w:jc w:val="both"/>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units outstanding used in the calculation of basic EPU to the weighted-average units outstanding used in the calculation of diluted EPU:</w:t>
      </w:r>
    </w:p>
    <w:tbl>
      <w:tblPr>
        <w:tblW w:w="8110" w:type="dxa"/>
        <w:jc w:val="left"/>
        <w:tblInd w:w="0" w:type="dxa"/>
        <w:tblCellMar>
          <w:top w:w="28" w:type="dxa"/>
          <w:left w:w="28" w:type="dxa"/>
          <w:bottom w:w="28" w:type="dxa"/>
          <w:right w:w="28" w:type="dxa"/>
        </w:tblCellMar>
      </w:tblPr>
      <w:tblGrid>
        <w:gridCol w:w="1580"/>
        <w:gridCol w:w="1389"/>
        <w:gridCol w:w="1395"/>
        <w:gridCol w:w="678"/>
        <w:gridCol w:w="298"/>
        <w:gridCol w:w="286"/>
        <w:gridCol w:w="286"/>
        <w:gridCol w:w="286"/>
        <w:gridCol w:w="286"/>
        <w:gridCol w:w="573"/>
        <w:gridCol w:w="286"/>
        <w:gridCol w:w="286"/>
        <w:gridCol w:w="109"/>
        <w:gridCol w:w="109"/>
        <w:gridCol w:w="109"/>
        <w:gridCol w:w="154"/>
      </w:tblGrid>
      <w:tr>
        <w:trPr/>
        <w:tc>
          <w:tcPr>
            <w:tcW w:w="1580"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8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units: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1,013,758 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684,341 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VICI restricted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VICI forward sale agreements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units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1,016,063 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687,915 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6174" w:type="dxa"/>
        <w:jc w:val="left"/>
        <w:tblInd w:w="0" w:type="dxa"/>
        <w:tblCellMar>
          <w:top w:w="28" w:type="dxa"/>
          <w:left w:w="28" w:type="dxa"/>
          <w:bottom w:w="28" w:type="dxa"/>
          <w:right w:w="28" w:type="dxa"/>
        </w:tblCellMar>
      </w:tblPr>
      <w:tblGrid>
        <w:gridCol w:w="1112"/>
        <w:gridCol w:w="978"/>
        <w:gridCol w:w="984"/>
        <w:gridCol w:w="211"/>
        <w:gridCol w:w="826"/>
        <w:gridCol w:w="109"/>
        <w:gridCol w:w="109"/>
        <w:gridCol w:w="109"/>
        <w:gridCol w:w="109"/>
        <w:gridCol w:w="211"/>
        <w:gridCol w:w="826"/>
        <w:gridCol w:w="109"/>
        <w:gridCol w:w="109"/>
        <w:gridCol w:w="109"/>
        <w:gridCol w:w="109"/>
        <w:gridCol w:w="154"/>
      </w:tblGrid>
      <w:tr>
        <w:trPr/>
        <w:tc>
          <w:tcPr>
            <w:tcW w:w="1112"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EPU</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EPU</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180" w:after="283"/>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13 — Stock-Based Compensation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March 31, 2023, 10.2 million shares of common stock remained available for issuance by us as equity awards under the Plan.</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stock-based compensation expense recorded as General and administrative expense in the Statement of Operations:</w:t>
      </w:r>
    </w:p>
    <w:tbl>
      <w:tblPr>
        <w:tblW w:w="6056" w:type="dxa"/>
        <w:jc w:val="left"/>
        <w:tblInd w:w="0" w:type="dxa"/>
        <w:tblCellMar>
          <w:top w:w="28" w:type="dxa"/>
          <w:left w:w="28" w:type="dxa"/>
          <w:bottom w:w="28" w:type="dxa"/>
          <w:right w:w="28" w:type="dxa"/>
        </w:tblCellMar>
      </w:tblPr>
      <w:tblGrid>
        <w:gridCol w:w="1085"/>
        <w:gridCol w:w="954"/>
        <w:gridCol w:w="961"/>
        <w:gridCol w:w="247"/>
        <w:gridCol w:w="723"/>
        <w:gridCol w:w="127"/>
        <w:gridCol w:w="127"/>
        <w:gridCol w:w="127"/>
        <w:gridCol w:w="127"/>
        <w:gridCol w:w="247"/>
        <w:gridCol w:w="723"/>
        <w:gridCol w:w="127"/>
        <w:gridCol w:w="109"/>
        <w:gridCol w:w="109"/>
        <w:gridCol w:w="109"/>
        <w:gridCol w:w="154"/>
      </w:tblGrid>
      <w:tr>
        <w:trPr/>
        <w:tc>
          <w:tcPr>
            <w:tcW w:w="108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activity of our time-based restricted stock and performance-based restricted stock units:</w:t>
      </w:r>
    </w:p>
    <w:tbl>
      <w:tblPr>
        <w:tblW w:w="10205" w:type="dxa"/>
        <w:jc w:val="left"/>
        <w:tblInd w:w="0" w:type="dxa"/>
        <w:tblCellMar>
          <w:top w:w="28" w:type="dxa"/>
          <w:left w:w="28" w:type="dxa"/>
          <w:bottom w:w="28" w:type="dxa"/>
          <w:right w:w="28" w:type="dxa"/>
        </w:tblCellMar>
      </w:tblPr>
      <w:tblGrid>
        <w:gridCol w:w="899"/>
        <w:gridCol w:w="712"/>
        <w:gridCol w:w="717"/>
        <w:gridCol w:w="258"/>
        <w:gridCol w:w="260"/>
        <w:gridCol w:w="209"/>
        <w:gridCol w:w="190"/>
        <w:gridCol w:w="190"/>
        <w:gridCol w:w="190"/>
        <w:gridCol w:w="553"/>
        <w:gridCol w:w="1618"/>
        <w:gridCol w:w="285"/>
        <w:gridCol w:w="109"/>
        <w:gridCol w:w="109"/>
        <w:gridCol w:w="109"/>
        <w:gridCol w:w="258"/>
        <w:gridCol w:w="260"/>
        <w:gridCol w:w="209"/>
        <w:gridCol w:w="185"/>
        <w:gridCol w:w="185"/>
        <w:gridCol w:w="185"/>
        <w:gridCol w:w="538"/>
        <w:gridCol w:w="1573"/>
        <w:gridCol w:w="404"/>
      </w:tblGrid>
      <w:tr>
        <w:trPr/>
        <w:tc>
          <w:tcPr>
            <w:tcW w:w="89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r>
      <w:tr>
        <w:trPr/>
        <w:tc>
          <w:tcPr>
            <w:tcW w:w="2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2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3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i/>
                <w:color w:val="000000"/>
                <w:sz w:val="16"/>
                <w:u w:val="single"/>
              </w:rPr>
              <w:t>(In thousands, except per share data)</w:t>
            </w:r>
          </w:p>
        </w:tc>
        <w:tc>
          <w:tcPr>
            <w:tcW w:w="7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3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99"/>
        <w:gridCol w:w="712"/>
        <w:gridCol w:w="717"/>
        <w:gridCol w:w="258"/>
        <w:gridCol w:w="260"/>
        <w:gridCol w:w="209"/>
        <w:gridCol w:w="190"/>
        <w:gridCol w:w="190"/>
        <w:gridCol w:w="190"/>
        <w:gridCol w:w="553"/>
        <w:gridCol w:w="1618"/>
        <w:gridCol w:w="285"/>
        <w:gridCol w:w="109"/>
        <w:gridCol w:w="109"/>
        <w:gridCol w:w="109"/>
        <w:gridCol w:w="258"/>
        <w:gridCol w:w="260"/>
        <w:gridCol w:w="209"/>
        <w:gridCol w:w="185"/>
        <w:gridCol w:w="185"/>
        <w:gridCol w:w="185"/>
        <w:gridCol w:w="538"/>
        <w:gridCol w:w="1573"/>
        <w:gridCol w:w="404"/>
      </w:tblGrid>
      <w:tr>
        <w:trPr/>
        <w:tc>
          <w:tcPr>
            <w:tcW w:w="89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r>
      <w:tr>
        <w:trPr/>
        <w:tc>
          <w:tcPr>
            <w:tcW w:w="2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2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3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i/>
                <w:color w:val="000000"/>
                <w:sz w:val="16"/>
                <w:u w:val="single"/>
              </w:rPr>
              <w:t>(In thousands, except per share data)</w:t>
            </w:r>
          </w:p>
        </w:tc>
        <w:tc>
          <w:tcPr>
            <w:tcW w:w="7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3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$29.0 million of unrecognized compensation cost related to non-vested stock-based compensation arrangements under the Plan. This cost is expected to be recognized over a weighted average period of 2.2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spacing w:lineRule="auto" w:line="288" w:before="180" w:after="283"/>
        <w:jc w:val="both"/>
        <w:rPr/>
      </w:pPr>
      <w:r>
        <w:rPr>
          <w:rFonts w:ascii="Times New Roman;sans-serif" w:hAnsi="Times New Roman;sans-serif"/>
          <w:b w:val="false"/>
          <w:i/>
          <w:color w:val="000000"/>
          <w:sz w:val="20"/>
        </w:rPr>
        <w:t xml:space="preserve">The following discussion and analysis of the financial position and operating results of VICI Properties Inc. and VICI Properties L.P. for the three months ended March 31, 2023 should be read in conjunction with the Financial Statements and related notes thereto and other financial information contained elsewhere in this Quarterly Report on Form 10-Q and the audited consolidated financial statements and related notes for the year ended December 31, 2022, which were included in our </w:t>
      </w:r>
      <w:hyperlink r:id="rId4">
        <w:r>
          <w:rPr>
            <w:rStyle w:val="InternetLink"/>
            <w:rFonts w:ascii="Times New Roman;sans-serif" w:hAnsi="Times New Roman;sans-serif"/>
            <w:b w:val="false"/>
            <w:i/>
            <w:color w:val="0000FF"/>
            <w:sz w:val="20"/>
            <w:u w:val="single"/>
          </w:rPr>
          <w:t>Annual Report on Form 10-K for the year ended December 31, 2022</w:t>
        </w:r>
      </w:hyperlink>
      <w:r>
        <w:rPr>
          <w:rFonts w:ascii="Times New Roman;sans-serif" w:hAnsi="Times New Roman;sans-serif"/>
          <w:b w:val="false"/>
          <w:i/>
          <w:color w:val="000000"/>
          <w:sz w:val="20"/>
        </w:rPr>
        <w:t xml:space="preserve">. All defined terms included herein have the same meaning as those set forth in the </w:t>
      </w:r>
      <w:hyperlink w:anchor="i402613ae68904b5587c68802b3f0ad2f_46">
        <w:r>
          <w:rPr>
            <w:rStyle w:val="InternetLink"/>
            <w:rFonts w:ascii="Times New Roman;sans-serif" w:hAnsi="Times New Roman;sans-serif"/>
            <w:b w:val="false"/>
            <w:i/>
            <w:color w:val="0000FF"/>
            <w:sz w:val="20"/>
            <w:u w:val="single"/>
          </w:rPr>
          <w:t>Notes to the Consolidated Financial Statements</w:t>
        </w:r>
      </w:hyperlink>
      <w:r>
        <w:rPr>
          <w:color w:val="000000"/>
        </w:rPr>
        <w:t xml:space="preserve"> </w:t>
      </w:r>
      <w:r>
        <w:rPr>
          <w:rFonts w:ascii="Times New Roman;sans-serif" w:hAnsi="Times New Roman;sans-serif"/>
          <w:b w:val="false"/>
          <w:i/>
          <w:color w:val="000000"/>
          <w:sz w:val="20"/>
        </w:rPr>
        <w:t xml:space="preserve">contained within this Quarterly Report on Form 10-Q. </w:t>
      </w:r>
    </w:p>
    <w:p>
      <w:pPr>
        <w:pStyle w:val="TextBody"/>
        <w:spacing w:lineRule="auto" w:line="288" w:before="240" w:after="60"/>
        <w:jc w:val="center"/>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on Form 10-Q, including statements such as “anticipate,” “believe,” “estimate,” “expect,” “intend,” “plan,” “project,” “target,” “can,” “could,” “may,” “should,” “will,” “would” or similar expressions, which constitute “forward-looking statements” within the meaning of federal securities law. Forward-looking statements are based on our current plans, expectations and projections about future events. We therefore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including inflation, interest rate changes, supply chain disruptions, consumer confidence levels, changes in consumer spending, unemployment levels and depressed real estate prices resulting from the severity and duration of any downturn in the U.S. or global economy; the impact of the rise in interest rates on us, including our ability to successfully pursue investments in, and acquisitions of, additional properties and to obtain debt financing for such investments at attractive interest rates, or at all; risks associated with our pending and recently closed transactions, including our ability or failure to realize the anticipated benefits thereof; our dependence on our tenants at our properties, including their financial condition, results of operations, cash flows and performance, and their affiliates that serve as guarantors of the lease payments, and the negative consequences any material adverse effect on their respective businesses could have on us; the possibility that our pending transactions may not be consummated on the terms or timeframes contemplated, or at all; the ability of the parties to our pending transactions and any future transactions to satisfy the conditions set forth in the definitive transaction documents, including the ability to receive, or delays in obtaining, the governmental and regulatory approvals and consents required to consummate the pending transactions, or other delays or impediments to completing the transactions; our ability to obtain the financing necessary to complete any acquisitions on the terms we expect in a timely manner, or at all; the anticipated benefits of certain arrangements with certain tenants in connection with our Partner Property Growth Fund; our ability to exercise our purchase rights under our put-call agreements, call agreements, right of first refusal agreements and right of first offer agreements; our borrowers’ ability to repay their outstanding loan obligations to us; our dependence on the gaming industry;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and otherwise fulfill our obligations under such indebtedness; our historical financial information may not be reliable indicators of our future results of operations, financial condition and cash flows; our inability to successfully pursue investments in, and acquisitions of, additional properties; the possibility that we identify significant environmental, tax, legal or other issues that materially and adversely impact the value of assets acquired or secured as collateral (or other benefits we expect to receive) in any of our pending or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recently completed transactions; the impact of changes to the U.S. federal income tax laws; the possibility of adverse tax consequences as a result of our pending or recently completed transactions, including tax protection agreements to which we are a party; increased volatility in our stock price, including as a result of our pending or recently completed transactions; our inability to maintain our qualification for taxation as a REIT; the impact of climate change, natural 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our reliance on distributions received from our subsidiaries, including VICI OP,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Reports on Form 10-K, Quarterly Reports on Form 10-Q and Current Reports on Form 8-K.</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pStyle w:val="TextBody"/>
        <w:spacing w:lineRule="auto" w:line="288" w:before="240" w:after="283"/>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spacing w:lineRule="auto" w:line="288" w:before="180" w:after="283"/>
        <w:jc w:val="both"/>
        <w:rPr/>
      </w:pPr>
      <w:r>
        <w:rPr>
          <w:rFonts w:ascii="Times New Roman;sans-serif" w:hAnsi="Times New Roman;sans-serif"/>
          <w:b w:val="false"/>
          <w:color w:val="000000"/>
          <w:sz w:val="20"/>
        </w:rPr>
        <w:t>We are a Maryland corporation that is primarily engaged in the business of owning and acquiring gaming, hospitality and entertainment destinations, subject to long-term triple net leases. Our geographically diverse portfolio currently consists of 49 gaming facilities in the United States and Canada, including Caesars Palace Las Vegas, MGM Grand and the Venetian Resort, three of the most iconic entertainment facilities on the Las Vegas Strip. Our entertainment facilities are leased to leading brands that seek to drive consumer loyalty and value with guests through superior services, experiences, products and continuous innovation. Across over 124 million square feet, our well-maintained properties are curren</w:t>
      </w:r>
      <w:r>
        <w:rPr>
          <w:rFonts w:ascii="Times New Roman;sans-serif" w:hAnsi="Times New Roman;sans-serif"/>
          <w:b w:val="false"/>
          <w:color w:val="000000"/>
          <w:sz w:val="20"/>
          <w:highlight w:val="white"/>
        </w:rPr>
        <w:t>tly located across urban, destination and drive-to markets in fifteen states and Canada, contain approximately 60,100 hotel rooms and feature over 450 restaurants, bars, nightclubs and sportsbooks.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portfolio also includes certain real estate debt investments that we have originated for strategic reasons in connection with transactions that either do or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VICI also owns four championship golf courses located near certain of our properties, two of which are in close proximity to the Las Vegas Strip.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lease our properties to subsidiaries of, or entities managed by, Apollo, Caesars, Century Casinos, CNB, EBCI, Foundation Gaming, JACK Entertainment, MGM, PENN Entertainment, PURE Canadian Gaming and Seminole Hard Rock, with Caesars and MGM being our largest tenants. We believe we have a mutually beneficial relationship with each of our tenants, all of which are leading owners and operators of gaming,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repair, improvement and other capital expenditures, as well as over the implementation of environmental sustainability and other initiatives. Given our scale and deep industry knowledge, we believe we are well-positioned to execute highly complementary single-asset and portfolio acquisitions, as well as other investments, to augment growth as market conditions allow, with a focus on disciplined capital allocation.</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taxable REIT subsidiary (a “TRS”), VICI Golf.</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included in this Quarterly Report on Form 10-Q is our consolidated results (including the real property business and the golf course business) for the three months ended March 31, 2023.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Impact of Material Trends on Our Business </w:t>
      </w:r>
    </w:p>
    <w:p>
      <w:pPr>
        <w:pStyle w:val="TextBody"/>
        <w:spacing w:lineRule="auto" w:line="288" w:before="180" w:after="283"/>
        <w:jc w:val="both"/>
        <w:rPr/>
      </w:pPr>
      <w:r>
        <w:rPr>
          <w:rFonts w:ascii="Times New Roman;sans-serif" w:hAnsi="Times New Roman;sans-serif"/>
          <w:b w:val="false"/>
          <w:color w:val="000000"/>
          <w:sz w:val="20"/>
        </w:rPr>
        <w:t xml:space="preserve">Recent macroeconomic volatility has introduced significant uncertainty and heightened risk for businesses, including us and our tenants, as a result of the current inflationary environment, including the impact of rising interest rates and increased cost of capital. </w:t>
      </w:r>
      <w:r>
        <w:rPr>
          <w:rFonts w:ascii="Times New Roman;sans-serif" w:hAnsi="Times New Roman;sans-serif"/>
          <w:b w:val="false"/>
          <w:color w:val="000000"/>
          <w:sz w:val="20"/>
          <w:highlight w:val="white"/>
        </w:rPr>
        <w:t xml:space="preserve">Our tenants also face additional challenges, including potential changes in consumer confidence levels, behavior and spending and increased operational expenses, such as with respect to labor or energy costs. As a triple-net lessor, increased operational expenses at our leased properties are borne by our tenants and do not directly impact their rent obligations (other than with respect to underlying inflation as applied to the CPI-based escalators) or other obligations under our Lease Agreements. </w:t>
      </w:r>
      <w:r>
        <w:rPr>
          <w:rFonts w:ascii="Times New Roman;sans-serif" w:hAnsi="Times New Roman;sans-serif"/>
          <w:b w:val="false"/>
          <w:color w:val="000000"/>
          <w:sz w:val="20"/>
        </w:rPr>
        <w:t>As a triple-net lessor, we believe we are generally in a strong creditor position and structurally insulated from operational and performance impacts of our tenants, both positive and negative. However, the full extent to which these trends adversely affect our tenants and/or ultimately impact us depends on future developments that cannot be predicted with confidence, including our tenants’ financial performance, the direct and indirect effects of such trends (including among other things, interest rate changes, inflation, economic recessions, consumer confidence levels and general conditions in the capital and credit markets) and the impact of any future measures taken in response to such trends on our tenants.</w:t>
      </w:r>
    </w:p>
    <w:p>
      <w:pPr>
        <w:pStyle w:val="TextBody"/>
        <w:spacing w:lineRule="auto" w:line="288" w:before="180" w:after="283"/>
        <w:jc w:val="both"/>
        <w:rPr/>
      </w:pPr>
      <w:r>
        <w:rPr>
          <w:rFonts w:ascii="Times New Roman;sans-serif" w:hAnsi="Times New Roman;sans-serif"/>
          <w:b w:val="false"/>
          <w:color w:val="000000"/>
          <w:sz w:val="20"/>
        </w:rPr>
        <w:t xml:space="preserve">For more information, refer to the sections entitled “Key Trends That May Affect Our Business” and “Risk Factors” in our </w:t>
      </w:r>
      <w:hyperlink r:id="rId5">
        <w:r>
          <w:rPr>
            <w:rStyle w:val="InternetLink"/>
            <w:rFonts w:ascii="Times New Roman;sans-serif" w:hAnsi="Times New Roman;sans-serif"/>
            <w:b w:val="false"/>
            <w:color w:val="0000FF"/>
            <w:sz w:val="20"/>
            <w:u w:val="single"/>
          </w:rPr>
          <w:t>Annual Report on Form 10-K for the year ended December 31, 2022</w:t>
        </w:r>
      </w:hyperlink>
      <w:r>
        <w:rPr>
          <w:color w:val="000000"/>
        </w:rPr>
        <w:t xml:space="preserve"> </w:t>
      </w:r>
      <w:r>
        <w:rPr>
          <w:rFonts w:ascii="Times New Roman;sans-serif" w:hAnsi="Times New Roman;sans-serif"/>
          <w:b w:val="false"/>
          <w:color w:val="000000"/>
          <w:sz w:val="20"/>
        </w:rPr>
        <w:t>and as updated from time to time in our other filings with the SEC.</w:t>
      </w:r>
    </w:p>
    <w:p>
      <w:pPr>
        <w:pStyle w:val="TextBody"/>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SIGNIFICANT ACTIVITIES DURING 2023</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Acquisition Activity</w:t>
      </w:r>
    </w:p>
    <w:p>
      <w:pPr>
        <w:pStyle w:val="TextBody"/>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PURE Canadian Gaming Transaction. </w:t>
      </w:r>
      <w:r>
        <w:rPr>
          <w:rFonts w:ascii="Times New Roman;sans-serif" w:hAnsi="Times New Roman;sans-serif"/>
          <w:b w:val="false"/>
          <w:color w:val="000000"/>
          <w:sz w:val="20"/>
        </w:rPr>
        <w:t>On January 6, 2023, we acquired the real estate assets of PURE Casino Edmonton, PURE Casino Yellowhead, PURE Casino Calgary, and PURE Casino Lethbridge, all of which are located in Alberta, Canada, from PURE Canadian Gaming for an aggregate purchase price of approximately C$271.9 million (approximately US$200.8 million based on the exchange rate at the time of the acquisition) (the “PURE Canadian Gaming Transaction”). We financed the PURE Canadian Gaming Transaction with a combination of cash on hand and drawing down C$140.0 million (approximately US$103.4 million based on the exchange rate at the time of the acquisition) under our Revolving Credit Facility. Simultaneous with the acquisition, we entered into the PURE Master Lease. The PURE Master Lease has an initial total annual rent of approximately C$21.8 million (approximately US$16.1 million based on the exchange rate at the time of the acquisition), an initial term of 25 years, with four 5-year tenant renewal options, escalation of 1.25% per annum in lease years two and three (and thereafter at the greater of 1.5% and Canadian Consumer Price Index, capped at 2.5%) and minimum capital expenditure requirements of 1.0% of annual net revenue (excluding gaming equipment). The tenant’s obligations under the PURE Master Lease are guaranteed by the parent entity of PURE Canadian Gaming.</w:t>
      </w:r>
    </w:p>
    <w:p>
      <w:pPr>
        <w:pStyle w:val="TextBody"/>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MGM Grand/Mandalay Bay JV Interest Acquisition. </w:t>
      </w:r>
      <w:r>
        <w:rPr>
          <w:rFonts w:ascii="Times New Roman;sans-serif" w:hAnsi="Times New Roman;sans-serif"/>
          <w:b w:val="false"/>
          <w:color w:val="000000"/>
          <w:sz w:val="20"/>
        </w:rPr>
        <w:t xml:space="preserve">On January 9, 2023, we closed on the previously announced acquisition of the remaining 49.9% interest in the MGM Grand/Mandalay Bay JV (previously referred to as the “BREIT JV”) from BREIT (the “MGM Grand/Mandalay Bay JV Interest Acquisition”) for cash consideration of $1,261.9 million. We also assumed the remaining $1,497.0 million pro rata share of an aggregate $3.0 billion of property-level debt, which matures in 2032 and bears interest at a fixed rate of 3.558% per annum through March 2030. The cash consideration was funded through a combination of cash on hand and proceeds from the settlement of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pPr>
      <w:r>
        <w:rPr>
          <w:rFonts w:ascii="Times New Roman;sans-serif" w:hAnsi="Times New Roman;sans-serif"/>
          <w:b w:val="false"/>
          <w:color w:val="000000"/>
          <w:sz w:val="20"/>
        </w:rPr>
        <w:t xml:space="preserve">the November 2022 Forward Sale Agreements and ATM Forward Sale Agreements (as defined in </w:t>
      </w:r>
      <w:hyperlink w:anchor="i402613ae68904b5587c68802b3f0ad2f_85">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xml:space="preserve">). The MGM Grand/Mandalay Bay Lease currently has an annual rent of $309.9 million, all of which we are entitled to following the closing of the MGM Grand/Mandalay Bay JV Interest Acquisition. The MGM Grand/Mandalay Bay Lease has a remaining initial lease term of approximately 27 years (expiring in 2050), with two 10-year tenant renewal options. Rent under the MGM Grand/Mandalay Bay Lease escalates annually at 2.0% through 2035 (year 15 of the initial lease term) and thereafter at the greater of 2.0% or CPI (subject to a 3.0% ceiling). As of December 31, 2022, the MGM Grand/Mandalay Bay JV was accounted for as an equity method investment within Investment in unconsolidated affiliate on our Balance Sheet. Simultaneous with closing of the MGM Grand/Mandalay Bay JV Interest Acquisition, as a result of acquiring full ownership of the joint venture, we consolidated the net assets and operations of the MGM Grand/Mandalay Bay JV. </w:t>
      </w:r>
    </w:p>
    <w:p>
      <w:pPr>
        <w:pStyle w:val="TextBody"/>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Gold Strike Severance Lease. </w:t>
      </w:r>
      <w:r>
        <w:rPr>
          <w:rFonts w:ascii="Times New Roman;sans-serif" w:hAnsi="Times New Roman;sans-serif"/>
          <w:b w:val="false"/>
          <w:color w:val="000000"/>
          <w:sz w:val="20"/>
        </w:rPr>
        <w:t xml:space="preserve">On February 15, 2023, in connection with MGM’s sale of the operations of Gold Strike, we entered into the Gold Strike Lease with CNB related to the land and real estate assets of Gold Strike, and entered into an amendment to the MGM Master Lease in order to account for the divestiture of the operations of Gold Strike. The Gold Strike Lease has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The Gold Strike Lease is guaranteed by CNB. Upon the closing of the sale of Gold Strike, the MGM Master Lease was amended to account for MGM’s divestiture of the Gold Strike operations and resulted in a reduction of the annual base rent under the MGM Master Lease by $40.0 million. </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Loan and Security Investment Activity</w:t>
      </w:r>
    </w:p>
    <w:p>
      <w:pPr>
        <w:pStyle w:val="TextBody"/>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Hard Rock Ottawa Secured Notes. </w:t>
      </w:r>
      <w:r>
        <w:rPr>
          <w:rFonts w:ascii="Times New Roman;sans-serif" w:hAnsi="Times New Roman;sans-serif"/>
          <w:b w:val="false"/>
          <w:color w:val="000000"/>
          <w:sz w:val="20"/>
        </w:rPr>
        <w:t xml:space="preserve">On March 28, 2023, we purchased $85.0 million principal amount of senior secured notes from H.R. Ottawa, L.P., which owns and operates the Hard Rock Ottawa Casino. H.R. Ottawa, L.P. intends to use the proceeds of the Hard Rock Ottawa Notes to fund a portion of (i) the redevelopment and rebrand of the existing Rideau Carleton Raceway Casino, located in Ottawa, Canada, (ii) the development of an integrated “Hard Rock” branded hotel with approximately 150 rooms, and (iii) the repayment of existing debt.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Financing and Capital Markets Activity</w:t>
      </w:r>
    </w:p>
    <w:p>
      <w:pPr>
        <w:pStyle w:val="TextBody"/>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January 2023 Offering. </w:t>
      </w:r>
      <w:r>
        <w:rPr>
          <w:rFonts w:ascii="Times New Roman;sans-serif" w:hAnsi="Times New Roman;sans-serif"/>
          <w:b w:val="false"/>
          <w:color w:val="000000"/>
          <w:sz w:val="20"/>
        </w:rPr>
        <w:t xml:space="preserve">On January 12, 2023, we completed a primary forward offering of 30,302,500 shares of common stock (inclusive of 3,952,500 shares sold pursuant to the exercise in full of the underwriters’ option to purchase additional shares of common stock) at a public offering price of $33.00 per share for an aggregate offering value of $1,000.0 million, resulting in net proceeds, after deduction of the underwriting discount and expenses, of $964.4 million. The shares are subject to forward sale agreements (the “January 2023 Forward Sale Agreements”), which require settlement by January 16, 2024. We did not initially receive any proceeds from the sale of the shares of common stock in the offering, which were sold to the underwriters by the forward purchasers or their respective affiliates and remain subject to settlement in accordance with the terms of the January 2023 Forward Sale Agreements. Subsequent to quarter-end, on April 4, 2023, we physically settled 3,200,000 shares under the January 2023 Forward Sale Agreements at a forward sale price of $31.71 per share in exchange for total net proceeds of approximately $101.5 million. Following such settlement, 27,102,500 shares of common stock remain available for settlement under the January 2023 Forward Sale Agreements. </w:t>
      </w:r>
    </w:p>
    <w:p>
      <w:pPr>
        <w:pStyle w:val="TextBody"/>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Settlement of ATM Forward Sale Agreements and November 2022 Forward Sale Agreements. </w:t>
      </w:r>
      <w:r>
        <w:rPr>
          <w:rFonts w:ascii="Times New Roman;sans-serif" w:hAnsi="Times New Roman;sans-serif"/>
          <w:b w:val="false"/>
          <w:color w:val="000000"/>
          <w:sz w:val="20"/>
        </w:rPr>
        <w:t>In January 2023, we physically settled all the forward shares issued under the ATM Program and November 2022 Forward Sale Agreements in exchange for total net proceeds of approximately $1,272.3 million, which were used to pay for a portion of the purchase price of the MGM Grand/Mandalay Bay JV Interest Acquisition.</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 </w:t>
      </w:r>
    </w:p>
    <w:tbl>
      <w:tblPr>
        <w:tblW w:w="9845" w:type="dxa"/>
        <w:jc w:val="left"/>
        <w:tblInd w:w="0" w:type="dxa"/>
        <w:tblCellMar>
          <w:top w:w="28" w:type="dxa"/>
          <w:left w:w="28" w:type="dxa"/>
          <w:bottom w:w="28" w:type="dxa"/>
          <w:right w:w="28" w:type="dxa"/>
        </w:tblCellMar>
      </w:tblPr>
      <w:tblGrid>
        <w:gridCol w:w="1828"/>
        <w:gridCol w:w="1609"/>
        <w:gridCol w:w="161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1828"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 xml:space="preserve">Revenue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our revenue was comprised of the following items:</w:t>
      </w:r>
    </w:p>
    <w:tbl>
      <w:tblPr>
        <w:tblW w:w="7565" w:type="dxa"/>
        <w:jc w:val="left"/>
        <w:tblInd w:w="0" w:type="dxa"/>
        <w:tblCellMar>
          <w:top w:w="28" w:type="dxa"/>
          <w:left w:w="28" w:type="dxa"/>
          <w:bottom w:w="28" w:type="dxa"/>
          <w:right w:w="28" w:type="dxa"/>
        </w:tblCellMar>
      </w:tblPr>
      <w:tblGrid>
        <w:gridCol w:w="1006"/>
        <w:gridCol w:w="883"/>
        <w:gridCol w:w="88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1006"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loans and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Leasing Revenue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and financing receivables leases:</w:t>
      </w:r>
    </w:p>
    <w:tbl>
      <w:tblPr>
        <w:tblW w:w="8375" w:type="dxa"/>
        <w:jc w:val="left"/>
        <w:tblInd w:w="0" w:type="dxa"/>
        <w:tblCellMar>
          <w:top w:w="28" w:type="dxa"/>
          <w:left w:w="28" w:type="dxa"/>
          <w:bottom w:w="28" w:type="dxa"/>
          <w:right w:w="28" w:type="dxa"/>
        </w:tblCellMar>
      </w:tblPr>
      <w:tblGrid>
        <w:gridCol w:w="1299"/>
        <w:gridCol w:w="1141"/>
        <w:gridCol w:w="114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129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Income from lease financing receivables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leasing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jc w:val="both"/>
        <w:rPr/>
      </w:pPr>
      <w:r>
        <w:rPr>
          <w:rFonts w:ascii="Times New Roman;sans-serif" w:hAnsi="Times New Roman;sans-serif"/>
          <w:b w:val="false"/>
          <w:i/>
          <w:color w:val="000000"/>
          <w:sz w:val="16"/>
        </w:rPr>
        <w:t xml:space="preserve">(1) Represents the MGM Master Lease, Harrah’s Call Properties (as defined in </w:t>
      </w:r>
      <w:hyperlink w:anchor="i402613ae68904b5587c68802b3f0ad2f_55">
        <w:r>
          <w:rPr>
            <w:rStyle w:val="InternetLink"/>
            <w:rFonts w:ascii="Times New Roman;sans-serif" w:hAnsi="Times New Roman;sans-serif"/>
            <w:b w:val="false"/>
            <w:i/>
            <w:color w:val="0000FF"/>
            <w:sz w:val="16"/>
            <w:u w:val="single"/>
          </w:rPr>
          <w:t>Note 2 - Summary of Significant Accounting Policies</w:t>
        </w:r>
      </w:hyperlink>
      <w:r>
        <w:rPr>
          <w:rFonts w:ascii="Times New Roman;sans-serif" w:hAnsi="Times New Roman;sans-serif"/>
          <w:b w:val="false"/>
          <w:i/>
          <w:color w:val="000000"/>
          <w:sz w:val="16"/>
        </w:rPr>
        <w:t>), the JACK Master Lease, the Foundation Master Lease and the PURE Master Lease, all of which were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income from sales-type leases, direct financing leases and lease financing receivables in order to recognize income on an effective interest basis at a constant rate of return over the term of the leases.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Leasing revenue is generated from rent from our Lease Agreements. Total leasing revenue increased $443.5 million during the three months ended March 31, 2023, compared to the three months ended March 31, 2022. Total contractual leasing revenue increased $356.2 million during the three months ended March 31, 2023, compared to the three months ended March 31, 2022. The increases were primarily driven by the addition of the MGM Master Lease, Venetian Lease and Foundation Master Lease to our portfolio in 2022, and the addition of the PURE Master Lease and MGM Grand/Mandalay Bay Lease to our portfolio in January 2023, as well as the annual rent escalators from certain of our other Lease Agreements.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Loans and Securities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loans and securities increased $6.4 million during the three months ended March 31, 2023 compared to the three months ended March 31, 2022. The increase was driven by the origination and subsequent funding, as applicable, of our senior secured and mezzanine loans and securities and the related interest income from the increased principal balance outstanding.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increased $10.0 million during the three months ended March 31, 2023, compared to the three months ended March 31, 2022. The increase was driven primarily by the additional income and offsetting expense as a result of the assumption of certain sub-leases in connection with the closing of the Venetian Acquisition and MGP Transactions. The Lease Agreements require the tenants to pay all costs associated with such ground and use sub-leases and provide for their direct payment to the landlord.</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Operating Expenses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our operating expenses were comprised of the following items:</w:t>
      </w:r>
    </w:p>
    <w:tbl>
      <w:tblPr>
        <w:tblW w:w="7850" w:type="dxa"/>
        <w:jc w:val="left"/>
        <w:tblInd w:w="0" w:type="dxa"/>
        <w:tblCellMar>
          <w:top w:w="28" w:type="dxa"/>
          <w:left w:w="28" w:type="dxa"/>
          <w:bottom w:w="28" w:type="dxa"/>
          <w:right w:w="28" w:type="dxa"/>
        </w:tblCellMar>
      </w:tblPr>
      <w:tblGrid>
        <w:gridCol w:w="1145"/>
        <w:gridCol w:w="1007"/>
        <w:gridCol w:w="101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114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$5.5 million for the three months ended March 31, 2023, as compared to the three months ended March 31, 2022. The increase was primarily driven by an increase in compensation, including stock-based compensation and the addition of new employees, and additional expenses related to the significant growth of our business in 2022.</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increased $10.0 million during the three months ended March 31, 2023, compared to the three months ended March 31, 2022, driven primarily by the additional income and offsetting expense as a result of the assumption of certain sub-leases in connection with the Venetian Acquisition and MGP Transactions. The Lease Agreements require the tenants to pay all costs associated with such ground and use sub-leases and provide for their direct payment to the landlord.</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 in Allowance for Credit Losses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recognized a $111.5 million increase in our allowance for credit losses primarily driven by (i) initial CECL allowances in relation to (a) the consolidation of the MGM Grand/Mandalay Bay JV in connection with the MGM Grand/Mandalay Bay JV Interest Acquisition and related classification of the MGM Grand/Mandalay Bay Lease as a sales-type lease, (b) the PURE Canadian Gaming Transaction and related classification of the PURE Master Lease as a lease financing receivable, and (c) the purchase of the Hard Rock Ottawa Notes, and (ii) an increase in the Long-Term Period probability of default, or PD, as a result of a standard annual update made to the Long-Term PD default study we utilize to estimate our CECL allowance. This increase was partially offset by (i) a decrease in the reasonable and supportable period, or R&amp;S Period, PD of our tenants and their parent guarantors as a result of their market performance during the current quarter and (ii) changes in the macroeconomic model used to scenario condition our R&amp;S Period PD.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recognized an $80.8 million increase in our allowance for credit losses primarily driven by (i) the initial CECL allowance in relation to (a) the Venetian Acquisition and classification of the Venetian Lease as a sales-type lease, (b) the estimated future funding commitments under our Property Growth Fund Agreement with the Venetian Tenant and (c) the sales-type sub-lease agreements we assumed in connection with the Venetian Acquisition and are required to present gross and (ii) the increase R&amp;S Period PD of our tenants and their parent guarantors as a result of market volatility during the first quarter of 2022. This was partially offset by a decrease in the Long-Term Period PD as a result of a standard annual update made to the Long-Term PD default study we utilize to estimate our CECL allowance.</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Transaction and Acquisition Expenses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 decreased $1.7 million during the three months ended March 31, 2023, compared to the three months ended March 31, 2022. Changes in transaction and acquisition expenses are related to fluctuations in (i) costs incurred for investments during the period that are not capitalizable under GAAP and (ii) costs incurred for investments that we are no longer pursuing.</w:t>
      </w:r>
    </w:p>
    <w:p>
      <w:pPr>
        <w:pStyle w:val="TextBody"/>
        <w:spacing w:before="180" w:after="283"/>
        <w:jc w:val="both"/>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Non-Operating Income and Expenses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our non-operating income and expenses were comprised of the following items:</w:t>
      </w:r>
    </w:p>
    <w:tbl>
      <w:tblPr>
        <w:tblW w:w="7731" w:type="dxa"/>
        <w:jc w:val="left"/>
        <w:tblInd w:w="0" w:type="dxa"/>
        <w:tblCellMar>
          <w:top w:w="28" w:type="dxa"/>
          <w:left w:w="28" w:type="dxa"/>
          <w:bottom w:w="28" w:type="dxa"/>
          <w:right w:w="28" w:type="dxa"/>
        </w:tblCellMar>
      </w:tblPr>
      <w:tblGrid>
        <w:gridCol w:w="1127"/>
        <w:gridCol w:w="992"/>
        <w:gridCol w:w="1001"/>
        <w:gridCol w:w="273"/>
        <w:gridCol w:w="799"/>
        <w:gridCol w:w="141"/>
        <w:gridCol w:w="141"/>
        <w:gridCol w:w="141"/>
        <w:gridCol w:w="141"/>
        <w:gridCol w:w="273"/>
        <w:gridCol w:w="526"/>
        <w:gridCol w:w="141"/>
        <w:gridCol w:w="109"/>
        <w:gridCol w:w="109"/>
        <w:gridCol w:w="109"/>
        <w:gridCol w:w="229"/>
        <w:gridCol w:w="671"/>
        <w:gridCol w:w="109"/>
        <w:gridCol w:w="109"/>
        <w:gridCol w:w="109"/>
        <w:gridCol w:w="109"/>
        <w:gridCol w:w="109"/>
        <w:gridCol w:w="109"/>
        <w:gridCol w:w="154"/>
      </w:tblGrid>
      <w:tr>
        <w:trPr/>
        <w:tc>
          <w:tcPr>
            <w:tcW w:w="1127"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(204,360)</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(68,142)</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Unconsolidated Affiliate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unconsolidated affiliate during the three months ended March 31, 2023 represents our 50.1% share of the income of the MGM Grand/Mandalay Bay JV for the period from January 1, 2023 through January 8, 2023, immediately prior to the MGM Grand/Mandalay Bay JV Interest Acquisition. Beginning on January 9, 2023, upon the closing of the MGM Grand/Mandalay Bay JV Interest Acquisition, we consolidated the operations of the MGM Grand/Mandalay Bay JV, and subsequently, such income is included in Income from sales-type lease on our Statement of Operations. The income from unconsolidated affiliate includes the amortization of certain basis differences arising from the differences between our purchase price and the underlying carrying value of the joint venture. As the initial 50.1% interest in the MGM Grand/Mandalay Bay JV was acquired by us on April 29, 2022 in connection with the MGP Transactions, no such income was recognized for the three months ended March 31, 2022.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180" w:after="283"/>
        <w:jc w:val="both"/>
        <w:rPr/>
      </w:pPr>
      <w:r>
        <w:rPr>
          <w:rFonts w:ascii="Times New Roman;sans-serif" w:hAnsi="Times New Roman;sans-serif"/>
          <w:b w:val="false"/>
          <w:color w:val="000000"/>
          <w:sz w:val="20"/>
        </w:rPr>
        <w:t xml:space="preserve">Interest expense increased $136.2 million during the three months ended March 31, 2023, as compared to the three months ended March 31, 2022. The increase during the three months ended March 31, 2023 was primarily related to the increase in debt from the (i) issuance of the April 2022 Notes, (ii) issuance of the Exchange Notes, (iii) assumption of the MGP OP Notes, (iv) C$140.0 million draw on the Revolving Credit Facility to finance the PURE Canadian Gaming Transaction, and (v) assumption of $3.0 billion aggregate principal of CMBS debt in connection with the MGM Grand/Mandalay Bay JV Interest Acquisition, the combination of which resulted in an additional $12.3 billion in notional amount of debt at a weighted average interest rate of 4.45%, net of the impact of the forward-starting interest rate swaps and treasury locks. The increases were partially offset by certain interest expense recorded during the three months ended March 31, 2022 with no corresponding expense during the three months ended March 31, 2023 and include (i) the amortization of the commitment fees associated with the Venetian Acquisition Bridge Facility and the MGP Transactions Bridge Facility and (ii) additional interest on the $600.0 million draw on the Revolving Credit Facility in </w:t>
      </w:r>
      <w:r>
        <w:rPr>
          <w:rFonts w:ascii="Times New Roman;sans-serif" w:hAnsi="Times New Roman;sans-serif"/>
          <w:b w:val="false"/>
          <w:color w:val="000000"/>
          <w:sz w:val="20"/>
          <w:highlight w:val="white"/>
        </w:rPr>
        <w:t>February 2022 (which</w:t>
      </w:r>
      <w:r>
        <w:rPr>
          <w:color w:val="000000"/>
        </w:rPr>
        <w:t xml:space="preserve"> </w:t>
      </w:r>
      <w:r>
        <w:rPr>
          <w:rFonts w:ascii="Times New Roman;sans-serif" w:hAnsi="Times New Roman;sans-serif"/>
          <w:b w:val="false"/>
          <w:color w:val="000000"/>
          <w:sz w:val="20"/>
        </w:rPr>
        <w:t>was repaid in full on April 29, 2022).</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weighted average annualized interest rate of our debt, net of the impact of the forward-starting interest rate swaps and treasury locks, increased to 4.33% during the three months ended March 31, 2023, from 3.97% during the three months ended March 31, 2022, as a result of a higher weighted average effective interest rate on the April 2022 Notes, Exchange Notes and MGP OP Notes as compared to our outstanding debt during such earlier periods, partially offset by the lower interest rate on the MGM Grand/Mandalay Bay JV CMBS debt.</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$3.0 million during the three months ended March 31, 2023 compared to the three months ended March 31, 2022. The increase was primarily driven by a significant increase in the interest rates and income earned on our excess cash and short-term investments, coupled with an overall increase in our cash on hand throughout the current quarter as compared to the prior quarter.</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Gains (Losses)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recognized $2.0 million of Other gains (losses), which primarily relates to foreign currency remeasurement adjustments associated with our investment in Canada. In connection with the PURE Canadian Gaming Transaction, we entered into intercompany debt and drew C$140.0 on the Revolving Credit Facility, both of which are denominated in CAD and, since such debt is held at entities with USD as their functional currency, certain of the related assets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liabilities are remeasured through the Statement of Operations. There is no comparable amount during the three months ended March 31, 2022, as we did not have any foreign investments during such time. </w:t>
      </w:r>
    </w:p>
    <w:p>
      <w:pPr>
        <w:pStyle w:val="TextBody"/>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RECONCILIATION OF NON-GAAP MEASURES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(iv) impairment write-downs of certain real estate assets and investments in entities when the impairment is directly attributable to decreases in the value of depreciable real estate held by the entity and (v) our proportionate share of such adjustments from our investment in unconsolidated affiliate.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(losses), other non-recurring non-cash transactions, our proportionate share of non-cash adjustments from our investment in unconsolidated affiliate (including the amortization of any basis differences) with respect to certain of the foregoing and non-cash adjustments attributable to non-controlling interest with respect to certain of the foregoing.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income tax expense and our proportionate share of such adjustments from our investment in unconsolidated affiliate.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Reconciliation of VICI’s Net Income to FFO, FFO per Share, AFFO, AFFO per Share and Adjusted EBITDA</w:t>
      </w:r>
    </w:p>
    <w:tbl>
      <w:tblPr>
        <w:tblW w:w="9878" w:type="dxa"/>
        <w:jc w:val="left"/>
        <w:tblInd w:w="0" w:type="dxa"/>
        <w:tblCellMar>
          <w:top w:w="28" w:type="dxa"/>
          <w:left w:w="28" w:type="dxa"/>
          <w:bottom w:w="28" w:type="dxa"/>
          <w:right w:w="28" w:type="dxa"/>
        </w:tblCellMar>
      </w:tblPr>
      <w:tblGrid>
        <w:gridCol w:w="2289"/>
        <w:gridCol w:w="2013"/>
        <w:gridCol w:w="2028"/>
        <w:gridCol w:w="267"/>
        <w:gridCol w:w="1069"/>
        <w:gridCol w:w="109"/>
        <w:gridCol w:w="109"/>
        <w:gridCol w:w="109"/>
        <w:gridCol w:w="109"/>
        <w:gridCol w:w="237"/>
        <w:gridCol w:w="949"/>
        <w:gridCol w:w="109"/>
        <w:gridCol w:w="109"/>
        <w:gridCol w:w="109"/>
        <w:gridCol w:w="109"/>
        <w:gridCol w:w="154"/>
      </w:tblGrid>
      <w:tr>
        <w:trPr/>
        <w:tc>
          <w:tcPr>
            <w:tcW w:w="2289"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202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data and per share data)</w:t>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depreciation and non-controlling interest adjustments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520,166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240,383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leasing and financing adjustments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allowance for credit losses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(gains) losses </w:t>
            </w:r>
            <w:r>
              <w:rPr>
                <w:rFonts w:ascii="Times New Roman;sans-serif" w:hAnsi="Times New Roman;sans-serif"/>
                <w:b w:val="false"/>
                <w:i/>
                <w:color w:val="000000"/>
                <w:sz w:val="13"/>
              </w:rPr>
              <w:t>(1)</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non-cash adjustments and non-controlling interest adjustments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528,605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305,495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interest expense and non-controlling interest adjustments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attributable to common stockholders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710,302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357,967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share</w:t>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per common share</w:t>
            </w:r>
          </w:p>
        </w:tc>
        <w:tc>
          <w:tcPr>
            <w:tcW w:w="1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548" w:type="dxa"/>
            <w:gridSpan w:val="13"/>
            <w:tcBorders/>
            <w:shd w:fill="auto" w:val="clea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per common share</w:t>
            </w:r>
          </w:p>
        </w:tc>
        <w:tc>
          <w:tcPr>
            <w:tcW w:w="1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397"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of common stock outstanding</w:t>
            </w:r>
          </w:p>
        </w:tc>
        <w:tc>
          <w:tcPr>
            <w:tcW w:w="481" w:type="dxa"/>
            <w:gridSpan w:val="4"/>
            <w:tcBorders/>
            <w:shd w:fill="auto" w:val="clea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1,001,526,645 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684,341,045 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1,003,831,325 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687,914,683 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(1)Represents non-cash foreign currency remeasurement adjustments.</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84785"/>
                <wp:effectExtent l="0" t="0" r="0" b="0"/>
                <wp:wrapNone/>
                <wp:docPr id="60" name="Frame5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available cash balances, capacity under our Revolving Credit Facility and proceeds available from outstanding forward sale agreements were as follows:</w:t>
      </w:r>
    </w:p>
    <w:tbl>
      <w:tblPr>
        <w:tblW w:w="8241" w:type="dxa"/>
        <w:jc w:val="left"/>
        <w:tblInd w:w="0" w:type="dxa"/>
        <w:tblCellMar>
          <w:top w:w="28" w:type="dxa"/>
          <w:left w:w="28" w:type="dxa"/>
          <w:bottom w:w="28" w:type="dxa"/>
          <w:right w:w="28" w:type="dxa"/>
        </w:tblCellMar>
      </w:tblPr>
      <w:tblGrid>
        <w:gridCol w:w="2495"/>
        <w:gridCol w:w="2198"/>
        <w:gridCol w:w="2207"/>
        <w:gridCol w:w="211"/>
        <w:gridCol w:w="976"/>
        <w:gridCol w:w="154"/>
      </w:tblGrid>
      <w:tr>
        <w:trPr/>
        <w:tc>
          <w:tcPr>
            <w:tcW w:w="2495" w:type="dxa"/>
            <w:tcBorders/>
            <w:shd w:fill="auto" w:val="clear"/>
            <w:vAlign w:val="center"/>
          </w:tcPr>
          <w:p>
            <w:pPr>
              <w:pStyle w:val="TableContents"/>
              <w:spacing w:before="0" w:after="283"/>
              <w:rPr>
                <w:sz w:val="4"/>
                <w:szCs w:val="4"/>
              </w:rPr>
            </w:pPr>
            <w:r>
              <w:rPr>
                <w:sz w:val="4"/>
                <w:szCs w:val="4"/>
              </w:rPr>
            </w:r>
          </w:p>
        </w:tc>
        <w:tc>
          <w:tcPr>
            <w:tcW w:w="2198" w:type="dxa"/>
            <w:tcBorders/>
            <w:shd w:fill="auto" w:val="clear"/>
            <w:vAlign w:val="center"/>
          </w:tcPr>
          <w:p>
            <w:pPr>
              <w:pStyle w:val="TableContents"/>
              <w:spacing w:before="0" w:after="283"/>
              <w:rPr>
                <w:sz w:val="4"/>
                <w:szCs w:val="4"/>
              </w:rPr>
            </w:pPr>
            <w:r>
              <w:rPr>
                <w:sz w:val="4"/>
                <w:szCs w:val="4"/>
              </w:rPr>
            </w:r>
          </w:p>
        </w:tc>
        <w:tc>
          <w:tcPr>
            <w:tcW w:w="22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r>
      <w:tr>
        <w:trPr/>
        <w:tc>
          <w:tcPr>
            <w:tcW w:w="6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0"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900"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Capacity under Revolving Credit Facility </w:t>
            </w:r>
            <w:r>
              <w:rPr>
                <w:rFonts w:ascii="Times New Roman;sans-serif" w:hAnsi="Times New Roman;sans-serif"/>
                <w:b w:val="false"/>
                <w:i/>
                <w:color w:val="000000"/>
                <w:sz w:val="13"/>
              </w:rPr>
              <w:t>(1)</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2,396,428 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0"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Proceeds available from settlement of the January 2023 Forward Sale Agreements </w:t>
            </w:r>
            <w:r>
              <w:rPr>
                <w:rFonts w:ascii="Times New Roman;sans-serif" w:hAnsi="Times New Roman;sans-serif"/>
                <w:b w:val="false"/>
                <w:i/>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960,417 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3,604,518 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jc w:val="both"/>
        <w:rPr/>
      </w:pPr>
      <w:r>
        <w:rPr>
          <w:rFonts w:ascii="Times New Roman;sans-serif" w:hAnsi="Times New Roman;sans-serif"/>
          <w:b w:val="false"/>
          <w:i/>
          <w:color w:val="231F20"/>
          <w:sz w:val="16"/>
        </w:rPr>
        <w:t>(1)</w:t>
      </w:r>
      <w:r>
        <w:rPr>
          <w:rFonts w:ascii="Times New Roman;sans-serif" w:hAnsi="Times New Roman;sans-serif"/>
          <w:b w:val="false"/>
          <w:i/>
          <w:color w:val="000000"/>
          <w:sz w:val="16"/>
        </w:rPr>
        <w:t xml:space="preserve">In addition, the Revolving Credit Facility includes the option to increase the revolving loan commitments by up to $1.0 billion to the extent that any one or more lenders (from the syndicate or otherwise) agree to provide such additional credit extensions. </w:t>
      </w:r>
    </w:p>
    <w:p>
      <w:pPr>
        <w:pStyle w:val="TextBody"/>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(2)Assumes the physical settlement of the 30,302,500 shares under the January 2023 Forward Sale Agreements at the forward sale price per share of $31.69, calculated as of March 31, 2023. Subsequent to quarter-end, on April 4, 2023, we physically settled 3,200,000 shares under the January 2023 Forward Sale Agreements at a forward sale price of $31.71 per share in exchange for total net proceeds of approximately $101.5 million.</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and proceeds from future issuances of debt and equity securities (including issuances under the ATM Program) for the next 12 months and in future periods. </w:t>
      </w:r>
    </w:p>
    <w:p>
      <w:pPr>
        <w:pStyle w:val="TextBody"/>
        <w:spacing w:lineRule="auto" w:line="288" w:before="180" w:after="283"/>
        <w:jc w:val="both"/>
        <w:rPr/>
      </w:pPr>
      <w:r>
        <w:rPr>
          <w:rFonts w:ascii="Times New Roman;sans-serif" w:hAnsi="Times New Roman;sans-serif"/>
          <w:b w:val="false"/>
          <w:color w:val="000000"/>
          <w:sz w:val="20"/>
        </w:rPr>
        <w:t xml:space="preserve">All of the Lease Agreements call for an initial term of between fifteen and thirty years with additional tenant renewal options and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inflationary environment, sustained rising interest rates, equity market volatility,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the Lease Agreements, we believe we have sufficient liquidity from the other sources discussed above to meet all of our contractual obligations for a significant period of time. Additionally, we do not have any debt maturities until May 2024. For more information, refer to the risk factors incorporated by reference into </w:t>
      </w:r>
      <w:hyperlink w:anchor="i402613ae68904b5587c68802b3f0ad2f_112">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herein from our </w:t>
      </w:r>
      <w:hyperlink r:id="rId6">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and uncertainties related to the macroeconomic environment. We will continue to analyze which sources of capital are most advantageous to us at any particular point in time, but financing through the capital markets may not be consistently available on terms we deem attractive, or at all. </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spacing w:lineRule="auto" w:line="288" w:before="180" w:after="283"/>
        <w:jc w:val="both"/>
        <w:rPr/>
      </w:pPr>
      <w:r>
        <w:rPr>
          <w:rFonts w:ascii="Times New Roman;sans-serif" w:hAnsi="Times New Roman;sans-serif"/>
          <w:b w:val="false"/>
          <w:color w:val="000000"/>
          <w:sz w:val="20"/>
        </w:rPr>
        <w:t xml:space="preserve">Our short-term obligations consist primarily of regular interest payments on our debt obligations, dividends to our common stockholders, distributions to the VICI OP unit holders,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402613ae68904b5587c68802b3f0ad2f_82">
        <w:r>
          <w:rPr>
            <w:rStyle w:val="InternetLink"/>
            <w:rFonts w:ascii="Times New Roman;sans-serif" w:hAnsi="Times New Roman;sans-serif"/>
            <w:b w:val="false"/>
            <w:color w:val="0000FF"/>
            <w:sz w:val="20"/>
            <w:u w:val="single"/>
          </w:rPr>
          <w:t>Note 10 - Commitments and Contingent Liabilities</w:t>
        </w:r>
      </w:hyperlink>
      <w:r>
        <w:rPr>
          <w:rFonts w:ascii="Times New Roman;sans-serif" w:hAnsi="Times New Roman;sans-serif"/>
          <w:b w:val="false"/>
          <w:color w:val="000000"/>
          <w:sz w:val="20"/>
        </w:rPr>
        <w: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obligations consist primarily of principal payments on our outstanding debt obligations and future funding commitments under our lease and loan agreements. As of March 31, 2023, we have $17.1 billion of debt obligations outstanding. We have $1.1 billion of debt which matures on May 1, 2024. For a summary of principal debt balances and their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pPr>
      <w:r>
        <w:rPr>
          <w:rFonts w:ascii="Times New Roman;sans-serif" w:hAnsi="Times New Roman;sans-serif"/>
          <w:b w:val="false"/>
          <w:color w:val="000000"/>
          <w:sz w:val="20"/>
        </w:rPr>
        <w:t xml:space="preserve">maturity dates and principal terms, refer to </w:t>
      </w:r>
      <w:hyperlink w:anchor="i402613ae68904b5587c68802b3f0ad2f_73">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 xml:space="preserve">. For a summary of our future funding commitments under our loan portfolio, refer to </w:t>
      </w:r>
      <w:hyperlink w:anchor="i402613ae68904b5587c68802b3f0ad2f_64">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spacing w:lineRule="auto" w:line="288" w:before="180" w:after="283"/>
        <w:jc w:val="both"/>
        <w:rPr/>
      </w:pPr>
      <w:r>
        <w:rPr>
          <w:rFonts w:ascii="Times New Roman;sans-serif" w:hAnsi="Times New Roman;sans-serif"/>
          <w:b w:val="false"/>
          <w:color w:val="000000"/>
          <w:sz w:val="20"/>
        </w:rPr>
        <w:t xml:space="preserve">Pursuant to our Lease Agreements, capital expenditures for properties under the Lease Agreements are the responsibility of the tenants. Minimum capital expenditure spending requirements of the tenants pursuant to the Lease Agreements are described in </w:t>
      </w:r>
      <w:hyperlink w:anchor="i402613ae68904b5587c68802b3f0ad2f_64">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our material contractual obligations and commitments to make future payments under contracts such as our indebtedness, future funding commitments under our loans and Partner Property Growth Fund and future contractual operating commitments (such as future lease payments under our corporate lease) are included in the following table as of March 31, 2023. Amounts in this table omit, among other things, non-contractual commitments and items such as dividends and recurring or non-recurring operating expenses and other expenditures, including acquisitions and other investments:</w:t>
      </w:r>
    </w:p>
    <w:tbl>
      <w:tblPr>
        <w:tblW w:w="11728" w:type="dxa"/>
        <w:jc w:val="left"/>
        <w:tblInd w:w="0" w:type="dxa"/>
        <w:tblCellMar>
          <w:top w:w="28" w:type="dxa"/>
          <w:left w:w="28" w:type="dxa"/>
          <w:bottom w:w="28" w:type="dxa"/>
          <w:right w:w="28" w:type="dxa"/>
        </w:tblCellMar>
      </w:tblPr>
      <w:tblGrid>
        <w:gridCol w:w="230"/>
        <w:gridCol w:w="158"/>
        <w:gridCol w:w="146"/>
        <w:gridCol w:w="597"/>
        <w:gridCol w:w="357"/>
        <w:gridCol w:w="247"/>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6"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17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(remaining)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 and Thereafter</w:t>
            </w:r>
          </w:p>
        </w:tc>
      </w:tr>
      <w:tr>
        <w:trPr/>
        <w:tc>
          <w:tcPr>
            <w:tcW w:w="173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JV CMBS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Scheduled interest payments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14,864,657 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 and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Future funding commitments – loan investments and Partner Property Growth Fund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course operating lease and contractual commitments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office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leases and contract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commitments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23,493,504 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14,912,066 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Estimated interest payments on variable interest loans are based on the CDOR rate as of March 31, 2023.</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The allocation of our future funding commitments is based on a construction draw schedule, commitment funding date, expiration date or other information, as applicable; however, we may be obligated to fund these commitments earlier than such applicable date.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Additional Funding Requirements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 As of March 31, 2023, we had $1.0 billion of additional potential future funding commitments under our Partner Property Growth Fund agreements, the use of which are at the discretion of our tenants and will be dependent upon independent decisions made by our tenants with respect to any capital improvement projects and the source of funds for such projects, as well as the total funding ultimately provided under such arrangements.</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84785"/>
                <wp:effectExtent l="0" t="0" r="0" b="0"/>
                <wp:wrapNone/>
                <wp:docPr id="62" name="Frame6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Cash Flow Analysis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three months ended March 31, 2023 and 2022:</w:t>
      </w:r>
    </w:p>
    <w:tbl>
      <w:tblPr>
        <w:tblW w:w="10205" w:type="dxa"/>
        <w:jc w:val="left"/>
        <w:tblInd w:w="0" w:type="dxa"/>
        <w:tblCellMar>
          <w:top w:w="28" w:type="dxa"/>
          <w:left w:w="28" w:type="dxa"/>
          <w:bottom w:w="28" w:type="dxa"/>
          <w:right w:w="28" w:type="dxa"/>
        </w:tblCellMar>
      </w:tblPr>
      <w:tblGrid>
        <w:gridCol w:w="504"/>
        <w:gridCol w:w="442"/>
        <w:gridCol w:w="442"/>
        <w:gridCol w:w="1651"/>
        <w:gridCol w:w="1468"/>
        <w:gridCol w:w="1487"/>
        <w:gridCol w:w="212"/>
        <w:gridCol w:w="833"/>
        <w:gridCol w:w="109"/>
        <w:gridCol w:w="109"/>
        <w:gridCol w:w="109"/>
        <w:gridCol w:w="109"/>
        <w:gridCol w:w="212"/>
        <w:gridCol w:w="833"/>
        <w:gridCol w:w="109"/>
        <w:gridCol w:w="109"/>
        <w:gridCol w:w="109"/>
        <w:gridCol w:w="109"/>
        <w:gridCol w:w="211"/>
        <w:gridCol w:w="881"/>
        <w:gridCol w:w="157"/>
      </w:tblGrid>
      <w:tr>
        <w:trPr/>
        <w:tc>
          <w:tcPr>
            <w:tcW w:w="50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3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599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operating activities</w:t>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223,860 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investing activities</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(4,028,245)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2,559,389 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financing activities</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(2,573,671)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exchange rate changes on cash, cash equivalents and restricted cash </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209,652 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(530,681)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(321,029)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$223.9 million for the three months ended March 31, 2023 compared with the three months ended March 31, 2022. The increase is primarily driven by an increase in cash rental payments from the addition of the Venetian Lease, MGM Master Lease, Foundation Master Lease, MGM Grand/Mandalay Bay Lease, and PURE Master Lease to our real estate portfolio, the annual rent escalators on our Caesars Leases and certain of our other Lease Agreements and an increase in loan income as a result of an increase in the principal balance of our loan and securities portfolio.</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increased $2,559.4 million for the three months ended March 31, 2023 compared with the three months ended March 31, 2022.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primary sources and uses of cash from investing activities included: </w:t>
      </w:r>
    </w:p>
    <w:p>
      <w:pPr>
        <w:pStyle w:val="TextBody"/>
        <w:spacing w:lineRule="auto" w:line="288" w:before="120" w:after="283"/>
        <w:ind w:left="0" w:right="0" w:hanging="360"/>
        <w:jc w:val="both"/>
        <w:rPr/>
      </w:pPr>
      <w:r>
        <w:rPr>
          <w:color w:val="000000"/>
          <w:highlight w:val="white"/>
        </w:rPr>
        <w:t>•</w:t>
      </w:r>
      <w:r>
        <w:rPr>
          <w:rFonts w:ascii="Times New Roman;sans-serif" w:hAnsi="Times New Roman;sans-serif"/>
          <w:b w:val="false"/>
          <w:color w:val="000000"/>
          <w:sz w:val="20"/>
          <w:highlight w:val="white"/>
        </w:rPr>
        <w:t>Net payments of $1,266.9 million, including acquisition costs, in connection with the MGM Grand/Mandalay Bay JV Interest Acquisition;</w:t>
      </w:r>
    </w:p>
    <w:p>
      <w:pPr>
        <w:pStyle w:val="TextBody"/>
        <w:spacing w:lineRule="auto" w:line="288" w:before="120" w:after="283"/>
        <w:ind w:left="0" w:right="0" w:hanging="360"/>
        <w:jc w:val="both"/>
        <w:rPr/>
      </w:pPr>
      <w:r>
        <w:rPr>
          <w:color w:val="000000"/>
          <w:highlight w:val="white"/>
        </w:rPr>
        <w:t>•</w:t>
      </w:r>
      <w:r>
        <w:rPr>
          <w:rFonts w:ascii="Times New Roman;sans-serif" w:hAnsi="Times New Roman;sans-serif"/>
          <w:b w:val="false"/>
          <w:color w:val="000000"/>
          <w:sz w:val="20"/>
          <w:highlight w:val="white"/>
        </w:rPr>
        <w:t>Maturities of short-term investments of $217.3 million;</w:t>
      </w:r>
    </w:p>
    <w:p>
      <w:pPr>
        <w:pStyle w:val="TextBody"/>
        <w:spacing w:lineRule="auto" w:line="288" w:before="120" w:after="283"/>
        <w:ind w:left="0" w:right="0" w:hanging="360"/>
        <w:jc w:val="both"/>
        <w:rPr/>
      </w:pPr>
      <w:r>
        <w:rPr>
          <w:color w:val="000000"/>
          <w:highlight w:val="white"/>
        </w:rPr>
        <w:t>•</w:t>
      </w:r>
      <w:r>
        <w:rPr>
          <w:rFonts w:ascii="Times New Roman;sans-serif" w:hAnsi="Times New Roman;sans-serif"/>
          <w:b w:val="false"/>
          <w:color w:val="000000"/>
          <w:sz w:val="20"/>
          <w:highlight w:val="white"/>
        </w:rPr>
        <w:t>Disbursements to fund investments in our loan and securities portfolio in the amount of $209.3 million;</w:t>
      </w:r>
    </w:p>
    <w:p>
      <w:pPr>
        <w:pStyle w:val="TextBody"/>
        <w:spacing w:lineRule="auto" w:line="288" w:before="120" w:after="283"/>
        <w:ind w:left="0" w:right="0" w:hanging="360"/>
        <w:jc w:val="both"/>
        <w:rPr/>
      </w:pPr>
      <w:r>
        <w:rPr>
          <w:color w:val="000000"/>
          <w:highlight w:val="white"/>
        </w:rPr>
        <w:t>•</w:t>
      </w:r>
      <w:r>
        <w:rPr>
          <w:rFonts w:ascii="Times New Roman;sans-serif" w:hAnsi="Times New Roman;sans-serif"/>
          <w:b w:val="false"/>
          <w:color w:val="000000"/>
          <w:sz w:val="20"/>
          <w:highlight w:val="white"/>
        </w:rPr>
        <w:t>Payments for the PURE Canadian Gaming Transaction for a total cost of $202.7 million, including acquisition costs; and</w:t>
      </w:r>
    </w:p>
    <w:p>
      <w:pPr>
        <w:pStyle w:val="TextBody"/>
        <w:spacing w:lineRule="auto" w:line="288" w:before="120" w:after="283"/>
        <w:ind w:left="0" w:right="0" w:hanging="360"/>
        <w:jc w:val="both"/>
        <w:rPr/>
      </w:pPr>
      <w:r>
        <w:rPr>
          <w:color w:val="000000"/>
          <w:highlight w:val="white"/>
        </w:rPr>
        <w:t>•</w:t>
      </w:r>
      <w:r>
        <w:rPr>
          <w:rFonts w:ascii="Times New Roman;sans-serif" w:hAnsi="Times New Roman;sans-serif"/>
          <w:b w:val="false"/>
          <w:color w:val="000000"/>
          <w:sz w:val="20"/>
          <w:highlight w:val="white"/>
        </w:rPr>
        <w:t>Payments to fund the Caruthersville Property Growth Fund investment in the amount of $6.1 million.</w:t>
      </w:r>
    </w:p>
    <w:p>
      <w:pPr>
        <w:pStyle w:val="TextBody"/>
        <w:spacing w:lineRule="auto" w:line="288" w:before="120" w:after="283"/>
        <w:jc w:val="both"/>
        <w:rPr/>
      </w:pP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three months ended March 31, 2022</w:t>
      </w:r>
      <w:r>
        <w:rPr>
          <w:rFonts w:ascii="Times New Roman;sans-serif" w:hAnsi="Times New Roman;sans-serif"/>
          <w:b w:val="false"/>
          <w:color w:val="000000"/>
          <w:sz w:val="20"/>
          <w:highlight w:val="white"/>
        </w:rPr>
        <w:t xml:space="preserve">, the primary sources and uses of cash from investing activities include: </w:t>
      </w:r>
    </w:p>
    <w:p>
      <w:pPr>
        <w:pStyle w:val="TextBody"/>
        <w:spacing w:lineRule="auto" w:line="288" w:before="120" w:after="283"/>
        <w:ind w:left="0" w:right="0" w:hanging="360"/>
        <w:jc w:val="both"/>
        <w:rPr/>
      </w:pPr>
      <w:r>
        <w:rPr>
          <w:color w:val="000000"/>
          <w:highlight w:val="white"/>
        </w:rPr>
        <w:t>•</w:t>
      </w:r>
      <w:r>
        <w:rPr>
          <w:rFonts w:ascii="Times New Roman;sans-serif" w:hAnsi="Times New Roman;sans-serif"/>
          <w:b w:val="false"/>
          <w:color w:val="000000"/>
          <w:sz w:val="20"/>
          <w:highlight w:val="white"/>
        </w:rPr>
        <w:t>Payments for the Venetian Acquisition for a total cost of $4,012.1 million, including acquisition costs; and</w:t>
      </w:r>
    </w:p>
    <w:p>
      <w:pPr>
        <w:pStyle w:val="TextBody"/>
        <w:spacing w:lineRule="auto" w:line="288" w:before="120" w:after="283"/>
        <w:ind w:left="0" w:right="0" w:hanging="360"/>
        <w:jc w:val="both"/>
        <w:rPr/>
      </w:pPr>
      <w:r>
        <w:rPr>
          <w:color w:val="000000"/>
          <w:highlight w:val="white"/>
        </w:rPr>
        <w:t>•</w:t>
      </w:r>
      <w:r>
        <w:rPr>
          <w:rFonts w:ascii="Times New Roman;sans-serif" w:hAnsi="Times New Roman;sans-serif"/>
          <w:b w:val="false"/>
          <w:color w:val="000000"/>
          <w:sz w:val="20"/>
          <w:highlight w:val="white"/>
        </w:rPr>
        <w:t>Disbursements to fund investments in our loan and securities portfolio in the amount of $15.6 million.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increased $2,573.7 million for the three months ended March 31, 2023, compared with the three months ended March 31, 2022.</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primary sources and uses of cash in financing activities included: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of $1,272.3 million from the issuance of an aggregate 40,592,592 shares of our common stock pursuant to the full physical settlement of the November 2022 Forward Sale Agreements, the June 2022 ATM Forward Sale Agreement, August 2022 ATM Forward Sale Agreement and December 2022 ATM Forward Sale Agreement;</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84785"/>
                <wp:effectExtent l="0" t="0" r="0" b="0"/>
                <wp:wrapNone/>
                <wp:docPr id="63" name="Frame6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$382.6 million;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Draw of $352.7 million on our Revolving Credit Facility;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Repayment of $250.0 million on our Revolving Credit Facility;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$4.6 million;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$2.3 million to non-controlling interests.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the primary sources and uses of cash from financing activities included: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from the sale of an aggregate of $3,219.1 million of our common stock pursuant to the full physical settlement of the September 2021 Forward Sale Agreements and March 2021 Forward Sale Agreements;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Initial draw of $600.0 million on our Revolving Credit Facility;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$227.9 million;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Debt issuance costs of $27.3 million;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stock for tax withholding in connection with the vesting of employee stock compensation of $2.7 million;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$2.1 million to non-controlling interest.</w:t>
      </w:r>
    </w:p>
    <w:p>
      <w:pPr>
        <w:pStyle w:val="TextBody"/>
        <w:spacing w:lineRule="auto" w:line="288" w:before="240" w:after="283"/>
        <w:rPr>
          <w:rFonts w:ascii="Times New Roman;sans-serif" w:hAnsi="Times New Roman;sans-serif"/>
          <w:b/>
          <w:color w:val="000000"/>
          <w:sz w:val="22"/>
        </w:rPr>
      </w:pPr>
      <w:r>
        <w:rPr>
          <w:rFonts w:ascii="Times New Roman;sans-serif" w:hAnsi="Times New Roman;sans-serif"/>
          <w:b/>
          <w:color w:val="000000"/>
          <w:sz w:val="22"/>
        </w:rPr>
        <w:t>Debt</w:t>
      </w:r>
    </w:p>
    <w:p>
      <w:pPr>
        <w:pStyle w:val="TextBody"/>
        <w:spacing w:lineRule="auto" w:line="288" w:before="180" w:after="283"/>
        <w:jc w:val="both"/>
        <w:rPr/>
      </w:pPr>
      <w:r>
        <w:rPr>
          <w:rFonts w:ascii="Times New Roman;sans-serif" w:hAnsi="Times New Roman;sans-serif"/>
          <w:b w:val="false"/>
          <w:color w:val="000000"/>
          <w:sz w:val="20"/>
        </w:rPr>
        <w:t xml:space="preserve">For a summary of our debt obligations as of March 31, 2023, refer to </w:t>
      </w:r>
      <w:hyperlink w:anchor="i402613ae68904b5587c68802b3f0ad2f_73">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Covenants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March 31, 2023, we were in compliance with all debt-related covenants.</w:t>
      </w:r>
    </w:p>
    <w:p>
      <w:pPr>
        <w:pStyle w:val="TextBody"/>
        <w:spacing w:lineRule="auto" w:line="288" w:before="240" w:after="283"/>
        <w:rPr>
          <w:rFonts w:ascii="Times New Roman;sans-serif" w:hAnsi="Times New Roman;sans-serif"/>
          <w:b/>
          <w:color w:val="000000"/>
          <w:sz w:val="22"/>
        </w:rPr>
      </w:pPr>
      <w:r>
        <w:rPr>
          <w:rFonts w:ascii="Times New Roman;sans-serif" w:hAnsi="Times New Roman;sans-serif"/>
          <w:b/>
          <w:color w:val="000000"/>
          <w:sz w:val="22"/>
        </w:rPr>
        <w:t>Distribution Policy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intend to make regular quarterly distributions to holders of shares of our common stock. Dividends declared (on a per share basis) during the three months ended March 31, 2023 and 2022 were as follows:</w:t>
      </w:r>
    </w:p>
    <w:tbl>
      <w:tblPr>
        <w:tblW w:w="9217" w:type="dxa"/>
        <w:jc w:val="left"/>
        <w:tblInd w:w="0" w:type="dxa"/>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40"/>
        <w:gridCol w:w="940"/>
        <w:gridCol w:w="955"/>
        <w:gridCol w:w="109"/>
        <w:gridCol w:w="109"/>
        <w:gridCol w:w="109"/>
        <w:gridCol w:w="211"/>
        <w:gridCol w:w="721"/>
        <w:gridCol w:w="154"/>
      </w:tblGrid>
      <w:tr>
        <w:trPr/>
        <w:tc>
          <w:tcPr>
            <w:tcW w:w="51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217"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tbl>
      <w:tblPr>
        <w:tblW w:w="9217" w:type="dxa"/>
        <w:jc w:val="center"/>
        <w:tblInd w:w="0" w:type="dxa"/>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40"/>
        <w:gridCol w:w="940"/>
        <w:gridCol w:w="955"/>
        <w:gridCol w:w="109"/>
        <w:gridCol w:w="109"/>
        <w:gridCol w:w="109"/>
        <w:gridCol w:w="211"/>
        <w:gridCol w:w="721"/>
        <w:gridCol w:w="154"/>
      </w:tblGrid>
      <w:tr>
        <w:trPr/>
        <w:tc>
          <w:tcPr>
            <w:tcW w:w="51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217"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24,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7,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2022 -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40"/>
        <w:jc w:val="both"/>
        <w:rPr>
          <w:rFonts w:ascii="Times New Roman;sans-serif" w:hAnsi="Times New Roman;sans-serif"/>
          <w:b w:val="false"/>
          <w:color w:val="000000"/>
          <w:sz w:val="20"/>
        </w:rPr>
      </w:pPr>
      <w:r>
        <w:rPr>
          <w:rFonts w:ascii="Times New Roman;sans-serif" w:hAnsi="Times New Roman;sans-serif"/>
          <w:b w:val="false"/>
          <w:color w:val="000000"/>
          <w:sz w:val="20"/>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84785"/>
                <wp:effectExtent l="0" t="0" r="0" b="0"/>
                <wp:wrapNone/>
                <wp:docPr id="64" name="Frame6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pStyle w:val="TextBody"/>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spacing w:lineRule="auto" w:line="288" w:before="180" w:after="283"/>
        <w:jc w:val="both"/>
        <w:rPr/>
      </w:pPr>
      <w:r>
        <w:rPr>
          <w:rFonts w:ascii="Times New Roman;sans-serif" w:hAnsi="Times New Roman;sans-serif"/>
          <w:b w:val="false"/>
          <w:color w:val="000000"/>
          <w:sz w:val="20"/>
        </w:rPr>
        <w:t xml:space="preserve">A complete discussion of our critical accounting policies and estimates is included in our </w:t>
      </w:r>
      <w:hyperlink r:id="rId7">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 There have been no significant changes in our critical policies and estimates for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rate risk management objective is to limit the impact of future interest rate changes on our earnings and cash flows. To achieve this objective, our consolidated subsidiaries primarily borrow on a fixed-rate basis for longer-term debt issuances. As of March 31, 2023, we had $17.1 billion aggregate principal amount of outstanding indebtedness, of which 99.4% has fixed rate interest and 0.6% has a variable interest rate, representing the US$103.6 million (denominated in CAD) outstanding under our Revolving Credit Facility.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exposed to interest rate risk between the time we enter into a transaction and the time we finance the related transaction with long-term fixed-rate debt. In addition, when that long-term debt matures, we may have to refinance such debt at a higher interest rate. In a rising interest rate environment, we have from time to time and may in the future seek to mitigate that risk by utilizing forward-starting interest rate swap agreements, treasury locks and other derivative instruments. Market interest rates are sensitive to many factors that are beyond our control.</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Capital Markets Risks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84785"/>
                <wp:effectExtent l="0" t="0" r="0" b="0"/>
                <wp:wrapNone/>
                <wp:docPr id="65" name="Frame6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0" w:after="0"/>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Inc.</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VICI’s internal control over financial reporting (as defined in Rules 13a-15(f) and 15d-15(f) under the Exchange Act) that occurred during the three months ended March 31, 2023, that have materially affected, or are reasonably likely to materially affect, VICI’s internal control over financial reporting.</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management has evaluated, under the supervision and with the participation of VICI LP’s principal executive officer and principal financial officer, the effectiveness of VIC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 LP’s internal control over financial reporting (as defined in Rules 13a-15(f) and 15d-15(f) under the Exchange Act) that occurred during the three months ended March 31, 2023, that have materially affected, or are reasonably likely to materially affect, VICI LP’s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84785"/>
                <wp:effectExtent l="0" t="0" r="0" b="0"/>
                <wp:wrapNone/>
                <wp:docPr id="66" name="Frame6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180" w:after="283"/>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4"/>
        </w:rPr>
      </w:pPr>
      <w:r>
        <w:rPr>
          <w:rFonts w:ascii="Times New Roman;sans-serif" w:hAnsi="Times New Roman;sans-serif"/>
          <w:b/>
          <w:color w:val="000000"/>
          <w:sz w:val="24"/>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 xml:space="preserve">The information contained under the heading “Litigation” in </w:t>
      </w:r>
      <w:hyperlink w:anchor="i402613ae68904b5587c68802b3f0ad2f_82">
        <w:r>
          <w:rPr>
            <w:rStyle w:val="InternetLink"/>
            <w:rFonts w:ascii="Times New Roman;sans-serif" w:hAnsi="Times New Roman;sans-serif"/>
            <w:b w:val="false"/>
            <w:color w:val="0000FF"/>
            <w:sz w:val="20"/>
            <w:u w:val="single"/>
          </w:rPr>
          <w:t>Note 10 - Commitments and Contingent Liabilities</w:t>
        </w:r>
      </w:hyperlink>
      <w:r>
        <w:rPr>
          <w:color w:val="000000"/>
        </w:rPr>
        <w:t xml:space="preserve"> </w:t>
      </w:r>
      <w:r>
        <w:rPr>
          <w:rFonts w:ascii="Times New Roman;sans-serif" w:hAnsi="Times New Roman;sans-serif"/>
          <w:b w:val="false"/>
          <w:color w:val="000000"/>
          <w:sz w:val="20"/>
        </w:rPr>
        <w:t xml:space="preserve">to our Financial Statements included in this report is incorporated by reference into this Item 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spacing w:lineRule="auto" w:line="288" w:before="180" w:after="283"/>
        <w:jc w:val="both"/>
        <w:rPr/>
      </w:pPr>
      <w:r>
        <w:rPr>
          <w:rFonts w:ascii="Times New Roman;sans-serif" w:hAnsi="Times New Roman;sans-serif"/>
          <w:b w:val="false"/>
          <w:color w:val="000000"/>
          <w:sz w:val="20"/>
        </w:rPr>
        <w:t xml:space="preserve">A description of certain factors that may affect our future results and risk factors is set forth in our </w:t>
      </w:r>
      <w:hyperlink r:id="rId8">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 There have been no material changes to those factors for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spacing w:lineRule="auto" w:line="288" w:before="180" w:after="60"/>
        <w:rPr>
          <w:rFonts w:ascii="Times New Roman;sans-serif" w:hAnsi="Times New Roman;sans-serif"/>
          <w:b/>
          <w:color w:val="000000"/>
          <w:sz w:val="20"/>
        </w:rPr>
      </w:pPr>
      <w:r>
        <w:rPr>
          <w:rFonts w:ascii="Times New Roman;sans-serif" w:hAnsi="Times New Roman;sans-serif"/>
          <w:b/>
          <w:color w:val="000000"/>
          <w:sz w:val="20"/>
        </w:rPr>
        <w:t>(a) Unregistered Sales of Equity Securities and Use of Proceeds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(b) Use of Proceeds from Registered Securities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(c) Issuer Purchases of Equity Securities</w:t>
      </w:r>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VICI Properties Inc.</w:t>
      </w:r>
    </w:p>
    <w:p>
      <w:pPr>
        <w:pStyle w:val="TextBody"/>
        <w:spacing w:lineRule="auto" w:line="288" w:before="240" w:after="283"/>
        <w:jc w:val="both"/>
        <w:rPr/>
      </w:pPr>
      <w:r>
        <w:rPr>
          <w:rFonts w:ascii="Times New Roman;sans-serif" w:hAnsi="Times New Roman;sans-serif"/>
          <w:b w:val="false"/>
          <w:color w:val="000000"/>
          <w:sz w:val="20"/>
          <w:highlight w:val="white"/>
        </w:rPr>
        <w:t>During the three months ended March 31, 2023,</w:t>
      </w:r>
      <w:r>
        <w:rPr>
          <w:color w:val="000000"/>
        </w:rPr>
        <w:t xml:space="preserve"> </w:t>
      </w:r>
      <w:r>
        <w:rPr>
          <w:rFonts w:ascii="Times New Roman;sans-serif" w:hAnsi="Times New Roman;sans-serif"/>
          <w:b w:val="false"/>
          <w:color w:val="000000"/>
          <w:sz w:val="20"/>
        </w:rPr>
        <w:t>certain employees surrendered shares of common stock owned by them to VICI to satisfy their statutory minimum federal and state income tax obligations associated with the vesting of performance-based restricted stock units and shares of restricted common stock issued under our stock incentive plan. The following table summarizes such common stock repurchases during the three months ended March 31, 2023:</w:t>
      </w:r>
    </w:p>
    <w:tbl>
      <w:tblPr>
        <w:tblW w:w="10205" w:type="dxa"/>
        <w:jc w:val="left"/>
        <w:tblInd w:w="0" w:type="dxa"/>
        <w:tblCellMar>
          <w:top w:w="28" w:type="dxa"/>
          <w:left w:w="28" w:type="dxa"/>
          <w:bottom w:w="28" w:type="dxa"/>
          <w:right w:w="28" w:type="dxa"/>
        </w:tblCellMar>
      </w:tblPr>
      <w:tblGrid>
        <w:gridCol w:w="624"/>
        <w:gridCol w:w="499"/>
        <w:gridCol w:w="505"/>
        <w:gridCol w:w="109"/>
        <w:gridCol w:w="109"/>
        <w:gridCol w:w="109"/>
        <w:gridCol w:w="638"/>
        <w:gridCol w:w="466"/>
        <w:gridCol w:w="468"/>
        <w:gridCol w:w="109"/>
        <w:gridCol w:w="109"/>
        <w:gridCol w:w="109"/>
        <w:gridCol w:w="289"/>
        <w:gridCol w:w="866"/>
        <w:gridCol w:w="149"/>
        <w:gridCol w:w="109"/>
        <w:gridCol w:w="109"/>
        <w:gridCol w:w="109"/>
        <w:gridCol w:w="689"/>
        <w:gridCol w:w="689"/>
        <w:gridCol w:w="691"/>
        <w:gridCol w:w="109"/>
        <w:gridCol w:w="109"/>
        <w:gridCol w:w="109"/>
        <w:gridCol w:w="678"/>
        <w:gridCol w:w="678"/>
        <w:gridCol w:w="968"/>
      </w:tblGrid>
      <w:tr>
        <w:trPr/>
        <w:tc>
          <w:tcPr>
            <w:tcW w:w="624"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r>
      <w:tr>
        <w:trPr/>
        <w:tc>
          <w:tcPr>
            <w:tcW w:w="16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w:t>
              <w:br/>
              <w:t>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w:t>
              <w:br/>
              <w:t>May Yet Be Purchased Under The Plans Or Programs</w:t>
            </w:r>
          </w:p>
        </w:tc>
      </w:tr>
      <w:tr>
        <w:trPr/>
        <w:tc>
          <w:tcPr>
            <w:tcW w:w="16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through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February 1, 2023 through February 28, 2023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136,078 </w:t>
            </w:r>
          </w:p>
        </w:tc>
        <w:tc>
          <w:tcPr>
            <w:tcW w:w="4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through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136,078</w:t>
            </w:r>
            <w:r>
              <w:rPr>
                <w:color w:val="000000"/>
              </w:rPr>
              <w:t>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33.77</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All shares of common stock were surrendered by certain employees to VICI to satisfy their statutory minimum federal and state income tax obligations associated with the vesting of performance-based restricted stock units and shares of restricted common stock issued under our stock incentive plan.</w:t>
      </w:r>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VICI Properties L.P.</w:t>
      </w:r>
    </w:p>
    <w:p>
      <w:pPr>
        <w:pStyle w:val="TextBody"/>
        <w:spacing w:lineRule="auto" w:line="288" w:before="240" w:after="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VICI LP did not repurchase any equity securities registered pursuant to Section 12 of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3.Defaults Upon Senior Securities</w:t>
      </w:r>
    </w:p>
    <w:p>
      <w:pPr>
        <w:pStyle w:val="TextBody"/>
        <w:spacing w:lineRule="auto" w:line="288" w:before="180" w:after="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4.Mine Safety Disclosures</w:t>
      </w:r>
    </w:p>
    <w:p>
      <w:pPr>
        <w:pStyle w:val="TextBody"/>
        <w:spacing w:lineRule="auto" w:line="288" w:before="180" w:after="6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84785"/>
                <wp:effectExtent l="0" t="0" r="0" b="0"/>
                <wp:wrapNone/>
                <wp:docPr id="67" name="Frame6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jc w:val="center"/>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before="180" w:after="283"/>
        <w:jc w:val="both"/>
        <w:rPr/>
      </w:pPr>
      <w:r>
        <w:rPr/>
      </w:r>
    </w:p>
    <w:p>
      <w:pPr>
        <w:pStyle w:val="TextBody"/>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5.Other Information</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4"/>
        </w:rPr>
        <w:t>Item 6.</w:t>
      </w:r>
      <w:r>
        <w:rPr>
          <w:rFonts w:ascii="Times New Roman;sans-serif" w:hAnsi="Times New Roman;sans-serif"/>
          <w:b/>
          <w:color w:val="000000"/>
          <w:sz w:val="24"/>
        </w:rPr>
        <w:t>Exhibits</w:t>
      </w:r>
    </w:p>
    <w:tbl>
      <w:tblPr>
        <w:tblW w:w="10205" w:type="dxa"/>
        <w:jc w:val="left"/>
        <w:tblInd w:w="0" w:type="dxa"/>
        <w:tblCellMar>
          <w:top w:w="28" w:type="dxa"/>
          <w:left w:w="28" w:type="dxa"/>
          <w:bottom w:w="28" w:type="dxa"/>
          <w:right w:w="28" w:type="dxa"/>
        </w:tblCellMar>
      </w:tblPr>
      <w:tblGrid>
        <w:gridCol w:w="271"/>
        <w:gridCol w:w="239"/>
        <w:gridCol w:w="240"/>
        <w:gridCol w:w="109"/>
        <w:gridCol w:w="109"/>
        <w:gridCol w:w="109"/>
        <w:gridCol w:w="1863"/>
        <w:gridCol w:w="1539"/>
        <w:gridCol w:w="1544"/>
        <w:gridCol w:w="109"/>
        <w:gridCol w:w="109"/>
        <w:gridCol w:w="109"/>
        <w:gridCol w:w="297"/>
        <w:gridCol w:w="297"/>
        <w:gridCol w:w="298"/>
        <w:gridCol w:w="109"/>
        <w:gridCol w:w="109"/>
        <w:gridCol w:w="109"/>
        <w:gridCol w:w="170"/>
        <w:gridCol w:w="170"/>
        <w:gridCol w:w="171"/>
        <w:gridCol w:w="116"/>
        <w:gridCol w:w="116"/>
        <w:gridCol w:w="116"/>
        <w:gridCol w:w="210"/>
        <w:gridCol w:w="210"/>
        <w:gridCol w:w="211"/>
        <w:gridCol w:w="116"/>
        <w:gridCol w:w="116"/>
        <w:gridCol w:w="116"/>
        <w:gridCol w:w="211"/>
        <w:gridCol w:w="211"/>
        <w:gridCol w:w="212"/>
        <w:gridCol w:w="164"/>
      </w:tblGrid>
      <w:tr>
        <w:trPr/>
        <w:tc>
          <w:tcPr>
            <w:tcW w:w="27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caesarsregionalmasterlease.htm">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caesarsregionalmasterlease.htm">
              <w:r>
                <w:rPr>
                  <w:rStyle w:val="InternetLink"/>
                  <w:rFonts w:ascii="Times New Roman;sans-serif" w:hAnsi="Times New Roman;sans-serif"/>
                  <w:b w:val="false"/>
                  <w:color w:val="0000FF"/>
                  <w:sz w:val="20"/>
                  <w:u w:val="single"/>
                </w:rPr>
                <w:t>Twelfth Amendment to Regional Lease, dated as of April 7, 2023, by and among the entities listed on Schedules A and B thereto</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viciq12023exh311xviciprope.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iciq12023exh311xviciprope.htm">
              <w:r>
                <w:rPr>
                  <w:rStyle w:val="InternetLink"/>
                  <w:rFonts w:ascii="Times New Roman;sans-serif" w:hAnsi="Times New Roman;sans-serif"/>
                  <w:b w:val="false"/>
                  <w:color w:val="0000FF"/>
                  <w:sz w:val="20"/>
                  <w:u w:val="single"/>
                </w:rPr>
                <w:t>VICI Properties Inc. Certification of Principal Executive Officer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viciq12023exh312xviciprope.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iciq12023exh312xviciprope.htm">
              <w:r>
                <w:rPr>
                  <w:rStyle w:val="InternetLink"/>
                  <w:rFonts w:ascii="Times New Roman;sans-serif" w:hAnsi="Times New Roman;sans-serif"/>
                  <w:b w:val="false"/>
                  <w:color w:val="0000FF"/>
                  <w:sz w:val="20"/>
                  <w:u w:val="single"/>
                </w:rPr>
                <w:t>VICI Properties Inc. Certification of Principal Financial Officer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viciq12023exh313xviciprope.htm">
              <w:r>
                <w:rPr>
                  <w:rStyle w:val="InternetLink"/>
                  <w:rFonts w:ascii="Times New Roman;sans-serif" w:hAnsi="Times New Roman;sans-serif"/>
                  <w:b w:val="false"/>
                  <w:color w:val="0000FF"/>
                  <w:sz w:val="20"/>
                  <w:u w:val="single"/>
                </w:rPr>
                <w:t>31.3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iciq12023exh313xviciprope.htm">
              <w:r>
                <w:rPr>
                  <w:rStyle w:val="InternetLink"/>
                  <w:rFonts w:ascii="Times New Roman;sans-serif" w:hAnsi="Times New Roman;sans-serif"/>
                  <w:b w:val="false"/>
                  <w:color w:val="0000FF"/>
                  <w:sz w:val="20"/>
                  <w:u w:val="single"/>
                </w:rPr>
                <w:t>VICI Properties L.P. Certification of Principal Executive Officer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viciq12023exh314xviciprope.htm">
              <w:r>
                <w:rPr>
                  <w:rStyle w:val="InternetLink"/>
                  <w:rFonts w:ascii="Times New Roman;sans-serif" w:hAnsi="Times New Roman;sans-serif"/>
                  <w:b w:val="false"/>
                  <w:color w:val="0000FF"/>
                  <w:sz w:val="20"/>
                  <w:u w:val="single"/>
                </w:rPr>
                <w:t>31.4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iciq12023exh314xviciprope.htm">
              <w:r>
                <w:rPr>
                  <w:rStyle w:val="InternetLink"/>
                  <w:rFonts w:ascii="Times New Roman;sans-serif" w:hAnsi="Times New Roman;sans-serif"/>
                  <w:b w:val="false"/>
                  <w:color w:val="0000FF"/>
                  <w:sz w:val="20"/>
                  <w:u w:val="single"/>
                </w:rPr>
                <w:t>VICI Properties L.P. Certification of Principal Financial Officer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viciq12023exh321xviciprope.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iciq12023exh321xviciprope.htm">
              <w:r>
                <w:rPr>
                  <w:rStyle w:val="InternetLink"/>
                  <w:rFonts w:ascii="Times New Roman;sans-serif" w:hAnsi="Times New Roman;sans-serif"/>
                  <w:b w:val="false"/>
                  <w:color w:val="0000FF"/>
                  <w:sz w:val="20"/>
                  <w:u w:val="single"/>
                </w:rPr>
                <w:t>VICI Properties Inc. Certification of Principal Executive Officer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viciq12023exh322xviciprope.htm">
              <w:r>
                <w:rPr>
                  <w:rStyle w:val="InternetLink"/>
                  <w:rFonts w:ascii="Times New Roman;sans-serif" w:hAnsi="Times New Roman;sans-serif"/>
                  <w:b w:val="false"/>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iciq12023exh322xviciprope.htm">
              <w:r>
                <w:rPr>
                  <w:rStyle w:val="InternetLink"/>
                  <w:rFonts w:ascii="Times New Roman;sans-serif" w:hAnsi="Times New Roman;sans-serif"/>
                  <w:b w:val="false"/>
                  <w:color w:val="0000FF"/>
                  <w:sz w:val="20"/>
                  <w:u w:val="single"/>
                </w:rPr>
                <w:t>VICI Properties Inc. Certification of Principal Financial Officer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viciq12023exh323xviciprope.htm">
              <w:r>
                <w:rPr>
                  <w:rStyle w:val="InternetLink"/>
                  <w:rFonts w:ascii="Times New Roman;sans-serif" w:hAnsi="Times New Roman;sans-serif"/>
                  <w:b w:val="false"/>
                  <w:color w:val="0000FF"/>
                  <w:sz w:val="20"/>
                  <w:u w:val="single"/>
                </w:rPr>
                <w:t>32.3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iciq12023exh323xviciprope.htm">
              <w:r>
                <w:rPr>
                  <w:rStyle w:val="InternetLink"/>
                  <w:rFonts w:ascii="Times New Roman;sans-serif" w:hAnsi="Times New Roman;sans-serif"/>
                  <w:b w:val="false"/>
                  <w:color w:val="0000FF"/>
                  <w:sz w:val="20"/>
                  <w:u w:val="single"/>
                </w:rPr>
                <w:t>VICI Properties L.P. Certification of Principal Executive Officer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viciq12023exh324xviciprope.htm">
              <w:r>
                <w:rPr>
                  <w:rStyle w:val="InternetLink"/>
                  <w:rFonts w:ascii="Times New Roman;sans-serif" w:hAnsi="Times New Roman;sans-serif"/>
                  <w:b w:val="false"/>
                  <w:color w:val="0000FF"/>
                  <w:sz w:val="20"/>
                  <w:u w:val="single"/>
                </w:rPr>
                <w:t>32.4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iciq12023exh324xviciprope.htm">
              <w:r>
                <w:rPr>
                  <w:rStyle w:val="InternetLink"/>
                  <w:rFonts w:ascii="Times New Roman;sans-serif" w:hAnsi="Times New Roman;sans-serif"/>
                  <w:b w:val="false"/>
                  <w:color w:val="0000FF"/>
                  <w:sz w:val="20"/>
                  <w:u w:val="single"/>
                </w:rPr>
                <w:t>VICI Properties L.P. Certification of Principal Financial Officer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180" w:after="283"/>
        <w:jc w:val="both"/>
        <w:rPr/>
      </w:pPr>
      <w:r>
        <w:rPr/>
      </w:r>
    </w:p>
    <w:p>
      <w:pPr>
        <w:pStyle w:val="TextBody"/>
        <w:spacing w:lineRule="auto" w:line="288" w:before="0" w:after="0"/>
        <w:jc w:val="both"/>
        <w:rPr/>
      </w:pPr>
      <w:hyperlink w:anchor="i402613ae68904b5587c68802b3f0ad2f_10">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120" w:after="283"/>
        <w:jc w:val="both"/>
        <w:rPr>
          <w:color w:val="000000"/>
        </w:rPr>
      </w:pPr>
      <w:r>
        <w:rPr>
          <w:color w:val="000000"/>
        </w:rPr>
        <w:t>                        </w:t>
      </w:r>
    </w:p>
    <w:tbl>
      <w:tblPr>
        <w:tblW w:w="7974" w:type="dxa"/>
        <w:jc w:val="left"/>
        <w:tblInd w:w="0" w:type="dxa"/>
        <w:tblCellMar>
          <w:top w:w="28" w:type="dxa"/>
          <w:left w:w="28" w:type="dxa"/>
          <w:bottom w:w="28" w:type="dxa"/>
          <w:right w:w="28" w:type="dxa"/>
        </w:tblCellMar>
      </w:tblPr>
      <w:tblGrid>
        <w:gridCol w:w="964"/>
        <w:gridCol w:w="849"/>
        <w:gridCol w:w="857"/>
        <w:gridCol w:w="174"/>
        <w:gridCol w:w="174"/>
        <w:gridCol w:w="174"/>
        <w:gridCol w:w="1047"/>
        <w:gridCol w:w="1047"/>
        <w:gridCol w:w="981"/>
        <w:gridCol w:w="174"/>
        <w:gridCol w:w="174"/>
        <w:gridCol w:w="174"/>
        <w:gridCol w:w="347"/>
        <w:gridCol w:w="347"/>
        <w:gridCol w:w="491"/>
      </w:tblGrid>
      <w:tr>
        <w:trPr/>
        <w:tc>
          <w:tcPr>
            <w:tcW w:w="96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797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r>
      <w:tr>
        <w:trPr/>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r>
      <w:tr>
        <w:trPr/>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r>
      <w:tr>
        <w:trPr/>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943" w:type="dxa"/>
        <w:jc w:val="left"/>
        <w:tblInd w:w="0" w:type="dxa"/>
        <w:tblCellMar>
          <w:top w:w="28" w:type="dxa"/>
          <w:left w:w="28" w:type="dxa"/>
          <w:bottom w:w="28" w:type="dxa"/>
          <w:right w:w="28" w:type="dxa"/>
        </w:tblCellMar>
      </w:tblPr>
      <w:tblGrid>
        <w:gridCol w:w="964"/>
        <w:gridCol w:w="849"/>
        <w:gridCol w:w="857"/>
        <w:gridCol w:w="169"/>
        <w:gridCol w:w="169"/>
        <w:gridCol w:w="169"/>
        <w:gridCol w:w="1020"/>
        <w:gridCol w:w="1020"/>
        <w:gridCol w:w="1034"/>
        <w:gridCol w:w="169"/>
        <w:gridCol w:w="169"/>
        <w:gridCol w:w="169"/>
        <w:gridCol w:w="347"/>
        <w:gridCol w:w="347"/>
        <w:gridCol w:w="491"/>
      </w:tblGrid>
      <w:tr>
        <w:trPr/>
        <w:tc>
          <w:tcPr>
            <w:tcW w:w="96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794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r>
      <w:tr>
        <w:trPr/>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r>
      <w:tr>
        <w:trPr/>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r>
      <w:tr>
        <w:trPr/>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84785"/>
                <wp:effectExtent l="0" t="0" r="0" b="0"/>
                <wp:wrapNone/>
                <wp:docPr id="69" name="Frame6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71"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TWELFTH AMENDMENT TO LEASE</w:t>
      </w:r>
    </w:p>
    <w:p>
      <w:pPr>
        <w:pStyle w:val="TextBody"/>
        <w:spacing w:lineRule="auto" w:line="271" w:before="0" w:after="200"/>
        <w:ind w:left="0" w:right="0" w:firstLine="720"/>
        <w:jc w:val="both"/>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TWELFTH AMENDMENT TO LEASE</w:t>
      </w:r>
      <w:r>
        <w:rPr>
          <w:color w:val="000000"/>
        </w:rPr>
        <w:t xml:space="preserve">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xml:space="preserve">) is entered into as of April 7, 2023, by and among the entities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attached hereto (collectively, and together with their respective successors and assigns, “</w:t>
      </w:r>
      <w:r>
        <w:rPr>
          <w:rFonts w:ascii="Times New Roman;sans-serif" w:hAnsi="Times New Roman;sans-serif"/>
          <w:b w:val="false"/>
          <w:color w:val="000000"/>
          <w:sz w:val="24"/>
          <w:u w:val="single"/>
        </w:rPr>
        <w:t>Landlord</w:t>
      </w:r>
      <w:r>
        <w:rPr>
          <w:color w:val="000000"/>
        </w:rPr>
        <w:t>”</w:t>
      </w:r>
      <w:r>
        <w:rPr>
          <w:rFonts w:ascii="Times New Roman;sans-serif" w:hAnsi="Times New Roman;sans-serif"/>
          <w:b w:val="false"/>
          <w:color w:val="000000"/>
          <w:sz w:val="24"/>
        </w:rPr>
        <w:t xml:space="preserve">), the entities listed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attached hereto (collectively, and together with their respective successors and assigns, “</w:t>
      </w:r>
      <w:r>
        <w:rPr>
          <w:rFonts w:ascii="Times New Roman;sans-serif" w:hAnsi="Times New Roman;sans-serif"/>
          <w:b w:val="false"/>
          <w:color w:val="000000"/>
          <w:sz w:val="24"/>
          <w:u w:val="single"/>
        </w:rPr>
        <w:t>Tenant</w:t>
      </w:r>
      <w:r>
        <w:rPr>
          <w:color w:val="000000"/>
        </w:rPr>
        <w:t>”</w:t>
      </w:r>
      <w:r>
        <w:rPr>
          <w:rFonts w:ascii="Times New Roman;sans-serif" w:hAnsi="Times New Roman;sans-serif"/>
          <w:b w:val="false"/>
          <w:color w:val="000000"/>
          <w:sz w:val="24"/>
        </w:rPr>
        <w:t xml:space="preserve">) and, solely for the purposes of the penultimate paragraph of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of the Lease (as defined below), Propco TRS LLC, a Delaware limited liability company (“</w:t>
      </w:r>
      <w:r>
        <w:rPr>
          <w:rFonts w:ascii="Times New Roman;sans-serif" w:hAnsi="Times New Roman;sans-serif"/>
          <w:b w:val="false"/>
          <w:color w:val="000000"/>
          <w:sz w:val="24"/>
          <w:u w:val="single"/>
        </w:rPr>
        <w:t>Propco TRS</w:t>
      </w:r>
      <w:r>
        <w:rPr>
          <w:color w:val="000000"/>
        </w:rPr>
        <w:t>”</w:t>
      </w:r>
      <w:r>
        <w:rPr>
          <w:rFonts w:ascii="Times New Roman;sans-serif" w:hAnsi="Times New Roman;sans-serif"/>
          <w:b w:val="false"/>
          <w:color w:val="000000"/>
          <w:sz w:val="24"/>
        </w:rPr>
        <w:t>).</w:t>
      </w:r>
    </w:p>
    <w:p>
      <w:pPr>
        <w:pStyle w:val="TextBody"/>
        <w:spacing w:lineRule="auto" w:line="271" w:before="0" w:after="20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spacing w:lineRule="auto" w:line="271" w:before="0" w:after="20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 xml:space="preserve">Landlord, Tenant and, solely for the purposes of the penultimate paragraph of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of the Lease, 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as amended by that certain Seventh Amendment to Lease, dated as of November 18, 2020, as amended by that certain Eighth Amendment to Lease, dated as of September 3, 2021, as amended by that certain Ninth Amendment to Lease, dated as of November 1, 2021, as amended by that certain Tenth Amendment to Lease, dated as of December 30, 2021, and as amended by that certain Eleventh Amendment to Lease, dated as of August 25, 2022 (collectively, as amended, the “</w:t>
      </w:r>
      <w:r>
        <w:rPr>
          <w:rFonts w:ascii="Times New Roman;sans-serif" w:hAnsi="Times New Roman;sans-serif"/>
          <w:b w:val="false"/>
          <w:color w:val="000000"/>
          <w:sz w:val="24"/>
          <w:u w:val="single"/>
        </w:rPr>
        <w:t>Lease</w:t>
      </w:r>
      <w:r>
        <w:rPr>
          <w:color w:val="000000"/>
        </w:rPr>
        <w:t>”</w:t>
      </w:r>
      <w:r>
        <w:rPr>
          <w:rFonts w:ascii="Times New Roman;sans-serif" w:hAnsi="Times New Roman;sans-serif"/>
          <w:b w:val="false"/>
          <w:color w:val="000000"/>
          <w:sz w:val="24"/>
        </w:rPr>
        <w:t>), pursuant to which Landlord leases to Tenant, and Tenant leases from Landlord, certain real property as more particularly described in the Lease;</w:t>
      </w:r>
    </w:p>
    <w:p>
      <w:pPr>
        <w:pStyle w:val="TextBody"/>
        <w:spacing w:lineRule="auto" w:line="271" w:before="0" w:after="20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 xml:space="preserve">on the date hereof, Vegas Development LLC, a Delaware limited liability company, Hole in the Wall, LLC, a Nevada limited liability company and CEOC, LLC, a Delaware limited liability company, collectively as sellers, and Flamingo Linq, LLC, a Nevada limited liability company, as buyer, are closing a purchase and sale transaction under that certain Purchase and Sale Agreement and Joint Escrow Instructions, dated as of December 7, 2022, with respect to certain real property located in Las Vegas, Nevada, which (i) is described on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attached hereto and identified as assessor parcel numbers 16221110001 and 16216410050 (such real property, collectively, the “</w:t>
      </w:r>
      <w:r>
        <w:rPr>
          <w:rFonts w:ascii="Times New Roman;sans-serif" w:hAnsi="Times New Roman;sans-serif"/>
          <w:b w:val="false"/>
          <w:color w:val="000000"/>
          <w:sz w:val="24"/>
          <w:u w:val="single"/>
        </w:rPr>
        <w:t>CP3 Property</w:t>
      </w:r>
      <w:r>
        <w:rPr>
          <w:color w:val="000000"/>
        </w:rPr>
        <w:t>”</w:t>
      </w:r>
      <w:r>
        <w:rPr>
          <w:rFonts w:ascii="Times New Roman;sans-serif" w:hAnsi="Times New Roman;sans-serif"/>
          <w:b w:val="false"/>
          <w:color w:val="000000"/>
          <w:sz w:val="24"/>
        </w:rPr>
        <w:t xml:space="preserve">) and (ii) constitutes a portion of Cluster Parcel Number 3, as set forth on </w:t>
      </w:r>
      <w:r>
        <w:rPr>
          <w:rFonts w:ascii="Times New Roman;sans-serif" w:hAnsi="Times New Roman;sans-serif"/>
          <w:b w:val="false"/>
          <w:color w:val="000000"/>
          <w:sz w:val="24"/>
          <w:u w:val="single"/>
        </w:rPr>
        <w:t>Schedule 8</w:t>
      </w:r>
      <w:r>
        <w:rPr>
          <w:color w:val="000000"/>
        </w:rPr>
        <w:t xml:space="preserve"> </w:t>
      </w:r>
      <w:r>
        <w:rPr>
          <w:rFonts w:ascii="Times New Roman;sans-serif" w:hAnsi="Times New Roman;sans-serif"/>
          <w:b w:val="false"/>
          <w:color w:val="000000"/>
          <w:sz w:val="24"/>
        </w:rPr>
        <w:t>of the Lease (the purchase and sale of the CP3 Property is referred to herein as the “</w:t>
      </w:r>
      <w:r>
        <w:rPr>
          <w:rFonts w:ascii="Times New Roman;sans-serif" w:hAnsi="Times New Roman;sans-serif"/>
          <w:b w:val="false"/>
          <w:color w:val="000000"/>
          <w:sz w:val="24"/>
          <w:u w:val="single"/>
        </w:rPr>
        <w:t>CP3 Transaction</w:t>
      </w:r>
      <w:r>
        <w:rPr>
          <w:color w:val="000000"/>
        </w:rPr>
        <w:t>”</w:t>
      </w:r>
      <w:r>
        <w:rPr>
          <w:rFonts w:ascii="Times New Roman;sans-serif" w:hAnsi="Times New Roman;sans-serif"/>
          <w:b w:val="false"/>
          <w:color w:val="000000"/>
          <w:sz w:val="24"/>
        </w:rPr>
        <w:t>); and</w:t>
      </w:r>
    </w:p>
    <w:p>
      <w:pPr>
        <w:pStyle w:val="TextBody"/>
        <w:spacing w:lineRule="auto" w:line="271" w:before="0" w:after="20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in connection with the CP3 Transaction, the parties hereto desire to amend the Lease as set forth herein.</w:t>
      </w:r>
    </w:p>
    <w:p>
      <w:pPr>
        <w:pStyle w:val="TextBody"/>
        <w:spacing w:lineRule="auto" w:line="271" w:before="0" w:after="20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xml:space="preserve">, in consideration of the mutual covenants and agreements hereinafter set forth and for other good and valuable consideration, the receipt and sufficiency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82625"/>
                <wp:effectExtent l="0" t="0" r="0" b="0"/>
                <wp:wrapNone/>
                <wp:docPr id="70" name="Frame69"/>
                <a:graphic xmlns:a="http://schemas.openxmlformats.org/drawingml/2006/main">
                  <a:graphicData uri="http://schemas.microsoft.com/office/word/2010/wordprocessingShape">
                    <wps:wsp>
                      <wps:cNvSpPr txBox="1"/>
                      <wps:spPr>
                        <a:xfrm>
                          <a:off x="0" y="0"/>
                          <a:ext cx="6480175" cy="682625"/>
                        </a:xfrm>
                        <a:prstGeom prst="rect"/>
                      </wps:spPr>
                      <wps:txbx>
                        <w:txbxContent>
                          <w:p>
                            <w:pPr>
                              <w:pStyle w:val="TextBody"/>
                              <w:spacing w:before="120" w:after="283"/>
                              <w:jc w:val="center"/>
                              <w:rPr/>
                            </w:pPr>
                            <w:r>
                              <w:rPr/>
                            </w:r>
                          </w:p>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120" w:after="283"/>
                        <w:jc w:val="center"/>
                        <w:rPr/>
                      </w:pPr>
                      <w:r>
                        <w:rPr/>
                      </w:r>
                    </w:p>
                    <w:p>
                      <w:pPr>
                        <w:pStyle w:val="TextBody"/>
                        <w:spacing w:before="120" w:after="283"/>
                        <w:jc w:val="center"/>
                        <w:rPr/>
                      </w:pPr>
                      <w:r>
                        <w:rPr/>
                      </w:r>
                    </w:p>
                  </w:txbxContent>
                </v:textbox>
              </v:rect>
            </w:pict>
          </mc:Fallback>
        </mc:AlternateContent>
      </w:r>
    </w:p>
    <w:p>
      <w:pPr>
        <w:pStyle w:val="TextBody"/>
        <w:spacing w:lineRule="auto" w:line="271"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which are hereby acknowledged, the parties hereto, intending to be legally bound hereby, agree as follows:</w:t>
      </w:r>
    </w:p>
    <w:p>
      <w:pPr>
        <w:pStyle w:val="TextBody"/>
        <w:spacing w:lineRule="auto" w:line="271" w:before="0" w:after="20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Definitions</w:t>
      </w:r>
      <w:r>
        <w:rPr>
          <w:rFonts w:ascii="Times New Roman;sans-serif" w:hAnsi="Times New Roman;sans-serif"/>
          <w:b w:val="false"/>
          <w:color w:val="000000"/>
          <w:sz w:val="24"/>
        </w:rPr>
        <w:t>. Except as otherwise defined herein, all capitalized terms used herein without definition shall have the meanings applicable to such terms, respectively, as set forth in the Lease.</w:t>
      </w:r>
    </w:p>
    <w:p>
      <w:pPr>
        <w:pStyle w:val="TextBody"/>
        <w:spacing w:lineRule="auto" w:line="271"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Amendments to the Lease</w:t>
      </w:r>
      <w:r>
        <w:rPr>
          <w:rFonts w:ascii="Times New Roman;sans-serif" w:hAnsi="Times New Roman;sans-serif"/>
          <w:b w:val="false"/>
          <w:color w:val="000000"/>
          <w:sz w:val="24"/>
        </w:rPr>
        <w:t>. Effective as of the date hereof:</w:t>
      </w:r>
    </w:p>
    <w:p>
      <w:pPr>
        <w:pStyle w:val="TextBody"/>
        <w:spacing w:lineRule="auto" w:line="271"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Termination of the Lease as to the CP3 Property</w:t>
      </w:r>
      <w:r>
        <w:rPr>
          <w:rFonts w:ascii="Times New Roman;sans-serif" w:hAnsi="Times New Roman;sans-serif"/>
          <w:b w:val="false"/>
          <w:color w:val="000000"/>
          <w:sz w:val="24"/>
        </w:rPr>
        <w:t>.</w:t>
      </w:r>
    </w:p>
    <w:p>
      <w:pPr>
        <w:pStyle w:val="TextBody"/>
        <w:spacing w:lineRule="auto" w:line="271"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Lease is hereby terminated with respect to the CP3 Property, the CP3 Property no longer constitutes Leased Property under the Lease nor a portion of the Las Vegas Land Assemblage nor a Cluster Parcel nor a portion of the Las Vegas Land Assemblage Facility, and neither Landlord nor Tenant has any further liabilities or obligations under the Lease, from and after the date hereof, in respect of the CP3 Property (provided that any such liabilities or obligations arising prior to such date shall not be terminated, limited or affected by or upon entry into this Amendment); and</w:t>
      </w:r>
    </w:p>
    <w:p>
      <w:pPr>
        <w:pStyle w:val="TextBody"/>
        <w:spacing w:lineRule="auto" w:line="271" w:before="0" w:after="240"/>
        <w:ind w:left="0" w:right="0" w:firstLine="720"/>
        <w:jc w:val="both"/>
        <w:rPr/>
      </w:pPr>
      <w:r>
        <w:rPr>
          <w:rFonts w:ascii="Times New Roman;sans-serif" w:hAnsi="Times New Roman;sans-serif"/>
          <w:b w:val="false"/>
          <w:color w:val="000000"/>
          <w:sz w:val="24"/>
        </w:rPr>
        <w:t>ii.the Guaranty hereby automatically, and without further action by any party, ceases to apply with respect to any Obligations (as defined in the Guaranty) with respect to the CP3 Property to the extent arising from and after the date hereof (provided that any such Obligations arising prior to such date shall not be terminated, limited or affected by or upon entry into this Amendment). The term “</w:t>
      </w:r>
      <w:r>
        <w:rPr>
          <w:rFonts w:ascii="Times New Roman;sans-serif" w:hAnsi="Times New Roman;sans-serif"/>
          <w:b w:val="false"/>
          <w:color w:val="000000"/>
          <w:sz w:val="24"/>
          <w:u w:val="single"/>
        </w:rPr>
        <w:t>Las Vegas Land Assemblage Facility</w:t>
      </w:r>
      <w:r>
        <w:rPr>
          <w:color w:val="000000"/>
        </w:rPr>
        <w:t xml:space="preserve">” </w:t>
      </w:r>
      <w:r>
        <w:rPr>
          <w:rFonts w:ascii="Times New Roman;sans-serif" w:hAnsi="Times New Roman;sans-serif"/>
          <w:b w:val="false"/>
          <w:color w:val="000000"/>
          <w:sz w:val="24"/>
        </w:rPr>
        <w:t xml:space="preserve">refers to the Facility identified as No. 14 on the list of the Facilities annexed as Exhibit A to the Lease. </w:t>
      </w:r>
    </w:p>
    <w:p>
      <w:pPr>
        <w:pStyle w:val="TextBody"/>
        <w:spacing w:lineRule="auto" w:line="271"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Rent</w:t>
      </w:r>
      <w:r>
        <w:rPr>
          <w:rFonts w:ascii="Times New Roman;sans-serif" w:hAnsi="Times New Roman;sans-serif"/>
          <w:b w:val="false"/>
          <w:color w:val="000000"/>
          <w:sz w:val="24"/>
        </w:rPr>
        <w:t>. Landlord and Tenant hereby expressly acknowledge and agree that there shall be no reduction in the Rent under the Lease as a result of the removal of the CP3 Property from the Lease or otherwise as a result of the CP3 Transaction.</w:t>
      </w:r>
    </w:p>
    <w:p>
      <w:pPr>
        <w:pStyle w:val="TextBody"/>
        <w:spacing w:lineRule="auto" w:line="271"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Variable Rent</w:t>
      </w:r>
      <w:r>
        <w:rPr>
          <w:rFonts w:ascii="Times New Roman;sans-serif" w:hAnsi="Times New Roman;sans-serif"/>
          <w:b w:val="false"/>
          <w:color w:val="000000"/>
          <w:sz w:val="24"/>
        </w:rPr>
        <w:t>. From and after the date hereof, for purposes of any calculation of Variable Rent under the Lease, including any adjustments in Variable Rent based on increases or decreases in Net Revenue, such calculations of Net Revenue shall exclude Net Revenue attributable to the CP3 Property.</w:t>
      </w:r>
    </w:p>
    <w:p>
      <w:pPr>
        <w:pStyle w:val="TextBody"/>
        <w:spacing w:lineRule="auto" w:line="271"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CP3 Transaction</w:t>
      </w:r>
      <w:r>
        <w:rPr>
          <w:rFonts w:ascii="Times New Roman;sans-serif" w:hAnsi="Times New Roman;sans-serif"/>
          <w:b w:val="false"/>
          <w:color w:val="000000"/>
          <w:sz w:val="24"/>
        </w:rPr>
        <w:t>.</w:t>
      </w:r>
      <w:r>
        <w:rPr>
          <w:color w:val="000000"/>
        </w:rPr>
        <w:t xml:space="preserve"> </w:t>
      </w:r>
    </w:p>
    <w:p>
      <w:pPr>
        <w:pStyle w:val="TextBody"/>
        <w:spacing w:lineRule="auto" w:line="271" w:before="0" w:after="240"/>
        <w:ind w:left="0" w:right="0" w:firstLine="1440"/>
        <w:jc w:val="both"/>
        <w:rPr/>
      </w:pPr>
      <w:r>
        <w:rPr>
          <w:rFonts w:ascii="Times New Roman;sans-serif" w:hAnsi="Times New Roman;sans-serif"/>
          <w:b w:val="false"/>
          <w:color w:val="000000"/>
          <w:sz w:val="24"/>
        </w:rPr>
        <w:t xml:space="preserve">i.Each of Landlord and Tenant hereby acknowledges and agrees that (i) such party consents to the sale of the CP3 Property, including the severance of the CP3 Property from the Lease as of the date of this Amendment, and (ii) the removal of the CP3 Property from the Lease shall not constitute a L1/L2 Transfer nor a transfer and sale pursuant to </w:t>
      </w:r>
      <w:r>
        <w:rPr>
          <w:rFonts w:ascii="Times New Roman;sans-serif" w:hAnsi="Times New Roman;sans-serif"/>
          <w:b w:val="false"/>
          <w:color w:val="000000"/>
          <w:sz w:val="24"/>
          <w:u w:val="single"/>
        </w:rPr>
        <w:t>Section 22.2(ix)</w:t>
      </w:r>
      <w:r>
        <w:rPr>
          <w:color w:val="000000"/>
        </w:rPr>
        <w:t xml:space="preserve"> </w:t>
      </w:r>
      <w:r>
        <w:rPr>
          <w:rFonts w:ascii="Times New Roman;sans-serif" w:hAnsi="Times New Roman;sans-serif"/>
          <w:b w:val="false"/>
          <w:color w:val="000000"/>
          <w:sz w:val="24"/>
        </w:rPr>
        <w:t>of the Lease.</w:t>
      </w:r>
    </w:p>
    <w:p>
      <w:pPr>
        <w:pStyle w:val="TextBody"/>
        <w:spacing w:lineRule="auto" w:line="271"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ii.All of the applicable requirements and conditions set forth in Article XVIII or Article XXII of the Lease with respect to the CP3 Transaction (if, and to the extent, applicable to the CP3 Transaction) are deemed satisfied or waived.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51460"/>
                <wp:effectExtent l="0" t="0" r="0" b="0"/>
                <wp:wrapNone/>
                <wp:docPr id="71" name="Frame70"/>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71" w:before="0" w:after="240"/>
        <w:ind w:left="0" w:right="0" w:firstLine="1440"/>
        <w:jc w:val="both"/>
        <w:rPr/>
      </w:pPr>
      <w:r>
        <w:rPr>
          <w:rFonts w:ascii="Times New Roman;sans-serif" w:hAnsi="Times New Roman;sans-serif"/>
          <w:b w:val="false"/>
          <w:color w:val="000000"/>
          <w:sz w:val="24"/>
        </w:rPr>
        <w:t xml:space="preserve">iii.The amounts of the 2018 EBITDAR Pool and 2018 EBITDAR Pool Before Fifth Amendment shall not be reduced as a result of the CP3 Property no longer constituting Leased Property under the Lease and, without limitation, </w:t>
      </w:r>
      <w:r>
        <w:rPr>
          <w:rFonts w:ascii="Times New Roman;sans-serif" w:hAnsi="Times New Roman;sans-serif"/>
          <w:b w:val="false"/>
          <w:color w:val="000000"/>
          <w:sz w:val="24"/>
          <w:u w:val="single"/>
        </w:rPr>
        <w:t>Schedule 11</w:t>
      </w:r>
      <w:r>
        <w:rPr>
          <w:color w:val="000000"/>
        </w:rPr>
        <w:t xml:space="preserve"> </w:t>
      </w:r>
      <w:r>
        <w:rPr>
          <w:rFonts w:ascii="Times New Roman;sans-serif" w:hAnsi="Times New Roman;sans-serif"/>
          <w:b w:val="false"/>
          <w:color w:val="000000"/>
          <w:sz w:val="24"/>
        </w:rPr>
        <w:t>to the Lease (setting forth the 2018 Facility EBITDAR of Tenant and Joliet Tenant) shall not be modified as a result of the CP3 Transaction.</w:t>
      </w:r>
    </w:p>
    <w:p>
      <w:pPr>
        <w:pStyle w:val="TextBody"/>
        <w:spacing w:lineRule="auto" w:line="271"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iv.The treatment of the CP3 Transaction hereunder is not intended to serve as a precedent for the treatment of future dispositions (if any) which may be effectuated under any applicable provision of the Lease or otherwise.</w:t>
      </w:r>
    </w:p>
    <w:p>
      <w:pPr>
        <w:pStyle w:val="TextBody"/>
        <w:spacing w:lineRule="auto" w:line="271"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Revisions to Exhibits and Schedules to the Lease</w:t>
      </w:r>
      <w:r>
        <w:rPr>
          <w:rFonts w:ascii="Times New Roman;sans-serif" w:hAnsi="Times New Roman;sans-serif"/>
          <w:b w:val="false"/>
          <w:color w:val="000000"/>
          <w:sz w:val="24"/>
        </w:rPr>
        <w:t>. The Exhibits and Schedules to the Lease are hereby amended as follows:</w:t>
      </w:r>
    </w:p>
    <w:p>
      <w:pPr>
        <w:pStyle w:val="TextBody"/>
        <w:spacing w:lineRule="auto" w:line="271" w:before="0" w:after="240"/>
        <w:ind w:left="0" w:right="0" w:firstLine="9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Legal Description (CP3 Property)</w:t>
      </w:r>
      <w:r>
        <w:rPr>
          <w:rFonts w:ascii="Times New Roman;sans-serif" w:hAnsi="Times New Roman;sans-serif"/>
          <w:b w:val="false"/>
          <w:color w:val="000000"/>
          <w:sz w:val="24"/>
        </w:rPr>
        <w:t xml:space="preserve">. The legal descriptions with respect to the Leased Property set forth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 xml:space="preserve">annexed to the Lease are hereby amended such that the legal description with respect to the Leased Property pertaining to the CP3 Property, as set forth on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 xml:space="preserve">attached hereto, is hereby deleted from said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w:t>
      </w:r>
    </w:p>
    <w:p>
      <w:pPr>
        <w:pStyle w:val="TextBody"/>
        <w:spacing w:lineRule="auto" w:line="271" w:before="0" w:after="240"/>
        <w:ind w:left="0" w:right="0" w:firstLine="90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Cluster Parcels</w:t>
      </w:r>
      <w:r>
        <w:rPr>
          <w:rFonts w:ascii="Times New Roman;sans-serif" w:hAnsi="Times New Roman;sans-serif"/>
          <w:b w:val="false"/>
          <w:color w:val="000000"/>
          <w:sz w:val="24"/>
        </w:rPr>
        <w:t xml:space="preserve">. The list of properties set forth as Cluster Parcel Number 3 on </w:t>
      </w:r>
      <w:r>
        <w:rPr>
          <w:rFonts w:ascii="Times New Roman;sans-serif" w:hAnsi="Times New Roman;sans-serif"/>
          <w:b w:val="false"/>
          <w:color w:val="000000"/>
          <w:sz w:val="24"/>
          <w:u w:val="single"/>
        </w:rPr>
        <w:t>Schedule 8</w:t>
      </w:r>
      <w:r>
        <w:rPr>
          <w:color w:val="000000"/>
        </w:rPr>
        <w:t xml:space="preserve"> </w:t>
      </w:r>
      <w:r>
        <w:rPr>
          <w:rFonts w:ascii="Times New Roman;sans-serif" w:hAnsi="Times New Roman;sans-serif"/>
          <w:b w:val="false"/>
          <w:color w:val="000000"/>
          <w:sz w:val="24"/>
        </w:rPr>
        <w:t xml:space="preserve">annexed to the Lease is hereby amended and restated such that Cluster Parcel Number 3 on such </w:t>
      </w:r>
      <w:r>
        <w:rPr>
          <w:rFonts w:ascii="Times New Roman;sans-serif" w:hAnsi="Times New Roman;sans-serif"/>
          <w:b w:val="false"/>
          <w:color w:val="000000"/>
          <w:sz w:val="24"/>
          <w:u w:val="single"/>
        </w:rPr>
        <w:t>Schedule 8</w:t>
      </w:r>
      <w:r>
        <w:rPr>
          <w:color w:val="000000"/>
        </w:rPr>
        <w:t xml:space="preserve"> </w:t>
      </w:r>
      <w:r>
        <w:rPr>
          <w:rFonts w:ascii="Times New Roman;sans-serif" w:hAnsi="Times New Roman;sans-serif"/>
          <w:b w:val="false"/>
          <w:color w:val="000000"/>
          <w:sz w:val="24"/>
        </w:rPr>
        <w:t xml:space="preserve">shall read as follows, and the subtotals of “APN Acreage” and “Total Cluster Acreage” set forth in the first table set forth on </w:t>
      </w:r>
      <w:r>
        <w:rPr>
          <w:rFonts w:ascii="Times New Roman;sans-serif" w:hAnsi="Times New Roman;sans-serif"/>
          <w:b w:val="false"/>
          <w:color w:val="000000"/>
          <w:sz w:val="24"/>
          <w:u w:val="single"/>
        </w:rPr>
        <w:t>Schedule 8</w:t>
      </w:r>
      <w:r>
        <w:rPr>
          <w:color w:val="000000"/>
        </w:rPr>
        <w:t xml:space="preserve"> </w:t>
      </w:r>
      <w:r>
        <w:rPr>
          <w:rFonts w:ascii="Times New Roman;sans-serif" w:hAnsi="Times New Roman;sans-serif"/>
          <w:b w:val="false"/>
          <w:color w:val="000000"/>
          <w:sz w:val="24"/>
        </w:rPr>
        <w:t>annexed to the Lease shall be recalculated and updated to reflect such amendment and restatement:</w:t>
      </w:r>
    </w:p>
    <w:tbl>
      <w:tblPr>
        <w:tblW w:w="6225" w:type="dxa"/>
        <w:jc w:val="left"/>
        <w:tblInd w:w="0" w:type="dxa"/>
        <w:tblCellMar>
          <w:top w:w="28" w:type="dxa"/>
          <w:left w:w="28" w:type="dxa"/>
          <w:bottom w:w="28" w:type="dxa"/>
          <w:right w:w="28" w:type="dxa"/>
        </w:tblCellMar>
      </w:tblPr>
      <w:tblGrid>
        <w:gridCol w:w="1992"/>
        <w:gridCol w:w="1751"/>
        <w:gridCol w:w="2482"/>
      </w:tblGrid>
      <w:tr>
        <w:trPr/>
        <w:tc>
          <w:tcPr>
            <w:tcW w:w="1992"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c>
          <w:tcPr>
            <w:tcW w:w="2482" w:type="dxa"/>
            <w:tcBorders/>
            <w:shd w:fill="auto" w:val="clear"/>
            <w:vAlign w:val="center"/>
          </w:tcPr>
          <w:p>
            <w:pPr>
              <w:pStyle w:val="TableContents"/>
              <w:spacing w:before="0" w:after="283"/>
              <w:ind w:left="0" w:right="0" w:firstLine="7"/>
              <w:rPr>
                <w:sz w:val="4"/>
                <w:szCs w:val="4"/>
              </w:rPr>
            </w:pPr>
            <w:r>
              <w:rPr>
                <w:sz w:val="4"/>
                <w:szCs w:val="4"/>
              </w:rPr>
            </w:r>
          </w:p>
        </w:tc>
      </w:tr>
      <w:tr>
        <w:trPr/>
        <w:tc>
          <w:tcPr>
            <w:tcW w:w="6225"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16216410059        Vegas Development LLC        0.4    3    0.4</w:t>
            </w:r>
          </w:p>
        </w:tc>
      </w:tr>
    </w:tbl>
    <w:p>
      <w:pPr>
        <w:pStyle w:val="TextBody"/>
        <w:spacing w:before="0" w:after="240"/>
        <w:jc w:val="both"/>
        <w:rPr/>
      </w:pPr>
      <w:r>
        <w:rPr/>
      </w:r>
    </w:p>
    <w:p>
      <w:pPr>
        <w:pStyle w:val="TextBody"/>
        <w:spacing w:lineRule="auto" w:line="271"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No Other Modification or Amendment to the Lease</w:t>
      </w:r>
      <w:r>
        <w:rPr>
          <w:rFonts w:ascii="Times New Roman;sans-serif" w:hAnsi="Times New Roman;sans-serif"/>
          <w:b w:val="false"/>
          <w:color w:val="000000"/>
          <w:sz w:val="24"/>
        </w:rPr>
        <w:t xml:space="preserve">. The Lease shall remain in full force and effect except as expressly amended or modified by this Amendment. From and after the date of this Amendment, all references in the Lease to the “Lease” shall be deemed to refer to the Lease as amended by this Amendment. For the avoidance of doubt, the Lease shall continue in full force and effect with respect to the balance of the Leased Property (other than the CP3 Property as of the date hereof in accordance with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of this Amendment).</w:t>
      </w:r>
    </w:p>
    <w:p>
      <w:pPr>
        <w:pStyle w:val="TextBody"/>
        <w:spacing w:lineRule="auto" w:line="271"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Governing Law; Jurisdiction</w:t>
      </w:r>
      <w:r>
        <w:rPr>
          <w:rFonts w:ascii="Times New Roman;sans-serif" w:hAnsi="Times New Roman;sans-serif"/>
          <w:b w:val="false"/>
          <w:color w:val="000000"/>
          <w:sz w:val="24"/>
        </w:rPr>
        <w:t>. This Amendment shall be construed according to and governed by the laws of the 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pStyle w:val="TextBody"/>
        <w:spacing w:lineRule="auto" w:line="271"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Amendment may be executed by one or more of the parties hereto on any number of separate counterparts, and all of such counterparts taken together shall be deemed to constitute one and the same instrument. Facsimile and/or .pdf signatures shall be deemed to be originals for all purposes.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51460"/>
                <wp:effectExtent l="0" t="0" r="0" b="0"/>
                <wp:wrapNone/>
                <wp:docPr id="72" name="Frame71"/>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71"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Effectiveness</w:t>
      </w:r>
      <w:r>
        <w:rPr>
          <w:rFonts w:ascii="Times New Roman;sans-serif" w:hAnsi="Times New Roman;sans-serif"/>
          <w:b w:val="false"/>
          <w:color w:val="000000"/>
          <w:sz w:val="24"/>
        </w:rPr>
        <w:t>. This Amendment shall be effective, as of the date hereof, only upon execution and delivery by each of the parties hereto.</w:t>
      </w:r>
    </w:p>
    <w:p>
      <w:pPr>
        <w:pStyle w:val="TextBody"/>
        <w:spacing w:lineRule="auto" w:line="271"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Miscellaneous</w:t>
      </w:r>
      <w:r>
        <w:rPr>
          <w:rFonts w:ascii="Times New Roman;sans-serif" w:hAnsi="Times New Roman;sans-serif"/>
          <w:b w:val="false"/>
          <w:color w:val="000000"/>
          <w:sz w:val="24"/>
        </w:rPr>
        <w:t>. If any provision of this Amendment is adjudicated to be invalid, illegal or unenforceable, in whole 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pStyle w:val="TextBody"/>
        <w:spacing w:lineRule="auto" w:line="271"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51460"/>
                <wp:effectExtent l="0" t="0" r="0" b="0"/>
                <wp:wrapNone/>
                <wp:docPr id="73" name="Frame72"/>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Amendment to be duly executed by their duly authorized representatives, all as of the date hereof.</w:t>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LANDLORD:</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HORSESHOE COUNCIL BLUFFS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HARRAH’S COUNCIL BLUFFS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HARRAH’S METROPOLIS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NEW HORSESHOE HAMMOND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NEW HARRAH’S NORTH KANSAS CITY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GRAND BILOXI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HORSESHOE TUNICA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NEW TUNICA ROADHOUSE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CAESARS ATLANTIC CITY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WWW PROPCO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HARRAH’S LAKE TAHOE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HARVEY’S LAKE TAHOE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HARRAH’S RENO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VEGAS DEVELOPMENT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VEGAS OPERATING PROPERTY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MISCELLANEOUS LAND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PROPCO GULFPORT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PHILADELPHIA PROPCO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HARRAH’S ATLANTIC CITY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NEW LAUGHLIN OWNER LLC</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HARRAH’S NEW ORLEANS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each, a Delaware limited liability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i/>
          <w:color w:val="000000"/>
          <w:sz w:val="24"/>
          <w:u w:val="single"/>
        </w:rPr>
        <w:t>/s/ David A. Kieske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David A. Kieske</w:t>
      </w:r>
    </w:p>
    <w:p>
      <w:pPr>
        <w:pStyle w:val="TextBody"/>
        <w:spacing w:lineRule="auto" w:line="240" w:before="0" w:after="360"/>
        <w:jc w:val="both"/>
        <w:rPr>
          <w:rFonts w:ascii="Times New Roman;sans-serif" w:hAnsi="Times New Roman;sans-serif"/>
          <w:b w:val="false"/>
          <w:color w:val="000000"/>
          <w:sz w:val="24"/>
        </w:rPr>
      </w:pPr>
      <w:r>
        <w:rPr>
          <w:rFonts w:ascii="Times New Roman;sans-serif" w:hAnsi="Times New Roman;sans-serif"/>
          <w:b w:val="false"/>
          <w:color w:val="000000"/>
          <w:sz w:val="24"/>
        </w:rPr>
        <w:t>Title: Treasurer</w:t>
      </w:r>
    </w:p>
    <w:p>
      <w:pPr>
        <w:pStyle w:val="TextBody"/>
        <w:spacing w:lineRule="auto" w:line="240" w:before="0" w:after="0"/>
        <w:jc w:val="both"/>
        <w:rPr/>
      </w:pPr>
      <w:r>
        <w:rPr>
          <w:rFonts w:ascii="Times New Roman;sans-serif" w:hAnsi="Times New Roman;sans-serif"/>
          <w:b/>
          <w:color w:val="000000"/>
          <w:sz w:val="24"/>
        </w:rPr>
        <w:t>HORSESHOE BOSSIER CITY PROP LLC</w:t>
      </w:r>
      <w:r>
        <w:rPr>
          <w:rFonts w:ascii="Times New Roman;sans-serif" w:hAnsi="Times New Roman;sans-serif"/>
          <w:b w:val="false"/>
          <w:color w:val="000000"/>
          <w:sz w:val="24"/>
        </w:rPr>
        <w: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Louisiana limited liability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By: :</w:t>
      </w:r>
      <w:r>
        <w:rPr>
          <w:color w:val="000000"/>
          <w:u w:val="single"/>
        </w:rPr>
        <w:t xml:space="preserve"> </w:t>
      </w:r>
      <w:r>
        <w:rPr>
          <w:rFonts w:ascii="Times New Roman;sans-serif" w:hAnsi="Times New Roman;sans-serif"/>
          <w:b w:val="false"/>
          <w:i/>
          <w:color w:val="000000"/>
          <w:sz w:val="24"/>
          <w:u w:val="single"/>
        </w:rPr>
        <w:t>/s/ David A. Kieske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David A. Kieske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Treasurer</w:t>
      </w:r>
    </w:p>
    <w:p>
      <w:pPr>
        <w:pStyle w:val="TextBody"/>
        <w:spacing w:before="0" w:after="0"/>
        <w:jc w:val="both"/>
        <w:rPr/>
      </w:pPr>
      <w:r>
        <w:rPr/>
      </w:r>
    </w:p>
    <w:p>
      <w:pPr>
        <w:pStyle w:val="TextBody"/>
        <w:spacing w:lineRule="auto" w:line="240"/>
        <w:jc w:val="center"/>
        <w:rPr>
          <w:rFonts w:ascii="Times New Roman;sans-serif" w:hAnsi="Times New Roman;sans-serif"/>
          <w:b/>
          <w:i/>
          <w:color w:val="000000"/>
          <w:sz w:val="24"/>
        </w:rPr>
      </w:pPr>
      <w:r>
        <w:rPr>
          <w:rFonts w:ascii="Times New Roman;sans-serif" w:hAnsi="Times New Roman;sans-serif"/>
          <w:b/>
          <w:i/>
          <w:color w:val="000000"/>
          <w:sz w:val="24"/>
        </w:rPr>
        <w:t>[Signatures Continue on Following Pages]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51460"/>
                <wp:effectExtent l="0" t="0" r="0" b="0"/>
                <wp:wrapNone/>
                <wp:docPr id="74" name="Frame73"/>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Twelfth Amendment to Regional Lease]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Twelfth Amendment to Regional Lease]</w:t>
                      </w:r>
                    </w:p>
                  </w:txbxContent>
                </v:textbox>
              </v:rect>
            </w:pict>
          </mc:Fallback>
        </mc:AlternateContent>
      </w:r>
    </w:p>
    <w:p>
      <w:pPr>
        <w:pStyle w:val="TextBody"/>
        <w:spacing w:lineRule="auto" w:line="240" w:before="240" w:after="2"/>
        <w:jc w:val="both"/>
        <w:rPr>
          <w:rFonts w:ascii="Times New Roman;sans-serif" w:hAnsi="Times New Roman;sans-serif"/>
          <w:b/>
          <w:color w:val="000000"/>
          <w:sz w:val="24"/>
        </w:rPr>
      </w:pPr>
      <w:r>
        <w:rPr>
          <w:rFonts w:ascii="Times New Roman;sans-serif" w:hAnsi="Times New Roman;sans-serif"/>
          <w:b/>
          <w:color w:val="000000"/>
          <w:sz w:val="24"/>
        </w:rPr>
        <w:t>TENANT:</w:t>
      </w:r>
    </w:p>
    <w:p>
      <w:pPr>
        <w:pStyle w:val="TextBody"/>
        <w:spacing w:lineRule="auto" w:line="240" w:before="240" w:after="283"/>
        <w:jc w:val="both"/>
        <w:rPr/>
      </w:pPr>
      <w:r>
        <w:rPr>
          <w:rFonts w:ascii="Times New Roman;sans-serif" w:hAnsi="Times New Roman;sans-serif"/>
          <w:b/>
          <w:color w:val="000000"/>
          <w:sz w:val="24"/>
        </w:rPr>
        <w:t>CEOC, LLC</w:t>
      </w:r>
      <w:r>
        <w:rPr>
          <w:rFonts w:ascii="Times New Roman;sans-serif" w:hAnsi="Times New Roman;sans-serif"/>
          <w:b w:val="false"/>
          <w:color w:val="000000"/>
          <w:sz w:val="24"/>
        </w:rPr>
        <w:t>, a Delaware limited liability company,</w:t>
      </w:r>
    </w:p>
    <w:p>
      <w:pPr>
        <w:pStyle w:val="TextBody"/>
        <w:spacing w:lineRule="auto" w:line="240" w:before="0" w:after="0"/>
        <w:jc w:val="both"/>
        <w:rPr/>
      </w:pPr>
      <w:r>
        <w:rPr>
          <w:rFonts w:ascii="Times New Roman;sans-serif" w:hAnsi="Times New Roman;sans-serif"/>
          <w:b/>
          <w:color w:val="000000"/>
          <w:sz w:val="24"/>
        </w:rPr>
        <w:t>HBR REALTY COMPANY LLC</w:t>
      </w:r>
      <w:r>
        <w:rPr>
          <w:rFonts w:ascii="Times New Roman;sans-serif" w:hAnsi="Times New Roman;sans-serif"/>
          <w:b w:val="false"/>
          <w:color w:val="000000"/>
          <w:sz w:val="24"/>
        </w:rPr>
        <w:t>, a Nevada limited liability company,</w:t>
      </w:r>
    </w:p>
    <w:p>
      <w:pPr>
        <w:pStyle w:val="TextBody"/>
        <w:spacing w:lineRule="auto" w:line="240" w:before="0" w:after="0"/>
        <w:jc w:val="both"/>
        <w:rPr/>
      </w:pPr>
      <w:r>
        <w:rPr>
          <w:rFonts w:ascii="Times New Roman;sans-serif" w:hAnsi="Times New Roman;sans-serif"/>
          <w:b/>
          <w:color w:val="000000"/>
          <w:sz w:val="24"/>
        </w:rPr>
        <w:t>HARVEYS IOWA MANAGEMENT COMPANY LLC</w:t>
      </w:r>
      <w:r>
        <w:rPr>
          <w:rFonts w:ascii="Times New Roman;sans-serif" w:hAnsi="Times New Roman;sans-serif"/>
          <w:b w:val="false"/>
          <w:color w:val="000000"/>
          <w:sz w:val="24"/>
        </w:rPr>
        <w:t>, a Nevada limited liability company,</w:t>
      </w:r>
    </w:p>
    <w:p>
      <w:pPr>
        <w:pStyle w:val="TextBody"/>
        <w:spacing w:lineRule="auto" w:line="240" w:before="0" w:after="0"/>
        <w:jc w:val="both"/>
        <w:rPr/>
      </w:pPr>
      <w:r>
        <w:rPr>
          <w:rFonts w:ascii="Times New Roman;sans-serif" w:hAnsi="Times New Roman;sans-serif"/>
          <w:b/>
          <w:color w:val="000000"/>
          <w:sz w:val="24"/>
        </w:rPr>
        <w:t>SOUTHERN ILLINOIS RIVERBOAT/CASINO CRUISES LLC</w:t>
      </w:r>
      <w:r>
        <w:rPr>
          <w:rFonts w:ascii="Times New Roman;sans-serif" w:hAnsi="Times New Roman;sans-serif"/>
          <w:b w:val="false"/>
          <w:color w:val="000000"/>
          <w:sz w:val="24"/>
        </w:rPr>
        <w:t>, an Illinois limited liability company,</w:t>
      </w:r>
    </w:p>
    <w:p>
      <w:pPr>
        <w:pStyle w:val="TextBody"/>
        <w:spacing w:lineRule="auto" w:line="240" w:before="0" w:after="0"/>
        <w:jc w:val="both"/>
        <w:rPr/>
      </w:pPr>
      <w:r>
        <w:rPr>
          <w:rFonts w:ascii="Times New Roman;sans-serif" w:hAnsi="Times New Roman;sans-serif"/>
          <w:b/>
          <w:color w:val="000000"/>
          <w:sz w:val="24"/>
        </w:rPr>
        <w:t>HORSESHOE HAMMOND, LLC</w:t>
      </w:r>
      <w:r>
        <w:rPr>
          <w:rFonts w:ascii="Times New Roman;sans-serif" w:hAnsi="Times New Roman;sans-serif"/>
          <w:b w:val="false"/>
          <w:color w:val="000000"/>
          <w:sz w:val="24"/>
        </w:rPr>
        <w:t>, an Indiana limited liability company,</w:t>
      </w:r>
    </w:p>
    <w:p>
      <w:pPr>
        <w:pStyle w:val="TextBody"/>
        <w:spacing w:lineRule="auto" w:line="240" w:before="0" w:after="0"/>
        <w:jc w:val="both"/>
        <w:rPr/>
      </w:pPr>
      <w:r>
        <w:rPr>
          <w:rFonts w:ascii="Times New Roman;sans-serif" w:hAnsi="Times New Roman;sans-serif"/>
          <w:b/>
          <w:color w:val="000000"/>
          <w:sz w:val="24"/>
        </w:rPr>
        <w:t>HARRAH’S NORTH KANSAS CITY LLC</w:t>
      </w:r>
      <w:r>
        <w:rPr>
          <w:rFonts w:ascii="Times New Roman;sans-serif" w:hAnsi="Times New Roman;sans-serif"/>
          <w:b w:val="false"/>
          <w:color w:val="000000"/>
          <w:sz w:val="24"/>
        </w:rPr>
        <w:t>, a Missouri limited liability company,</w:t>
      </w:r>
    </w:p>
    <w:p>
      <w:pPr>
        <w:pStyle w:val="TextBody"/>
        <w:spacing w:lineRule="auto" w:line="240" w:before="0" w:after="0"/>
        <w:jc w:val="both"/>
        <w:rPr/>
      </w:pPr>
      <w:r>
        <w:rPr>
          <w:rFonts w:ascii="Times New Roman;sans-serif" w:hAnsi="Times New Roman;sans-serif"/>
          <w:b/>
          <w:color w:val="000000"/>
          <w:sz w:val="24"/>
        </w:rPr>
        <w:t>GRAND CASINOS OF BILOXI, LLC</w:t>
      </w:r>
      <w:r>
        <w:rPr>
          <w:rFonts w:ascii="Times New Roman;sans-serif" w:hAnsi="Times New Roman;sans-serif"/>
          <w:b w:val="false"/>
          <w:color w:val="000000"/>
          <w:sz w:val="24"/>
        </w:rPr>
        <w:t>, a Minnesota limited liability company,</w:t>
      </w:r>
    </w:p>
    <w:p>
      <w:pPr>
        <w:pStyle w:val="TextBody"/>
        <w:spacing w:lineRule="auto" w:line="240" w:before="0" w:after="0"/>
        <w:jc w:val="both"/>
        <w:rPr/>
      </w:pPr>
      <w:r>
        <w:rPr>
          <w:rFonts w:ascii="Times New Roman;sans-serif" w:hAnsi="Times New Roman;sans-serif"/>
          <w:b/>
          <w:color w:val="000000"/>
          <w:sz w:val="24"/>
        </w:rPr>
        <w:t>ROBINSON PROPERTY GROUP LLC</w:t>
      </w:r>
      <w:r>
        <w:rPr>
          <w:rFonts w:ascii="Times New Roman;sans-serif" w:hAnsi="Times New Roman;sans-serif"/>
          <w:b w:val="false"/>
          <w:color w:val="000000"/>
          <w:sz w:val="24"/>
        </w:rPr>
        <w:t>, a Mississippi limited liability company,</w:t>
      </w:r>
    </w:p>
    <w:p>
      <w:pPr>
        <w:pStyle w:val="TextBody"/>
        <w:spacing w:lineRule="auto" w:line="240" w:before="0" w:after="0"/>
        <w:jc w:val="both"/>
        <w:rPr/>
      </w:pPr>
      <w:r>
        <w:rPr>
          <w:rFonts w:ascii="Times New Roman;sans-serif" w:hAnsi="Times New Roman;sans-serif"/>
          <w:b/>
          <w:color w:val="000000"/>
          <w:sz w:val="24"/>
        </w:rPr>
        <w:t>TUNICA ROADHOUSE LLC</w:t>
      </w:r>
      <w:r>
        <w:rPr>
          <w:rFonts w:ascii="Times New Roman;sans-serif" w:hAnsi="Times New Roman;sans-serif"/>
          <w:b w:val="false"/>
          <w:color w:val="000000"/>
          <w:sz w:val="24"/>
        </w:rPr>
        <w:t>, a Delaware limited liability company,</w:t>
      </w:r>
    </w:p>
    <w:p>
      <w:pPr>
        <w:pStyle w:val="TextBody"/>
        <w:spacing w:lineRule="auto" w:line="240" w:before="0" w:after="0"/>
        <w:jc w:val="both"/>
        <w:rPr/>
      </w:pPr>
      <w:r>
        <w:rPr>
          <w:rFonts w:ascii="Times New Roman;sans-serif" w:hAnsi="Times New Roman;sans-serif"/>
          <w:b/>
          <w:color w:val="000000"/>
          <w:sz w:val="24"/>
        </w:rPr>
        <w:t>CAESARS NEW JERSEY LLC</w:t>
      </w:r>
      <w:r>
        <w:rPr>
          <w:rFonts w:ascii="Times New Roman;sans-serif" w:hAnsi="Times New Roman;sans-serif"/>
          <w:b w:val="false"/>
          <w:color w:val="000000"/>
          <w:sz w:val="24"/>
        </w:rPr>
        <w:t>, a New Jersey limited liability company,</w:t>
      </w:r>
    </w:p>
    <w:p>
      <w:pPr>
        <w:pStyle w:val="TextBody"/>
        <w:spacing w:lineRule="auto" w:line="240" w:before="0" w:after="0"/>
        <w:jc w:val="both"/>
        <w:rPr/>
      </w:pPr>
      <w:r>
        <w:rPr>
          <w:rFonts w:ascii="Times New Roman;sans-serif" w:hAnsi="Times New Roman;sans-serif"/>
          <w:b/>
          <w:color w:val="000000"/>
          <w:sz w:val="24"/>
        </w:rPr>
        <w:t>HARVEYS TAHOE MANAGEMENT COMPANY LLC</w:t>
      </w:r>
      <w:r>
        <w:rPr>
          <w:rFonts w:ascii="Times New Roman;sans-serif" w:hAnsi="Times New Roman;sans-serif"/>
          <w:b w:val="false"/>
          <w:color w:val="000000"/>
          <w:sz w:val="24"/>
        </w:rPr>
        <w:t>, a Nevada limited liability company,</w:t>
      </w:r>
    </w:p>
    <w:p>
      <w:pPr>
        <w:pStyle w:val="TextBody"/>
        <w:spacing w:lineRule="auto" w:line="240" w:before="0" w:after="0"/>
        <w:jc w:val="both"/>
        <w:rPr/>
      </w:pPr>
      <w:r>
        <w:rPr>
          <w:rFonts w:ascii="Times New Roman;sans-serif" w:hAnsi="Times New Roman;sans-serif"/>
          <w:b/>
          <w:color w:val="000000"/>
          <w:sz w:val="24"/>
        </w:rPr>
        <w:t>CASINO COMPUTER PROGRAMMING, INC.</w:t>
      </w:r>
      <w:r>
        <w:rPr>
          <w:rFonts w:ascii="Times New Roman;sans-serif" w:hAnsi="Times New Roman;sans-serif"/>
          <w:b w:val="false"/>
          <w:color w:val="000000"/>
          <w:sz w:val="24"/>
        </w:rPr>
        <w:t>, an Indiana corporation,</w:t>
      </w:r>
    </w:p>
    <w:p>
      <w:pPr>
        <w:pStyle w:val="TextBody"/>
        <w:spacing w:lineRule="auto" w:line="240" w:before="0" w:after="0"/>
        <w:jc w:val="both"/>
        <w:rPr/>
      </w:pPr>
      <w:r>
        <w:rPr>
          <w:rFonts w:ascii="Times New Roman;sans-serif" w:hAnsi="Times New Roman;sans-serif"/>
          <w:b/>
          <w:color w:val="000000"/>
          <w:sz w:val="24"/>
        </w:rPr>
        <w:t>HARVEYS BR MANAGEMENT COMPANY, INC.</w:t>
      </w:r>
      <w:r>
        <w:rPr>
          <w:rFonts w:ascii="Times New Roman;sans-serif" w:hAnsi="Times New Roman;sans-serif"/>
          <w:b w:val="false"/>
          <w:color w:val="000000"/>
          <w:sz w:val="24"/>
        </w:rPr>
        <w:t>, a Nevada corporation,</w:t>
      </w:r>
    </w:p>
    <w:p>
      <w:pPr>
        <w:pStyle w:val="TextBody"/>
        <w:spacing w:lineRule="auto" w:line="240" w:before="0" w:after="0"/>
        <w:jc w:val="both"/>
        <w:rPr/>
      </w:pPr>
      <w:r>
        <w:rPr>
          <w:rFonts w:ascii="Times New Roman;sans-serif" w:hAnsi="Times New Roman;sans-serif"/>
          <w:b/>
          <w:color w:val="000000"/>
          <w:sz w:val="24"/>
        </w:rPr>
        <w:t>HARRAH’S LAUGHLIN, LLC</w:t>
      </w:r>
      <w:r>
        <w:rPr>
          <w:rFonts w:ascii="Times New Roman;sans-serif" w:hAnsi="Times New Roman;sans-serif"/>
          <w:b w:val="false"/>
          <w:color w:val="000000"/>
          <w:sz w:val="24"/>
        </w:rPr>
        <w:t>, a Nevada limited liability company,</w:t>
      </w:r>
    </w:p>
    <w:p>
      <w:pPr>
        <w:pStyle w:val="TextBody"/>
        <w:spacing w:lineRule="auto" w:line="240" w:before="0" w:after="0"/>
        <w:jc w:val="both"/>
        <w:rPr/>
      </w:pPr>
      <w:r>
        <w:rPr>
          <w:rFonts w:ascii="Times New Roman;sans-serif" w:hAnsi="Times New Roman;sans-serif"/>
          <w:b/>
          <w:color w:val="000000"/>
          <w:sz w:val="24"/>
        </w:rPr>
        <w:t>JAZZ CASINO COMPANY, L.L.C.</w:t>
      </w:r>
      <w:r>
        <w:rPr>
          <w:rFonts w:ascii="Times New Roman;sans-serif" w:hAnsi="Times New Roman;sans-serif"/>
          <w:b w:val="false"/>
          <w:color w:val="000000"/>
          <w:sz w:val="24"/>
        </w:rPr>
        <w:t>, a Louisiana limited liability company</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 xml:space="preserve">By: </w:t>
      </w:r>
      <w:r>
        <w:rPr>
          <w:rFonts w:ascii="Times New Roman;sans-serif" w:hAnsi="Times New Roman;sans-serif"/>
          <w:b w:val="false"/>
          <w:i/>
          <w:color w:val="000000"/>
          <w:sz w:val="24"/>
          <w:u w:val="single"/>
        </w:rPr>
        <w:t>/s/ Bret D. Yunker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Bret D. Yunker</w:t>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51460"/>
                <wp:effectExtent l="0" t="0" r="0" b="0"/>
                <wp:wrapNone/>
                <wp:docPr id="75" name="Frame74"/>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Twelfth Amendment to Regional Lease]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Twelfth Amendment to Regional Lease]</w:t>
                      </w:r>
                    </w:p>
                  </w:txbxContent>
                </v:textbox>
              </v:rect>
            </w:pict>
          </mc:Fallback>
        </mc:AlternateConten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HORSESHOE ENTERTAINMENT,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Louisiana limited partnership</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New Gaming Capital Partnership,</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a Nevada limited partnership,</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its general partner</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By:    Horseshoe GP, LLC,</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a Nevada limited liability company,</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its general partner</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i/>
          <w:color w:val="000000"/>
          <w:sz w:val="24"/>
          <w:u w:val="single"/>
        </w:rPr>
        <w:t>/s/ Bret D. Yunker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Name: Bret D. Yunker</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Title: Chief Financial Officer</w:t>
      </w:r>
    </w:p>
    <w:p>
      <w:pPr>
        <w:pStyle w:val="TextBody"/>
        <w:spacing w:lineRule="auto" w:line="240" w:before="480" w:after="283"/>
        <w:jc w:val="both"/>
        <w:rPr>
          <w:rFonts w:ascii="Times New Roman;sans-serif" w:hAnsi="Times New Roman;sans-serif"/>
          <w:b/>
          <w:color w:val="000000"/>
          <w:sz w:val="24"/>
        </w:rPr>
      </w:pPr>
      <w:r>
        <w:rPr>
          <w:rFonts w:ascii="Times New Roman;sans-serif" w:hAnsi="Times New Roman;sans-serif"/>
          <w:b/>
          <w:color w:val="000000"/>
          <w:sz w:val="24"/>
        </w:rPr>
        <w:t>BOARDWALK REGENCY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New Jersey limited liability company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Caesars New Jersey LLC,</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a New Jersey limited liability company,</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its sole member</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i/>
          <w:color w:val="000000"/>
          <w:sz w:val="24"/>
          <w:u w:val="single"/>
        </w:rPr>
        <w:t>/s/ Bret D. Yunker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Name: Bret D. Yunker</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Title: Chief Financial Officer</w:t>
      </w:r>
    </w:p>
    <w:p>
      <w:pPr>
        <w:pStyle w:val="TextBody"/>
        <w:spacing w:lineRule="auto" w:line="240" w:before="480" w:after="283"/>
        <w:jc w:val="both"/>
        <w:rPr>
          <w:rFonts w:ascii="Times New Roman;sans-serif" w:hAnsi="Times New Roman;sans-serif"/>
          <w:b/>
          <w:color w:val="000000"/>
          <w:sz w:val="24"/>
        </w:rPr>
      </w:pPr>
      <w:r>
        <w:rPr>
          <w:rFonts w:ascii="Times New Roman;sans-serif" w:hAnsi="Times New Roman;sans-serif"/>
          <w:b/>
          <w:color w:val="000000"/>
          <w:sz w:val="24"/>
        </w:rPr>
        <w:t>HOLE IN THE WALL,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Nevada limited liability company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CEOC, LLC,</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a Delaware limited liability company,</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its sole member</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i/>
          <w:color w:val="000000"/>
          <w:sz w:val="24"/>
          <w:u w:val="single"/>
        </w:rPr>
        <w:t>/s/ Bret D. Yunker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Name: Bret D. Yunker</w:t>
      </w:r>
    </w:p>
    <w:p>
      <w:pPr>
        <w:pStyle w:val="TextBody"/>
        <w:spacing w:lineRule="auto" w:line="240"/>
        <w:jc w:val="both"/>
        <w:rPr>
          <w:color w:val="000000"/>
        </w:rPr>
      </w:pPr>
      <w:r>
        <w:rPr>
          <w:color w:val="000000"/>
        </w:rPr>
        <w:t>    </w:t>
      </w:r>
      <w:r>
        <w:rPr>
          <w:rFonts w:ascii="Times New Roman;sans-serif" w:hAnsi="Times New Roman;sans-serif"/>
          <w:b w:val="false"/>
          <w:color w:val="000000"/>
          <w:sz w:val="24"/>
        </w:rPr>
        <w:t>Title: Chief Financial Officer</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51460"/>
                <wp:effectExtent l="0" t="0" r="0" b="0"/>
                <wp:wrapNone/>
                <wp:docPr id="76" name="Frame75"/>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Twelfth Amendment to Regional Lease]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Twelfth Amendment to Regional Lease]</w:t>
                      </w:r>
                    </w:p>
                  </w:txbxContent>
                </v:textbox>
              </v:rect>
            </w:pict>
          </mc:Fallback>
        </mc:AlternateConten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CHESTER DOWNS AND MARINA,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Pennsylvania limited liability company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Harrah’s Chester Downs Investment Company, LLC,</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its sole member</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i/>
          <w:color w:val="000000"/>
          <w:sz w:val="24"/>
          <w:u w:val="single"/>
        </w:rPr>
        <w:t>/s/ Bret D. Yunker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Name: Bret D. Yunker</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Title: Chief Financial Officer</w:t>
      </w:r>
    </w:p>
    <w:p>
      <w:pPr>
        <w:pStyle w:val="TextBody"/>
        <w:spacing w:lineRule="auto" w:line="240" w:before="480" w:after="283"/>
        <w:jc w:val="both"/>
        <w:rPr>
          <w:rFonts w:ascii="Times New Roman;sans-serif" w:hAnsi="Times New Roman;sans-serif"/>
          <w:b/>
          <w:color w:val="000000"/>
          <w:sz w:val="24"/>
        </w:rPr>
      </w:pPr>
      <w:r>
        <w:rPr>
          <w:rFonts w:ascii="Times New Roman;sans-serif" w:hAnsi="Times New Roman;sans-serif"/>
          <w:b/>
          <w:color w:val="000000"/>
          <w:sz w:val="24"/>
        </w:rPr>
        <w:t>HARRAH’S ATLANTIC CITY OPERATING COMPANY,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New Jersey limited liability company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Caesars Resort Collection, LLC,</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a Delaware limited liability company,</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its sole member</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i/>
          <w:color w:val="000000"/>
          <w:sz w:val="24"/>
          <w:u w:val="single"/>
        </w:rPr>
        <w:t>/s/ Bret D. Yunker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Name: Bret D. Yunker</w:t>
      </w:r>
    </w:p>
    <w:p>
      <w:pPr>
        <w:pStyle w:val="TextBody"/>
        <w:spacing w:lineRule="auto" w:line="240"/>
        <w:jc w:val="both"/>
        <w:rPr>
          <w:color w:val="000000"/>
        </w:rPr>
      </w:pPr>
      <w:r>
        <w:rPr>
          <w:color w:val="000000"/>
        </w:rPr>
        <w:t>    </w:t>
      </w:r>
      <w:r>
        <w:rPr>
          <w:rFonts w:ascii="Times New Roman;sans-serif" w:hAnsi="Times New Roman;sans-serif"/>
          <w:b w:val="false"/>
          <w:color w:val="000000"/>
          <w:sz w:val="24"/>
        </w:rPr>
        <w:t>Title: Chief Financial Officer</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51460"/>
                <wp:effectExtent l="0" t="0" r="0" b="0"/>
                <wp:wrapNone/>
                <wp:docPr id="77" name="Frame76"/>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Twelfth Amendment to Regional Lease]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Twelfth Amendment to Regional Lease]</w:t>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 xml:space="preserve">Acknowledged and agreed, solely for the purposes of the penultimate paragraph of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of the Lease:</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PROPCO TRS LLC,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Delaware limited liability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By:</w:t>
      </w:r>
      <w:r>
        <w:rPr>
          <w:rFonts w:ascii="Times New Roman;sans-serif" w:hAnsi="Times New Roman;sans-serif"/>
          <w:b w:val="false"/>
          <w:i/>
          <w:color w:val="000000"/>
          <w:sz w:val="24"/>
          <w:u w:val="single"/>
        </w:rPr>
        <w:t>/s/ David A. Kieske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David A. Kieske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Treasurer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51460"/>
                <wp:effectExtent l="0" t="0" r="0" b="0"/>
                <wp:wrapNone/>
                <wp:docPr id="78" name="Frame77"/>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Twelfth Amendment to Regional Lease]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Twelfth Amendment to Regional Lease]</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ACKNOWLEDGMENT AND AGREEMENT OF GUARANTOR</w:t>
      </w:r>
    </w:p>
    <w:p>
      <w:pPr>
        <w:pStyle w:val="TextBody"/>
        <w:spacing w:lineRule="auto" w:line="240" w:before="0" w:after="240"/>
        <w:jc w:val="both"/>
        <w:rPr/>
      </w:pPr>
      <w:r>
        <w:rPr>
          <w:rFonts w:ascii="Times New Roman;sans-serif" w:hAnsi="Times New Roman;sans-serif"/>
          <w:b w:val="false"/>
          <w:color w:val="000000"/>
          <w:sz w:val="24"/>
        </w:rPr>
        <w:t>The undersigned (“</w:t>
      </w:r>
      <w:r>
        <w:rPr>
          <w:rFonts w:ascii="Times New Roman;sans-serif" w:hAnsi="Times New Roman;sans-serif"/>
          <w:b w:val="false"/>
          <w:color w:val="000000"/>
          <w:sz w:val="24"/>
          <w:u w:val="single"/>
        </w:rPr>
        <w:t>Guarantor</w:t>
      </w:r>
      <w:r>
        <w:rPr>
          <w:color w:val="000000"/>
        </w:rPr>
        <w:t>”</w:t>
      </w:r>
      <w:r>
        <w:rPr>
          <w:rFonts w:ascii="Times New Roman;sans-serif" w:hAnsi="Times New Roman;sans-serif"/>
          <w:b w:val="false"/>
          <w:color w:val="000000"/>
          <w:sz w:val="24"/>
        </w:rPr>
        <w:t>) hereby: (a) acknowledges receipt of the Twelfth Amendment to Lease (the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xml:space="preserve">; capitalized terms used herein without definition having the meanings set forth in the Amendment), dated as of April 7, 2023, by and among the entities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attached thereto, as Landlord, and the entities listed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Times New Roman;sans-serif" w:hAnsi="Times New Roman;sans-serif"/>
          <w:b w:val="false"/>
          <w:color w:val="000000"/>
          <w:sz w:val="24"/>
          <w:u w:val="single"/>
        </w:rPr>
        <w:t>Guaranty</w:t>
      </w:r>
      <w:r>
        <w:rPr>
          <w:color w:val="000000"/>
        </w:rPr>
        <w:t>”</w:t>
      </w:r>
      <w:r>
        <w:rPr>
          <w:rFonts w:ascii="Times New Roman;sans-serif" w:hAnsi="Times New Roman;sans-serif"/>
          <w:b w:val="false"/>
          <w:color w:val="000000"/>
          <w:sz w:val="24"/>
        </w:rPr>
        <w:t xml:space="preserve">), by and between Guarantor and Landlord, and agrees that, except as expressly set forth in </w:t>
      </w:r>
      <w:r>
        <w:rPr>
          <w:rFonts w:ascii="Times New Roman;sans-serif" w:hAnsi="Times New Roman;sans-serif"/>
          <w:b w:val="false"/>
          <w:color w:val="000000"/>
          <w:sz w:val="24"/>
          <w:u w:val="single"/>
        </w:rPr>
        <w:t>Section 2.A.ii</w:t>
      </w:r>
      <w:r>
        <w:rPr>
          <w:color w:val="000000"/>
        </w:rPr>
        <w:t xml:space="preserve"> </w:t>
      </w:r>
      <w:r>
        <w:rPr>
          <w:rFonts w:ascii="Times New Roman;sans-serif" w:hAnsi="Times New Roman;sans-serif"/>
          <w:b w:val="false"/>
          <w:color w:val="000000"/>
          <w:sz w:val="24"/>
        </w:rPr>
        <w:t>of the Amendment, nothing in the Amendment in any way impairs or lessens the Guarantor’s obligations under the Guaranty; and (d) acknowledges and agrees that the Guaranty is in full force and effect and is valid, binding and enforceable in accordance with its terms.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caused this Acknowledgment and Agreement of Guarantor to be duly executed as of April 7,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51460"/>
                <wp:effectExtent l="0" t="0" r="0" b="0"/>
                <wp:wrapNone/>
                <wp:docPr id="79" name="Frame78"/>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[Acknowledgment and Agreement of Guarantor]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[Acknowledgment and Agreement of Guarantor]</w:t>
                      </w:r>
                    </w:p>
                  </w:txbxContent>
                </v:textbox>
              </v:rect>
            </w:pict>
          </mc:Fallback>
        </mc:AlternateConten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CAESARS ENTERTAINMENT, INC.</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i/>
          <w:color w:val="000000"/>
          <w:sz w:val="24"/>
          <w:u w:val="single"/>
        </w:rPr>
        <w:t>/s/ Bret D. Yunker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Bret D. Yunker</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51460"/>
                <wp:effectExtent l="0" t="0" r="0" b="0"/>
                <wp:wrapNone/>
                <wp:docPr id="80" name="Frame79"/>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Acknowledgment and Agreement of Guarantor]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Acknowledgment and Agreement of Guarantor]</w:t>
                      </w:r>
                    </w:p>
                  </w:txbxContent>
                </v:textbox>
              </v:rect>
            </w:pict>
          </mc:Fallback>
        </mc:AlternateContent>
      </w:r>
    </w:p>
    <w:p>
      <w:pPr>
        <w:pStyle w:val="TextBody"/>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 A</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LANDLORD ENTITIES</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Horseshoe Council Bluffs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Harrah’s Council Bluffs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Harrah’s Metropolis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New Horseshoe Hammond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Horseshoe Bossier City Prop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New Harrah’s North Kansas City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Grand Biloxi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Horseshoe Tunica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New Tunica Roadhouse LLC </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Caesars Atlantic City LLC </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WWW Propco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Harrah’s Lake Tahoe LLC </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Harvey’s Lake Tahoe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Harrah’s Reno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Vegas Development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Vegas Operating Property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Miscellaneous Land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Propco Gulfport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Philadelphia Propco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Harrah’s Atlantic City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New Laughlin Owner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Harrah’s New Orleans LLC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51460"/>
                <wp:effectExtent l="0" t="0" r="0" b="0"/>
                <wp:wrapNone/>
                <wp:docPr id="81" name="Frame80"/>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r>
                    </w:p>
                  </w:txbxContent>
                </v:textbox>
              </v:rect>
            </w:pict>
          </mc:Fallback>
        </mc:AlternateContent>
      </w:r>
    </w:p>
    <w:p>
      <w:pPr>
        <w:pStyle w:val="TextBody"/>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 B</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TENANT ENTITIES</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CEOC, LLC, successor in interest by merger to Caesars Entertainment Operating Company, Inc. </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HBR Realty Company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Harveys Iowa Management Company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Southern Illinois Riverboat/Casino Cruises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Horseshoe Hammond,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Horseshoe Entertainment</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Harrah’s North Kansas City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Grand Casinos of Biloxi,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Robinson Property Group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Tunica Roadhouse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Boardwalk Regency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Caesars New Jersey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Harveys Tahoe Management Company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Casino Computer Programming, Inc.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Harveys BR Management Company, Inc.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Hole in the Wall,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Chester Downs and Marina,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Harrah’s Atlantic City Operating Company,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Harrah’s Laughlin, LLC</w:t>
      </w:r>
    </w:p>
    <w:p>
      <w:pPr>
        <w:pStyle w:val="TextBody"/>
        <w:spacing w:lineRule="auto" w:line="240" w:before="0" w:after="120"/>
        <w:ind w:left="0" w:right="0" w:hanging="5040"/>
        <w:jc w:val="both"/>
        <w:rPr>
          <w:rFonts w:ascii="Times New Roman;sans-serif" w:hAnsi="Times New Roman;sans-serif"/>
          <w:b w:val="false"/>
          <w:color w:val="000000"/>
          <w:sz w:val="24"/>
        </w:rPr>
      </w:pPr>
      <w:r>
        <w:rPr>
          <w:rFonts w:ascii="Times New Roman;sans-serif" w:hAnsi="Times New Roman;sans-serif"/>
          <w:b w:val="false"/>
          <w:color w:val="000000"/>
          <w:sz w:val="24"/>
        </w:rPr>
        <w:t>Jazz Casino Company, L.L.C.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51460"/>
                <wp:effectExtent l="0" t="0" r="0" b="0"/>
                <wp:wrapNone/>
                <wp:docPr id="82" name="Frame81"/>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B</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B</w:t>
                      </w:r>
                    </w:p>
                  </w:txbxContent>
                </v:textbox>
              </v:rect>
            </w:pict>
          </mc:Fallback>
        </mc:AlternateContent>
      </w:r>
    </w:p>
    <w:p>
      <w:pPr>
        <w:pStyle w:val="TextBody"/>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Annex A</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CP3 Property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(APN 162-16-410-050)</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That portion of the North Half (N ½) of Section 21, Township 21 South, Range 61 East, M.D.M., more particularly described as follows: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Lot Three (3) as shown on file in File 62 of Parcel Maps, Page 64 in the office of the County Recorder, Clark County, Nevada.</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(APN 162-21-110-001)</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Lots One (1) and Two (2) in Block One (1) of Flamingo Estates, as shown by map thereof on file in Book 5 of Plats, Page 22, in the office of the County Recorder, Clark County, Nevada.</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Excepting therefrom that portion as conveyed to Clark County by Deed recorded June 8, 1983, in Book 1747 as Document No. 1706535, of Official Records.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Further Excepting therefrom that portion as conveyed to Clark County by Deed recorded February 24, 1994, in Book 940224 as Document No. 00525, of Official Records.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Further Excepting therefrom that portion as relinquished to Clark County by that certain Resolution of Relinquishment of a portion of State Highway Right of Way recorded December 3, 2002, in Book 20021203 as Document No. 01508, of Official Records.</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31.1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A</w:t>
                      </w:r>
                    </w:p>
                  </w:txbxContent>
                </v:textbox>
              </v:rect>
            </w:pict>
          </mc:Fallback>
        </mc:AlternateContent>
      </w:r>
    </w:p>
    <w:p>
      <w:pPr>
        <w:pStyle w:val="TextBody"/>
        <w:spacing w:before="180" w:after="283"/>
        <w:jc w:val="both"/>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82" w:type="dxa"/>
        <w:jc w:val="center"/>
        <w:tblInd w:w="0" w:type="dxa"/>
        <w:tblCellMar>
          <w:top w:w="28" w:type="dxa"/>
          <w:left w:w="28" w:type="dxa"/>
          <w:bottom w:w="28" w:type="dxa"/>
          <w:right w:w="28" w:type="dxa"/>
        </w:tblCellMar>
      </w:tblPr>
      <w:tblGrid>
        <w:gridCol w:w="200"/>
        <w:gridCol w:w="177"/>
        <w:gridCol w:w="178"/>
        <w:gridCol w:w="379"/>
        <w:gridCol w:w="379"/>
        <w:gridCol w:w="381"/>
        <w:gridCol w:w="134"/>
        <w:gridCol w:w="134"/>
        <w:gridCol w:w="136"/>
        <w:gridCol w:w="697"/>
        <w:gridCol w:w="697"/>
        <w:gridCol w:w="99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spacing w:before="180" w:after="283"/>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31.2</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89560"/>
                <wp:effectExtent l="0" t="0" r="0" b="0"/>
                <wp:wrapNone/>
                <wp:docPr id="84" name="Frame83"/>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180" w:after="283"/>
                        <w:jc w:val="both"/>
                        <w:rPr/>
                      </w:pPr>
                      <w:r>
                        <w:rPr/>
                      </w:r>
                    </w:p>
                  </w:txbxContent>
                </v:textbox>
              </v:rect>
            </w:pict>
          </mc:Fallback>
        </mc:AlternateContent>
      </w:r>
    </w:p>
    <w:p>
      <w:pPr>
        <w:pStyle w:val="TextBody"/>
        <w:spacing w:before="180" w:after="283"/>
        <w:jc w:val="both"/>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80" w:after="283"/>
        <w:rPr>
          <w:color w:val="000000"/>
        </w:rPr>
      </w:pPr>
      <w:r>
        <w:rPr>
          <w:color w:val="000000"/>
        </w:rPr>
        <w:t> </w:t>
      </w:r>
    </w:p>
    <w:tbl>
      <w:tblPr>
        <w:tblW w:w="4197" w:type="dxa"/>
        <w:jc w:val="left"/>
        <w:tblInd w:w="0" w:type="dxa"/>
        <w:tblCellMar>
          <w:top w:w="28" w:type="dxa"/>
          <w:left w:w="28" w:type="dxa"/>
          <w:bottom w:w="28" w:type="dxa"/>
          <w:right w:w="28" w:type="dxa"/>
        </w:tblCellMar>
      </w:tblPr>
      <w:tblGrid>
        <w:gridCol w:w="200"/>
        <w:gridCol w:w="177"/>
        <w:gridCol w:w="178"/>
        <w:gridCol w:w="379"/>
        <w:gridCol w:w="379"/>
        <w:gridCol w:w="381"/>
        <w:gridCol w:w="134"/>
        <w:gridCol w:w="134"/>
        <w:gridCol w:w="136"/>
        <w:gridCol w:w="615"/>
        <w:gridCol w:w="615"/>
        <w:gridCol w:w="86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spacing w:before="180" w:after="283"/>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31.3</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89560"/>
                <wp:effectExtent l="0" t="0" r="0" b="0"/>
                <wp:wrapNone/>
                <wp:docPr id="85" name="Frame84"/>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180" w:after="283"/>
                        <w:jc w:val="both"/>
                        <w:rPr/>
                      </w:pPr>
                      <w:r>
                        <w:rPr/>
                      </w:r>
                    </w:p>
                  </w:txbxContent>
                </v:textbox>
              </v:rect>
            </w:pict>
          </mc:Fallback>
        </mc:AlternateContent>
      </w:r>
    </w:p>
    <w:p>
      <w:pPr>
        <w:pStyle w:val="TextBody"/>
        <w:spacing w:before="180" w:after="283"/>
        <w:jc w:val="both"/>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82" w:type="dxa"/>
        <w:jc w:val="center"/>
        <w:tblInd w:w="0" w:type="dxa"/>
        <w:tblCellMar>
          <w:top w:w="28" w:type="dxa"/>
          <w:left w:w="28" w:type="dxa"/>
          <w:bottom w:w="28" w:type="dxa"/>
          <w:right w:w="28" w:type="dxa"/>
        </w:tblCellMar>
      </w:tblPr>
      <w:tblGrid>
        <w:gridCol w:w="200"/>
        <w:gridCol w:w="177"/>
        <w:gridCol w:w="178"/>
        <w:gridCol w:w="379"/>
        <w:gridCol w:w="379"/>
        <w:gridCol w:w="381"/>
        <w:gridCol w:w="134"/>
        <w:gridCol w:w="134"/>
        <w:gridCol w:w="136"/>
        <w:gridCol w:w="697"/>
        <w:gridCol w:w="697"/>
        <w:gridCol w:w="99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spacing w:before="180" w:after="283"/>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31.4</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89560"/>
                <wp:effectExtent l="0" t="0" r="0" b="0"/>
                <wp:wrapNone/>
                <wp:docPr id="86" name="Frame85"/>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180" w:after="283"/>
                        <w:jc w:val="both"/>
                        <w:rPr/>
                      </w:pPr>
                      <w:r>
                        <w:rPr/>
                      </w:r>
                    </w:p>
                  </w:txbxContent>
                </v:textbox>
              </v:rect>
            </w:pict>
          </mc:Fallback>
        </mc:AlternateContent>
      </w:r>
    </w:p>
    <w:p>
      <w:pPr>
        <w:pStyle w:val="TextBody"/>
        <w:spacing w:before="180" w:after="283"/>
        <w:jc w:val="both"/>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80" w:after="283"/>
        <w:rPr>
          <w:color w:val="000000"/>
        </w:rPr>
      </w:pPr>
      <w:r>
        <w:rPr>
          <w:color w:val="000000"/>
        </w:rPr>
        <w:t> </w:t>
      </w:r>
    </w:p>
    <w:tbl>
      <w:tblPr>
        <w:tblW w:w="4197" w:type="dxa"/>
        <w:jc w:val="left"/>
        <w:tblInd w:w="0" w:type="dxa"/>
        <w:tblCellMar>
          <w:top w:w="28" w:type="dxa"/>
          <w:left w:w="28" w:type="dxa"/>
          <w:bottom w:w="28" w:type="dxa"/>
          <w:right w:w="28" w:type="dxa"/>
        </w:tblCellMar>
      </w:tblPr>
      <w:tblGrid>
        <w:gridCol w:w="200"/>
        <w:gridCol w:w="177"/>
        <w:gridCol w:w="178"/>
        <w:gridCol w:w="379"/>
        <w:gridCol w:w="379"/>
        <w:gridCol w:w="381"/>
        <w:gridCol w:w="134"/>
        <w:gridCol w:w="134"/>
        <w:gridCol w:w="136"/>
        <w:gridCol w:w="615"/>
        <w:gridCol w:w="615"/>
        <w:gridCol w:w="86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spacing w:before="180" w:after="283"/>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32.1</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89560"/>
                <wp:effectExtent l="0" t="0" r="0" b="0"/>
                <wp:wrapNone/>
                <wp:docPr id="87" name="Frame86"/>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180" w:after="283"/>
                        <w:jc w:val="both"/>
                        <w:rPr/>
                      </w:pPr>
                      <w:r>
                        <w:rPr/>
                      </w:r>
                    </w:p>
                  </w:txbxContent>
                </v:textbox>
              </v:rect>
            </w:pict>
          </mc:Fallback>
        </mc:AlternateContent>
      </w:r>
    </w:p>
    <w:p>
      <w:pPr>
        <w:pStyle w:val="TextBody"/>
        <w:spacing w:before="180" w:after="283"/>
        <w:jc w:val="both"/>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March 31, 2023 (the “Report”) fully complies with the requirements of Section 13(a) or Section 15(d), as applicable, of the Securities Exchange Act of 1934, as amended; and </w:t>
      </w:r>
    </w:p>
    <w:p>
      <w:pPr>
        <w:pStyle w:val="TextBody"/>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482" w:type="dxa"/>
        <w:jc w:val="center"/>
        <w:tblInd w:w="0" w:type="dxa"/>
        <w:tblCellMar>
          <w:top w:w="28" w:type="dxa"/>
          <w:left w:w="28" w:type="dxa"/>
          <w:bottom w:w="28" w:type="dxa"/>
          <w:right w:w="28" w:type="dxa"/>
        </w:tblCellMar>
      </w:tblPr>
      <w:tblGrid>
        <w:gridCol w:w="200"/>
        <w:gridCol w:w="177"/>
        <w:gridCol w:w="178"/>
        <w:gridCol w:w="379"/>
        <w:gridCol w:w="379"/>
        <w:gridCol w:w="381"/>
        <w:gridCol w:w="134"/>
        <w:gridCol w:w="134"/>
        <w:gridCol w:w="136"/>
        <w:gridCol w:w="697"/>
        <w:gridCol w:w="697"/>
        <w:gridCol w:w="99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spacing w:before="180" w:after="283"/>
        <w:jc w:val="both"/>
        <w:rPr/>
      </w:pPr>
      <w:r>
        <w:rPr/>
      </w:r>
    </w:p>
    <w:p>
      <w:pPr>
        <w:pStyle w:val="TextBody"/>
        <w:spacing w:before="180" w:after="283"/>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32.2</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89560"/>
                <wp:effectExtent l="0" t="0" r="0" b="0"/>
                <wp:wrapNone/>
                <wp:docPr id="88" name="Frame87"/>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180" w:after="283"/>
                        <w:jc w:val="both"/>
                        <w:rPr/>
                      </w:pPr>
                      <w:r>
                        <w:rPr/>
                      </w:r>
                    </w:p>
                  </w:txbxContent>
                </v:textbox>
              </v:rect>
            </w:pict>
          </mc:Fallback>
        </mc:AlternateContent>
      </w:r>
    </w:p>
    <w:p>
      <w:pPr>
        <w:pStyle w:val="TextBody"/>
        <w:spacing w:before="180" w:after="283"/>
        <w:jc w:val="both"/>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March 31, 2023 (the “Report”) fully complies with the requirements of Section 13(a) or Section 15(d), as applicable, of the Securities Exchange Act of 1934, as amended; and </w:t>
      </w:r>
    </w:p>
    <w:p>
      <w:pPr>
        <w:pStyle w:val="TextBody"/>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197" w:type="dxa"/>
        <w:jc w:val="center"/>
        <w:tblInd w:w="0" w:type="dxa"/>
        <w:tblCellMar>
          <w:top w:w="28" w:type="dxa"/>
          <w:left w:w="28" w:type="dxa"/>
          <w:bottom w:w="28" w:type="dxa"/>
          <w:right w:w="28" w:type="dxa"/>
        </w:tblCellMar>
      </w:tblPr>
      <w:tblGrid>
        <w:gridCol w:w="200"/>
        <w:gridCol w:w="177"/>
        <w:gridCol w:w="178"/>
        <w:gridCol w:w="379"/>
        <w:gridCol w:w="379"/>
        <w:gridCol w:w="381"/>
        <w:gridCol w:w="134"/>
        <w:gridCol w:w="134"/>
        <w:gridCol w:w="136"/>
        <w:gridCol w:w="615"/>
        <w:gridCol w:w="615"/>
        <w:gridCol w:w="86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32.3</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89560"/>
                <wp:effectExtent l="0" t="0" r="0" b="0"/>
                <wp:wrapNone/>
                <wp:docPr id="89" name="Frame88"/>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180" w:after="283"/>
                        <w:jc w:val="both"/>
                        <w:rPr/>
                      </w:pPr>
                      <w:r>
                        <w:rPr/>
                      </w:r>
                    </w:p>
                  </w:txbxContent>
                </v:textbox>
              </v:rect>
            </w:pict>
          </mc:Fallback>
        </mc:AlternateContent>
      </w:r>
    </w:p>
    <w:p>
      <w:pPr>
        <w:pStyle w:val="TextBody"/>
        <w:spacing w:before="180" w:after="283"/>
        <w:jc w:val="both"/>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March 31, 2023 (the “Report”) fully complies with the requirements of Section 13(a) or Section 15(d), as applicable, of the Securities Exchange Act of 1934, as amended; and </w:t>
      </w:r>
    </w:p>
    <w:p>
      <w:pPr>
        <w:pStyle w:val="TextBody"/>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482" w:type="dxa"/>
        <w:jc w:val="center"/>
        <w:tblInd w:w="0" w:type="dxa"/>
        <w:tblCellMar>
          <w:top w:w="28" w:type="dxa"/>
          <w:left w:w="28" w:type="dxa"/>
          <w:bottom w:w="28" w:type="dxa"/>
          <w:right w:w="28" w:type="dxa"/>
        </w:tblCellMar>
      </w:tblPr>
      <w:tblGrid>
        <w:gridCol w:w="200"/>
        <w:gridCol w:w="177"/>
        <w:gridCol w:w="178"/>
        <w:gridCol w:w="379"/>
        <w:gridCol w:w="379"/>
        <w:gridCol w:w="381"/>
        <w:gridCol w:w="134"/>
        <w:gridCol w:w="134"/>
        <w:gridCol w:w="136"/>
        <w:gridCol w:w="697"/>
        <w:gridCol w:w="697"/>
        <w:gridCol w:w="99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spacing w:before="180" w:after="283"/>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32.4</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89560"/>
                <wp:effectExtent l="0" t="0" r="0" b="0"/>
                <wp:wrapNone/>
                <wp:docPr id="90" name="Frame89"/>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180" w:after="283"/>
                        <w:jc w:val="both"/>
                        <w:rPr/>
                      </w:pPr>
                      <w:r>
                        <w:rPr/>
                      </w:r>
                    </w:p>
                  </w:txbxContent>
                </v:textbox>
              </v:rect>
            </w:pict>
          </mc:Fallback>
        </mc:AlternateContent>
      </w:r>
    </w:p>
    <w:p>
      <w:pPr>
        <w:pStyle w:val="TextBody"/>
        <w:spacing w:before="180" w:after="283"/>
        <w:jc w:val="both"/>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March 31, 2023 (the “Report”) fully complies with the requirements of Section 13(a) or Section 15(d), as applicable, of the Securities Exchange Act of 1934, as amended; and </w:t>
      </w:r>
    </w:p>
    <w:p>
      <w:pPr>
        <w:pStyle w:val="TextBody"/>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197" w:type="dxa"/>
        <w:jc w:val="center"/>
        <w:tblInd w:w="0" w:type="dxa"/>
        <w:tblCellMar>
          <w:top w:w="28" w:type="dxa"/>
          <w:left w:w="28" w:type="dxa"/>
          <w:bottom w:w="28" w:type="dxa"/>
          <w:right w:w="28" w:type="dxa"/>
        </w:tblCellMar>
      </w:tblPr>
      <w:tblGrid>
        <w:gridCol w:w="200"/>
        <w:gridCol w:w="177"/>
        <w:gridCol w:w="178"/>
        <w:gridCol w:w="379"/>
        <w:gridCol w:w="379"/>
        <w:gridCol w:w="381"/>
        <w:gridCol w:w="134"/>
        <w:gridCol w:w="134"/>
        <w:gridCol w:w="136"/>
        <w:gridCol w:w="615"/>
        <w:gridCol w:w="615"/>
        <w:gridCol w:w="86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r>
        <w:br w:type="page"/>
      </w:r>
    </w:p>
    <w:p>
      <w:pPr>
        <w:pStyle w:val="TextBody"/>
        <w:spacing w:before="0" w:after="283"/>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89560"/>
                <wp:effectExtent l="0" t="0" r="0" b="0"/>
                <wp:wrapNone/>
                <wp:docPr id="91" name="Frame90"/>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80" w:after="283"/>
                        <w:jc w:val="both"/>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1705696/000170569623000035/vici-20221231.htm" TargetMode="External"/><Relationship Id="rId4" Type="http://schemas.openxmlformats.org/officeDocument/2006/relationships/hyperlink" Target="https://www.sec.gov/ix?doc=/Archives/edgar/data/1705696/000170569623000035/vici-20221231.htm" TargetMode="External"/><Relationship Id="rId5" Type="http://schemas.openxmlformats.org/officeDocument/2006/relationships/hyperlink" Target="https://www.sec.gov/ix?doc=/Archives/edgar/data/1705696/000170569623000035/vici-20221231.htm" TargetMode="External"/><Relationship Id="rId6" Type="http://schemas.openxmlformats.org/officeDocument/2006/relationships/hyperlink" Target="https://www.sec.gov/ix?doc=/Archives/edgar/data/1705696/000170569623000035/vici-20221231.htm" TargetMode="External"/><Relationship Id="rId7" Type="http://schemas.openxmlformats.org/officeDocument/2006/relationships/hyperlink" Target="https://www.sec.gov/ix?doc=/Archives/edgar/data/1705696/000170569623000035/vici-20221231.htm" TargetMode="External"/><Relationship Id="rId8" Type="http://schemas.openxmlformats.org/officeDocument/2006/relationships/hyperlink" Target="https://www.sec.gov/ix?doc=/Archives/edgar/data/1705696/000170569623000035/vici-2022123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29</Pages>
  <Words>39936</Words>
  <CharactersWithSpaces>257094</CharactersWithSpaces>
  <Paragraphs>4351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