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05" w:lineRule="exact"/>
        <w:rPr>
          <w:sz w:val="24"/>
          <w:szCs w:val="24"/>
          <w:color w:val="auto"/>
        </w:rPr>
      </w:pPr>
    </w:p>
    <w:p>
      <w:pPr>
        <w:jc w:val="center"/>
        <w:spacing w:after="0" w:line="251" w:lineRule="auto"/>
        <w:rPr>
          <w:sz w:val="20"/>
          <w:szCs w:val="20"/>
          <w:color w:val="auto"/>
        </w:rPr>
      </w:pPr>
      <w:r>
        <w:rPr>
          <w:rFonts w:ascii="Times New Roman" w:cs="Times New Roman" w:eastAsia="Times New Roman" w:hAnsi="Times New Roman"/>
          <w:sz w:val="22"/>
          <w:szCs w:val="22"/>
          <w:b w:val="1"/>
          <w:bCs w:val="1"/>
          <w:color w:val="auto"/>
        </w:rPr>
        <w:t>CURRENT REPORT PURSUANT TO SECTION 13 OR 15(d) OF THE SECURITIES EXCHANGE ACT OF 1934 Date of report (Date of earliest event reported): April 28, 2026</w:t>
      </w:r>
    </w:p>
    <w:p>
      <w:pPr>
        <w:spacing w:after="0" w:line="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32"/>
          <w:szCs w:val="32"/>
          <w:b w:val="1"/>
          <w:bCs w:val="1"/>
          <w:color w:val="auto"/>
        </w:rPr>
        <w:t>VICI Properties Inc.</w:t>
      </w:r>
    </w:p>
    <w:p>
      <w:pPr>
        <w:spacing w:after="0" w:line="2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32"/>
          <w:szCs w:val="32"/>
          <w:b w:val="1"/>
          <w:bCs w:val="1"/>
          <w:color w:val="auto"/>
        </w:rPr>
        <w:t>VICI Properties L.P.</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08" w:lineRule="exact"/>
        <w:rPr>
          <w:sz w:val="24"/>
          <w:szCs w:val="24"/>
          <w:color w:val="auto"/>
        </w:rPr>
      </w:pPr>
    </w:p>
    <w:tbl>
      <w:tblPr>
        <w:tblLayout w:type="fixed"/>
        <w:tblInd w:w="1360" w:type="dxa"/>
        <w:tblCellMar>
          <w:top w:w="0" w:type="dxa"/>
          <w:left w:w="0" w:type="dxa"/>
          <w:bottom w:w="0" w:type="dxa"/>
          <w:right w:w="0" w:type="dxa"/>
        </w:tblCellMar>
      </w:tblPr>
      <w:tr>
        <w:trPr>
          <w:trHeight w:val="229"/>
        </w:trPr>
        <w:tc>
          <w:tcPr>
            <w:tcW w:w="3120" w:type="dxa"/>
            <w:vAlign w:val="bottom"/>
          </w:tcPr>
          <w:p>
            <w:pPr>
              <w:jc w:val="center"/>
              <w:ind w:right="519"/>
              <w:spacing w:after="0"/>
              <w:rPr>
                <w:sz w:val="20"/>
                <w:szCs w:val="20"/>
                <w:color w:val="auto"/>
              </w:rPr>
            </w:pPr>
            <w:r>
              <w:rPr>
                <w:rFonts w:ascii="Times New Roman" w:cs="Times New Roman" w:eastAsia="Times New Roman" w:hAnsi="Times New Roman"/>
                <w:sz w:val="18"/>
                <w:szCs w:val="18"/>
                <w:b w:val="1"/>
                <w:bCs w:val="1"/>
                <w:color w:val="auto"/>
                <w:w w:val="99"/>
              </w:rPr>
              <w:t>Maryland (VICI Properties Inc.)</w:t>
            </w:r>
          </w:p>
        </w:tc>
        <w:tc>
          <w:tcPr>
            <w:tcW w:w="2620" w:type="dxa"/>
            <w:vAlign w:val="bottom"/>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rPr>
              <w:t>001-38372</w:t>
            </w:r>
          </w:p>
        </w:tc>
        <w:tc>
          <w:tcPr>
            <w:tcW w:w="2080" w:type="dxa"/>
            <w:vAlign w:val="bottom"/>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w w:val="98"/>
              </w:rPr>
              <w:t>81-4177147</w:t>
            </w:r>
          </w:p>
        </w:tc>
      </w:tr>
      <w:tr>
        <w:trPr>
          <w:trHeight w:val="238"/>
        </w:trPr>
        <w:tc>
          <w:tcPr>
            <w:tcW w:w="3120" w:type="dxa"/>
            <w:vAlign w:val="bottom"/>
          </w:tcPr>
          <w:p>
            <w:pPr>
              <w:jc w:val="center"/>
              <w:ind w:right="519"/>
              <w:spacing w:after="0"/>
              <w:rPr>
                <w:sz w:val="20"/>
                <w:szCs w:val="20"/>
                <w:color w:val="auto"/>
              </w:rPr>
            </w:pPr>
            <w:r>
              <w:rPr>
                <w:rFonts w:ascii="Times New Roman" w:cs="Times New Roman" w:eastAsia="Times New Roman" w:hAnsi="Times New Roman"/>
                <w:sz w:val="18"/>
                <w:szCs w:val="18"/>
                <w:b w:val="1"/>
                <w:bCs w:val="1"/>
                <w:color w:val="auto"/>
                <w:w w:val="99"/>
              </w:rPr>
              <w:t>Delaware (VICI Properties L.P.)</w:t>
            </w:r>
          </w:p>
        </w:tc>
        <w:tc>
          <w:tcPr>
            <w:tcW w:w="2620" w:type="dxa"/>
            <w:vAlign w:val="bottom"/>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333-264352-01</w:t>
            </w:r>
          </w:p>
        </w:tc>
        <w:tc>
          <w:tcPr>
            <w:tcW w:w="2080" w:type="dxa"/>
            <w:vAlign w:val="bottom"/>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w w:val="98"/>
              </w:rPr>
              <w:t>35-2576503</w:t>
            </w:r>
          </w:p>
        </w:tc>
      </w:tr>
      <w:tr>
        <w:trPr>
          <w:trHeight w:val="164"/>
        </w:trPr>
        <w:tc>
          <w:tcPr>
            <w:tcW w:w="312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6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080" w:type="dxa"/>
            <w:vAlign w:val="bottom"/>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6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80" w:type="dxa"/>
            <w:vAlign w:val="bottom"/>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535 Madison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949-4631</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5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3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3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3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107"/>
        <w:spacing w:after="0" w:line="392" w:lineRule="auto"/>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080" w:type="dxa"/>
        <w:tblCellMar>
          <w:top w:w="0" w:type="dxa"/>
          <w:left w:w="0" w:type="dxa"/>
          <w:bottom w:w="0" w:type="dxa"/>
          <w:right w:w="0" w:type="dxa"/>
        </w:tblCellMar>
      </w:tblPr>
      <w:tr>
        <w:trPr>
          <w:trHeight w:val="215"/>
        </w:trPr>
        <w:tc>
          <w:tcPr>
            <w:tcW w:w="3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40" w:type="dxa"/>
            <w:vAlign w:val="bottom"/>
          </w:tcPr>
          <w:p>
            <w:pPr>
              <w:spacing w:after="0"/>
              <w:rPr>
                <w:sz w:val="17"/>
                <w:szCs w:val="17"/>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VICI</w:t>
            </w:r>
          </w:p>
        </w:tc>
        <w:tc>
          <w:tcPr>
            <w:tcW w:w="340" w:type="dxa"/>
            <w:vAlign w:val="bottom"/>
          </w:tcPr>
          <w:p>
            <w:pPr>
              <w:spacing w:after="0"/>
              <w:rPr>
                <w:sz w:val="17"/>
                <w:szCs w:val="17"/>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11"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240"/>
          </w:cols>
          <w:pgMar w:left="320" w:top="972" w:right="339" w:bottom="1440" w:gutter="0" w:footer="0" w:header="0"/>
        </w:sectPr>
      </w:pP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VICI Properties Inc.</w:t>
      </w:r>
    </w:p>
    <w:p>
      <w:pPr>
        <w:spacing w:after="0" w:line="5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VICI Properties L.P.</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196" w:lineRule="exact"/>
        <w:rPr>
          <w:sz w:val="24"/>
          <w:szCs w:val="24"/>
          <w:color w:val="auto"/>
        </w:rPr>
      </w:pPr>
    </w:p>
    <w:p>
      <w:pPr>
        <w:sectPr>
          <w:pgSz w:w="11900" w:h="16838" w:orient="portrait"/>
          <w:cols w:equalWidth="0" w:num="3">
            <w:col w:w="2420" w:space="720"/>
            <w:col w:w="160" w:space="340"/>
            <w:col w:w="7600"/>
          </w:cols>
          <w:pgMar w:left="320" w:top="972" w:right="339" w:bottom="1440" w:gutter="0" w:footer="0" w:header="0"/>
          <w:type w:val="continuous"/>
        </w:sectPr>
      </w:pPr>
    </w:p>
    <w:p>
      <w:pPr>
        <w:spacing w:after="0" w:line="28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VICI Properties Inc.</w:t>
            </w:r>
          </w:p>
        </w:tc>
        <w:tc>
          <w:tcPr>
            <w:tcW w:w="89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VICI Properties L.P.</w:t>
            </w:r>
          </w:p>
        </w:tc>
        <w:tc>
          <w:tcPr>
            <w:tcW w:w="89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843"/>
        </w:trPr>
        <w:tc>
          <w:tcPr>
            <w:tcW w:w="230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1" w:name="page2"/>
    <w:bookmarkEnd w:id="1"/>
    <w:p>
      <w:pPr>
        <w:ind w:left="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VICI Properties Inc. (the “Company”) held its 2026 Annual Meeting of Stockholders (the “Annual Meeting”). The information below is a summary of the final voting results on the three proposals considered and voted upon at the Annual Meeting. The proposals are described in detail in the Company’s definitive proxy statement for the Annual Meeting, which was filed with the U.S. Securities and Exchange Commission on March 16,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persons were duly elected as directors of the Company to serve until the 2027 Annual Meeting of Stockholders of the Company or until their respective successors are duly elected and qualified: James R. Abrahamson, Diana F. Cantor, Monica H. Douglas, Elizabeth I. Holland, Craig Macnab, Edward B. Pitoniak and Michael D. Rumbolz. The table below sets forth the voting results for each director nominee: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R. Abrahamson</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909,432,751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5,919,127</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600,275</w:t>
            </w:r>
          </w:p>
        </w:tc>
        <w:tc>
          <w:tcPr>
            <w:tcW w:w="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50,782,758</w:t>
            </w:r>
          </w:p>
        </w:tc>
      </w:tr>
      <w:tr>
        <w:trPr>
          <w:trHeight w:val="252"/>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Diana F. Cantor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904,570,959</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9,627,840</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1,753,354</w:t>
            </w:r>
          </w:p>
        </w:tc>
        <w:tc>
          <w:tcPr>
            <w:tcW w:w="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50,782,758</w:t>
            </w:r>
          </w:p>
        </w:tc>
      </w:tr>
      <w:tr>
        <w:trPr>
          <w:trHeight w:val="257"/>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Monica H. Douglas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905,234,351</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8,956,350</w:t>
            </w:r>
          </w:p>
        </w:tc>
        <w:tc>
          <w:tcPr>
            <w:tcW w:w="10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1,761,452</w:t>
            </w:r>
          </w:p>
        </w:tc>
        <w:tc>
          <w:tcPr>
            <w:tcW w:w="8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50,782,758</w:t>
            </w:r>
          </w:p>
        </w:tc>
      </w:tr>
      <w:tr>
        <w:trPr>
          <w:trHeight w:val="257"/>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I. Holland</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882,457,822</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32,937,352</w:t>
            </w:r>
          </w:p>
        </w:tc>
        <w:tc>
          <w:tcPr>
            <w:tcW w:w="10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556,979</w:t>
            </w:r>
          </w:p>
        </w:tc>
        <w:tc>
          <w:tcPr>
            <w:tcW w:w="8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50,782,758</w:t>
            </w:r>
          </w:p>
        </w:tc>
      </w:tr>
      <w:tr>
        <w:trPr>
          <w:trHeight w:val="25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Macnab</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895,067,851</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20,285,560</w:t>
            </w:r>
          </w:p>
        </w:tc>
        <w:tc>
          <w:tcPr>
            <w:tcW w:w="10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598,742</w:t>
            </w:r>
          </w:p>
        </w:tc>
        <w:tc>
          <w:tcPr>
            <w:tcW w:w="8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50,782,758</w:t>
            </w:r>
          </w:p>
        </w:tc>
      </w:tr>
      <w:tr>
        <w:trPr>
          <w:trHeight w:val="257"/>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B. Pitoniak</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914,831,555</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524,289</w:t>
            </w:r>
          </w:p>
        </w:tc>
        <w:tc>
          <w:tcPr>
            <w:tcW w:w="10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596,309</w:t>
            </w:r>
          </w:p>
        </w:tc>
        <w:tc>
          <w:tcPr>
            <w:tcW w:w="8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50,782,758</w:t>
            </w:r>
          </w:p>
        </w:tc>
      </w:tr>
      <w:tr>
        <w:trPr>
          <w:trHeight w:val="257"/>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D. Rumbolz</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914,081,716</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1,275,480</w:t>
            </w:r>
          </w:p>
        </w:tc>
        <w:tc>
          <w:tcPr>
            <w:tcW w:w="10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594,957</w:t>
            </w:r>
          </w:p>
        </w:tc>
        <w:tc>
          <w:tcPr>
            <w:tcW w:w="8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50,782,758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Independent Registered Public Accounting Firm</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stockholders ratified the appointment of Deloitte &amp; Touche LLP as the Company’s independent registered public accounting firm for the fiscal year ending December 31, 2026. The table below sets forth the voting results for this proposal: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961,351,390</w:t>
            </w:r>
          </w:p>
        </w:tc>
        <w:tc>
          <w:tcPr>
            <w:tcW w:w="8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4,814,058</w:t>
            </w:r>
          </w:p>
        </w:tc>
        <w:tc>
          <w:tcPr>
            <w:tcW w:w="100" w:type="dxa"/>
            <w:vAlign w:val="bottom"/>
          </w:tcPr>
          <w:p>
            <w:pPr>
              <w:spacing w:after="0"/>
              <w:rPr>
                <w:sz w:val="19"/>
                <w:szCs w:val="19"/>
                <w:color w:val="auto"/>
              </w:rPr>
            </w:pPr>
          </w:p>
        </w:tc>
        <w:tc>
          <w:tcPr>
            <w:tcW w:w="27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569,463</w:t>
            </w:r>
          </w:p>
        </w:tc>
        <w:tc>
          <w:tcPr>
            <w:tcW w:w="100" w:type="dxa"/>
            <w:vAlign w:val="bottom"/>
          </w:tcPr>
          <w:p>
            <w:pPr>
              <w:spacing w:after="0"/>
              <w:rPr>
                <w:sz w:val="19"/>
                <w:szCs w:val="19"/>
                <w:color w:val="auto"/>
              </w:rPr>
            </w:pPr>
          </w:p>
        </w:tc>
        <w:tc>
          <w:tcPr>
            <w:tcW w:w="27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0</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Advisory Vote on Named Executive Officer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stockholders voted to approve, on a non-binding, advisory basis, the compensation of the Company’s named executive officers. The table below sets forth the voting results for this proposal: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867,442,313</w:t>
            </w:r>
          </w:p>
        </w:tc>
        <w:tc>
          <w:tcPr>
            <w:tcW w:w="80" w:type="dxa"/>
            <w:vAlign w:val="bottom"/>
          </w:tcPr>
          <w:p>
            <w:pPr>
              <w:spacing w:after="0"/>
              <w:rPr>
                <w:sz w:val="19"/>
                <w:szCs w:val="19"/>
                <w:color w:val="auto"/>
              </w:rPr>
            </w:pPr>
          </w:p>
        </w:tc>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46,467,590</w:t>
            </w:r>
          </w:p>
        </w:tc>
        <w:tc>
          <w:tcPr>
            <w:tcW w:w="10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2,042,250</w:t>
            </w:r>
          </w:p>
        </w:tc>
        <w:tc>
          <w:tcPr>
            <w:tcW w:w="100" w:type="dxa"/>
            <w:vAlign w:val="bottom"/>
          </w:tcPr>
          <w:p>
            <w:pPr>
              <w:spacing w:after="0"/>
              <w:rPr>
                <w:sz w:val="19"/>
                <w:szCs w:val="19"/>
                <w:color w:val="auto"/>
              </w:rPr>
            </w:pPr>
          </w:p>
        </w:tc>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50,782,758</w:t>
            </w:r>
          </w:p>
        </w:tc>
      </w:tr>
      <w:tr>
        <w:trPr>
          <w:trHeight w:val="880"/>
        </w:trPr>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VICI PROPERTIES INC.</w:t>
      </w:r>
    </w:p>
    <w:p>
      <w:pPr>
        <w:spacing w:after="0" w:line="40" w:lineRule="exact"/>
        <w:rPr>
          <w:sz w:val="20"/>
          <w:szCs w:val="20"/>
          <w:color w:val="auto"/>
        </w:rPr>
      </w:pPr>
    </w:p>
    <w:p>
      <w:pPr>
        <w:ind w:left="4860" w:right="2940" w:hanging="5642"/>
        <w:spacing w:after="0" w:line="289" w:lineRule="auto"/>
        <w:tabs>
          <w:tab w:leader="none" w:pos="484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SAMANTHA S. GALLAGHER</w:t>
      </w:r>
      <w:r>
        <w:rPr>
          <w:rFonts w:ascii="Times New Roman" w:cs="Times New Roman" w:eastAsia="Times New Roman" w:hAnsi="Times New Roman"/>
          <w:sz w:val="18"/>
          <w:szCs w:val="18"/>
          <w:color w:val="auto"/>
        </w:rPr>
        <w:t xml:space="preserve"> Samantha S. Gallagher</w:t>
      </w:r>
    </w:p>
    <w:p>
      <w:pPr>
        <w:spacing w:after="0" w:line="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0" w:lineRule="exact"/>
        <w:rPr>
          <w:sz w:val="20"/>
          <w:szCs w:val="20"/>
          <w:color w:val="auto"/>
        </w:rPr>
      </w:pPr>
    </w:p>
    <w:p>
      <w:pPr>
        <w:spacing w:after="0" w:line="33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VICI PROPERTIES L.P.</w:t>
      </w:r>
    </w:p>
    <w:p>
      <w:pPr>
        <w:spacing w:after="0" w:line="40" w:lineRule="exact"/>
        <w:rPr>
          <w:sz w:val="20"/>
          <w:szCs w:val="20"/>
          <w:color w:val="auto"/>
        </w:rPr>
      </w:pPr>
    </w:p>
    <w:p>
      <w:pPr>
        <w:ind w:left="40"/>
        <w:spacing w:after="0"/>
        <w:tabs>
          <w:tab w:leader="none" w:pos="4840" w:val="left"/>
          <w:tab w:leader="none" w:pos="566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SAMANTHA S. GALLAGHER</w:t>
      </w:r>
    </w:p>
    <w:p>
      <w:pPr>
        <w:spacing w:after="0" w:line="4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Samantha S. Gallagher</w:t>
      </w:r>
    </w:p>
    <w:p>
      <w:pPr>
        <w:spacing w:after="0" w:line="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2026-04-28T16:05:56Z</dcterms:created>
  <dcterms:modified xsi:type="dcterms:W3CDTF">2026-04-28T16:05:56Z</dcterms:modified>
</cp:coreProperties>
</file>