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840"/>
        <w:spacing w:after="0"/>
        <w:rPr>
          <w:sz w:val="20"/>
          <w:szCs w:val="20"/>
          <w:color w:val="auto"/>
        </w:rPr>
      </w:pPr>
      <w:r>
        <w:rPr>
          <w:rFonts w:ascii="Arial" w:cs="Arial" w:eastAsia="Arial" w:hAnsi="Arial"/>
          <w:sz w:val="11"/>
          <w:szCs w:val="11"/>
          <w:color w:val="auto"/>
        </w:rPr>
        <w:t>_____________________________</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1" w:lineRule="exact"/>
        <w:rPr>
          <w:sz w:val="24"/>
          <w:szCs w:val="24"/>
          <w:color w:val="auto"/>
        </w:rPr>
      </w:pPr>
    </w:p>
    <w:p>
      <w:pPr>
        <w:ind w:left="4840"/>
        <w:spacing w:after="0"/>
        <w:rPr>
          <w:sz w:val="20"/>
          <w:szCs w:val="20"/>
          <w:color w:val="auto"/>
        </w:rPr>
      </w:pPr>
      <w:r>
        <w:rPr>
          <w:rFonts w:ascii="Arial" w:cs="Arial" w:eastAsia="Arial" w:hAnsi="Arial"/>
          <w:sz w:val="11"/>
          <w:szCs w:val="11"/>
          <w:color w:val="auto"/>
        </w:rPr>
        <w:t>_____________________________</w:t>
      </w:r>
    </w:p>
    <w:p>
      <w:pPr>
        <w:spacing w:after="0" w:line="77" w:lineRule="exact"/>
        <w:rPr>
          <w:sz w:val="24"/>
          <w:szCs w:val="24"/>
          <w:color w:val="auto"/>
        </w:rPr>
      </w:pPr>
    </w:p>
    <w:p>
      <w:pPr>
        <w:ind w:left="1740" w:hanging="598"/>
        <w:spacing w:after="0"/>
        <w:tabs>
          <w:tab w:leader="none" w:pos="17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46" w:lineRule="exact"/>
        <w:rPr>
          <w:sz w:val="24"/>
          <w:szCs w:val="24"/>
          <w:color w:val="auto"/>
        </w:rPr>
      </w:pPr>
    </w:p>
    <w:p>
      <w:pPr>
        <w:ind w:left="3680" w:right="1260" w:hanging="2538"/>
        <w:spacing w:after="0" w:line="375" w:lineRule="auto"/>
        <w:tabs>
          <w:tab w:leader="none" w:pos="173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 to 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001-38372 (VICI Properties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333-264352-01 (VICI Properties L.P.)</w:t>
      </w:r>
    </w:p>
    <w:p>
      <w:pPr>
        <w:spacing w:after="0" w:line="7" w:lineRule="exact"/>
        <w:rPr>
          <w:sz w:val="24"/>
          <w:szCs w:val="24"/>
          <w:color w:val="auto"/>
        </w:rPr>
      </w:pPr>
    </w:p>
    <w:p>
      <w:pPr>
        <w:ind w:left="4840"/>
        <w:spacing w:after="0"/>
        <w:rPr>
          <w:sz w:val="20"/>
          <w:szCs w:val="20"/>
          <w:color w:val="auto"/>
        </w:rPr>
      </w:pPr>
      <w:r>
        <w:rPr>
          <w:rFonts w:ascii="Arial" w:cs="Arial" w:eastAsia="Arial" w:hAnsi="Arial"/>
          <w:sz w:val="11"/>
          <w:szCs w:val="11"/>
          <w:color w:val="auto"/>
        </w:rPr>
        <w:t>_____________________________</w:t>
      </w:r>
    </w:p>
    <w:p>
      <w:pPr>
        <w:spacing w:after="0" w:line="19" w:lineRule="exact"/>
        <w:rPr>
          <w:sz w:val="24"/>
          <w:szCs w:val="24"/>
          <w:color w:val="auto"/>
        </w:rPr>
      </w:pPr>
    </w:p>
    <w:p>
      <w:pPr>
        <w:ind w:left="4360"/>
        <w:spacing w:after="0"/>
        <w:rPr>
          <w:sz w:val="20"/>
          <w:szCs w:val="20"/>
          <w:color w:val="auto"/>
        </w:rPr>
      </w:pPr>
      <w:r>
        <w:rPr>
          <w:rFonts w:ascii="Arial" w:cs="Arial" w:eastAsia="Arial" w:hAnsi="Arial"/>
          <w:sz w:val="29"/>
          <w:szCs w:val="29"/>
          <w:b w:val="1"/>
          <w:bCs w:val="1"/>
          <w:color w:val="auto"/>
        </w:rPr>
        <w:t>VICI Properties Inc.</w:t>
      </w:r>
    </w:p>
    <w:p>
      <w:pPr>
        <w:spacing w:after="0" w:line="58" w:lineRule="exact"/>
        <w:rPr>
          <w:sz w:val="24"/>
          <w:szCs w:val="24"/>
          <w:color w:val="auto"/>
        </w:rPr>
      </w:pPr>
    </w:p>
    <w:p>
      <w:pPr>
        <w:ind w:left="4360"/>
        <w:spacing w:after="0"/>
        <w:rPr>
          <w:sz w:val="20"/>
          <w:szCs w:val="20"/>
          <w:color w:val="auto"/>
        </w:rPr>
      </w:pPr>
      <w:r>
        <w:rPr>
          <w:rFonts w:ascii="Arial" w:cs="Arial" w:eastAsia="Arial" w:hAnsi="Arial"/>
          <w:sz w:val="29"/>
          <w:szCs w:val="29"/>
          <w:b w:val="1"/>
          <w:bCs w:val="1"/>
          <w:color w:val="auto"/>
        </w:rPr>
        <w:t>VICI Properties L.P.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4840"/>
        <w:spacing w:after="0"/>
        <w:rPr>
          <w:sz w:val="20"/>
          <w:szCs w:val="20"/>
          <w:color w:val="auto"/>
        </w:rPr>
      </w:pPr>
      <w:r>
        <w:rPr>
          <w:rFonts w:ascii="Arial" w:cs="Arial" w:eastAsia="Arial" w:hAnsi="Arial"/>
          <w:sz w:val="11"/>
          <w:szCs w:val="11"/>
          <w:color w:val="auto"/>
        </w:rPr>
        <w:t>_____________________________</w:t>
      </w:r>
    </w:p>
    <w:p>
      <w:pPr>
        <w:spacing w:after="0" w:line="19" w:lineRule="exact"/>
        <w:rPr>
          <w:sz w:val="24"/>
          <w:szCs w:val="24"/>
          <w:color w:val="auto"/>
        </w:rPr>
      </w:pPr>
    </w:p>
    <w:tbl>
      <w:tblPr>
        <w:tblLayout w:type="fixed"/>
        <w:tblInd w:w="400" w:type="dxa"/>
        <w:tblCellMar>
          <w:top w:w="0" w:type="dxa"/>
          <w:left w:w="0" w:type="dxa"/>
          <w:bottom w:w="0" w:type="dxa"/>
          <w:right w:w="0" w:type="dxa"/>
        </w:tblCellMar>
      </w:tblPr>
      <w:tr>
        <w:trPr>
          <w:trHeight w:val="229"/>
        </w:trPr>
        <w:tc>
          <w:tcPr>
            <w:tcW w:w="4040" w:type="dxa"/>
            <w:vAlign w:val="bottom"/>
          </w:tcPr>
          <w:p>
            <w:pPr>
              <w:jc w:val="center"/>
              <w:ind w:right="236"/>
              <w:spacing w:after="0"/>
              <w:rPr>
                <w:sz w:val="20"/>
                <w:szCs w:val="20"/>
                <w:color w:val="auto"/>
              </w:rPr>
            </w:pPr>
            <w:r>
              <w:rPr>
                <w:rFonts w:ascii="Arial" w:cs="Arial" w:eastAsia="Arial" w:hAnsi="Arial"/>
                <w:sz w:val="18"/>
                <w:szCs w:val="18"/>
                <w:b w:val="1"/>
                <w:bCs w:val="1"/>
                <w:color w:val="auto"/>
                <w:w w:val="96"/>
              </w:rPr>
              <w:t>Maryland</w:t>
            </w:r>
          </w:p>
        </w:tc>
        <w:tc>
          <w:tcPr>
            <w:tcW w:w="2740" w:type="dxa"/>
            <w:vAlign w:val="bottom"/>
          </w:tcPr>
          <w:p>
            <w:pPr>
              <w:ind w:left="320"/>
              <w:spacing w:after="0"/>
              <w:rPr>
                <w:sz w:val="20"/>
                <w:szCs w:val="20"/>
                <w:color w:val="auto"/>
              </w:rPr>
            </w:pPr>
            <w:r>
              <w:rPr>
                <w:rFonts w:ascii="Arial" w:cs="Arial" w:eastAsia="Arial" w:hAnsi="Arial"/>
                <w:sz w:val="18"/>
                <w:szCs w:val="18"/>
                <w:b w:val="1"/>
                <w:bCs w:val="1"/>
                <w:color w:val="auto"/>
              </w:rPr>
              <w:t>(VICI Properties Inc.)</w:t>
            </w:r>
          </w:p>
        </w:tc>
        <w:tc>
          <w:tcPr>
            <w:tcW w:w="2900" w:type="dxa"/>
            <w:vAlign w:val="bottom"/>
          </w:tcPr>
          <w:p>
            <w:pPr>
              <w:jc w:val="center"/>
              <w:ind w:left="636"/>
              <w:spacing w:after="0"/>
              <w:rPr>
                <w:sz w:val="20"/>
                <w:szCs w:val="20"/>
                <w:color w:val="auto"/>
              </w:rPr>
            </w:pPr>
            <w:r>
              <w:rPr>
                <w:rFonts w:ascii="Arial" w:cs="Arial" w:eastAsia="Arial" w:hAnsi="Arial"/>
                <w:sz w:val="18"/>
                <w:szCs w:val="18"/>
                <w:b w:val="1"/>
                <w:bCs w:val="1"/>
                <w:color w:val="auto"/>
                <w:w w:val="89"/>
              </w:rPr>
              <w:t>81-4177147</w:t>
            </w:r>
          </w:p>
        </w:tc>
      </w:tr>
      <w:tr>
        <w:trPr>
          <w:trHeight w:val="225"/>
        </w:trPr>
        <w:tc>
          <w:tcPr>
            <w:tcW w:w="4040" w:type="dxa"/>
            <w:vAlign w:val="bottom"/>
          </w:tcPr>
          <w:p>
            <w:pPr>
              <w:jc w:val="center"/>
              <w:ind w:right="236"/>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tcPr>
          <w:p>
            <w:pPr>
              <w:ind w:left="320"/>
              <w:spacing w:after="0"/>
              <w:rPr>
                <w:sz w:val="20"/>
                <w:szCs w:val="20"/>
                <w:color w:val="auto"/>
              </w:rPr>
            </w:pPr>
            <w:r>
              <w:rPr>
                <w:rFonts w:ascii="Arial" w:cs="Arial" w:eastAsia="Arial" w:hAnsi="Arial"/>
                <w:sz w:val="18"/>
                <w:szCs w:val="18"/>
                <w:b w:val="1"/>
                <w:bCs w:val="1"/>
                <w:color w:val="auto"/>
              </w:rPr>
              <w:t>(VICI Properties L.P.)</w:t>
            </w:r>
          </w:p>
        </w:tc>
        <w:tc>
          <w:tcPr>
            <w:tcW w:w="2900" w:type="dxa"/>
            <w:vAlign w:val="bottom"/>
          </w:tcPr>
          <w:p>
            <w:pPr>
              <w:jc w:val="center"/>
              <w:ind w:left="636"/>
              <w:spacing w:after="0"/>
              <w:rPr>
                <w:sz w:val="20"/>
                <w:szCs w:val="20"/>
                <w:color w:val="auto"/>
              </w:rPr>
            </w:pPr>
            <w:r>
              <w:rPr>
                <w:rFonts w:ascii="Arial" w:cs="Arial" w:eastAsia="Arial" w:hAnsi="Arial"/>
                <w:sz w:val="18"/>
                <w:szCs w:val="18"/>
                <w:b w:val="1"/>
                <w:bCs w:val="1"/>
                <w:color w:val="auto"/>
                <w:w w:val="89"/>
              </w:rPr>
              <w:t>35-2576503</w:t>
            </w:r>
          </w:p>
        </w:tc>
      </w:tr>
      <w:tr>
        <w:trPr>
          <w:trHeight w:val="186"/>
        </w:trPr>
        <w:tc>
          <w:tcPr>
            <w:tcW w:w="4040" w:type="dxa"/>
            <w:vAlign w:val="bottom"/>
          </w:tcPr>
          <w:p>
            <w:pPr>
              <w:jc w:val="center"/>
              <w:ind w:right="236"/>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740" w:type="dxa"/>
            <w:vAlign w:val="bottom"/>
          </w:tcPr>
          <w:p>
            <w:pPr>
              <w:spacing w:after="0"/>
              <w:rPr>
                <w:sz w:val="16"/>
                <w:szCs w:val="16"/>
                <w:color w:val="auto"/>
              </w:rPr>
            </w:pPr>
          </w:p>
        </w:tc>
        <w:tc>
          <w:tcPr>
            <w:tcW w:w="2900" w:type="dxa"/>
            <w:vAlign w:val="bottom"/>
          </w:tcPr>
          <w:p>
            <w:pPr>
              <w:jc w:val="center"/>
              <w:ind w:left="616"/>
              <w:spacing w:after="0"/>
              <w:rPr>
                <w:sz w:val="20"/>
                <w:szCs w:val="20"/>
                <w:color w:val="auto"/>
              </w:rPr>
            </w:pPr>
            <w:r>
              <w:rPr>
                <w:rFonts w:ascii="Arial" w:cs="Arial" w:eastAsia="Arial" w:hAnsi="Arial"/>
                <w:sz w:val="14"/>
                <w:szCs w:val="14"/>
                <w:b w:val="1"/>
                <w:bCs w:val="1"/>
                <w:color w:val="auto"/>
                <w:w w:val="95"/>
              </w:rPr>
              <w:t>(I.R.S. Employer Identification No.)</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535 Madison Avenue, 20th Floor New York, New York 10022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26" w:lineRule="exact"/>
        <w:rPr>
          <w:sz w:val="24"/>
          <w:szCs w:val="24"/>
          <w:color w:val="auto"/>
        </w:rPr>
      </w:pPr>
    </w:p>
    <w:p>
      <w:pPr>
        <w:ind w:left="4840"/>
        <w:spacing w:after="0"/>
        <w:rPr>
          <w:sz w:val="20"/>
          <w:szCs w:val="20"/>
          <w:color w:val="auto"/>
        </w:rPr>
      </w:pPr>
      <w:r>
        <w:rPr>
          <w:rFonts w:ascii="Arial" w:cs="Arial" w:eastAsia="Arial" w:hAnsi="Arial"/>
          <w:sz w:val="11"/>
          <w:szCs w:val="11"/>
          <w:color w:val="auto"/>
        </w:rPr>
        <w:t>_____________________________</w:t>
      </w:r>
    </w:p>
    <w:p>
      <w:pPr>
        <w:spacing w:after="0" w:line="95" w:lineRule="exact"/>
        <w:rPr>
          <w:sz w:val="24"/>
          <w:szCs w:val="24"/>
          <w:color w:val="auto"/>
        </w:rPr>
      </w:pPr>
    </w:p>
    <w:tbl>
      <w:tblPr>
        <w:tblLayout w:type="fixed"/>
        <w:tblInd w:w="340" w:type="dxa"/>
        <w:tblCellMar>
          <w:top w:w="0" w:type="dxa"/>
          <w:left w:w="0" w:type="dxa"/>
          <w:bottom w:w="0" w:type="dxa"/>
          <w:right w:w="0" w:type="dxa"/>
        </w:tblCellMar>
      </w:tblPr>
      <w:tr>
        <w:trPr>
          <w:trHeight w:val="206"/>
        </w:trPr>
        <w:tc>
          <w:tcPr>
            <w:tcW w:w="424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33"/>
        </w:trPr>
        <w:tc>
          <w:tcPr>
            <w:tcW w:w="390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w w:val="88"/>
              </w:rPr>
              <w:t>Title of each class</w:t>
            </w:r>
          </w:p>
        </w:tc>
        <w:tc>
          <w:tcPr>
            <w:tcW w:w="340" w:type="dxa"/>
            <w:vAlign w:val="bottom"/>
          </w:tcPr>
          <w:p>
            <w:pPr>
              <w:spacing w:after="0"/>
              <w:rPr>
                <w:sz w:val="20"/>
                <w:szCs w:val="20"/>
                <w:color w:val="auto"/>
              </w:rPr>
            </w:pPr>
          </w:p>
        </w:tc>
        <w:tc>
          <w:tcPr>
            <w:tcW w:w="25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2"/>
              </w:rPr>
              <w:t>Trading Symbol</w:t>
            </w:r>
          </w:p>
        </w:tc>
        <w:tc>
          <w:tcPr>
            <w:tcW w:w="340" w:type="dxa"/>
            <w:vAlign w:val="bottom"/>
          </w:tcPr>
          <w:p>
            <w:pPr>
              <w:spacing w:after="0"/>
              <w:rPr>
                <w:sz w:val="20"/>
                <w:szCs w:val="20"/>
                <w:color w:val="auto"/>
              </w:rPr>
            </w:pPr>
          </w:p>
        </w:tc>
        <w:tc>
          <w:tcPr>
            <w:tcW w:w="378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4240" w:type="dxa"/>
            <w:vAlign w:val="bottom"/>
            <w:gridSpan w:val="2"/>
          </w:tcPr>
          <w:p>
            <w:pPr>
              <w:jc w:val="center"/>
              <w:ind w:right="40"/>
              <w:spacing w:after="0"/>
              <w:rPr>
                <w:sz w:val="20"/>
                <w:szCs w:val="20"/>
                <w:color w:val="auto"/>
              </w:rPr>
            </w:pPr>
            <w:r>
              <w:rPr>
                <w:rFonts w:ascii="Arial" w:cs="Arial" w:eastAsia="Arial" w:hAnsi="Arial"/>
                <w:sz w:val="16"/>
                <w:szCs w:val="16"/>
                <w:color w:val="auto"/>
                <w:w w:val="92"/>
              </w:rPr>
              <w:t>Common stock, $0.01 par value</w:t>
            </w:r>
          </w:p>
        </w:tc>
        <w:tc>
          <w:tcPr>
            <w:tcW w:w="2880" w:type="dxa"/>
            <w:vAlign w:val="bottom"/>
            <w:gridSpan w:val="2"/>
          </w:tcPr>
          <w:p>
            <w:pPr>
              <w:jc w:val="center"/>
              <w:ind w:right="20"/>
              <w:spacing w:after="0"/>
              <w:rPr>
                <w:sz w:val="20"/>
                <w:szCs w:val="20"/>
                <w:color w:val="auto"/>
              </w:rPr>
            </w:pPr>
            <w:r>
              <w:rPr>
                <w:rFonts w:ascii="Arial" w:cs="Arial" w:eastAsia="Arial" w:hAnsi="Arial"/>
                <w:sz w:val="16"/>
                <w:szCs w:val="16"/>
                <w:color w:val="auto"/>
              </w:rPr>
              <w:t>VICI</w:t>
            </w:r>
          </w:p>
        </w:tc>
        <w:tc>
          <w:tcPr>
            <w:tcW w:w="3780" w:type="dxa"/>
            <w:vAlign w:val="bottom"/>
          </w:tcPr>
          <w:p>
            <w:pPr>
              <w:jc w:val="center"/>
              <w:ind w:left="239"/>
              <w:spacing w:after="0"/>
              <w:rPr>
                <w:sz w:val="20"/>
                <w:szCs w:val="20"/>
                <w:color w:val="auto"/>
              </w:rPr>
            </w:pPr>
            <w:r>
              <w:rPr>
                <w:rFonts w:ascii="Arial" w:cs="Arial" w:eastAsia="Arial" w:hAnsi="Arial"/>
                <w:sz w:val="16"/>
                <w:szCs w:val="16"/>
                <w:color w:val="auto"/>
                <w:w w:val="91"/>
              </w:rPr>
              <w:t>New York Stock Exchange</w:t>
            </w:r>
          </w:p>
        </w:tc>
      </w:tr>
    </w:tbl>
    <w:p>
      <w:pPr>
        <w:spacing w:after="0" w:line="361"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1" w:lineRule="exact"/>
        <w:rPr>
          <w:sz w:val="24"/>
          <w:szCs w:val="24"/>
          <w:color w:val="auto"/>
        </w:rPr>
      </w:pPr>
    </w:p>
    <w:p>
      <w:pPr>
        <w:ind w:left="360"/>
        <w:spacing w:after="0" w:line="184" w:lineRule="exact"/>
        <w:tabs>
          <w:tab w:leader="none" w:pos="2320" w:val="left"/>
          <w:tab w:leader="none" w:pos="6560" w:val="left"/>
          <w:tab w:leader="none" w:pos="8600" w:val="left"/>
        </w:tabs>
        <w:rPr>
          <w:sz w:val="20"/>
          <w:szCs w:val="20"/>
          <w:color w:val="auto"/>
        </w:rPr>
      </w:pPr>
      <w:r>
        <w:rPr>
          <w:rFonts w:ascii="Arial" w:cs="Arial" w:eastAsia="Arial" w:hAnsi="Arial"/>
          <w:sz w:val="16"/>
          <w:szCs w:val="16"/>
          <w:color w:val="auto"/>
        </w:rPr>
        <w:t xml:space="preserve">VICI Properties Inc.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VICI Properties L.P.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1" w:lineRule="exact"/>
        <w:rPr>
          <w:sz w:val="24"/>
          <w:szCs w:val="24"/>
          <w:color w:val="auto"/>
        </w:rPr>
      </w:pPr>
    </w:p>
    <w:p>
      <w:pPr>
        <w:ind w:right="340" w:firstLine="332"/>
        <w:spacing w:after="0" w:line="273" w:lineRule="auto"/>
        <w:tabs>
          <w:tab w:leader="none" w:pos="432"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VICI Properties L.P. has filed all reports required to be filed by Section 13 or 15(d) of the Securities Exchange Act of 1934 during the period it has been subject to such requirements, which has been for less than 90 days.</w:t>
      </w:r>
    </w:p>
    <w:p>
      <w:pPr>
        <w:spacing w:after="0" w:line="75" w:lineRule="exact"/>
        <w:rPr>
          <w:sz w:val="24"/>
          <w:szCs w:val="24"/>
          <w:color w:val="auto"/>
        </w:rPr>
      </w:pPr>
    </w:p>
    <w:p>
      <w:pPr>
        <w:jc w:val="both"/>
        <w:ind w:firstLine="324"/>
        <w:spacing w:after="0" w:line="30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ind w:left="360"/>
        <w:spacing w:after="0" w:line="184" w:lineRule="exact"/>
        <w:tabs>
          <w:tab w:leader="none" w:pos="2320" w:val="left"/>
          <w:tab w:leader="none" w:pos="6560" w:val="left"/>
          <w:tab w:leader="none" w:pos="8600" w:val="left"/>
        </w:tabs>
        <w:rPr>
          <w:sz w:val="20"/>
          <w:szCs w:val="20"/>
          <w:color w:val="auto"/>
        </w:rPr>
      </w:pPr>
      <w:r>
        <w:rPr>
          <w:rFonts w:ascii="Arial" w:cs="Arial" w:eastAsia="Arial" w:hAnsi="Arial"/>
          <w:sz w:val="16"/>
          <w:szCs w:val="16"/>
          <w:color w:val="auto"/>
        </w:rPr>
        <w:t xml:space="preserve">VICI Properties Inc.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VICI Properties L.P.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2880" w:type="dxa"/>
            <w:vAlign w:val="bottom"/>
            <w:gridSpan w:val="2"/>
          </w:tcPr>
          <w:p>
            <w:pPr>
              <w:ind w:left="200"/>
              <w:spacing w:after="0"/>
              <w:rPr>
                <w:sz w:val="20"/>
                <w:szCs w:val="20"/>
                <w:color w:val="auto"/>
              </w:rPr>
            </w:pPr>
            <w:r>
              <w:rPr>
                <w:rFonts w:ascii="Arial" w:cs="Arial" w:eastAsia="Arial" w:hAnsi="Arial"/>
                <w:sz w:val="16"/>
                <w:szCs w:val="16"/>
                <w:color w:val="auto"/>
              </w:rPr>
              <w:t>VICI Properties Inc.</w:t>
            </w:r>
          </w:p>
        </w:tc>
        <w:tc>
          <w:tcPr>
            <w:tcW w:w="8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900" w:type="dxa"/>
            <w:vAlign w:val="bottom"/>
            <w:gridSpan w:val="2"/>
          </w:tcPr>
          <w:p>
            <w:pPr>
              <w:ind w:left="220"/>
              <w:spacing w:after="0"/>
              <w:rPr>
                <w:sz w:val="20"/>
                <w:szCs w:val="20"/>
                <w:color w:val="auto"/>
              </w:rPr>
            </w:pPr>
            <w:r>
              <w:rPr>
                <w:rFonts w:ascii="Arial" w:cs="Arial" w:eastAsia="Arial" w:hAnsi="Arial"/>
                <w:sz w:val="16"/>
                <w:szCs w:val="16"/>
                <w:color w:val="auto"/>
              </w:rPr>
              <w:t>VICI Properties L.P.</w:t>
            </w:r>
          </w:p>
        </w:tc>
        <w:tc>
          <w:tcPr>
            <w:tcW w:w="480" w:type="dxa"/>
            <w:vAlign w:val="bottom"/>
          </w:tcPr>
          <w:p>
            <w:pPr>
              <w:spacing w:after="0"/>
              <w:rPr>
                <w:sz w:val="16"/>
                <w:szCs w:val="16"/>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300" w:type="dxa"/>
            <w:vAlign w:val="bottom"/>
          </w:tcPr>
          <w:p>
            <w:pPr>
              <w:ind w:left="220"/>
              <w:spacing w:after="0"/>
              <w:rPr>
                <w:sz w:val="20"/>
                <w:szCs w:val="20"/>
                <w:color w:val="auto"/>
              </w:rPr>
            </w:pPr>
            <w:r>
              <w:rPr>
                <w:rFonts w:ascii="Arial" w:cs="Arial" w:eastAsia="Arial" w:hAnsi="Arial"/>
                <w:sz w:val="16"/>
                <w:szCs w:val="16"/>
                <w:color w:val="auto"/>
              </w:rPr>
              <w:t>Accelerated filer</w:t>
            </w:r>
          </w:p>
        </w:tc>
        <w:tc>
          <w:tcPr>
            <w:tcW w:w="8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ind w:left="420"/>
              <w:spacing w:after="0"/>
              <w:rPr>
                <w:sz w:val="20"/>
                <w:szCs w:val="20"/>
                <w:color w:val="auto"/>
              </w:rPr>
            </w:pPr>
            <w:r>
              <w:rPr>
                <w:rFonts w:ascii="Arial" w:cs="Arial" w:eastAsia="Arial" w:hAnsi="Arial"/>
                <w:sz w:val="16"/>
                <w:szCs w:val="16"/>
                <w:color w:val="auto"/>
              </w:rPr>
              <w:t>Large Accelerated Filer</w:t>
            </w:r>
          </w:p>
        </w:tc>
        <w:tc>
          <w:tcPr>
            <w:tcW w:w="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2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300" w:type="dxa"/>
            <w:vAlign w:val="bottom"/>
          </w:tcPr>
          <w:p>
            <w:pPr>
              <w:ind w:left="220"/>
              <w:spacing w:after="0"/>
              <w:rPr>
                <w:sz w:val="20"/>
                <w:szCs w:val="20"/>
                <w:color w:val="auto"/>
              </w:rPr>
            </w:pPr>
            <w:r>
              <w:rPr>
                <w:rFonts w:ascii="Arial" w:cs="Arial" w:eastAsia="Arial" w:hAnsi="Arial"/>
                <w:sz w:val="16"/>
                <w:szCs w:val="16"/>
                <w:color w:val="auto"/>
              </w:rPr>
              <w:t>Smaller reporting company</w:t>
            </w:r>
          </w:p>
        </w:tc>
        <w:tc>
          <w:tcPr>
            <w:tcW w:w="8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ind w:left="420"/>
              <w:spacing w:after="0"/>
              <w:rPr>
                <w:sz w:val="20"/>
                <w:szCs w:val="20"/>
                <w:color w:val="auto"/>
              </w:rPr>
            </w:pPr>
            <w:r>
              <w:rPr>
                <w:rFonts w:ascii="Arial" w:cs="Arial" w:eastAsia="Arial" w:hAnsi="Arial"/>
                <w:sz w:val="16"/>
                <w:szCs w:val="16"/>
                <w:color w:val="auto"/>
              </w:rPr>
              <w:t>Non-accelerated filer</w:t>
            </w:r>
          </w:p>
        </w:tc>
        <w:tc>
          <w:tcPr>
            <w:tcW w:w="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2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300" w:type="dxa"/>
            <w:vAlign w:val="bottom"/>
          </w:tcPr>
          <w:p>
            <w:pPr>
              <w:ind w:left="220"/>
              <w:spacing w:after="0"/>
              <w:rPr>
                <w:sz w:val="20"/>
                <w:szCs w:val="20"/>
                <w:color w:val="auto"/>
              </w:rPr>
            </w:pPr>
            <w:r>
              <w:rPr>
                <w:rFonts w:ascii="Arial" w:cs="Arial" w:eastAsia="Arial" w:hAnsi="Arial"/>
                <w:sz w:val="16"/>
                <w:szCs w:val="16"/>
                <w:color w:val="auto"/>
              </w:rPr>
              <w:t>Emerging growth company</w:t>
            </w:r>
          </w:p>
        </w:tc>
        <w:tc>
          <w:tcPr>
            <w:tcW w:w="8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320" w:type="dxa"/>
            <w:vAlign w:val="bottom"/>
          </w:tcPr>
          <w:p>
            <w:pPr>
              <w:ind w:left="2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81"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0" w:lineRule="exact"/>
        <w:rPr>
          <w:sz w:val="24"/>
          <w:szCs w:val="24"/>
          <w:color w:val="auto"/>
        </w:rPr>
      </w:pPr>
    </w:p>
    <w:p>
      <w:pPr>
        <w:ind w:left="360"/>
        <w:spacing w:after="0" w:line="184" w:lineRule="exact"/>
        <w:tabs>
          <w:tab w:leader="none" w:pos="2320" w:val="left"/>
          <w:tab w:leader="none" w:pos="6560" w:val="left"/>
          <w:tab w:leader="none" w:pos="8560" w:val="left"/>
        </w:tabs>
        <w:rPr>
          <w:sz w:val="20"/>
          <w:szCs w:val="20"/>
          <w:color w:val="auto"/>
        </w:rPr>
      </w:pPr>
      <w:r>
        <w:rPr>
          <w:rFonts w:ascii="Arial" w:cs="Arial" w:eastAsia="Arial" w:hAnsi="Arial"/>
          <w:sz w:val="16"/>
          <w:szCs w:val="16"/>
          <w:color w:val="auto"/>
        </w:rPr>
        <w:t xml:space="preserve">VICI Properties Inc.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VICI Properties L.P.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38"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As of May 3, 2022, VICI Properties Inc. had 963,002,113 shares of common stock, $0.01 par value per share, outstanding. VICI Properties L.P. has no common stock outstanding.</w:t>
      </w:r>
    </w:p>
    <w:p>
      <w:pPr>
        <w:sectPr>
          <w:pgSz w:w="11900" w:h="16838" w:orient="portrait"/>
          <w:cols w:equalWidth="0" w:num="1">
            <w:col w:w="11240"/>
          </w:cols>
          <w:pgMar w:left="320" w:top="936" w:right="339" w:bottom="1440" w:gutter="0" w:footer="0" w:header="0"/>
        </w:sect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 combines the quarterly reports on Form 10-Q for the three months ended March 31, 2022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generally the entity that directly or indirectly enters into contracts and joint ventures, holds assets and incurs debt, we believe that references to “we,” “us” or “our” in this context is appropriate because the business is one enterprise and we operate substantially all of our business and own, either directly or through subsidiaries, substantially all of our assets through VICI LP.</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VICI is a real estate investment trust (“REIT”) that is the sole owner of VICI Properties GP LLC (the “General Partner”), the sole general partner of VICI LP. As of March 31, 2022, VICI beneficially owned 100% of the outstanding limited partnership units in VICI LP. Subsequent to quarter-end, on April 29, 2022, in connection with the closing of the MGP Transactions (as defined below), VICI contributed its interest in VICI LP to VICI OP, which, as of such date, serves as our new operating partnership and, therefore, is now the entity through which we operate substantially all of our business and own, either directly or through subsidiaries, substantially all of our assets. After taking into account the effects of the MGP Transactions, VICI owns 100% of the limited liability company interests of VICI Properties HoldCo LLC (“HoldCo”), which in turn owns 98.7% of the limited liability company interest of VICI OP (such interests, “VICI OP Units”), which in turns owns 100% of the limited partnership interest in VICI LP. The balance of the VICI OP Units not held by HoldCo are held by MGM Resorts International.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diagram details VICI’s organizational structure subsequent to the closing of the MGP Transactions on 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117475</wp:posOffset>
            </wp:positionV>
            <wp:extent cx="4286250" cy="2640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We believe combining the quarterly reports on Form 10-Q of VICI and VICI LP into this single report:</w:t>
      </w:r>
    </w:p>
    <w:p>
      <w:pPr>
        <w:spacing w:after="0" w:line="171"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enhances investors’ understanding of VICI and VICI LP by enabling investors to view the business as a whole in the same manner as management views and operates the business;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eliminates duplicative disclosure and provides a more streamlined and readable presentation;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sectPr>
          <w:pgSz w:w="11900" w:h="16838" w:orient="portrait"/>
          <w:cols w:equalWidth="0" w:num="1">
            <w:col w:w="11240"/>
          </w:cols>
          <w:pgMar w:left="320" w:top="1336"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2" w:name="page3"/>
    <w:bookmarkEnd w:id="2"/>
    <w:p>
      <w:pPr>
        <w:jc w:val="both"/>
        <w:spacing w:after="0" w:line="291" w:lineRule="auto"/>
        <w:rPr>
          <w:sz w:val="20"/>
          <w:szCs w:val="20"/>
          <w:color w:val="auto"/>
        </w:rPr>
      </w:pPr>
      <w:r>
        <w:rPr>
          <w:rFonts w:ascii="Arial" w:cs="Arial" w:eastAsia="Arial" w:hAnsi="Arial"/>
          <w:sz w:val="16"/>
          <w:szCs w:val="16"/>
          <w:color w:val="auto"/>
        </w:rPr>
        <w:t>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 holds substantially all of our assets, except for those held in VICI Golf. Except for net proceeds from public equity issuances by VICI, which following the closing of the MGP Transactions are contributed to VICI OP (and indirectly to VICI LP) in exchange for VICI OP Units, VICI LP generates all capital required by the Company’s business, which sources include VICI LP’s operations and its direct or indirect incurrence of indebtedness.</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March 31, 2022, the primary areas of difference between the unaudited Consolidated Financial Statements of VICI and those of VICI LP were equity, capital and golf income and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help investors understand the differences between VICI and VICI LP, this report provides:</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separate consolidated financial statements for VICI and VICI LP;</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single set of notes to such consolidated financial statements that includes separate discussions of stockholders’ equity or partners’ equity and per share and per unit data, as applicable;</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combined Management’s Discussion and Analysis of Financial Condition and Results of Operations section that also includes discrete information related to each entity, as applicable;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separate Part I, Item 4. Controls and Procedures sections;</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separate Part II, Item 2. Issuer Purchases of Equity Securities sections related to each entity; and</w:t>
      </w:r>
    </w:p>
    <w:p>
      <w:pPr>
        <w:spacing w:after="0" w:line="63"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separate Exhibits 31 and 32 certifications for each VICI and VICI LP in order to establish that the requisite certifications have been made and that VICI and VICI LP are each compliant with Rule 13a-14(a) or Rule 15d-14(a) of the Securities Exchange Act of 1934 and 18 U.S.C. §1350.</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separate discussions of VICI and VICI LP in this report should be read in conjunction with each other to understand our results on a consolidated basis and how management operates our business.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L.P.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QUARTER ENDED MARCH 31, 2022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gridSpan w:val="2"/>
            <w:vMerge w:val="restart"/>
          </w:tcPr>
          <w:p>
            <w:pPr>
              <w:spacing w:after="0"/>
              <w:rPr>
                <w:rFonts w:ascii="Arial" w:cs="Arial" w:eastAsia="Arial" w:hAnsi="Arial"/>
                <w:sz w:val="18"/>
                <w:szCs w:val="18"/>
                <w:b w:val="1"/>
                <w:bCs w:val="1"/>
                <w:color w:val="0000FF"/>
                <w:w w:val="96"/>
              </w:rPr>
            </w:pPr>
            <w:hyperlink w:anchor="page4">
              <w:r>
                <w:rPr>
                  <w:rFonts w:ascii="Arial" w:cs="Arial" w:eastAsia="Arial" w:hAnsi="Arial"/>
                  <w:sz w:val="18"/>
                  <w:szCs w:val="18"/>
                  <w:b w:val="1"/>
                  <w:bCs w:val="1"/>
                  <w:color w:val="0000FF"/>
                  <w:w w:val="96"/>
                </w:rPr>
                <w:t>PART I.</w:t>
              </w:r>
            </w:hyperlink>
          </w:p>
        </w:tc>
        <w:tc>
          <w:tcPr>
            <w:tcW w:w="360" w:type="dxa"/>
            <w:vAlign w:val="bottom"/>
            <w:gridSpan w:val="3"/>
            <w:vMerge w:val="restart"/>
          </w:tcPr>
          <w:p>
            <w:pPr>
              <w:spacing w:after="0"/>
              <w:rPr>
                <w:sz w:val="20"/>
                <w:szCs w:val="20"/>
                <w:color w:val="auto"/>
              </w:rPr>
            </w:pPr>
          </w:p>
        </w:tc>
        <w:tc>
          <w:tcPr>
            <w:tcW w:w="2400" w:type="dxa"/>
            <w:vAlign w:val="bottom"/>
            <w:gridSpan w:val="8"/>
            <w:vMerge w:val="restart"/>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FINANCIAL INFORMATION</w:t>
              </w:r>
            </w:hyperlink>
          </w:p>
        </w:tc>
        <w:tc>
          <w:tcPr>
            <w:tcW w:w="7240" w:type="dxa"/>
            <w:vAlign w:val="bottom"/>
            <w:gridSpan w:val="10"/>
            <w:vMerge w:val="restart"/>
          </w:tcPr>
          <w:p>
            <w:pPr>
              <w:spacing w:after="0"/>
              <w:rPr>
                <w:sz w:val="20"/>
                <w:szCs w:val="20"/>
                <w:color w:val="auto"/>
              </w:rPr>
            </w:pPr>
          </w:p>
        </w:tc>
        <w:tc>
          <w:tcPr>
            <w:tcW w:w="5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640" w:type="dxa"/>
            <w:vAlign w:val="bottom"/>
            <w:tcBorders>
              <w:bottom w:val="single" w:sz="8" w:color="0000FF"/>
            </w:tcBorders>
            <w:gridSpan w:val="2"/>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2400" w:type="dxa"/>
            <w:vAlign w:val="bottom"/>
            <w:tcBorders>
              <w:bottom w:val="single" w:sz="8" w:color="0000FF"/>
            </w:tcBorders>
            <w:gridSpan w:val="8"/>
            <w:vMerge w:val="continue"/>
          </w:tcPr>
          <w:p>
            <w:pPr>
              <w:spacing w:after="0"/>
              <w:rPr>
                <w:sz w:val="14"/>
                <w:szCs w:val="14"/>
                <w:color w:val="auto"/>
              </w:rPr>
            </w:pPr>
          </w:p>
        </w:tc>
        <w:tc>
          <w:tcPr>
            <w:tcW w:w="7240" w:type="dxa"/>
            <w:vAlign w:val="bottom"/>
            <w:gridSpan w:val="10"/>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Item 1.</w:t>
              </w:r>
            </w:hyperlink>
          </w:p>
        </w:tc>
        <w:tc>
          <w:tcPr>
            <w:tcW w:w="520" w:type="dxa"/>
            <w:vAlign w:val="bottom"/>
            <w:gridSpan w:val="4"/>
          </w:tcPr>
          <w:p>
            <w:pPr>
              <w:spacing w:after="0"/>
              <w:rPr>
                <w:sz w:val="18"/>
                <w:szCs w:val="18"/>
                <w:color w:val="auto"/>
              </w:rPr>
            </w:pPr>
          </w:p>
        </w:tc>
        <w:tc>
          <w:tcPr>
            <w:tcW w:w="964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of VICI Properties Inc. (Unaudited)</w:t>
              </w:r>
            </w:hyperlink>
          </w:p>
        </w:tc>
        <w:tc>
          <w:tcPr>
            <w:tcW w:w="340" w:type="dxa"/>
            <w:vAlign w:val="bottom"/>
            <w:gridSpan w:val="2"/>
          </w:tcPr>
          <w:p>
            <w:pPr>
              <w:jc w:val="center"/>
              <w:ind w:left="15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Balance Sheets as of March 31, 2022 and December 31, 2021</w:t>
              </w:r>
            </w:hyperlink>
          </w:p>
        </w:tc>
        <w:tc>
          <w:tcPr>
            <w:tcW w:w="340" w:type="dxa"/>
            <w:vAlign w:val="bottom"/>
            <w:gridSpan w:val="2"/>
          </w:tcPr>
          <w:p>
            <w:pPr>
              <w:jc w:val="center"/>
              <w:ind w:left="15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Consolidated Statements of Operations and Comprehensive Income for the Three Months Ended March 31, 2022 and 2021</w:t>
              </w:r>
            </w:hyperlink>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Stockholders’ Equity for the Three Months Ended March 31, 2022 and 2021</w:t>
              </w:r>
            </w:hyperlink>
          </w:p>
        </w:tc>
        <w:tc>
          <w:tcPr>
            <w:tcW w:w="340" w:type="dxa"/>
            <w:vAlign w:val="bottom"/>
            <w:gridSpan w:val="2"/>
          </w:tcPr>
          <w:p>
            <w:pPr>
              <w:jc w:val="center"/>
              <w:ind w:left="15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Borders>
              <w:top w:val="single" w:sz="8" w:color="0000FF"/>
            </w:tcBorders>
            <w:gridSpan w:val="15"/>
          </w:tcPr>
          <w:p>
            <w:pPr>
              <w:spacing w:after="0"/>
              <w:rPr>
                <w:rFonts w:ascii="Arial" w:cs="Arial" w:eastAsia="Arial" w:hAnsi="Arial"/>
                <w:sz w:val="18"/>
                <w:szCs w:val="18"/>
                <w:color w:val="0000FF"/>
                <w:w w:val="98"/>
              </w:rPr>
            </w:pPr>
            <w:hyperlink w:anchor="page7">
              <w:r>
                <w:rPr>
                  <w:rFonts w:ascii="Arial" w:cs="Arial" w:eastAsia="Arial" w:hAnsi="Arial"/>
                  <w:sz w:val="18"/>
                  <w:szCs w:val="18"/>
                  <w:color w:val="0000FF"/>
                  <w:w w:val="98"/>
                </w:rPr>
                <w:t>Consolidated Statements of Cash Flows for the Three Months Ended March 31, 2022 and 2021</w:t>
              </w:r>
            </w:hyperlink>
          </w:p>
        </w:tc>
        <w:tc>
          <w:tcPr>
            <w:tcW w:w="17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10"/>
          </w:tcPr>
          <w:p>
            <w:pPr>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Financial Statements of VICI Properties L.P. (Unaudited)</w:t>
              </w:r>
            </w:hyperlink>
          </w:p>
        </w:tc>
        <w:tc>
          <w:tcPr>
            <w:tcW w:w="5520" w:type="dxa"/>
            <w:vAlign w:val="bottom"/>
            <w:gridSpan w:val="8"/>
          </w:tcPr>
          <w:p>
            <w:pPr>
              <w:spacing w:after="0"/>
              <w:rPr>
                <w:sz w:val="24"/>
                <w:szCs w:val="24"/>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7"/>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Consolidated Balance Sheets as of March 31, 2022 and December 31, 2021</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10</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Consolidated Statements of Operations and Comprehensive Income for the Three Months Ended March 31, 2022 and 2021</w:t>
              </w:r>
            </w:hyperlink>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0">
              <w:r>
                <w:rPr>
                  <w:rFonts w:ascii="Arial" w:cs="Arial" w:eastAsia="Arial" w:hAnsi="Arial"/>
                  <w:sz w:val="17"/>
                  <w:szCs w:val="17"/>
                  <w:color w:val="0000FF"/>
                  <w:w w:val="73"/>
                </w:rPr>
                <w:t>11</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20" w:type="dxa"/>
            <w:vAlign w:val="bottom"/>
            <w:gridSpan w:val="14"/>
          </w:tcPr>
          <w:p>
            <w:pPr>
              <w:spacing w:after="0"/>
              <w:rPr>
                <w:rFonts w:ascii="Arial" w:cs="Arial" w:eastAsia="Arial" w:hAnsi="Arial"/>
                <w:sz w:val="18"/>
                <w:szCs w:val="18"/>
                <w:color w:val="0000FF"/>
                <w:w w:val="90"/>
              </w:rPr>
            </w:pPr>
            <w:hyperlink w:anchor="page11">
              <w:r>
                <w:rPr>
                  <w:rFonts w:ascii="Arial" w:cs="Arial" w:eastAsia="Arial" w:hAnsi="Arial"/>
                  <w:sz w:val="18"/>
                  <w:szCs w:val="18"/>
                  <w:color w:val="0000FF"/>
                  <w:w w:val="90"/>
                </w:rPr>
                <w:t>Consolidated Statements of Partners’ Capital for the Three Months Ended March 31, 2022 and 2021</w:t>
              </w:r>
            </w:hyperlink>
          </w:p>
        </w:tc>
        <w:tc>
          <w:tcPr>
            <w:tcW w:w="2060" w:type="dxa"/>
            <w:vAlign w:val="bottom"/>
            <w:gridSpan w:val="3"/>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12</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20" w:type="dxa"/>
            <w:vAlign w:val="bottom"/>
            <w:gridSpan w:val="14"/>
          </w:tcPr>
          <w:p>
            <w:pPr>
              <w:spacing w:after="0"/>
              <w:rPr>
                <w:rFonts w:ascii="Arial" w:cs="Arial" w:eastAsia="Arial" w:hAnsi="Arial"/>
                <w:sz w:val="18"/>
                <w:szCs w:val="18"/>
                <w:color w:val="0000FF"/>
                <w:w w:val="94"/>
              </w:rPr>
            </w:pPr>
            <w:hyperlink w:anchor="page12">
              <w:r>
                <w:rPr>
                  <w:rFonts w:ascii="Arial" w:cs="Arial" w:eastAsia="Arial" w:hAnsi="Arial"/>
                  <w:sz w:val="18"/>
                  <w:szCs w:val="18"/>
                  <w:color w:val="0000FF"/>
                  <w:w w:val="94"/>
                </w:rPr>
                <w:t>Consolidated Statements of Cash Flows for the Three Months Ended March 31, 2022 and 2021</w:t>
              </w:r>
            </w:hyperlink>
          </w:p>
        </w:tc>
        <w:tc>
          <w:tcPr>
            <w:tcW w:w="2060" w:type="dxa"/>
            <w:vAlign w:val="bottom"/>
            <w:gridSpan w:val="3"/>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13</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9"/>
          </w:tcPr>
          <w:p>
            <w:pPr>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Notes to Consolidated Financial Statements</w:t>
              </w:r>
            </w:hyperlink>
          </w:p>
        </w:tc>
        <w:tc>
          <w:tcPr>
            <w:tcW w:w="6480" w:type="dxa"/>
            <w:vAlign w:val="bottom"/>
            <w:gridSpan w:val="9"/>
          </w:tcPr>
          <w:p>
            <w:pPr>
              <w:spacing w:after="0"/>
              <w:rPr>
                <w:sz w:val="24"/>
                <w:szCs w:val="24"/>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15</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Item 2.</w:t>
              </w:r>
            </w:hyperlink>
          </w:p>
        </w:tc>
        <w:tc>
          <w:tcPr>
            <w:tcW w:w="520" w:type="dxa"/>
            <w:vAlign w:val="bottom"/>
            <w:gridSpan w:val="4"/>
          </w:tcPr>
          <w:p>
            <w:pPr>
              <w:spacing w:after="0"/>
              <w:rPr>
                <w:sz w:val="18"/>
                <w:szCs w:val="18"/>
                <w:color w:val="auto"/>
              </w:rPr>
            </w:pPr>
          </w:p>
        </w:tc>
        <w:tc>
          <w:tcPr>
            <w:tcW w:w="9640" w:type="dxa"/>
            <w:vAlign w:val="bottom"/>
            <w:gridSpan w:val="18"/>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Management’s Discussion and Analysis of Financial Condition and Results of Operations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51</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67">
              <w:r>
                <w:rPr>
                  <w:rFonts w:ascii="Arial" w:cs="Arial" w:eastAsia="Arial" w:hAnsi="Arial"/>
                  <w:sz w:val="18"/>
                  <w:szCs w:val="18"/>
                  <w:color w:val="0000FF"/>
                  <w:w w:val="79"/>
                </w:rPr>
                <w:t>Item 3.</w:t>
              </w:r>
            </w:hyperlink>
          </w:p>
        </w:tc>
        <w:tc>
          <w:tcPr>
            <w:tcW w:w="520" w:type="dxa"/>
            <w:vAlign w:val="bottom"/>
            <w:gridSpan w:val="4"/>
          </w:tcPr>
          <w:p>
            <w:pPr>
              <w:spacing w:after="0"/>
              <w:rPr>
                <w:sz w:val="18"/>
                <w:szCs w:val="18"/>
                <w:color w:val="auto"/>
              </w:rPr>
            </w:pPr>
          </w:p>
        </w:tc>
        <w:tc>
          <w:tcPr>
            <w:tcW w:w="4360" w:type="dxa"/>
            <w:vAlign w:val="bottom"/>
            <w:gridSpan w:val="11"/>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18"/>
                <w:szCs w:val="18"/>
                <w:color w:val="auto"/>
              </w:rPr>
            </w:pPr>
          </w:p>
        </w:tc>
        <w:tc>
          <w:tcPr>
            <w:tcW w:w="3180" w:type="dxa"/>
            <w:vAlign w:val="bottom"/>
            <w:gridSpan w:val="5"/>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67</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5280" w:type="dxa"/>
            <w:vAlign w:val="bottom"/>
            <w:tcBorders>
              <w:left w:val="single" w:sz="8" w:color="0000FF"/>
            </w:tcBorders>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67">
              <w:r>
                <w:rPr>
                  <w:rFonts w:ascii="Arial" w:cs="Arial" w:eastAsia="Arial" w:hAnsi="Arial"/>
                  <w:sz w:val="18"/>
                  <w:szCs w:val="18"/>
                  <w:color w:val="0000FF"/>
                  <w:w w:val="79"/>
                </w:rPr>
                <w:t>Item 4.</w:t>
              </w:r>
            </w:hyperlink>
          </w:p>
        </w:tc>
        <w:tc>
          <w:tcPr>
            <w:tcW w:w="520" w:type="dxa"/>
            <w:vAlign w:val="bottom"/>
            <w:gridSpan w:val="4"/>
          </w:tcPr>
          <w:p>
            <w:pPr>
              <w:spacing w:after="0"/>
              <w:rPr>
                <w:sz w:val="18"/>
                <w:szCs w:val="18"/>
                <w:color w:val="auto"/>
              </w:rPr>
            </w:pPr>
          </w:p>
        </w:tc>
        <w:tc>
          <w:tcPr>
            <w:tcW w:w="1780" w:type="dxa"/>
            <w:vAlign w:val="bottom"/>
            <w:gridSpan w:val="5"/>
          </w:tcPr>
          <w:p>
            <w:pPr>
              <w:spacing w:after="0"/>
              <w:rPr>
                <w:rFonts w:ascii="Arial" w:cs="Arial" w:eastAsia="Arial" w:hAnsi="Arial"/>
                <w:sz w:val="18"/>
                <w:szCs w:val="18"/>
                <w:color w:val="0000FF"/>
                <w:w w:val="88"/>
              </w:rPr>
            </w:pPr>
            <w:hyperlink w:anchor="page67">
              <w:r>
                <w:rPr>
                  <w:rFonts w:ascii="Arial" w:cs="Arial" w:eastAsia="Arial" w:hAnsi="Arial"/>
                  <w:sz w:val="18"/>
                  <w:szCs w:val="18"/>
                  <w:color w:val="0000FF"/>
                  <w:w w:val="88"/>
                </w:rPr>
                <w:t>Controls and Procedures</w:t>
              </w:r>
            </w:hyperlink>
          </w:p>
        </w:tc>
        <w:tc>
          <w:tcPr>
            <w:tcW w:w="2580" w:type="dxa"/>
            <w:vAlign w:val="bottom"/>
            <w:gridSpan w:val="6"/>
          </w:tcPr>
          <w:p>
            <w:pPr>
              <w:spacing w:after="0"/>
              <w:rPr>
                <w:sz w:val="18"/>
                <w:szCs w:val="18"/>
                <w:color w:val="auto"/>
              </w:rPr>
            </w:pPr>
          </w:p>
        </w:tc>
        <w:tc>
          <w:tcPr>
            <w:tcW w:w="5280" w:type="dxa"/>
            <w:vAlign w:val="bottom"/>
            <w:gridSpan w:val="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67</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18"/>
                <w:szCs w:val="18"/>
                <w:b w:val="1"/>
                <w:bCs w:val="1"/>
                <w:color w:val="0000FF"/>
              </w:rPr>
            </w:pPr>
            <w:hyperlink w:anchor="page68">
              <w:r>
                <w:rPr>
                  <w:rFonts w:ascii="Arial" w:cs="Arial" w:eastAsia="Arial" w:hAnsi="Arial"/>
                  <w:sz w:val="18"/>
                  <w:szCs w:val="18"/>
                  <w:b w:val="1"/>
                  <w:bCs w:val="1"/>
                  <w:color w:val="0000FF"/>
                </w:rPr>
                <w:t>PART II.</w:t>
              </w:r>
            </w:hyperlink>
          </w:p>
        </w:tc>
        <w:tc>
          <w:tcPr>
            <w:tcW w:w="9640" w:type="dxa"/>
            <w:vAlign w:val="bottom"/>
            <w:gridSpan w:val="18"/>
          </w:tcPr>
          <w:p>
            <w:pPr>
              <w:spacing w:after="0"/>
              <w:rPr>
                <w:rFonts w:ascii="Arial" w:cs="Arial" w:eastAsia="Arial" w:hAnsi="Arial"/>
                <w:sz w:val="18"/>
                <w:szCs w:val="18"/>
                <w:b w:val="1"/>
                <w:bCs w:val="1"/>
                <w:color w:val="0000FF"/>
              </w:rPr>
            </w:pPr>
            <w:hyperlink w:anchor="page68">
              <w:r>
                <w:rPr>
                  <w:rFonts w:ascii="Arial" w:cs="Arial" w:eastAsia="Arial" w:hAnsi="Arial"/>
                  <w:sz w:val="18"/>
                  <w:szCs w:val="18"/>
                  <w:b w:val="1"/>
                  <w:bCs w:val="1"/>
                  <w:color w:val="0000FF"/>
                </w:rPr>
                <w:t>OTHER INFORMATION</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Borders>
              <w:top w:val="single" w:sz="8" w:color="0000FF"/>
            </w:tcBorders>
          </w:tcPr>
          <w:p>
            <w:pPr>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Item 1.</w:t>
              </w:r>
            </w:hyperlink>
          </w:p>
        </w:tc>
        <w:tc>
          <w:tcPr>
            <w:tcW w:w="220" w:type="dxa"/>
            <w:vAlign w:val="bottom"/>
            <w:tcBorders>
              <w:top w:val="single" w:sz="8" w:color="0000FF"/>
            </w:tcBorders>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320" w:type="dxa"/>
            <w:vAlign w:val="bottom"/>
            <w:tcBorders>
              <w:top w:val="single" w:sz="8" w:color="0000FF"/>
            </w:tcBorders>
            <w:gridSpan w:val="4"/>
          </w:tcPr>
          <w:p>
            <w:pPr>
              <w:spacing w:after="0"/>
              <w:rPr>
                <w:rFonts w:ascii="Arial" w:cs="Arial" w:eastAsia="Arial" w:hAnsi="Arial"/>
                <w:sz w:val="18"/>
                <w:szCs w:val="18"/>
                <w:color w:val="0000FF"/>
                <w:w w:val="85"/>
              </w:rPr>
            </w:pPr>
            <w:hyperlink w:anchor="page69">
              <w:r>
                <w:rPr>
                  <w:rFonts w:ascii="Arial" w:cs="Arial" w:eastAsia="Arial" w:hAnsi="Arial"/>
                  <w:sz w:val="18"/>
                  <w:szCs w:val="18"/>
                  <w:color w:val="0000FF"/>
                  <w:w w:val="85"/>
                </w:rPr>
                <w:t>Legal Proceedings</w:t>
              </w:r>
            </w:hyperlink>
          </w:p>
        </w:tc>
        <w:tc>
          <w:tcPr>
            <w:tcW w:w="700" w:type="dxa"/>
            <w:vAlign w:val="bottom"/>
            <w:tcBorders>
              <w:top w:val="single" w:sz="8" w:color="0000FF"/>
            </w:tcBorders>
            <w:gridSpan w:val="2"/>
          </w:tcPr>
          <w:p>
            <w:pPr>
              <w:spacing w:after="0"/>
              <w:rPr>
                <w:sz w:val="18"/>
                <w:szCs w:val="18"/>
                <w:color w:val="auto"/>
              </w:rPr>
            </w:pPr>
          </w:p>
        </w:tc>
        <w:tc>
          <w:tcPr>
            <w:tcW w:w="7620" w:type="dxa"/>
            <w:vAlign w:val="bottom"/>
            <w:gridSpan w:val="12"/>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69</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5"/>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Item 1A.</w:t>
              </w:r>
            </w:hyperlink>
          </w:p>
        </w:tc>
        <w:tc>
          <w:tcPr>
            <w:tcW w:w="9640" w:type="dxa"/>
            <w:vAlign w:val="bottom"/>
            <w:gridSpan w:val="18"/>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Risk Factors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69</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Item 2.</w:t>
              </w:r>
            </w:hyperlink>
          </w:p>
        </w:tc>
        <w:tc>
          <w:tcPr>
            <w:tcW w:w="160" w:type="dxa"/>
            <w:vAlign w:val="bottom"/>
          </w:tcPr>
          <w:p>
            <w:pPr>
              <w:spacing w:after="0"/>
              <w:rPr>
                <w:sz w:val="18"/>
                <w:szCs w:val="18"/>
                <w:color w:val="auto"/>
              </w:rPr>
            </w:pPr>
          </w:p>
        </w:tc>
        <w:tc>
          <w:tcPr>
            <w:tcW w:w="360" w:type="dxa"/>
            <w:vAlign w:val="bottom"/>
            <w:gridSpan w:val="3"/>
          </w:tcPr>
          <w:p>
            <w:pPr>
              <w:spacing w:after="0"/>
              <w:rPr>
                <w:sz w:val="18"/>
                <w:szCs w:val="18"/>
                <w:color w:val="auto"/>
              </w:rPr>
            </w:pPr>
          </w:p>
        </w:tc>
        <w:tc>
          <w:tcPr>
            <w:tcW w:w="4360" w:type="dxa"/>
            <w:vAlign w:val="bottom"/>
            <w:gridSpan w:val="11"/>
          </w:tcPr>
          <w:p>
            <w:pP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Unregistered Sales of Equity Securities and Use of Proceeds</w:t>
              </w:r>
            </w:hyperlink>
          </w:p>
        </w:tc>
        <w:tc>
          <w:tcPr>
            <w:tcW w:w="5280" w:type="dxa"/>
            <w:vAlign w:val="bottom"/>
            <w:gridSpan w:val="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69</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Item 3.</w:t>
              </w:r>
            </w:hyperlink>
          </w:p>
        </w:tc>
        <w:tc>
          <w:tcPr>
            <w:tcW w:w="520" w:type="dxa"/>
            <w:vAlign w:val="bottom"/>
            <w:gridSpan w:val="4"/>
          </w:tcPr>
          <w:p>
            <w:pPr>
              <w:spacing w:after="0"/>
              <w:rPr>
                <w:sz w:val="18"/>
                <w:szCs w:val="18"/>
                <w:color w:val="auto"/>
              </w:rPr>
            </w:pPr>
          </w:p>
        </w:tc>
        <w:tc>
          <w:tcPr>
            <w:tcW w:w="4360" w:type="dxa"/>
            <w:vAlign w:val="bottom"/>
            <w:gridSpan w:val="11"/>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Defaults Upon Senior Securities</w:t>
              </w:r>
            </w:hyperlink>
          </w:p>
        </w:tc>
        <w:tc>
          <w:tcPr>
            <w:tcW w:w="5280" w:type="dxa"/>
            <w:vAlign w:val="bottom"/>
            <w:gridSpan w:val="7"/>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69</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Item 4.</w:t>
              </w:r>
            </w:hyperlink>
          </w:p>
        </w:tc>
        <w:tc>
          <w:tcPr>
            <w:tcW w:w="520" w:type="dxa"/>
            <w:vAlign w:val="bottom"/>
            <w:gridSpan w:val="4"/>
          </w:tcPr>
          <w:p>
            <w:pPr>
              <w:spacing w:after="0"/>
              <w:rPr>
                <w:sz w:val="18"/>
                <w:szCs w:val="18"/>
                <w:color w:val="auto"/>
              </w:rPr>
            </w:pPr>
          </w:p>
        </w:tc>
        <w:tc>
          <w:tcPr>
            <w:tcW w:w="1780" w:type="dxa"/>
            <w:vAlign w:val="bottom"/>
            <w:gridSpan w:val="5"/>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Mine Safety Disclosures</w:t>
              </w:r>
            </w:hyperlink>
          </w:p>
        </w:tc>
        <w:tc>
          <w:tcPr>
            <w:tcW w:w="540" w:type="dxa"/>
            <w:vAlign w:val="bottom"/>
            <w:gridSpan w:val="2"/>
          </w:tcPr>
          <w:p>
            <w:pPr>
              <w:spacing w:after="0"/>
              <w:rPr>
                <w:sz w:val="18"/>
                <w:szCs w:val="18"/>
                <w:color w:val="auto"/>
              </w:rPr>
            </w:pPr>
          </w:p>
        </w:tc>
        <w:tc>
          <w:tcPr>
            <w:tcW w:w="7320" w:type="dxa"/>
            <w:vAlign w:val="bottom"/>
            <w:gridSpan w:val="11"/>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69</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860" w:type="dxa"/>
            <w:vAlign w:val="bottom"/>
            <w:gridSpan w:val="13"/>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Item 5</w:t>
              </w:r>
            </w:hyperlink>
            <w:r>
              <w:rPr>
                <w:rFonts w:ascii="Arial" w:cs="Arial" w:eastAsia="Arial" w:hAnsi="Arial"/>
                <w:sz w:val="18"/>
                <w:szCs w:val="18"/>
                <w:color w:val="000000"/>
                <w:w w:val="79"/>
              </w:rPr>
              <w:t>.</w:t>
            </w:r>
          </w:p>
        </w:tc>
        <w:tc>
          <w:tcPr>
            <w:tcW w:w="520" w:type="dxa"/>
            <w:vAlign w:val="bottom"/>
            <w:gridSpan w:val="4"/>
          </w:tcPr>
          <w:p>
            <w:pPr>
              <w:spacing w:after="0"/>
              <w:rPr>
                <w:sz w:val="18"/>
                <w:szCs w:val="18"/>
                <w:color w:val="auto"/>
              </w:rPr>
            </w:pPr>
          </w:p>
        </w:tc>
        <w:tc>
          <w:tcPr>
            <w:tcW w:w="1780" w:type="dxa"/>
            <w:vAlign w:val="bottom"/>
            <w:gridSpan w:val="5"/>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Other Information</w:t>
              </w:r>
            </w:hyperlink>
          </w:p>
        </w:tc>
        <w:tc>
          <w:tcPr>
            <w:tcW w:w="7860" w:type="dxa"/>
            <w:vAlign w:val="bottom"/>
            <w:gridSpan w:val="13"/>
          </w:tcPr>
          <w:p>
            <w:pPr>
              <w:spacing w:after="0"/>
              <w:rPr>
                <w:sz w:val="18"/>
                <w:szCs w:val="18"/>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70</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20" w:type="dxa"/>
            <w:vAlign w:val="bottom"/>
            <w:gridSpan w:val="14"/>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Item 6.</w:t>
              </w:r>
            </w:hyperlink>
          </w:p>
        </w:tc>
        <w:tc>
          <w:tcPr>
            <w:tcW w:w="520" w:type="dxa"/>
            <w:vAlign w:val="bottom"/>
            <w:gridSpan w:val="4"/>
          </w:tcPr>
          <w:p>
            <w:pPr>
              <w:spacing w:after="0"/>
              <w:rPr>
                <w:sz w:val="18"/>
                <w:szCs w:val="18"/>
                <w:color w:val="auto"/>
              </w:rPr>
            </w:pPr>
          </w:p>
        </w:tc>
        <w:tc>
          <w:tcPr>
            <w:tcW w:w="9640" w:type="dxa"/>
            <w:vAlign w:val="bottom"/>
            <w:gridSpan w:val="18"/>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Exhibits</w:t>
              </w:r>
            </w:hyperlink>
          </w:p>
        </w:tc>
        <w:tc>
          <w:tcPr>
            <w:tcW w:w="340" w:type="dxa"/>
            <w:vAlign w:val="bottom"/>
            <w:gridSpan w:val="2"/>
          </w:tcPr>
          <w:p>
            <w:pPr>
              <w:jc w:val="center"/>
              <w:ind w:left="70"/>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70</w:t>
              </w:r>
            </w:hyperlink>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18"/>
                <w:szCs w:val="18"/>
                <w:b w:val="1"/>
                <w:bCs w:val="1"/>
                <w:color w:val="0000FF"/>
              </w:rPr>
            </w:pPr>
            <w:hyperlink w:anchor="page70">
              <w:r>
                <w:rPr>
                  <w:rFonts w:ascii="Arial" w:cs="Arial" w:eastAsia="Arial" w:hAnsi="Arial"/>
                  <w:sz w:val="18"/>
                  <w:szCs w:val="18"/>
                  <w:b w:val="1"/>
                  <w:bCs w:val="1"/>
                  <w:color w:val="0000FF"/>
                </w:rPr>
                <w:t>Signatures</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2"/>
          </w:tcPr>
          <w:p>
            <w:pPr>
              <w:jc w:val="center"/>
              <w:ind w:left="70"/>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71</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5780" w:type="dxa"/>
            <w:vAlign w:val="bottom"/>
            <w:gridSpan w:val="12"/>
          </w:tcPr>
          <w:p>
            <w:pPr>
              <w:ind w:left="456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PART I</w:t>
      </w:r>
      <w:r>
        <w:rPr>
          <w:sz w:val="20"/>
          <w:szCs w:val="20"/>
          <w:color w:val="auto"/>
        </w:rPr>
        <w:tab/>
      </w:r>
      <w:r>
        <w:rPr>
          <w:rFonts w:ascii="Arial" w:cs="Arial" w:eastAsia="Arial" w:hAnsi="Arial"/>
          <w:sz w:val="22"/>
          <w:szCs w:val="22"/>
          <w:b w:val="1"/>
          <w:bCs w:val="1"/>
          <w:color w:val="auto"/>
        </w:rPr>
        <w:t>FINANCIAL INFORMATION</w:t>
      </w:r>
    </w:p>
    <w:p>
      <w:pPr>
        <w:spacing w:after="0" w:line="1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Arial" w:cs="Arial" w:eastAsia="Arial" w:hAnsi="Arial"/>
                <w:sz w:val="16"/>
                <w:szCs w:val="16"/>
                <w:b w:val="1"/>
                <w:bCs w:val="1"/>
                <w:color w:val="auto"/>
                <w:w w:val="98"/>
              </w:rPr>
              <w:t>December 31, 2021</w:t>
            </w:r>
          </w:p>
        </w:tc>
        <w:tc>
          <w:tcPr>
            <w:tcW w:w="0" w:type="dxa"/>
            <w:vAlign w:val="bottom"/>
          </w:tcPr>
          <w:p>
            <w:pPr>
              <w:spacing w:after="0"/>
              <w:rPr>
                <w:sz w:val="1"/>
                <w:szCs w:val="1"/>
                <w:color w:val="auto"/>
              </w:rPr>
            </w:pP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Real estate portfolio:</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leases - sales-type,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17,113,699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c>
          <w:tcPr>
            <w:tcW w:w="0" w:type="dxa"/>
            <w:vAlign w:val="bottom"/>
          </w:tcPr>
          <w:p>
            <w:pPr>
              <w:spacing w:after="0"/>
              <w:rPr>
                <w:sz w:val="1"/>
                <w:szCs w:val="1"/>
                <w:color w:val="auto"/>
              </w:rPr>
            </w:pPr>
          </w:p>
        </w:tc>
      </w:tr>
      <w:tr>
        <w:trPr>
          <w:trHeight w:val="230"/>
        </w:trPr>
        <w:tc>
          <w:tcPr>
            <w:tcW w:w="7140" w:type="dxa"/>
            <w:vAlign w:val="bottom"/>
          </w:tcPr>
          <w:p>
            <w:pPr>
              <w:ind w:left="460"/>
              <w:spacing w:after="0"/>
              <w:rPr>
                <w:sz w:val="20"/>
                <w:szCs w:val="20"/>
                <w:color w:val="auto"/>
              </w:rPr>
            </w:pPr>
            <w:r>
              <w:rPr>
                <w:rFonts w:ascii="Arial" w:cs="Arial" w:eastAsia="Arial" w:hAnsi="Arial"/>
                <w:sz w:val="18"/>
                <w:szCs w:val="18"/>
                <w:color w:val="auto"/>
              </w:rPr>
              <w:t>Investments in leases - financing receivables, net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2,650,633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2,644,824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loans, net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0" w:type="dxa"/>
            <w:vAlign w:val="bottom"/>
          </w:tcPr>
          <w:p>
            <w:pPr>
              <w:spacing w:after="0"/>
              <w:rPr>
                <w:sz w:val="1"/>
                <w:szCs w:val="1"/>
                <w:color w:val="auto"/>
              </w:rPr>
            </w:pPr>
          </w:p>
        </w:tc>
      </w:tr>
      <w:tr>
        <w:trPr>
          <w:trHeight w:val="229"/>
        </w:trPr>
        <w:tc>
          <w:tcPr>
            <w:tcW w:w="7140" w:type="dxa"/>
            <w:vAlign w:val="bottom"/>
          </w:tcPr>
          <w:p>
            <w:pPr>
              <w:ind w:left="460"/>
              <w:spacing w:after="0"/>
              <w:rPr>
                <w:sz w:val="20"/>
                <w:szCs w:val="20"/>
                <w:color w:val="auto"/>
              </w:rPr>
            </w:pPr>
            <w:r>
              <w:rPr>
                <w:rFonts w:ascii="Arial" w:cs="Arial" w:eastAsia="Arial" w:hAnsi="Arial"/>
                <w:sz w:val="18"/>
                <w:szCs w:val="18"/>
                <w:color w:val="auto"/>
              </w:rPr>
              <w:t>Land</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153,576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153,576</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739,614</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424,693</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21,741,321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17,597,373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Debt,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5,297,014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4,694,523</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deferred revenue</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113,530</w:t>
            </w: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Dividends payable</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269,276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226,309</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375,837</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6,257,535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5,410,199</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Commitments and contingent liabilities (Note 10)</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Stockholders’ equity</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Common stock, $0.01 par value, 1,350,000,000 shares authorized and 748,413,311 and</w:t>
            </w:r>
          </w:p>
        </w:tc>
        <w:tc>
          <w:tcPr>
            <w:tcW w:w="3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628,942,092 shares issued and outstanding at March 31, 2022 and December 31, 2021,</w:t>
            </w:r>
          </w:p>
        </w:tc>
        <w:tc>
          <w:tcPr>
            <w:tcW w:w="3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20"/>
              <w:spacing w:after="0" w:line="176" w:lineRule="exact"/>
              <w:rPr>
                <w:sz w:val="20"/>
                <w:szCs w:val="20"/>
                <w:color w:val="auto"/>
              </w:rPr>
            </w:pPr>
            <w:r>
              <w:rPr>
                <w:rFonts w:ascii="Arial" w:cs="Arial" w:eastAsia="Arial" w:hAnsi="Arial"/>
                <w:sz w:val="18"/>
                <w:szCs w:val="18"/>
                <w:color w:val="auto"/>
                <w:w w:val="93"/>
              </w:rPr>
              <w:t>Preferred stock, $0.01 par value, 50,000,000 shares authorized and no shares outstanding at</w:t>
            </w:r>
          </w:p>
        </w:tc>
        <w:tc>
          <w:tcPr>
            <w:tcW w:w="300" w:type="dxa"/>
            <w:vAlign w:val="bottom"/>
          </w:tcPr>
          <w:p>
            <w:pPr>
              <w:spacing w:after="0"/>
              <w:rPr>
                <w:sz w:val="15"/>
                <w:szCs w:val="15"/>
                <w:color w:val="auto"/>
              </w:rPr>
            </w:pPr>
          </w:p>
        </w:tc>
        <w:tc>
          <w:tcPr>
            <w:tcW w:w="1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March 31, 2022 and December 31, 2021</w:t>
            </w:r>
          </w:p>
        </w:tc>
        <w:tc>
          <w:tcPr>
            <w:tcW w:w="30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14,971,890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11,755,069</w:t>
            </w: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109,495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346,026</w:t>
            </w:r>
          </w:p>
        </w:tc>
        <w:tc>
          <w:tcPr>
            <w:tcW w:w="0" w:type="dxa"/>
            <w:vAlign w:val="bottom"/>
          </w:tcPr>
          <w:p>
            <w:pPr>
              <w:spacing w:after="0"/>
              <w:rPr>
                <w:sz w:val="1"/>
                <w:szCs w:val="1"/>
                <w:color w:val="auto"/>
              </w:rPr>
            </w:pPr>
          </w:p>
        </w:tc>
      </w:tr>
      <w:tr>
        <w:trPr>
          <w:trHeight w:val="223"/>
        </w:trPr>
        <w:tc>
          <w:tcPr>
            <w:tcW w:w="7140" w:type="dxa"/>
            <w:vAlign w:val="bottom"/>
          </w:tcPr>
          <w:p>
            <w:pPr>
              <w:ind w:left="520"/>
              <w:spacing w:after="0"/>
              <w:rPr>
                <w:sz w:val="20"/>
                <w:szCs w:val="20"/>
                <w:color w:val="auto"/>
              </w:rPr>
            </w:pPr>
            <w:r>
              <w:rPr>
                <w:rFonts w:ascii="Arial" w:cs="Arial" w:eastAsia="Arial" w:hAnsi="Arial"/>
                <w:sz w:val="18"/>
                <w:szCs w:val="18"/>
                <w:color w:val="auto"/>
              </w:rPr>
              <w:t>Total VICI stockholders’ equity</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15,404,678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12,108,268</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78,906</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15,483,786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12,187,174</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21,741,321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17,597,373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jc w:val="both"/>
        <w:spacing w:after="0" w:line="257" w:lineRule="auto"/>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Note: As of March 31, 2022 and December 31, 2021, our Investments in leases - sales-type, Investments in leases - financing receivables, Investments in loans and Other assets (sales-type sub-leases) are net of $504.2 million, $92.0 million, $1.1 million and $8.8 million, respectively, and $434.9 million, $91.1 million, $0.8 million and $6.5 million of Allowance for credit losses, respectively. Refer to </w:t>
      </w:r>
      <w:hyperlink w:anchor="page31">
        <w:r>
          <w:rPr>
            <w:rFonts w:ascii="Arial" w:cs="Arial" w:eastAsia="Arial" w:hAnsi="Arial"/>
            <w:sz w:val="14"/>
            <w:szCs w:val="14"/>
            <w:i w:val="1"/>
            <w:iCs w:val="1"/>
            <w:u w:val="single" w:color="auto"/>
            <w:color w:val="0000FF"/>
          </w:rPr>
          <w:t>Note 5 - Allowance for Credit Losses</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i w:val="1"/>
          <w:iCs w:val="1"/>
          <w:color w:val="auto"/>
        </w:rPr>
        <w:t>for further details.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0"/>
              <w:spacing w:after="0"/>
              <w:rPr>
                <w:sz w:val="20"/>
                <w:szCs w:val="20"/>
                <w:color w:val="auto"/>
              </w:rPr>
            </w:pPr>
            <w:r>
              <w:rPr>
                <w:rFonts w:ascii="Arial" w:cs="Arial" w:eastAsia="Arial" w:hAnsi="Arial"/>
                <w:sz w:val="16"/>
                <w:szCs w:val="16"/>
                <w:b w:val="1"/>
                <w:bCs w:val="1"/>
                <w:color w:val="auto"/>
              </w:rPr>
              <w:t>2021</w:t>
            </w:r>
          </w:p>
        </w:tc>
      </w:tr>
      <w:tr>
        <w:trPr>
          <w:trHeight w:val="212"/>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Income from sales-type leases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326,735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290,146</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70,377</w:t>
            </w: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6,974</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Golf revenues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w:t>
            </w:r>
          </w:p>
        </w:tc>
      </w:tr>
      <w:tr>
        <w:trPr>
          <w:trHeight w:val="223"/>
        </w:trPr>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revenues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374,310</w:t>
            </w:r>
          </w:p>
        </w:tc>
      </w:tr>
      <w:tr>
        <w:trPr>
          <w:trHeight w:val="237"/>
        </w:trPr>
        <w:tc>
          <w:tcPr>
            <w:tcW w:w="7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Golf expenses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4,506</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allowance for credit losses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Transaction and acquisition expenses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8,721</w:t>
            </w: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24,698</w:t>
            </w:r>
          </w:p>
        </w:tc>
      </w:tr>
      <w:tr>
        <w:trPr>
          <w:trHeight w:val="237"/>
        </w:trPr>
        <w:tc>
          <w:tcPr>
            <w:tcW w:w="7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(77,048)</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272,583</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272,099</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income attributable to non-controlling interest</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269,801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Net income per common share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Basic</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56"/>
        </w:trPr>
        <w:tc>
          <w:tcPr>
            <w:tcW w:w="7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Weighted average number of shares of common stock outstanding</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684,341,045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536,480,505</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687,914,683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544,801,802</w:t>
            </w:r>
          </w:p>
        </w:tc>
      </w:tr>
      <w:tr>
        <w:trPr>
          <w:trHeight w:val="257"/>
        </w:trPr>
        <w:tc>
          <w:tcPr>
            <w:tcW w:w="7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240,383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269,801</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cash flow hedges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108,611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12,378</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Comprehensive income attributable to common stockholders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348,994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282,179</w:t>
            </w:r>
          </w:p>
        </w:tc>
      </w:tr>
      <w:tr>
        <w:trPr>
          <w:trHeight w:val="21"/>
        </w:trPr>
        <w:tc>
          <w:tcPr>
            <w:tcW w:w="7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Additional Paid-</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VICI</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06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9,363,539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9,415,839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9,493,745</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269,801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269,801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272,099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w w:val="98"/>
              </w:rPr>
              <w:t>Dividends declared ($0.3300 per common</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(177,217)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(177,217)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(177,217)</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share)</w:t>
            </w: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12,378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12,378</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9,364,294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(80,143)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9,521,559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9,599,692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11,755,069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12,108,268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12,187,174</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240,383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240,383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242,688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3,218,097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3,218,097</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Dividends declared ($0.3600 per common</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(270,600)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(270,600)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(270,600)</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108,611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108,611</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7,484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14,971,890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109,495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315,809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15,404,678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79,108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15,483,786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0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0"/>
              <w:spacing w:after="0"/>
              <w:rPr>
                <w:sz w:val="20"/>
                <w:szCs w:val="20"/>
                <w:color w:val="auto"/>
              </w:rPr>
            </w:pPr>
            <w:r>
              <w:rPr>
                <w:rFonts w:ascii="Arial" w:cs="Arial" w:eastAsia="Arial" w:hAnsi="Arial"/>
                <w:sz w:val="16"/>
                <w:szCs w:val="16"/>
                <w:b w:val="1"/>
                <w:bCs w:val="1"/>
                <w:color w:val="auto"/>
              </w:rPr>
              <w:t>2021</w:t>
            </w: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242,688</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272,099</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060" w:type="dxa"/>
            <w:vAlign w:val="bottom"/>
          </w:tcPr>
          <w:p>
            <w:pPr>
              <w:ind w:left="440"/>
              <w:spacing w:after="0"/>
              <w:rPr>
                <w:sz w:val="20"/>
                <w:szCs w:val="20"/>
                <w:color w:val="auto"/>
              </w:rPr>
            </w:pPr>
            <w:r>
              <w:rPr>
                <w:rFonts w:ascii="Arial" w:cs="Arial" w:eastAsia="Arial" w:hAnsi="Arial"/>
                <w:sz w:val="18"/>
                <w:szCs w:val="18"/>
                <w:color w:val="auto"/>
              </w:rPr>
              <w:t>Non-cash leasing and financing adjustments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(35,564)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(28,134)</w:t>
            </w:r>
          </w:p>
        </w:tc>
      </w:tr>
      <w:tr>
        <w:trPr>
          <w:trHeight w:val="230"/>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r>
      <w:tr>
        <w:trPr>
          <w:trHeight w:val="229"/>
        </w:trPr>
        <w:tc>
          <w:tcPr>
            <w:tcW w:w="706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29"/>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debt issuance costs and original issue discount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r>
      <w:tr>
        <w:trPr>
          <w:trHeight w:val="230"/>
        </w:trPr>
        <w:tc>
          <w:tcPr>
            <w:tcW w:w="7060" w:type="dxa"/>
            <w:vAlign w:val="bottom"/>
          </w:tcPr>
          <w:p>
            <w:pPr>
              <w:ind w:left="440"/>
              <w:spacing w:after="0"/>
              <w:rPr>
                <w:sz w:val="20"/>
                <w:szCs w:val="20"/>
                <w:color w:val="auto"/>
              </w:rPr>
            </w:pPr>
            <w:r>
              <w:rPr>
                <w:rFonts w:ascii="Arial" w:cs="Arial" w:eastAsia="Arial" w:hAnsi="Arial"/>
                <w:sz w:val="18"/>
                <w:szCs w:val="18"/>
                <w:color w:val="auto"/>
              </w:rPr>
              <w:t>Change in allowance for credit losses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80,820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(4,380)</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0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(1,539)</w:t>
            </w:r>
          </w:p>
        </w:tc>
      </w:tr>
      <w:tr>
        <w:trPr>
          <w:trHeight w:val="229"/>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deferred revenue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(92,513)</w:t>
            </w:r>
          </w:p>
        </w:tc>
      </w:tr>
      <w:tr>
        <w:trPr>
          <w:trHeight w:val="229"/>
        </w:trPr>
        <w:tc>
          <w:tcPr>
            <w:tcW w:w="70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liabilities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23"/>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298,173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155,726</w:t>
            </w:r>
          </w:p>
        </w:tc>
      </w:tr>
      <w:tr>
        <w:trPr>
          <w:trHeight w:val="183"/>
        </w:trPr>
        <w:tc>
          <w:tcPr>
            <w:tcW w:w="7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Investments in leases - sales-type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(4,012,096)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leases - financing receivables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Investments in loans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(15,559)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repayments of lease financing receivables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Principal repayments of loans and receipts of deferred fees</w:t>
            </w:r>
          </w:p>
        </w:tc>
        <w:tc>
          <w:tcPr>
            <w:tcW w:w="4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transaction costs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Maturities of short-term investments</w:t>
            </w:r>
          </w:p>
        </w:tc>
        <w:tc>
          <w:tcPr>
            <w:tcW w:w="4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19,973</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property and equipment</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r>
      <w:tr>
        <w:trPr>
          <w:trHeight w:val="223"/>
        </w:trPr>
        <w:tc>
          <w:tcPr>
            <w:tcW w:w="7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provided by investing activities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(4,028,245)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32,409</w:t>
            </w:r>
          </w:p>
        </w:tc>
      </w:tr>
      <w:tr>
        <w:trPr>
          <w:trHeight w:val="183"/>
        </w:trPr>
        <w:tc>
          <w:tcPr>
            <w:tcW w:w="7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offering of common stock, net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3,219,123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Proceeds from Revolving Credit Facility</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Repurchase of stock for tax withholding</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(1,519)</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r>
      <w:tr>
        <w:trPr>
          <w:trHeight w:val="230"/>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 paid</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(227,863)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(178,008)</w:t>
            </w:r>
          </w:p>
        </w:tc>
      </w:tr>
      <w:tr>
        <w:trPr>
          <w:trHeight w:val="223"/>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3,559,160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(181,598)</w:t>
            </w:r>
          </w:p>
        </w:tc>
      </w:tr>
      <w:tr>
        <w:trPr>
          <w:trHeight w:val="196"/>
        </w:trPr>
        <w:tc>
          <w:tcPr>
            <w:tcW w:w="7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322,530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48,921</w:t>
            </w: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69,704</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1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declared, not paid</w:t>
            </w:r>
          </w:p>
        </w:tc>
        <w:tc>
          <w:tcPr>
            <w:tcW w:w="1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269,429</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177,217</w:t>
            </w: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Debt issuance costs payable</w:t>
            </w: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465</w:t>
            </w: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17,341</w:t>
            </w: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transaction costs payable</w:t>
            </w:r>
          </w:p>
        </w:tc>
        <w:tc>
          <w:tcPr>
            <w:tcW w:w="1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Non-cash change in Investments in leases - financing receivables</w:t>
            </w: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6,696</w:t>
            </w: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4,673</w:t>
            </w: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liabilities arising from obtaining right-of-use assets</w:t>
            </w:r>
          </w:p>
        </w:tc>
        <w:tc>
          <w:tcPr>
            <w:tcW w:w="1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208,949</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Arial" w:cs="Arial" w:eastAsia="Arial" w:hAnsi="Arial"/>
                <w:sz w:val="16"/>
                <w:szCs w:val="16"/>
                <w:b w:val="1"/>
                <w:bCs w:val="1"/>
                <w:color w:val="auto"/>
                <w:w w:val="98"/>
              </w:rPr>
              <w:t>December 31, 2021</w:t>
            </w:r>
          </w:p>
        </w:tc>
        <w:tc>
          <w:tcPr>
            <w:tcW w:w="0" w:type="dxa"/>
            <w:vAlign w:val="bottom"/>
          </w:tcPr>
          <w:p>
            <w:pPr>
              <w:spacing w:after="0"/>
              <w:rPr>
                <w:sz w:val="1"/>
                <w:szCs w:val="1"/>
                <w:color w:val="auto"/>
              </w:rPr>
            </w:pPr>
          </w:p>
        </w:tc>
      </w:tr>
      <w:tr>
        <w:trPr>
          <w:trHeight w:val="212"/>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Real estate portfolio:</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leases - sales-type,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17,113,699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c>
          <w:tcPr>
            <w:tcW w:w="0" w:type="dxa"/>
            <w:vAlign w:val="bottom"/>
          </w:tcPr>
          <w:p>
            <w:pPr>
              <w:spacing w:after="0"/>
              <w:rPr>
                <w:sz w:val="1"/>
                <w:szCs w:val="1"/>
                <w:color w:val="auto"/>
              </w:rPr>
            </w:pPr>
          </w:p>
        </w:tc>
      </w:tr>
      <w:tr>
        <w:trPr>
          <w:trHeight w:val="229"/>
        </w:trPr>
        <w:tc>
          <w:tcPr>
            <w:tcW w:w="7140" w:type="dxa"/>
            <w:vAlign w:val="bottom"/>
          </w:tcPr>
          <w:p>
            <w:pPr>
              <w:ind w:left="460"/>
              <w:spacing w:after="0"/>
              <w:rPr>
                <w:sz w:val="20"/>
                <w:szCs w:val="20"/>
                <w:color w:val="auto"/>
              </w:rPr>
            </w:pPr>
            <w:r>
              <w:rPr>
                <w:rFonts w:ascii="Arial" w:cs="Arial" w:eastAsia="Arial" w:hAnsi="Arial"/>
                <w:sz w:val="18"/>
                <w:szCs w:val="18"/>
                <w:color w:val="auto"/>
              </w:rPr>
              <w:t>Investments in leases - financing receivables, net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2,650,633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2,644,824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loans, net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0" w:type="dxa"/>
            <w:vAlign w:val="bottom"/>
          </w:tcPr>
          <w:p>
            <w:pPr>
              <w:spacing w:after="0"/>
              <w:rPr>
                <w:sz w:val="1"/>
                <w:szCs w:val="1"/>
                <w:color w:val="auto"/>
              </w:rPr>
            </w:pPr>
          </w:p>
        </w:tc>
      </w:tr>
      <w:tr>
        <w:trPr>
          <w:trHeight w:val="230"/>
        </w:trPr>
        <w:tc>
          <w:tcPr>
            <w:tcW w:w="7140" w:type="dxa"/>
            <w:vAlign w:val="bottom"/>
          </w:tcPr>
          <w:p>
            <w:pPr>
              <w:ind w:left="460"/>
              <w:spacing w:after="0"/>
              <w:rPr>
                <w:sz w:val="20"/>
                <w:szCs w:val="20"/>
                <w:color w:val="auto"/>
              </w:rPr>
            </w:pPr>
            <w:r>
              <w:rPr>
                <w:rFonts w:ascii="Arial" w:cs="Arial" w:eastAsia="Arial" w:hAnsi="Arial"/>
                <w:sz w:val="18"/>
                <w:szCs w:val="18"/>
                <w:color w:val="auto"/>
              </w:rPr>
              <w:t>Land</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153,576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153,576</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705,566</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661,678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344,014</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21,626,521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17,482,646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Debt,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5,297,014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4,694,523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deferred revenue</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110,056</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Distributions payable</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269,276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226,309</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577,547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361,270</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6,239,095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5,392,158</w:t>
            </w: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Commitments and contingent liabilities (Note 10)</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Partners’ Capital</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Partners’ capital, 748,413,311 and 628,942,092 operating partnership units issued and</w:t>
            </w:r>
          </w:p>
        </w:tc>
        <w:tc>
          <w:tcPr>
            <w:tcW w:w="3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15,198,823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12,010,698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as of March 31, 2022 and December 31, 2021, respectively</w:t>
            </w:r>
          </w:p>
        </w:tc>
        <w:tc>
          <w:tcPr>
            <w:tcW w:w="30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VICI LP’s capital</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15,308,318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12,011,582</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78,906</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capital attributable to partners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15,387,426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12,090,488</w:t>
            </w:r>
          </w:p>
        </w:tc>
        <w:tc>
          <w:tcPr>
            <w:tcW w:w="0" w:type="dxa"/>
            <w:vAlign w:val="bottom"/>
          </w:tcPr>
          <w:p>
            <w:pPr>
              <w:spacing w:after="0"/>
              <w:rPr>
                <w:sz w:val="1"/>
                <w:szCs w:val="1"/>
                <w:color w:val="auto"/>
              </w:rPr>
            </w:pPr>
          </w:p>
        </w:tc>
      </w:tr>
      <w:tr>
        <w:trPr>
          <w:trHeight w:val="223"/>
        </w:trPr>
        <w:tc>
          <w:tcPr>
            <w:tcW w:w="7140" w:type="dxa"/>
            <w:vAlign w:val="bottom"/>
          </w:tcPr>
          <w:p>
            <w:pPr>
              <w:ind w:left="720"/>
              <w:spacing w:after="0"/>
              <w:rPr>
                <w:sz w:val="20"/>
                <w:szCs w:val="20"/>
                <w:color w:val="auto"/>
              </w:rPr>
            </w:pPr>
            <w:r>
              <w:rPr>
                <w:rFonts w:ascii="Arial" w:cs="Arial" w:eastAsia="Arial" w:hAnsi="Arial"/>
                <w:sz w:val="18"/>
                <w:szCs w:val="18"/>
                <w:color w:val="auto"/>
              </w:rPr>
              <w:t>Total liabilities and partners’ capital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21,626,521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17,482,646</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jc w:val="both"/>
        <w:spacing w:after="0" w:line="257" w:lineRule="auto"/>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Note: As of March 31, 2022 and December 31, 2021, our Investments in leases - sales-type, Investments in leases - financing receivables, Investments in loans and Other assets (sales-type sub-leases) are net of $504.2 million, $92.0 million, $1.1 million and $8.8 million, respectively, and $434.9 million, $91.1 million, $0.8 million and $6.5 million of Allowance for credit losses, respectively. Refer to </w:t>
      </w:r>
      <w:hyperlink w:anchor="page31">
        <w:r>
          <w:rPr>
            <w:rFonts w:ascii="Arial" w:cs="Arial" w:eastAsia="Arial" w:hAnsi="Arial"/>
            <w:sz w:val="14"/>
            <w:szCs w:val="14"/>
            <w:i w:val="1"/>
            <w:iCs w:val="1"/>
            <w:u w:val="single" w:color="auto"/>
            <w:color w:val="0000FF"/>
          </w:rPr>
          <w:t>Note 5 - Allowance for Credit Losses</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i w:val="1"/>
          <w:iCs w:val="1"/>
          <w:color w:val="auto"/>
        </w:rPr>
        <w:t>for further details.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L.P.</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0"/>
              <w:spacing w:after="0"/>
              <w:rPr>
                <w:sz w:val="20"/>
                <w:szCs w:val="20"/>
                <w:color w:val="auto"/>
              </w:rPr>
            </w:pPr>
            <w:r>
              <w:rPr>
                <w:rFonts w:ascii="Arial" w:cs="Arial" w:eastAsia="Arial" w:hAnsi="Arial"/>
                <w:sz w:val="16"/>
                <w:szCs w:val="16"/>
                <w:b w:val="1"/>
                <w:bCs w:val="1"/>
                <w:color w:val="auto"/>
              </w:rPr>
              <w:t>2021</w:t>
            </w:r>
          </w:p>
        </w:tc>
      </w:tr>
      <w:tr>
        <w:trPr>
          <w:trHeight w:val="212"/>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Income from sales-type leases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326,735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290,146</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70,377</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6,974</w:t>
            </w: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367,497</w:t>
            </w:r>
          </w:p>
        </w:tc>
      </w:tr>
      <w:tr>
        <w:trPr>
          <w:trHeight w:val="257"/>
        </w:trPr>
        <w:tc>
          <w:tcPr>
            <w:tcW w:w="7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8,085</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Other expenses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6,974</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allowance for credit losses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Transaction and acquisition expenses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8,721</w:t>
            </w: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19,432</w:t>
            </w:r>
          </w:p>
        </w:tc>
      </w:tr>
      <w:tr>
        <w:trPr>
          <w:trHeight w:val="236"/>
        </w:trPr>
        <w:tc>
          <w:tcPr>
            <w:tcW w:w="7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(77,048)</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271,033</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270,891</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income attributable to non-controlling interest</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partners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268,593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Net income per Partnership unit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Basic</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57"/>
        </w:trPr>
        <w:tc>
          <w:tcPr>
            <w:tcW w:w="7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Weighted average number of Partnership units outstanding</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684,341,045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536,480,505</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687,914,683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544,801,802</w:t>
            </w:r>
          </w:p>
        </w:tc>
      </w:tr>
      <w:tr>
        <w:trPr>
          <w:trHeight w:val="256"/>
        </w:trPr>
        <w:tc>
          <w:tcPr>
            <w:tcW w:w="7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Net income attributable to partners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238,347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268,593</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cash flow hedges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108,611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12,378</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Comprehensive income attributable to partners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346,958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280,971</w:t>
            </w:r>
          </w:p>
        </w:tc>
      </w:tr>
      <w:tr>
        <w:trPr>
          <w:trHeight w:val="20"/>
        </w:trPr>
        <w:tc>
          <w:tcPr>
            <w:tcW w:w="7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L.P.</w:t>
      </w:r>
    </w:p>
    <w:p>
      <w:pPr>
        <w:jc w:val="center"/>
        <w:spacing w:after="0"/>
        <w:rPr>
          <w:sz w:val="20"/>
          <w:szCs w:val="20"/>
          <w:color w:val="auto"/>
        </w:rPr>
      </w:pPr>
      <w:r>
        <w:rPr>
          <w:rFonts w:ascii="Arial" w:cs="Arial" w:eastAsia="Arial" w:hAnsi="Arial"/>
          <w:sz w:val="20"/>
          <w:szCs w:val="20"/>
          <w:b w:val="1"/>
          <w:bCs w:val="1"/>
          <w:color w:val="auto"/>
        </w:rPr>
        <w:t>CONSOLIDATED STATEMENTS OF PARTNERS’ CAPITAL</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Partners’ Capital</w:t>
            </w:r>
          </w:p>
        </w:tc>
        <w:tc>
          <w:tcPr>
            <w:tcW w:w="22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Non-Controlling Interest</w:t>
            </w:r>
          </w:p>
        </w:tc>
        <w:tc>
          <w:tcPr>
            <w:tcW w:w="460" w:type="dxa"/>
            <w:vAlign w:val="bottom"/>
          </w:tcPr>
          <w:p>
            <w:pPr>
              <w:spacing w:after="0"/>
              <w:rPr>
                <w:sz w:val="14"/>
                <w:szCs w:val="14"/>
                <w:color w:val="auto"/>
              </w:rPr>
            </w:pPr>
          </w:p>
        </w:tc>
        <w:tc>
          <w:tcPr>
            <w:tcW w:w="1480" w:type="dxa"/>
            <w:vAlign w:val="bottom"/>
            <w:vMerge w:val="restart"/>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 Income (Loss)</w:t>
            </w:r>
          </w:p>
        </w:tc>
        <w:tc>
          <w:tcPr>
            <w:tcW w:w="1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9,417,794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77,906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9,403,179</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268,593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2,298.000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270,891</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Contributions from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13,173</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Distributions to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(189,915)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(189,915)</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w w:val="97"/>
              </w:rPr>
              <w:t>Stock-based compensation, net of forfeitures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2,252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12,378</w:t>
            </w:r>
          </w:p>
        </w:tc>
        <w:tc>
          <w:tcPr>
            <w:tcW w:w="0" w:type="dxa"/>
            <w:vAlign w:val="bottom"/>
          </w:tcPr>
          <w:p>
            <w:pPr>
              <w:spacing w:after="0"/>
              <w:rPr>
                <w:sz w:val="1"/>
                <w:szCs w:val="1"/>
                <w:color w:val="auto"/>
              </w:rPr>
            </w:pPr>
          </w:p>
        </w:tc>
      </w:tr>
      <w:tr>
        <w:trPr>
          <w:trHeight w:val="183"/>
        </w:trPr>
        <w:tc>
          <w:tcPr>
            <w:tcW w:w="31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as of March 31, 2021</w:t>
            </w: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9,511,897</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(80,143)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78,133</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9,509,887</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12,010,698</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78,906</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12,090,488</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240,653</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Contributions from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3,229,165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3,229,165</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(281,990)</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(2,103)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Stock-based compensation, net of forfeitures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108,611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108,611</w:t>
            </w:r>
          </w:p>
        </w:tc>
        <w:tc>
          <w:tcPr>
            <w:tcW w:w="0" w:type="dxa"/>
            <w:vAlign w:val="bottom"/>
          </w:tcPr>
          <w:p>
            <w:pPr>
              <w:spacing w:after="0"/>
              <w:rPr>
                <w:sz w:val="1"/>
                <w:szCs w:val="1"/>
                <w:color w:val="auto"/>
              </w:rPr>
            </w:pPr>
          </w:p>
        </w:tc>
      </w:tr>
      <w:tr>
        <w:trPr>
          <w:trHeight w:val="23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15,198,823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15,387,426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VICI PROPERTIES L.P.</w:t>
      </w:r>
    </w:p>
    <w:p>
      <w:pPr>
        <w:jc w:val="center"/>
        <w:ind w:right="-139"/>
        <w:spacing w:after="0"/>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0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0"/>
              <w:spacing w:after="0"/>
              <w:rPr>
                <w:sz w:val="20"/>
                <w:szCs w:val="20"/>
                <w:color w:val="auto"/>
              </w:rPr>
            </w:pPr>
            <w:r>
              <w:rPr>
                <w:rFonts w:ascii="Arial" w:cs="Arial" w:eastAsia="Arial" w:hAnsi="Arial"/>
                <w:sz w:val="16"/>
                <w:szCs w:val="16"/>
                <w:b w:val="1"/>
                <w:bCs w:val="1"/>
                <w:color w:val="auto"/>
              </w:rPr>
              <w:t>2021</w:t>
            </w: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240,652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270,891</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000" w:type="dxa"/>
            <w:vAlign w:val="bottom"/>
          </w:tcPr>
          <w:p>
            <w:pPr>
              <w:ind w:left="460"/>
              <w:spacing w:after="0"/>
              <w:rPr>
                <w:sz w:val="20"/>
                <w:szCs w:val="20"/>
                <w:color w:val="auto"/>
              </w:rPr>
            </w:pPr>
            <w:r>
              <w:rPr>
                <w:rFonts w:ascii="Arial" w:cs="Arial" w:eastAsia="Arial" w:hAnsi="Arial"/>
                <w:sz w:val="18"/>
                <w:szCs w:val="18"/>
                <w:color w:val="auto"/>
              </w:rPr>
              <w:t>Non-cash leasing and financing adjustments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(35,564)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(28,134)</w:t>
            </w:r>
          </w:p>
        </w:tc>
      </w:tr>
      <w:tr>
        <w:trPr>
          <w:trHeight w:val="229"/>
        </w:trPr>
        <w:tc>
          <w:tcPr>
            <w:tcW w:w="7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29"/>
        </w:trPr>
        <w:tc>
          <w:tcPr>
            <w:tcW w:w="700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debt issuance costs and original issue discount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r>
      <w:tr>
        <w:trPr>
          <w:trHeight w:val="229"/>
        </w:trPr>
        <w:tc>
          <w:tcPr>
            <w:tcW w:w="7000" w:type="dxa"/>
            <w:vAlign w:val="bottom"/>
          </w:tcPr>
          <w:p>
            <w:pPr>
              <w:ind w:left="460"/>
              <w:spacing w:after="0"/>
              <w:rPr>
                <w:sz w:val="20"/>
                <w:szCs w:val="20"/>
                <w:color w:val="auto"/>
              </w:rPr>
            </w:pPr>
            <w:r>
              <w:rPr>
                <w:rFonts w:ascii="Arial" w:cs="Arial" w:eastAsia="Arial" w:hAnsi="Arial"/>
                <w:sz w:val="18"/>
                <w:szCs w:val="18"/>
                <w:color w:val="auto"/>
              </w:rPr>
              <w:t>Change in allowance for credit losses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80,820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(4,380)</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00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(1,095)</w:t>
            </w:r>
          </w:p>
        </w:tc>
      </w:tr>
      <w:tr>
        <w:trPr>
          <w:trHeight w:val="229"/>
        </w:trPr>
        <w:tc>
          <w:tcPr>
            <w:tcW w:w="7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expenses and deferred revenue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(89,781)</w:t>
            </w:r>
          </w:p>
        </w:tc>
      </w:tr>
      <w:tr>
        <w:trPr>
          <w:trHeight w:val="230"/>
        </w:trPr>
        <w:tc>
          <w:tcPr>
            <w:tcW w:w="70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liabilities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7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156,350</w:t>
            </w:r>
          </w:p>
        </w:tc>
      </w:tr>
      <w:tr>
        <w:trPr>
          <w:trHeight w:val="183"/>
        </w:trPr>
        <w:tc>
          <w:tcPr>
            <w:tcW w:w="7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Investments in leases - sales-type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(4,012,096)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leases - financing receivables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Investments in loans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(15,559)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repayments of lease financing receivables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Principal repayments of loans and receipts of deferred fees</w:t>
            </w:r>
          </w:p>
        </w:tc>
        <w:tc>
          <w:tcPr>
            <w:tcW w:w="4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transaction costs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Maturities of short-term investments</w:t>
            </w:r>
          </w:p>
        </w:tc>
        <w:tc>
          <w:tcPr>
            <w:tcW w:w="4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19,973</w:t>
            </w: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property and equipment</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0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provided by investing activities</w:t>
            </w:r>
          </w:p>
        </w:tc>
        <w:tc>
          <w:tcPr>
            <w:tcW w:w="4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(4,027,791)</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33,643</w:t>
            </w:r>
          </w:p>
        </w:tc>
      </w:tr>
      <w:tr>
        <w:trPr>
          <w:trHeight w:val="183"/>
        </w:trPr>
        <w:tc>
          <w:tcPr>
            <w:tcW w:w="70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Revolving Credit Facility</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Contributions from Parent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3,219,202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 to Parent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(177,000)</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(27,285)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r>
      <w:tr>
        <w:trPr>
          <w:trHeight w:val="223"/>
        </w:trPr>
        <w:tc>
          <w:tcPr>
            <w:tcW w:w="70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3,562,814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(179,071)</w:t>
            </w:r>
          </w:p>
        </w:tc>
      </w:tr>
      <w:tr>
        <w:trPr>
          <w:trHeight w:val="196"/>
        </w:trPr>
        <w:tc>
          <w:tcPr>
            <w:tcW w:w="7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(171,759)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10,922</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286,245</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533,807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297,167</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87" w:right="4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VICI PROPERTIES L.P.</w:t>
      </w:r>
    </w:p>
    <w:p>
      <w:pPr>
        <w:jc w:val="center"/>
        <w:ind w:right="-139"/>
        <w:spacing w:after="0"/>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interest</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48,921</w:t>
            </w:r>
          </w:p>
        </w:tc>
        <w:tc>
          <w:tcPr>
            <w:tcW w:w="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69,704</w:t>
            </w: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8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1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Distributions payable</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269,276</w:t>
            </w:r>
          </w:p>
        </w:tc>
        <w:tc>
          <w:tcPr>
            <w:tcW w:w="8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177,089</w:t>
            </w: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 payable</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17,341</w:t>
            </w: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Deferred transaction costs payable</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2,219</w:t>
            </w:r>
          </w:p>
        </w:tc>
        <w:tc>
          <w:tcPr>
            <w:tcW w:w="8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3,595</w:t>
            </w: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change in Investments in leases - financing receivables</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6,696</w:t>
            </w:r>
          </w:p>
        </w:tc>
        <w:tc>
          <w:tcPr>
            <w:tcW w:w="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Lease liabilities arising from obtaining right-of-use assets</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208,949</w:t>
            </w:r>
          </w:p>
        </w:tc>
        <w:tc>
          <w:tcPr>
            <w:tcW w:w="8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87" w:right="4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 AND VICI PROPERTIES L.P.</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these notes, the words the “Company,” “VICI,” “we,” “our,” and “us” refer to VICI Properties Inc. and its subsidiaries, including VICI LP, on a consolidated basis, unless otherwise stated or the context requires otherwise.</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“Apollo” refers to Apollo Global Management, Inc., a Delaware corporation, and, as the context requires, certain of its subsidiaries and affiliates.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“April 2022 Notes” refer collectively to (i) the $500.0 million aggregate principal amount of 4.375% senior unsecured notes due 2025, (ii) the $1,250.0 million aggregate principal amount of 4.750% senior unsecured notes due 2028, (iii) the $1,000.0 million aggregate principal amount of 4.950% senior unsecured notes due 2030, (iv) the $1,500.0 million aggregate principal amount of 5.125% senior unsecured notes due 2032, and (v) the $750.0 million aggregate principal amount of 5.625% senior unsecured notes due 2052, in each case issued by VICI LP in April 2022.</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“BREIT JV” refers to the joint venture between MGP and Blackstone Real Estate Income Trust, Inc. in which the Company retained MGP’s 50.1% ownership stake pursuant to the MGP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“BREIT JV Lease” refers to the lease agreement for MGM Grand Las Vegas and Mandalay Bay.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refers to Caesars Entertainment, Inc., a Delaware corporation and, as the context requires, its subsidiaries.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Las Vegas Master Lease” refers to the lease agreement for Caesars Palace Las Vegas and the Harrah’s Las Vegas facilities, as amended from time to time.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Leases” refer collectively to the Caesars Las Vegas Master Lease, the Caesars Regional Master Lease and the Joliet Lease, in each case, unless the context otherwise requires.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Regional Master Lease” refers to the lease agreement for the regional properties (other than the facility in Joliet, Illinois) leased to Caesars, as amended from time to time.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“Caesars Southern Indiana” refers to the real estate assets associated with the Caesars Southern Indiana Casino and Hotel, located in Elizabeth, Indiana, the operations of which were purchased by EBCI from Caesars on September 3, 2021, and which retained the Caesars brand name in accordance with the terms of a licensing agreement negotiated between EBCI and Caesars.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refers to Century Casinos, Inc., a Delaware corporation, and, as the context requires, its subsidiaries.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“Century Portfolio” refers to the real estate assets associated with the (i) Mountaineer Casino, Racetrack &amp; Resort located in New Cumberland, West Virginia, (ii) Century Casino Caruthersville located in Caruthersville, Missouri and (iii) Century Casino Cape Girardeau located in Cape Girardeau, Missouri, which we purchased on December 6,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Portfolio Lease” refers to the lease agreement for the Century Portfolio, as amended from time to 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“Chelsea Piers Mortgage Loan” refers to an $80.0 million mortgage loan agreement entered into on August 31, 2020 with Chelsea Piers New York with a term of seven years and secured by the Chelsea Piers complex in New York City.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“Co-Issuer” refers to VICI Note Co. Inc., a Delaware corporation, and co-issuer of the November 2019 Notes, February 2020 Notes and Exchange Notes.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“Credit Agreement” refers to the Credit Agreement, dated as of February 8, 2022, by and among VICI LP, the lenders from time to time party thereto, and JPMorgan Chase Bank, N.A., as administrative agent, as amended from time to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refers collectively to the Delayed Draw Term Loan and the 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“CSI Lease” refers to the lease agreement for Caesars Southern Indiana,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“Delayed Draw Term Loan” refers to the three-year unsecured delayed draw term loan facility of VICI LP provided under the Credit Agreement.</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“EBCI” refers to the Eastern Band of Cherokee Indians, a federally recognized Tribe located in western North Carolina, and, as the context requires, its subsidiary and affiliate entities.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“Exchange Notes” refer collectively to (i) the $1,024.2 million aggregate principal amount of 5.625% senior unsecured notes due 2024, (ii) the $799.4 million aggregate principal amount of 4.625% senior unsecured notes due 2025, (iii) the $480.5 million aggregate principal amount of 4.500% senior unsecured notes due 2026, (iv) the $729.5 million aggregate principal amount of 5.750% senior unsecured notes due 2027, (v) the $349.3 million aggregate principal amount of 4.500% senior unsecured notes due 2028, and (vi) the $727.1 million aggregate principal amount of 3.875% senior unsecured notes due 2029, in each case issued by VICI LP and Co-Issuer, in April 2022 pursuant to the Exchange Offers and Consent Solicitations (as defined herein).</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“February 2020 Notes” refer collectively to (i) the $750.0 million aggregate principal amount of 3.500% senior unsecured notes due 2025, (ii) the $750.0 million aggregate principal amount of 3.750% senior unsecured notes due 2027, and (iii) the $1.0 billion aggregate principal amount of 4.125% senior unsecured notes due 2030, in each case issued by VICI LP and Co-Issuer in February 2020.</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“Forum Convention Center Mortgage Loan” refers to a $400.0 million mortgage loan agreement entered into on September 18, 2020 with a subsidiary of Caesars with a term of five years and secured by, among other things, the Caesars Forum Convention Center in Las Vegas.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which we purchased on May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“Greektown Lease” refers to the lease agreement for Greektown,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Hard Rock International, and, as the context requires, its subsidiary and affiliate entities.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“Hard Rock Cincinnati” refers to the casino-entitled land and real estate and related assets associated with the Hard Rock Cincinnati Casino, located in Cincinnati, Ohio, which we purchased on September 20,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Cincinnati Lease” refers to the lease agreement for Hard Rock Cincinnati, as amended from time to 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“Harrah’s Original Call Properties” refers to the land and real estate assets associated with Harrah’s New Orleans, Harrah’s Laughlin and Harrah’s Atlantic City, which we purchased on July 20, 2020.</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“JACK Cleveland/Thistledown” refers to the casino-entitled land and real estate and related assets associated with the JACK Cleveland Casino located in Cleveland, Ohio, and the video lottery gaming and pari-mutuel wagering authorized land and real estate and related assets of JACK Thistledown Racino located in North Randall, Ohio, which we purchased on January 24,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Cleveland/Thistledown Lease” refers to the lease agreement for JACK Cleveland/Thistledown,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Entertainment” refers to JACK Ohio LLC, and, as the context requires, its subsidiary and affiliate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refers to the lease agreement for the facility in Joliet, Illinois, as amended from time to time.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“Lease Agreements” refer collectively to the BREIT JV Lease, the Caesars Leases, the Century Portfolio Lease, the CSI Lease, the Hard Rock Cincinnati Lease, the JACK Cleveland/Thistledown Lease, the MGM Master Lease, the Penn National Leases, and the Venetian Lease, unless the context otherwise requires.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“Margaritaville” refers to the real estate of Margaritaville Resort Casino, located in Bossier City, Louisiana, which we purchased on January 2,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refers to the lease agreement for Margaritaville,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“Mergers” refer to a series of transactions governed by the MGP Master Transaction Agreement that occurred on April 29, 2022, consisting of (i) the contribution of our interest in VICI LP to VICI OP, which subsequent to the MGP Transactions serves as our new operating partnership, followed by (ii) the merger of MGP with and into Venus Sub LLC, a Delaware limited liability company and wholly owned subsidiary of VICI LP (“REIT Merger Sub”), with REIT Merger Sub surviving the merger, followed by (iii) the distribution by REIT Merger Sub of the interests of the general partner of MGP OP to VICI LP and (iv) the merger of REIT Merger Sub with and into MGP OP, with MGP OP surviving such merger.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“MGM” refers to MGM Resorts International, a Delaware corporation, and, as the context requires,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“MGM Master Lease” refers to the lease agreement for the wholly-owned properties leased to MGM.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“MGM Tax Protection Agreement” refers to the form of tax protection agreement entered into with MGM upon consummation of the MGP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“MGP” refers to MGM Growth Properties LLC, a Delaware limited liability company, and, as the context requires, its subsidiaries.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“MGP Master Transaction Agreement” refers to that certain Master Transaction Agreement between the Company, MGP, MGP OP, VICI LP, REIT Merger Sub, VICI OP, and MGM entered into on August 4, 2021.</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“MGP OP” refers to MGM Growth Properties Operating Partnership LP, a Delaware limited partnership, and, as the context requires, its subsidiaries.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“MGP OP Notes” refer collectively to the notes issued by MGP OP and MGP Finance Co-Issuer, Inc. (“MGP Co-Issuer” and, together with MGP OP, the “MGP Issuers”), consisting of (i) the 5.625% Senior Notes due 2024 issued pursuant to the indenture, dated as of April 20, 2016, (ii) the 4.625% Senior Notes due 2025 issued pursuant to the indenture, dated as of June 5, 2020, (iii) the 4.500% Senior Notes due 2026 issued pursuant to the indenture, dated as of August 12, 2016, (iv) the 5.750% Senior Notes due 2027 issued pursuant to the indenture, dated as of January 25, 2019, (v) the 4.500% Senior Notes due 2028 issued pursuant to the indenture, dated as of September 21, 2017, and (vi) the 3.875% Senior Notes due 2029 issued pursuant to the indenture, dated as of November 19, 2020, in each case, as amended or supplemented as of the date hereof, among the MGP Issuers and U.S. Bank National Association, as trustee (the “MGP Trustee”).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“MGP Transactions” refer collectively to a series of transactions pursuant to the MGP Master Transaction Agreement between us, MGP and MGM and the other parties thereto in connection with our acquisition of MGP on April 29, 2022, as contemplated by the MGP Master Transaction Agreement, including the MGM Tax Protection Agreement and the MGM Master Lease.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“November 2019 Notes” refer collectively to (i) the $1.25 billion aggregate principal amount of 4.250% senior unsecured notes due 2026, and (ii) the $1.0 billion aggregate principal amount of 4.625% senior unsecured notes due 2029, in each case issued by VICI LP and VICI Note Co. Inc., as Co-Issuer, in November 2019.</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“Partner Property Growth Fund” refers to certain arrangements with certain tenants relating to our funding of “same-store” capital improvements, including redevelopment, new construction projects and other property improvements, in exchange for increased rent pursuant to the terms of our existing Lease Agreements with such tenants.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 Pennsylvania corporation, and, as the context requires,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Leases” refer collectively to the Margaritaville Lease and the Greektown Lease, unless the context otherwise requires.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“Revolving Credit Facility” refers to the four-year unsecured revolving credit facility entered into by VICI PropCo, as amended from time to time.</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“Secured Revolving Credit Facility” refers to the five-year first lien revolving credit facility entered into by VICI PropCo in December 2017, as amended, which was terminated on February 8,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“Seminole Hard Rock” refers to Seminole Hard Rock Entertainment,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“Senior Unsecured Notes” refer collectively to the November 2019 Notes, the February 2020 Notes, the April 2022 Notes and the Exchange Notes and the MGP OP Notes.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 as amended from time to time, which was repaid in full on September 15,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Acquisition” refers to our acquisition of the Venetian Resort, with Apollo, which closed on February 23,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Lease” refers to the lease agreement for the Venetian Resort.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“Venetian Resort” refers to the land and real estate assets associated with the Venetian Resort Las Vegas and Venetian Expo, located in Las Vegas, Nevada, which we purchased on February 23,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Tenant” refers to an affiliate of certain funds managed by affiliates of Apollo.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Golf” refers to VICI Golf LLC, a Delaware limited liability company that is the owner and operator of our golf segment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Issuers” refers to VICI Properties L.P., a Delaware limited partnership and VICI Note Co. Inc., a Delaware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LP” or the “Partnership” refers to VICI Properties L.P., a Delaware limited partnership and a wholly owned subsidiary of VICI.</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“VICI OP” refers to VICI Properties OP LLC, a Delaware limited liability company and an indirect wholly owned subsidiary of VICI, which serves as our operating partnership following the closing of the MGP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OP Units” refer to limited liability company interests in VICI OP.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PropCo” refers to VICI Properties 1 LLC, a Delaware limited liability company and an indirect wholly owned subsidiary of VICI.</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Organization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primarily engaged in the business of owning and acquiring gaming, hospitality and entertainment destinations, subject to long-term triple-net leases. As of March 31, 2022, our national, geographically diverse real estate portfolio consisted of 28 market-leading properties, including Caesars Palace Las Vegas and the Venetian Resort (and following the closing of the MGP Transactions on April 29, 2022, our portfolio consists of 43 properties, including MGM Grand, Mandalay Bay and MGM National Harbor). Our properties are leased to, and our tenants are, subsidiaries of, or entities managed by, Caesars, Penn National, Seminole Hard Rock, Century Casinos, JACK Entertainment, EBCI and Apollo (and following the closing of the MGP Transactions, MGM). VICI also owns and operates four championship golf courses located near certain of our properties.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VICI, the parent company, is a Maryland corporation and internally managed real estate investment trust (“REIT”) for U.S. federal income tax purposes. Our real property business, which represents the substantial majority of our assets, is conducted through VICI OP and indirectly through VICI LP and our golf course business, VICI Golf, is conducted through a direct wholly-owned taxable REIT subsidiary (a “TRS”) of VICI. As a REIT, we generally will not be subject to U.S. federal income taxes on our taxable income to the extent that we annually distribute all of our net taxable income to stockholders and maintain our qualification as a REIT.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the emergence of the COVID-19 pandemic in early 2020, among the broader public health, societal and global impacts, the pandemic has resulted in governmental and/or regulatory actions imposing, among other things, temporary closures or restrictions from time to time on our tenants’ operations at our properties and our golf course operations. Although all of our leased properties and our golf courses are currently open and operating, without restriction in some jurisdictions, they remain subject to any current or future operating limitations, restrictions or closures imposed by governmental and/or regulatory authorities. While our tenants’ recent performance at many of our leased properties has been at or above pre-pandemic levels, our tenants may continue to face additional challenges and uncertainty due to the impact of the COVID-19 pandemic, such as complying with operational and capacity restrictions and ensuring sufficient employee staffing and service levels, and the sustainability of maintaining improved operating margins and financial performance. Due to prior closures, operating restrictions and other factors, our tenants’ operations, liquidity and financial performance have been adversely affected, and the ongoing nature of the pandemic, including emerging variants, may further adversely affect our tenants’ businesses and, accordingly, our business and financial performance could be adversely affected in the future.</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of our tenants have fulfilled their rent obligations through April 2022 and we regularly engage with our tenants in connection with their business performance, operations, liquidity and financial results. As a triple-net lessor, we believe we are generally in a strong creditor position and structurally insulated from operational and performance impacts of our tenants, both positive and negative. However, the full extent to which the COVID-19 pandemic continues to adversely affect our tenants, and ultimately impacts us, depends on future developments which cannot be predicted with confidence, including the actions taken to contain the pandemic or mitigate its impact, including the availability, distribution, public acceptance and efficacy of approved vaccines, new or mutated variants of COVID-19 (including vaccine-resistant variants) or a similar virus, the direct and indirect economic effects of the pandemic and containment measures on our tenants, our tenants’ financial performance and any future operating limitations or closures.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w:t>
      </w:r>
    </w:p>
    <w:p>
      <w:pPr>
        <w:spacing w:after="0" w:line="117" w:lineRule="exact"/>
        <w:rPr>
          <w:sz w:val="20"/>
          <w:szCs w:val="20"/>
          <w:color w:val="auto"/>
        </w:rPr>
      </w:pPr>
    </w:p>
    <w:p>
      <w:pPr>
        <w:jc w:val="both"/>
        <w:spacing w:after="0" w:line="279" w:lineRule="auto"/>
        <w:rPr>
          <w:rFonts w:ascii="Arial" w:cs="Arial" w:eastAsia="Arial" w:hAnsi="Arial"/>
          <w:sz w:val="17"/>
          <w:szCs w:val="17"/>
          <w:color w:val="0000FF"/>
        </w:rPr>
      </w:pPr>
      <w:r>
        <w:rPr>
          <w:rFonts w:ascii="Arial" w:cs="Arial" w:eastAsia="Arial" w:hAnsi="Arial"/>
          <w:sz w:val="17"/>
          <w:szCs w:val="17"/>
          <w:color w:val="auto"/>
        </w:rPr>
        <w:t xml:space="preserve">We believe the disclosures made are adequate to prevent the information presented from being misleading. However, the accompanying unaudited consolidated financial statements and related notes should be read in conjunction with VICI’s audited financial statements and notes thereto included in </w:t>
      </w:r>
      <w:hyperlink r:id="rId28">
        <w:r>
          <w:rPr>
            <w:rFonts w:ascii="Arial" w:cs="Arial" w:eastAsia="Arial" w:hAnsi="Arial"/>
            <w:sz w:val="17"/>
            <w:szCs w:val="17"/>
            <w:color w:val="auto"/>
          </w:rPr>
          <w:t xml:space="preserve">VICI’s most recent </w:t>
        </w:r>
        <w:r>
          <w:rPr>
            <w:rFonts w:ascii="Arial" w:cs="Arial" w:eastAsia="Arial" w:hAnsi="Arial"/>
            <w:sz w:val="17"/>
            <w:szCs w:val="17"/>
            <w:u w:val="single" w:color="auto"/>
            <w:color w:val="0000FF"/>
          </w:rPr>
          <w:t>Annual Report on Form 10-K</w:t>
        </w:r>
        <w:r>
          <w:rPr>
            <w:rFonts w:ascii="Arial" w:cs="Arial" w:eastAsia="Arial" w:hAnsi="Arial"/>
            <w:sz w:val="17"/>
            <w:szCs w:val="17"/>
            <w:color w:val="auto"/>
          </w:rPr>
          <w:t xml:space="preserve"> and VICI LP’s audited financial statements and notes thereto included as an </w:t>
        </w:r>
        <w:r>
          <w:rPr>
            <w:rFonts w:ascii="Arial" w:cs="Arial" w:eastAsia="Arial" w:hAnsi="Arial"/>
            <w:sz w:val="17"/>
            <w:szCs w:val="17"/>
            <w:u w:val="single" w:color="auto"/>
            <w:color w:val="0000FF"/>
          </w:rPr>
          <w:t>exhibit to the Current Report</w:t>
        </w:r>
      </w:hyperlink>
      <w:r>
        <w:rPr>
          <w:rFonts w:ascii="Arial" w:cs="Arial" w:eastAsia="Arial" w:hAnsi="Arial"/>
          <w:sz w:val="17"/>
          <w:szCs w:val="17"/>
          <w:color w:val="auto"/>
        </w:rPr>
        <w:t xml:space="preserve"> </w:t>
      </w:r>
      <w:hyperlink r:id="rId28">
        <w:r>
          <w:rPr>
            <w:rFonts w:ascii="Arial" w:cs="Arial" w:eastAsia="Arial" w:hAnsi="Arial"/>
            <w:sz w:val="17"/>
            <w:szCs w:val="17"/>
            <w:u w:val="single" w:color="auto"/>
            <w:color w:val="0000FF"/>
          </w:rPr>
          <w:t>on Form 8-K filed on April 18, 2022</w:t>
        </w:r>
        <w:r>
          <w:rPr>
            <w:rFonts w:ascii="Arial" w:cs="Arial" w:eastAsia="Arial" w:hAnsi="Arial"/>
            <w:sz w:val="17"/>
            <w:szCs w:val="17"/>
            <w:color w:val="000000"/>
          </w:rPr>
          <w:t>, as updated from time to time in our other filings with the SEC.</w:t>
        </w:r>
      </w:hyperlink>
    </w:p>
    <w:p>
      <w:pPr>
        <w:spacing w:after="0" w:line="117" w:lineRule="exact"/>
        <w:rPr>
          <w:sz w:val="20"/>
          <w:szCs w:val="20"/>
          <w:color w:val="auto"/>
        </w:rPr>
      </w:pPr>
    </w:p>
    <w:p>
      <w:pPr>
        <w:ind w:right="360"/>
        <w:spacing w:after="0" w:line="438" w:lineRule="auto"/>
        <w:rPr>
          <w:sz w:val="20"/>
          <w:szCs w:val="20"/>
          <w:color w:val="auto"/>
        </w:rPr>
      </w:pPr>
      <w:r>
        <w:rPr>
          <w:rFonts w:ascii="Arial" w:cs="Arial" w:eastAsia="Arial" w:hAnsi="Arial"/>
          <w:sz w:val="18"/>
          <w:szCs w:val="18"/>
          <w:color w:val="auto"/>
        </w:rPr>
        <w:t xml:space="preserve">All adjustments (consisting of normal recurring accruals) considered necessary for a fair statement of results for the interim period have been included.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months ended March 31, 2022 are not necessarily indicative of the results that may be expected for the year ending December 31,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consolidated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VIEs for which we or one of our consolidated subsidiaries is the primary beneficiary.</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non-controlling interest and classify such interest as a component of consolidated stockholders’ equity or partners’ capital, separate from VICI stockholders’ equity and VICI LP partner’s capital. Our non-controlling interest represents a 20% third-party ownership of Harrah’s Joliet LandCo LLC, the entity that owns the Harrah’s Joliet facility and is the lessor under the related Joliet Lease.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Cash consists of cash-on-hand and cash-in-bank. Any investments with an original maturity of three months or less from the date of purchase are considered cash equivalents and are carried at cost, which approximates fair value. As of March 31, 2022 and December 31, 2021, we did not have any restricted cash.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Sales-type, Net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spacing w:after="0" w:line="12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determined that the land and building components of all of our Lease Agreements, excluding the JACK Cleveland/Thistledown Lease and the Harrah’s Original Call Properties asset components of the Caesars Regional Master Lease, meet the definition of a sales-type lease under ASC 842.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Financing Receivables, Net</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determined that the land and building components of the JACK Cleveland/Thistledown Lease and the Harrah’s Original Call Properties asset components of the Caesars Regional Master Lease meet the definition of a sales-type lease and, since we purchased and leased the assets back to the sellers under sale leaseback transactions, control is not considered to have transferred to us under GAAP. Accordingly, the JACK Cleveland/Thistledown Lease and the Harrah’s Original Call Properties component of the Caesars Regional Master Lease are accounted for as Investments in leases - financing receivables on our Balance Sheet, net of allowance for credit losses, in accordance with ASC 310.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 and Lease Financing Receivables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and loans, as applicable, in our Statement of Operations and a portion is recorded as a change to Investments in leases - sales-type, net or Investments in leases - financing receivables, net, as applicable.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Initial direct costs incurred in connection with entering into investments classified as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Loans,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in loans are held-for-investment and are carried at historical cost, inclusive of unamortized loan origination costs and fees and allowances for credit losses. Income is recognized on an effective interest basis at a constant rate of return over the life of the related loan.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elected to use a discounted cash flow model to estimate the Allowance for credit losses, or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credit loss cash flows.</w:t>
      </w:r>
    </w:p>
    <w:p>
      <w:pPr>
        <w:spacing w:after="0" w:line="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Expected losses within our cash flows are determined by estimating the probability of default (“PD”) and loss given default (“LGD”) of our tenants and borrowers and their parent guarantors, as applicable, over the life of each individual lease or financial asset. We have engaged a nationally recognized data analytics firm to assist us with estimating both the PD and LGD of our tenants and borrowers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or borrower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borrowers and their parent guarantors, as applicable. We are unable to use our historical data to estimate losses as we have no loss history to date.</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CECL allowance is recorded as a reduction to our net Investments in leases - sales-type, Investments in leases - financing receivables, Investments in loans and Sales-type sub-leases included in Other assets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through the Partner Property Growth Fund.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all of our other investments subject to the CECL model. The CECL allowance related to these future commitments is recorded as a component of Other liabilities on our Balance Sheet.</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Charge-offs are deducted from the allowance in the period in which they are deemed uncollectible. Recoveries previously written off are recorded when received. There were no charge-offs or recoveries for the three months ended March 31, 2022 and 2021.</w:t>
      </w:r>
    </w:p>
    <w:p>
      <w:pPr>
        <w:spacing w:after="0" w:line="11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1">
        <w:r>
          <w:rPr>
            <w:rFonts w:ascii="Arial" w:cs="Arial" w:eastAsia="Arial" w:hAnsi="Arial"/>
            <w:sz w:val="18"/>
            <w:szCs w:val="18"/>
            <w:u w:val="single" w:color="auto"/>
            <w:color w:val="0000FF"/>
          </w:rPr>
          <w:t>Note 5 -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Other expenses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these certain ground and use leases.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5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41">
        <w:r>
          <w:rPr>
            <w:rFonts w:ascii="Arial" w:cs="Arial" w:eastAsia="Arial" w:hAnsi="Arial"/>
            <w:sz w:val="18"/>
            <w:szCs w:val="18"/>
            <w:u w:val="single" w:color="auto"/>
            <w:color w:val="0000FF"/>
          </w:rPr>
          <w:t>Note 9 - Fair Value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 at fair value.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(loss) is recognized in earnings when the hedged transactions affect earnings. Changes in the fair value of our derivative instruments that qualify as hedges are reported as a component of Accumulated other comprehensive income (loss) on our Balance Sheet with a corresponding change in Unrealized gain (loss) on cash flows hedges within Other comprehensive income on our Statement of Operations.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Caesars is the guarantor of all the lease payment obligations of the tenants under the respective leases of the properties that it leases from us. Revenue from the Caesars Leases represented 76% and 86% of our lease revenues for the three months ended March 31, 2022 and 2021, respectively. Additionally, our properties on the Las Vegas Strip generated approximately 38% and 32% of our lease revenues for the three months ended March 31, 2022 and 2021, respectively. Other than having a single tenant from which we derive and will continue to derive a substantial portion of our revenue and our concentration in the Las Vegas market, we do not believe there are any other significant concentrations of credit risk. Following the completion of the MGP Transactions, MGM is the guarantor of all the lease payment obligations of the tenants under the MGM Master Lease and BREIT JV Lease, which will collectively account for 15 of our 43 leased properties. We do not believe there are any other significant concentrations of credit risk.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Property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2022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MGP Transactions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April 29, 2022, we closed on the previously announced MGP Transactions governed by the MGP Master Transaction Agreement, pursuant to which we acquired MGP for total consideration of $17.2 billion, inclusive of the assumption of approximately $5.7 billion of debt. Upon closing, the MGP Transactions added $1,012.0 million of annualized rent to our portfolio from 15 Class A entertainment casino resort properties spread across nine regions and comprising 36,000 hotel rooms, 3.6 million square feet of meeting and convention space and hundreds of food, beverage and entertainment venues.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MGP’s portfolio, including properties owned by the BREIT JV, includes seven large-scale entertainment and gaming-related properties located on the Las Vegas Strip: Mandalay Bay, MGM Grand Las Vegas, The Mirage, Park MGM, New York-New York (and The Park, a dining and entertainment district located between New York-New York and Park MGM), Luxor and Excalibur. Outside of Las Vegas, MGP also owns eight high-quality casino resort properties: MGM Grand Detroit in Detroit, Michigan, Beau Rivage in Biloxi, Mississippi, Gold Strike Tunica in Tunica, Mississippi, Borgata in Atlantic City, New Jersey, MGM National Harbor in Prince George’s County, Maryland, MGM Northfield Park in Northfield, Ohio, Empire City in Yonkers, New York and MGM Springfield in Springfield, Massachusetts. MGP’s portfolio includes two of the five largest hotels in the United States and two of the three largest Las Vegas resorts by room count and convention space.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agreements and related activities under the MGP Transactions:</w:t>
      </w:r>
    </w:p>
    <w:p>
      <w:pPr>
        <w:spacing w:after="0" w:line="171" w:lineRule="exact"/>
        <w:rPr>
          <w:sz w:val="20"/>
          <w:szCs w:val="20"/>
          <w:color w:val="auto"/>
        </w:rPr>
      </w:pPr>
    </w:p>
    <w:p>
      <w:pPr>
        <w:jc w:val="both"/>
        <w:ind w:left="660" w:hanging="328"/>
        <w:spacing w:after="0" w:line="289"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MGP Master Transaction Agreement. </w:t>
      </w:r>
      <w:r>
        <w:rPr>
          <w:rFonts w:ascii="Arial" w:cs="Arial" w:eastAsia="Arial" w:hAnsi="Arial"/>
          <w:sz w:val="16"/>
          <w:szCs w:val="16"/>
          <w:color w:val="auto"/>
        </w:rPr>
        <w:t>On August 4, 2021, we entered into the MGP Master Transaction Agreement by and among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MGP, MGP OP, VICI LP, REIT Merger Sub, VICI OP, and MGM. Pursuant to the terms and subject to the conditions set forth in the MGP Master Transaction Agreement, upon the closing of the REIT Merger (as defined in the MGP Master Transaction Agreement) on April 29, 2022, each outstanding Class A common share, no par value per share, of MGP (“MGP Common Shares”) (other than MGP Common Shares then held in treasury by MGP or owned by any of MGP’s wholly owned subsidiaries) was converted into 1.366 (the “Exchange Ratio”) shares of common stock of the Company (such consideration, the “REIT Merger Consideration”), plus the right, if any, to receive cash in lieu of fractional shares of our common stock into which such MGP Common Shares would have been converted. The outstanding Class B common share, no par value per share, of MGP (the “Class B Share”), which was held by MGM, was cancelled at the effective time of the REIT Merger. The REIT Merger is intended to qualify as a “reorganization” within the meaning of Section 368(a) of the Internal Revenue Code of 1986, as amended (the “Code”).</w:t>
      </w:r>
    </w:p>
    <w:p>
      <w:pPr>
        <w:spacing w:after="0" w:line="112" w:lineRule="exact"/>
        <w:rPr>
          <w:rFonts w:ascii="Arial" w:cs="Arial" w:eastAsia="Arial" w:hAnsi="Arial"/>
          <w:sz w:val="16"/>
          <w:szCs w:val="16"/>
          <w:color w:val="auto"/>
        </w:rPr>
      </w:pPr>
    </w:p>
    <w:p>
      <w:pPr>
        <w:jc w:val="both"/>
        <w:ind w:left="660"/>
        <w:spacing w:after="0" w:line="259" w:lineRule="auto"/>
        <w:rPr>
          <w:rFonts w:ascii="Arial" w:cs="Arial" w:eastAsia="Arial" w:hAnsi="Arial"/>
          <w:sz w:val="16"/>
          <w:szCs w:val="16"/>
          <w:color w:val="auto"/>
        </w:rPr>
      </w:pPr>
      <w:r>
        <w:rPr>
          <w:rFonts w:ascii="Arial" w:cs="Arial" w:eastAsia="Arial" w:hAnsi="Arial"/>
          <w:sz w:val="18"/>
          <w:szCs w:val="18"/>
          <w:color w:val="auto"/>
        </w:rPr>
        <w:t>Following the REIT Merger, pursuant to and subject to the terms set forth in the MGP Master Transaction Agreement, at the effective time of the Partnership Merger (as defined in the MGP Master Transaction Agreement), each limited partnership unit in MGP OP (other than the limited partnership units in MGP OP held by REIT Merger Sub or any subsidiary of MGP OP), all of which were held by MGM and certain of its subsidiaries, was converted into the right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receive a number of VICI OP Units (the “Partnership Merger Consideration”) equal to the Exchange Ratio. The Company redeemed a majority of the VICI OP Units received by MGM in the Partnership Merger for $4,404.0 million in cash using the proceeds of the April 2022 Notes, as further described in </w:t>
      </w:r>
      <w:hyperlink w:anchor="page34">
        <w:r>
          <w:rPr>
            <w:rFonts w:ascii="Arial" w:cs="Arial" w:eastAsia="Arial" w:hAnsi="Arial"/>
            <w:sz w:val="16"/>
            <w:szCs w:val="16"/>
            <w:u w:val="single" w:color="auto"/>
            <w:color w:val="0000FF"/>
          </w:rPr>
          <w:t>Note 7 - Debt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(the “Redemption”). Following the Redemption, MGM retained approximately 12.2 million VICI OP Units.</w:t>
      </w:r>
    </w:p>
    <w:p>
      <w:pPr>
        <w:spacing w:after="0" w:line="95" w:lineRule="exact"/>
        <w:rPr>
          <w:sz w:val="20"/>
          <w:szCs w:val="20"/>
          <w:color w:val="auto"/>
        </w:rPr>
      </w:pPr>
    </w:p>
    <w:p>
      <w:pPr>
        <w:jc w:val="both"/>
        <w:ind w:left="660" w:hanging="328"/>
        <w:spacing w:after="0" w:line="254"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MGM Master Lease and BREIT JV Lease</w:t>
      </w:r>
      <w:r>
        <w:rPr>
          <w:rFonts w:ascii="Arial" w:cs="Arial" w:eastAsia="Arial" w:hAnsi="Arial"/>
          <w:sz w:val="18"/>
          <w:szCs w:val="18"/>
          <w:color w:val="auto"/>
        </w:rPr>
        <w:t>. Simultaneous with the closing of the Mergers on April 29, 2022, we entered into the MGM Master</w:t>
      </w:r>
      <w:r>
        <w:rPr>
          <w:rFonts w:ascii="Arial" w:cs="Arial" w:eastAsia="Arial" w:hAnsi="Arial"/>
          <w:sz w:val="18"/>
          <w:szCs w:val="18"/>
          <w:i w:val="1"/>
          <w:iCs w:val="1"/>
          <w:color w:val="auto"/>
        </w:rPr>
        <w:t xml:space="preserve"> </w:t>
      </w:r>
      <w:r>
        <w:rPr>
          <w:rFonts w:ascii="Arial" w:cs="Arial" w:eastAsia="Arial" w:hAnsi="Arial"/>
          <w:sz w:val="18"/>
          <w:szCs w:val="18"/>
          <w:color w:val="auto"/>
        </w:rPr>
        <w:t>Lease. The MGM Master Lease has an initial term of 25 years, with three 10-year tenant renewal options and has an initial total annual rent of $860.0 million. Rent under the MGM Master Lease escalates at a rate of 2.0% per annum for the first 10 years and thereafter at the greater of 2.0% per annum or the increase in the consumer price index (“CPI”), subject to a 3.0% cap. The tenant’s obligations under the MGM Master Lease are guaranteed by MGM. The initial total annual rent under the MGM Master Lease will be reduced by $90.0 million to $770.0 million, upon the close of MGM’s pending sale of the operations of the Mirage to Hard Rock and entrance into the Mirage Lease, as further described below under “</w:t>
      </w:r>
      <w:r>
        <w:rPr>
          <w:rFonts w:ascii="Arial" w:cs="Arial" w:eastAsia="Arial" w:hAnsi="Arial"/>
          <w:sz w:val="18"/>
          <w:szCs w:val="18"/>
          <w:i w:val="1"/>
          <w:iCs w:val="1"/>
          <w:color w:val="auto"/>
        </w:rPr>
        <w:t>Mirage Severance Lease.”</w:t>
      </w:r>
    </w:p>
    <w:p>
      <w:pPr>
        <w:spacing w:after="0" w:line="140" w:lineRule="exact"/>
        <w:rPr>
          <w:rFonts w:ascii="Arial" w:cs="Arial" w:eastAsia="Arial" w:hAnsi="Arial"/>
          <w:sz w:val="18"/>
          <w:szCs w:val="18"/>
          <w:i w:val="1"/>
          <w:iCs w:val="1"/>
          <w:color w:val="auto"/>
        </w:rPr>
      </w:pPr>
    </w:p>
    <w:p>
      <w:pPr>
        <w:jc w:val="both"/>
        <w:ind w:left="660"/>
        <w:spacing w:after="0" w:line="275" w:lineRule="auto"/>
        <w:rPr>
          <w:rFonts w:ascii="Arial" w:cs="Arial" w:eastAsia="Arial" w:hAnsi="Arial"/>
          <w:sz w:val="18"/>
          <w:szCs w:val="18"/>
          <w:i w:val="1"/>
          <w:iCs w:val="1"/>
          <w:color w:val="auto"/>
        </w:rPr>
      </w:pPr>
      <w:r>
        <w:rPr>
          <w:rFonts w:ascii="Arial" w:cs="Arial" w:eastAsia="Arial" w:hAnsi="Arial"/>
          <w:sz w:val="17"/>
          <w:szCs w:val="17"/>
          <w:color w:val="auto"/>
        </w:rPr>
        <w:t>Additionally, we retained MGP’s 50.1% ownership stake in the BREIT JV, which owns the real estate assets of MGM Grand Las Vegas and Mandalay Bay. The BREIT JV Lease remained unchanged and provides for current total annual base rent of approximately $303.8 million, of which approximately $152.2 million is attributable to MGP’s investment in the BREIT JV, and an initial term of thirty years with two 10-year tenant renewal options. Rent under the BREIT JV Lease escalates at a rate of 2.0% per annum for the first fifteen years and thereafter at the greater of 2.0% per annum or CPI, subject to a 3.0% cap. The tenant’s obligations under the BREIT JV Lease are guaranteed by MGM.</w:t>
      </w:r>
    </w:p>
    <w:p>
      <w:pPr>
        <w:spacing w:after="0" w:line="122" w:lineRule="exact"/>
        <w:rPr>
          <w:rFonts w:ascii="Arial" w:cs="Arial" w:eastAsia="Arial" w:hAnsi="Arial"/>
          <w:sz w:val="18"/>
          <w:szCs w:val="18"/>
          <w:i w:val="1"/>
          <w:iCs w:val="1"/>
          <w:color w:val="auto"/>
        </w:rPr>
      </w:pPr>
    </w:p>
    <w:p>
      <w:pPr>
        <w:jc w:val="both"/>
        <w:ind w:left="660" w:hanging="328"/>
        <w:spacing w:after="0" w:line="268" w:lineRule="auto"/>
        <w:tabs>
          <w:tab w:leader="none" w:pos="65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Tax Protection Agreement. </w:t>
      </w:r>
      <w:r>
        <w:rPr>
          <w:rFonts w:ascii="Arial" w:cs="Arial" w:eastAsia="Arial" w:hAnsi="Arial"/>
          <w:sz w:val="17"/>
          <w:szCs w:val="17"/>
          <w:color w:val="auto"/>
        </w:rPr>
        <w:t>In connection with the closing of the MGP Transactions, we entered into a tax protection agreement with MGM (the</w:t>
      </w:r>
      <w:r>
        <w:rPr>
          <w:rFonts w:ascii="Arial" w:cs="Arial" w:eastAsia="Arial" w:hAnsi="Arial"/>
          <w:sz w:val="17"/>
          <w:szCs w:val="17"/>
          <w:i w:val="1"/>
          <w:iCs w:val="1"/>
          <w:color w:val="auto"/>
        </w:rPr>
        <w:t xml:space="preserve"> </w:t>
      </w:r>
      <w:r>
        <w:rPr>
          <w:rFonts w:ascii="Arial" w:cs="Arial" w:eastAsia="Arial" w:hAnsi="Arial"/>
          <w:sz w:val="17"/>
          <w:szCs w:val="17"/>
          <w:color w:val="auto"/>
        </w:rPr>
        <w:t>“MGM Tax Protection Agreement”) pursuant to which VICI OP has agreed, subject to certain exceptions, for a period of 15 years following the closing of the Mergers (subject to early termination under certain circumstances), to indemnify MGM and certain of its subsidiaries (the “Protected Parties”) for certain tax liabilities resulting from (1) the sale, transfer, exchange or other disposition of a property owned directly or indirectly by MGP OP immediately prior to the closing date of the Mergers (each, a “Protected Property”), (2) a merger, consolidation, transfer of all assets of, or other significant transaction involving VICI OP pursuant to which the ownership interests of the Protected Parties in VICI OP are required to be exchanged in whole or in part for cash or other property, (3) the failure of VICI OP to maintain approximately $8.5 billion of nonrecourse indebtedness allocable to MGM, which amount may be reduced over time in accordance with the MGM Tax Protection Agreement, and (4) the failure of VICI OP or VICI to comply with certain tax covenants that would impact the tax liabilities of the Protected Parties. In the event that VICI OP or VICI breaches restrictions in the MGM Tax Protection Agreement, VICI OP will be liable for grossed-up tax amounts associated with the income or gain recognized as a result of such breach. In addition, the BREIT JV previously entered into a tax protection agreement with MGM with respect to built-in gain and debt maintenance related to MGM Grand Las Vegas and Mandalay Bay, which is effective through mid-2029, and by acquiring MGP, the Company bears its 50.1% proportionate share in the BREIT JV of any indemnity under this existing tax protection agreement.</w:t>
      </w:r>
    </w:p>
    <w:p>
      <w:pPr>
        <w:spacing w:after="0" w:line="130" w:lineRule="exact"/>
        <w:rPr>
          <w:rFonts w:ascii="Arial" w:cs="Arial" w:eastAsia="Arial" w:hAnsi="Arial"/>
          <w:sz w:val="17"/>
          <w:szCs w:val="17"/>
          <w:i w:val="1"/>
          <w:iCs w:val="1"/>
          <w:color w:val="auto"/>
        </w:rPr>
      </w:pPr>
    </w:p>
    <w:p>
      <w:pPr>
        <w:jc w:val="both"/>
        <w:ind w:left="660" w:hanging="328"/>
        <w:spacing w:after="0" w:line="25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Exchange Offers and Consent Solicitations</w:t>
      </w:r>
      <w:r>
        <w:rPr>
          <w:rFonts w:ascii="Arial" w:cs="Arial" w:eastAsia="Arial" w:hAnsi="Arial"/>
          <w:sz w:val="18"/>
          <w:szCs w:val="18"/>
          <w:color w:val="auto"/>
        </w:rPr>
        <w:t>. On September 13, 2021, we announced that the VICI Issuers commenced (i) private exchange offers</w:t>
      </w:r>
      <w:r>
        <w:rPr>
          <w:rFonts w:ascii="Arial" w:cs="Arial" w:eastAsia="Arial" w:hAnsi="Arial"/>
          <w:sz w:val="18"/>
          <w:szCs w:val="18"/>
          <w:i w:val="1"/>
          <w:iCs w:val="1"/>
          <w:color w:val="auto"/>
        </w:rPr>
        <w:t xml:space="preserve"> </w:t>
      </w:r>
      <w:r>
        <w:rPr>
          <w:rFonts w:ascii="Arial" w:cs="Arial" w:eastAsia="Arial" w:hAnsi="Arial"/>
          <w:sz w:val="18"/>
          <w:szCs w:val="18"/>
          <w:color w:val="auto"/>
        </w:rPr>
        <w:t>to certain eligible holders (collectively, the “Exchange Offers”) for any and all of each series of the MGP OP Notes for up to an aggregate principal amount of $4.2 billion of new notes issued by the VICI Issuers and (ii) consent solicitations with respect to each series of MGP OP Notes (collectively, the “Consent Solicitations”) to adopt certain proposed amendments to each of the indentures governing the MGP OP Notes (collectively, the “MGP OP Notes Indentures”), which, among other things, eliminate or modify certain of the covenants, restrictions, provisions and events of default in each of the MGP OP Notes Indentures.</w:t>
      </w:r>
    </w:p>
    <w:p>
      <w:pPr>
        <w:spacing w:after="0" w:line="138"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Following the receipt of the requisite consents pursuant to the Consent Solicitations, on September 23, 2021, the MGP Issuers executed supplemental indentures to each of the MGP OP Notes Indentures in order to effect the proposed amendments (the “MGP OP Supplemental Indentures”). The MGP OP Supplemental Indentures became operative upon the settlement of the Exchange Offers and the Consent Solicitations on April 29, 2022 (the “Settlement Date”).</w:t>
      </w:r>
    </w:p>
    <w:p>
      <w:pPr>
        <w:spacing w:after="0" w:line="132"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Upon completion of the Exchange Offers and Consent Solicitations, the VICI Issuers issued $1,024.2 million in aggregate principal amount of 5.625% Senior Notes due 2024, $799.4 million in aggregate principal amount of 4.625% Senior Notes due 2025, $480.5 million in aggregate principal amount of 4.500% Senior Notes due 2026, $729.5 million in aggregate principal amount of 5.750% Senior Notes due 2027, $349.3 million in aggregate principal amount of 4.500% Senior Notes due 2028 and $727.1 million in aggregate principal amount of 3.875% Senior Notes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due 2029, each pursuant to a separate indenture dated as of April 29, 2022, among the VICI Issuers and the Trustee. Following the issuance of the Exchange Notes pursuant to the settlement of the Exchange Offers and Consent Solicitations, $25.8 million in aggregate principal amount of MGP OP Notes due 2024, $0.6 million in aggregate principal amount of MGP OP Notes due 2025, $19.5 million in aggregate principal amount of MGP OP Notes due 2026, $20.5 million in aggregate principal amount of MGP OP Notes due 2027, $0.7 million in aggregate principal amount of MGP OP Notes due 2028 and $22.9 million in aggregate principal amount of MGP OP Notes due 2029 remain outstanding.</w:t>
      </w:r>
    </w:p>
    <w:p>
      <w:pPr>
        <w:spacing w:after="0" w:line="107" w:lineRule="exact"/>
        <w:rPr>
          <w:sz w:val="20"/>
          <w:szCs w:val="20"/>
          <w:color w:val="auto"/>
        </w:rPr>
      </w:pPr>
    </w:p>
    <w:p>
      <w:pPr>
        <w:jc w:val="both"/>
        <w:ind w:left="660" w:hanging="328"/>
        <w:spacing w:after="0" w:line="287" w:lineRule="auto"/>
        <w:tabs>
          <w:tab w:leader="none" w:pos="655"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Mirage Severance Lease. </w:t>
      </w:r>
      <w:r>
        <w:rPr>
          <w:rFonts w:ascii="Arial" w:cs="Arial" w:eastAsia="Arial" w:hAnsi="Arial"/>
          <w:sz w:val="16"/>
          <w:szCs w:val="16"/>
          <w:color w:val="auto"/>
        </w:rPr>
        <w:t>On December 13, 2021, in connection with MGM’s agreement to sell the operations of the Mirage Hotel &amp; Casino to</w:t>
      </w:r>
      <w:r>
        <w:rPr>
          <w:rFonts w:ascii="Arial" w:cs="Arial" w:eastAsia="Arial" w:hAnsi="Arial"/>
          <w:sz w:val="16"/>
          <w:szCs w:val="16"/>
          <w:i w:val="1"/>
          <w:iCs w:val="1"/>
          <w:color w:val="auto"/>
        </w:rPr>
        <w:t xml:space="preserve"> </w:t>
      </w:r>
      <w:r>
        <w:rPr>
          <w:rFonts w:ascii="Arial" w:cs="Arial" w:eastAsia="Arial" w:hAnsi="Arial"/>
          <w:sz w:val="16"/>
          <w:szCs w:val="16"/>
          <w:color w:val="auto"/>
        </w:rPr>
        <w:t>Hard Rock, we agreed to enter into a new separate lease with Hard Rock related to the land and real estate assets of the Mirage (the “Mirage Lease”), and enter into an amendment to the MGM Master Lease relating to the sale of the Mirage. The Mirage Lease will have initial annual base rent of $90.0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Upon the closing of the sale of the Mirage, the MGM Master Lease will be amended to account for MGM’s divestiture of the Mirage operations and will result in a reduction of the initial annual base rent under the MGM Master Lease by $90.0 million. We expect these transactions to be completed in the second half of 2022, and they remain subject to customary closing conditions and regulatory approvals. Additionally, subject to certain conditions, we may fund up to $1.5 billion of Hard Rock’s redevelopment plan for the Mirage through our Partner Property Growth Fund if Hard Rock elects to seek third-party financing for such redevelopment. Specific terms of the redevelopment and related funding remain under discussion and subject to final documentation.</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will assess the MGP Transactions in accordance with ASC 805—“Business Combinations” (“ASC 805”), and anticipate that the acquisition of MGP will not meet the definition of a business and will accordingly be accounted for as an asset acquisition under ASC 805-50. As part of the application of ASC 805, we will prepare a purchase price allocation in order to appropriately allocate the purchase price by major categories of assets acquired and liabilities assumed. We also will assess the lease classification of the MGM Master Lease and anticipate that it will meet the definition of a sales-type lease. Further, since MGM controlled and consolidated MGP prior to the MTA Transactions, the lease will be assessed under the sale-leaseback guidance and we anticipate it will be determined to be a failed sale-leaseback under which the lease will be accounted for as a financing receivable under ASC 310. Finally, as it relates to the BREIT JV, we anticipate that it will continue to be accounted for as an equity method investment and the joint venture will retain the underlying accounting. However, we will be required to record our investment in BREIT JV at fair value and amortize the difference between the current carrying value and assessed fair value into income.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June 30, 2022, we will record the corresponding assets and assumed liabilities at fair value, the most material of which will include (i) the MGM Master Lease presented as Investment in leases - financing receivable, net of an estimate allowance for credit losses, (ii) the investment in the BREIT JV presented as Investment in unconsolidated affiliate and (iii) the liability for the assumption of the MGP OP Notes presented in Debt, net, on our Balance Sheet.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BigShots Loan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Subsequent to quarter end, on April 7, 2022, we entered into a loan with BigShots Golf (“BigShots Golf”), a subsidiary of ClubCorp Holdings, Inc. (“ClubCorp”), an Apollo fund portfolio company, to provide up to $80.0 million of mortgage financing (“BigShots Loan”) for the construction of certain new BigShots Golf facilities throughout the United States. The BigShots Loan bears interest at a rate of 10.0% per annum and has an initial term of five years with two successive 12-month extension options, subject to certain conditions. Our commitment to fund the loan will be subject to customary terms and conditions and disbursement of funds to the borrower will be based upon construction of the applicable BigShots Golf facilities. In addition, we entered into a right of first offer and call right agreement, pursuant to which (i) we have a call right to acquire the real estate assets associated with any BigShots Golf facility financed by us, which transaction will be structured as a sale leaseback, and (ii) for so long as the BigShots Loan remains outstanding and we continue to hold a majority interest therein, subject to additional terms and conditions, we will have a right of first offer on any multi-site mortgage, mezzanine, preferred equity, or other similar financing that is treated as debt to be obtained by BigShots Golf (or any of its affiliates) in connection with the development of BigShots Golf facilities.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Venetian Acquisition</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February 23, 2022, we closed on the previously announced transaction to acquire all of the land and real estate assets associated with the Venetian Resort from LVS for $4.0 billion in cash, and the Venetian Tenant acquired the operating assets of the Venetian Resort for $2.25 billion, of which $1.2 billion is in the form of a secured term loan from LVS and the remainder was paid in cash. We funded the Venetian Acquisition with (i) $3.2 billion in net proceeds from the physical settlement of the March 2021 Forward Sale Agreements and the September 2021 Forward Sale Agreements, (ii) an initial draw on the Revolving Credit Facility of $600.0 million (which was subsequently repaid in full using the proceeds from the April 2022 Notes offering), and</w:t>
      </w:r>
    </w:p>
    <w:p>
      <w:pPr>
        <w:spacing w:after="0" w:line="2" w:lineRule="exact"/>
        <w:rPr>
          <w:sz w:val="20"/>
          <w:szCs w:val="20"/>
          <w:color w:val="auto"/>
        </w:rPr>
      </w:pPr>
    </w:p>
    <w:p>
      <w:pPr>
        <w:jc w:val="both"/>
        <w:ind w:firstLine="8"/>
        <w:spacing w:after="0" w:line="252"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on hand. Simultaneous with the closing of the Venetian Acquisition, we entered into the Venetian Lease with the Venetian Tenant. The Venetian Lease has an initial total annual rent of $250.0 million and an initial term of 30 years, with two 10-year tenant renewal options. The annual rent will be subject to escalation equal to the greater of 2.0% and the increase in the CPI,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 We determined that the land and building components of the Venetian Lease meet the definition of a sales-type lease and accordingly are recorded as an Investments in leases - sales-type on our Balance Sheet, net of allowance for credit losses in the amount of $65.6 million.</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Venetian Acquisition, we entered into a Property Growth Fund Agreement (“Venetian PGFA”) with the Venetian Tenant. Under the Venetian PGFA we agreed to provide up to $1.0 billion for various development and construction projects affecting the Venetian Resort to be identified by the Venetian Tenant and that satisfy certain criteria more particularly set forth in the Venetian PGFA, in consideration of additional incremental rent to be paid by the Venetian Tenant under the Venetian Lease and calculated in accordance with a formula set forth in the Venetian PGFA. Upon execution of the Venetian PGFA we were required to estimate a CECL allowance related to the contractual commitments to extend credit, which is based on our best estimates of funding such commitments. Accordingly, during the three months ended March 31, 2022, we recorded a CECL allowance in Other liabilities in the amount of $8.3 million related to the estimate of our unfunded commitment under the Venetian PGFA.</w:t>
      </w:r>
    </w:p>
    <w:p>
      <w:pPr>
        <w:spacing w:after="0" w:line="1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LVS agreed with the Venetian Tenant pursuant to an agreement (the “Contingent Lease Support Agreement”) entered into simultaneously with the closing of the Venetian Acquisition to provide lease payment support designed to guarantee the Venetian Tenant’s rent obligations under the Venetian Lease through 2023, subject to early termination if EBITDAR (as defined in such agreement) generated by the Venetian Resort in 2022 equals or exceeds $550.0 million, or a tenant change of control occurs. We are a third-party beneficiary of the Contingent Lease Support Agreement and have certain enforcement rights pursuant thereto. The Contingent Lease Support Agreement is limited to coverage of the Venetian Tenant’s rent obligations and does not cover any environmental expenses, litigation claims, or any cure or enforcement costs. The obligations of the Venetian Tenant under the Venetian Lease are not guaranteed by Apollo or any of its affiliates. After the termination of the Contingent Lease Support Agreement, the Venetian Tenant will be required to provide a letter of credit to secure seven and one-half months of the rent, real estate taxes and assessments and insurance obligations of the Venetian Tenant if the operating results from the Venetian Resort do not exceed certain thresholds.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2021 were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Southern Indiana Lease</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3, 2021, in connection and concurrent with EBCI’s acquisition of the operations of Caesars Southern Indiana from Caesars, we entered into a triple-net lease agreement with a subsidiary of EBCI, the CSI Lease, with respect to the real property associated with Caesars Southern Indiana. Initial total annual rent under the lease with EBCI is $32.5 million. The lease has an initial term of 15 years, with four 5-year tenant renewal options. The tenant’s obligations under the lease are guaranteed by EBCI. Annual base rent payments under the Caesars Regional Master Lease were reduced by $32.5 million upon completion of EBCI’s acquisition of the operations of Caesars Southern Indiana and the execution of the CSI Lease. We determined that the land and building components of the CSI Lease meet the definition of a sales-type lease and, as the asset continues to meet the definition of a sales-type lease under ASC 842, the existing lease balance of Caesars Southern Indiana was transferred from Caesars to EBCI, as the new tenant, and the income is recognized using the revised rate implicit in the lease. In addition, as part of the transaction, EBCI and Caesars entered into a right of first refusal agreement pursuant to which we have the first right to enter into a sale leaseback transaction with respect to the real property associated with the development of a new casino resort in Danville, Virginia.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 Wolf Mezzanine Loan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16, 2021, we entered into a mezzanine loan agreement (the “Great Wolf Mezzanine Loan”) with an affiliate of Great Wolf Resorts, Inc. (“Great Wolf”) to provide up to $79.5 million in financing to partially fund the development of the Great Wolf Lodge Maryland, an expansive 48-acre indoor water park resort located in Perryville, MD. The Great Wolf Mezzanine Loan bears interest at a rate of 8.0% per annum and has an initial term of three years with two successive 12-month extension options, subject to certain conditions. Our commitment will be funded subject to customary terms and conditions in disbursements to the borrower based upon construction of the development and, as of March 31, 2022, approximately $49.2 million of the funds have been disbursed. We expect to fund our entire $79.5 million commitment by mid-2022.</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pursuant to a non-binding letter agreement, we will have the opportunity for a period of up to five years to provide up to a total of $300.0 million of mezzanine financing, inclusive of the $79.5 million related to the Great Wolf Lodge Maryland, for the development and construction of Great Wolf’s extensive domestic and international indoor water park resort pipeline.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Real Estate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our real estate portfolio consisted of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leases - sales-type, representing our investment in 23 casino assets leased on a triple-net basis to our tenants, Apollo, Caesars, Century Casinos, EBCI, Hard Rock and Penn National, under nine separate lease agreements;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leases - financing receivables, representing our investment in five casino assets leased on a triple-net basis to our tenants, Caesars and JACK Entertainment, under two separate lease agreements;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loans, representing our investment in the Chelsea Piers Mortgage Loan, Forum Convention Center Mortgage Loan and Great Wolf Mezzanine Loan;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Land, representing our investment in certain underdeveloped or undeveloped land adjacent to the Las Vegas strip and non-operating, vacant land parcels.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balances of our real estate portfolio as of March 31, 2022 and December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6"/>
                <w:szCs w:val="16"/>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Pr>
          <w:p>
            <w:pPr>
              <w:spacing w:after="0"/>
              <w:rPr>
                <w:sz w:val="16"/>
                <w:szCs w:val="16"/>
                <w:color w:val="auto"/>
              </w:rPr>
            </w:pPr>
          </w:p>
        </w:tc>
        <w:tc>
          <w:tcPr>
            <w:tcW w:w="1800" w:type="dxa"/>
            <w:vAlign w:val="bottom"/>
          </w:tcPr>
          <w:p>
            <w:pPr>
              <w:jc w:val="right"/>
              <w:ind w:right="271"/>
              <w:spacing w:after="0"/>
              <w:rPr>
                <w:sz w:val="20"/>
                <w:szCs w:val="20"/>
                <w:color w:val="auto"/>
              </w:rPr>
            </w:pPr>
            <w:r>
              <w:rPr>
                <w:rFonts w:ascii="Arial" w:cs="Arial" w:eastAsia="Arial" w:hAnsi="Arial"/>
                <w:sz w:val="16"/>
                <w:szCs w:val="16"/>
                <w:b w:val="1"/>
                <w:bCs w:val="1"/>
                <w:color w:val="auto"/>
                <w:w w:val="98"/>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Minimum lease payments receivable under sales-type leases </w:t>
            </w:r>
            <w:r>
              <w:rPr>
                <w:rFonts w:ascii="Arial" w:cs="Arial" w:eastAsia="Arial" w:hAnsi="Arial"/>
                <w:sz w:val="23"/>
                <w:szCs w:val="23"/>
                <w:i w:val="1"/>
                <w:iCs w:val="1"/>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64,524,789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44,485,224</w:t>
            </w:r>
          </w:p>
        </w:tc>
      </w:tr>
      <w:tr>
        <w:trPr>
          <w:trHeight w:val="229"/>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Estimated residual values of leased property (not guaranteed)</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6,578,781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3,334,549</w:t>
            </w: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 sales-type leases</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71,103,570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47,819,773</w:t>
            </w:r>
          </w:p>
        </w:tc>
      </w:tr>
      <w:tr>
        <w:trPr>
          <w:trHeight w:val="229"/>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Unamortized initial direct costs</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40,718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23,363</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Unearned income</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(53,526,411)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(34,271,620)</w:t>
            </w: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Allowance for credit losses</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(434,852)</w:t>
            </w: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leases - sales-type, net</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17,113,699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Investments in leases - financing receivables, net</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2,650,633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2,644,824</w:t>
            </w: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investments in leases, net</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19,764,332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15,781,488</w:t>
            </w:r>
          </w:p>
        </w:tc>
      </w:tr>
      <w:tr>
        <w:trPr>
          <w:trHeight w:val="230"/>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Investments in loans, net</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513,128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498,002</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153,576</w:t>
            </w:r>
          </w:p>
        </w:tc>
      </w:tr>
      <w:tr>
        <w:trPr>
          <w:trHeight w:val="223"/>
        </w:trPr>
        <w:tc>
          <w:tcPr>
            <w:tcW w:w="20" w:type="dxa"/>
            <w:vAlign w:val="bottom"/>
          </w:tcPr>
          <w:p>
            <w:pPr>
              <w:spacing w:after="0"/>
              <w:rPr>
                <w:sz w:val="19"/>
                <w:szCs w:val="19"/>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Total real estate portfolio</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20,431,036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16,433,066</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Portfolio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sales-type leases and lease financing receivables:</w:t>
      </w:r>
    </w:p>
    <w:p>
      <w:pPr>
        <w:spacing w:after="0" w:line="212"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751"/>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771"/>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Income from sales-type leases, excluding contingent rent </w:t>
            </w:r>
            <w:r>
              <w:rPr>
                <w:rFonts w:ascii="Arial" w:cs="Arial" w:eastAsia="Arial" w:hAnsi="Arial"/>
                <w:sz w:val="23"/>
                <w:szCs w:val="23"/>
                <w:i w:val="1"/>
                <w:iCs w:val="1"/>
                <w:color w:val="auto"/>
                <w:vertAlign w:val="superscript"/>
              </w:rPr>
              <w:t>(1)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289,574</w:t>
            </w:r>
          </w:p>
        </w:tc>
      </w:tr>
      <w:tr>
        <w:trPr>
          <w:trHeight w:val="229"/>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(1) (2)</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59,892</w:t>
            </w: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 excluding contingent rent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349,466</w:t>
            </w:r>
          </w:p>
        </w:tc>
      </w:tr>
      <w:tr>
        <w:trPr>
          <w:trHeight w:val="229"/>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Contingent rent </w:t>
            </w:r>
            <w:r>
              <w:rPr>
                <w:rFonts w:ascii="Arial" w:cs="Arial" w:eastAsia="Arial" w:hAnsi="Arial"/>
                <w:sz w:val="23"/>
                <w:szCs w:val="23"/>
                <w:i w:val="1"/>
                <w:iCs w:val="1"/>
                <w:color w:val="auto"/>
                <w:vertAlign w:val="superscript"/>
              </w:rPr>
              <w:t>(1)</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revenue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350,038</w:t>
            </w:r>
          </w:p>
        </w:tc>
      </w:tr>
      <w:tr>
        <w:trPr>
          <w:trHeight w:val="229"/>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(3)</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lease revenue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jc w:val="both"/>
        <w:ind w:firstLine="8"/>
        <w:spacing w:after="0" w:line="241" w:lineRule="auto"/>
        <w:tabs>
          <w:tab w:leader="none" w:pos="211"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 As of March 31, 2022, we have recognized contingent rent from our Margaritaville Lease, Greektown Lease, and Caesars Las Vegas Master Lease in relation to the variable rent portion of the respective leases. Refer to the Lease Provisions section below for information regarding contingent rent on each lease.</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11"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Harrah’s Original Call Properties and the JACK Cleveland/Thistledown Lease, both of which were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firstLine="8"/>
        <w:spacing w:after="0" w:line="255" w:lineRule="auto"/>
        <w:tabs>
          <w:tab w:leader="none" w:pos="204"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the minimum lease payments from sales-type leases and lease financing receivables in order to recognize income on an effective interest basis at a constant rate of return over the term of the leases.</w:t>
      </w:r>
    </w:p>
    <w:p>
      <w:pPr>
        <w:spacing w:after="0" w:line="1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March 31, 2022, minimum lease payments owed to us for each of the five succeeding years under sales-type leases and our leases accounted for as financing receivables,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 xml:space="preserve">Minimum Lease Payments </w:t>
            </w:r>
            <w:r>
              <w:rPr>
                <w:rFonts w:ascii="Arial" w:cs="Arial" w:eastAsia="Arial" w:hAnsi="Arial"/>
                <w:sz w:val="21"/>
                <w:szCs w:val="21"/>
                <w:b w:val="1"/>
                <w:bCs w:val="1"/>
                <w:i w:val="1"/>
                <w:iCs w:val="1"/>
                <w:color w:val="auto"/>
                <w:w w:val="89"/>
                <w:vertAlign w:val="superscript"/>
              </w:rPr>
              <w:t>(1) (2)</w:t>
            </w:r>
          </w:p>
        </w:tc>
        <w:tc>
          <w:tcPr>
            <w:tcW w:w="6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4"/>
          </w:tcPr>
          <w:p>
            <w:pPr>
              <w:jc w:val="right"/>
              <w:ind w:right="1692"/>
              <w:spacing w:after="0"/>
              <w:rPr>
                <w:sz w:val="20"/>
                <w:szCs w:val="20"/>
                <w:color w:val="auto"/>
              </w:rPr>
            </w:pPr>
            <w:r>
              <w:rPr>
                <w:rFonts w:ascii="Arial" w:cs="Arial" w:eastAsia="Arial" w:hAnsi="Arial"/>
                <w:sz w:val="16"/>
                <w:szCs w:val="16"/>
                <w:b w:val="1"/>
                <w:bCs w:val="1"/>
                <w:color w:val="auto"/>
              </w:rPr>
              <w:t>Investments in Leases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Pr>
          <w:p>
            <w:pPr>
              <w:spacing w:after="0"/>
              <w:rPr>
                <w:sz w:val="18"/>
                <w:szCs w:val="18"/>
                <w:color w:val="auto"/>
              </w:rPr>
            </w:pPr>
          </w:p>
        </w:tc>
        <w:tc>
          <w:tcPr>
            <w:tcW w:w="2100" w:type="dxa"/>
            <w:vAlign w:val="bottom"/>
            <w:gridSpan w:val="2"/>
          </w:tcPr>
          <w:p>
            <w:pPr>
              <w:ind w:left="380"/>
              <w:spacing w:after="0"/>
              <w:rPr>
                <w:sz w:val="20"/>
                <w:szCs w:val="20"/>
                <w:color w:val="auto"/>
              </w:rPr>
            </w:pPr>
            <w:r>
              <w:rPr>
                <w:rFonts w:ascii="Arial" w:cs="Arial" w:eastAsia="Arial" w:hAnsi="Arial"/>
                <w:sz w:val="16"/>
                <w:szCs w:val="16"/>
                <w:b w:val="1"/>
                <w:bCs w:val="1"/>
                <w:color w:val="auto"/>
              </w:rPr>
              <w:t>Sales-Type</w:t>
            </w:r>
          </w:p>
        </w:tc>
        <w:tc>
          <w:tcPr>
            <w:tcW w:w="12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Financing Receivables</w:t>
            </w:r>
          </w:p>
        </w:tc>
        <w:tc>
          <w:tcPr>
            <w:tcW w:w="600" w:type="dxa"/>
            <w:vAlign w:val="bottom"/>
          </w:tcPr>
          <w:p>
            <w:pPr>
              <w:spacing w:after="0"/>
              <w:rPr>
                <w:sz w:val="18"/>
                <w:szCs w:val="18"/>
                <w:color w:val="auto"/>
              </w:rPr>
            </w:pPr>
          </w:p>
        </w:tc>
        <w:tc>
          <w:tcPr>
            <w:tcW w:w="1900" w:type="dxa"/>
            <w:vAlign w:val="bottom"/>
          </w:tcPr>
          <w:p>
            <w:pPr>
              <w:jc w:val="right"/>
              <w:ind w:right="991"/>
              <w:spacing w:after="0"/>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994,936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171,273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1,166,209</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1,344,189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232,320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1,576,509</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236,452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1,602,579</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1,385,348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239,835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1,625,183</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243,281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1,648,287</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1,425,272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246,841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1,672,113</w:t>
            </w: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56,603,911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8,309,373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64,913,284</w:t>
            </w: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64,524,789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9,679,375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74,204,164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Weighted Average Lease Term </w:t>
            </w:r>
            <w:r>
              <w:rPr>
                <w:rFonts w:ascii="Arial" w:cs="Arial" w:eastAsia="Arial" w:hAnsi="Arial"/>
                <w:sz w:val="23"/>
                <w:szCs w:val="23"/>
                <w:b w:val="1"/>
                <w:bCs w:val="1"/>
                <w:i w:val="1"/>
                <w:iCs w:val="1"/>
                <w:color w:val="auto"/>
                <w:vertAlign w:val="superscript"/>
              </w:rPr>
              <w:t>(2)</w:t>
            </w:r>
          </w:p>
        </w:tc>
        <w:tc>
          <w:tcPr>
            <w:tcW w:w="500" w:type="dxa"/>
            <w:vAlign w:val="bottom"/>
          </w:tcPr>
          <w:p>
            <w:pPr>
              <w:spacing w:after="0"/>
              <w:rPr>
                <w:sz w:val="24"/>
                <w:szCs w:val="24"/>
                <w:color w:val="auto"/>
              </w:rPr>
            </w:pPr>
          </w:p>
        </w:tc>
        <w:tc>
          <w:tcPr>
            <w:tcW w:w="2100" w:type="dxa"/>
            <w:vAlign w:val="bottom"/>
            <w:gridSpan w:val="2"/>
          </w:tcPr>
          <w:p>
            <w:pPr>
              <w:ind w:left="1140"/>
              <w:spacing w:after="0"/>
              <w:rPr>
                <w:sz w:val="20"/>
                <w:szCs w:val="20"/>
                <w:color w:val="auto"/>
              </w:rPr>
            </w:pPr>
            <w:r>
              <w:rPr>
                <w:rFonts w:ascii="Arial" w:cs="Arial" w:eastAsia="Arial" w:hAnsi="Arial"/>
                <w:sz w:val="18"/>
                <w:szCs w:val="18"/>
                <w:color w:val="auto"/>
              </w:rPr>
              <w:t>37.0 years</w:t>
            </w:r>
          </w:p>
        </w:tc>
        <w:tc>
          <w:tcPr>
            <w:tcW w:w="120" w:type="dxa"/>
            <w:vAlign w:val="bottom"/>
          </w:tcPr>
          <w:p>
            <w:pPr>
              <w:spacing w:after="0"/>
              <w:rPr>
                <w:sz w:val="24"/>
                <w:szCs w:val="24"/>
                <w:color w:val="auto"/>
              </w:rPr>
            </w:pPr>
          </w:p>
        </w:tc>
        <w:tc>
          <w:tcPr>
            <w:tcW w:w="2460" w:type="dxa"/>
            <w:vAlign w:val="bottom"/>
            <w:gridSpan w:val="2"/>
          </w:tcPr>
          <w:p>
            <w:pPr>
              <w:ind w:left="1500"/>
              <w:spacing w:after="0"/>
              <w:rPr>
                <w:sz w:val="20"/>
                <w:szCs w:val="20"/>
                <w:color w:val="auto"/>
              </w:rPr>
            </w:pPr>
            <w:r>
              <w:rPr>
                <w:rFonts w:ascii="Arial" w:cs="Arial" w:eastAsia="Arial" w:hAnsi="Arial"/>
                <w:sz w:val="18"/>
                <w:szCs w:val="18"/>
                <w:color w:val="auto"/>
              </w:rPr>
              <w:t>33.2 years</w:t>
            </w:r>
          </w:p>
        </w:tc>
        <w:tc>
          <w:tcPr>
            <w:tcW w:w="6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35.5 years</w:t>
            </w:r>
          </w:p>
        </w:tc>
      </w:tr>
      <w:tr>
        <w:trPr>
          <w:trHeight w:val="174"/>
        </w:trPr>
        <w:tc>
          <w:tcPr>
            <w:tcW w:w="356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r>
    </w:tbl>
    <w:p>
      <w:pPr>
        <w:ind w:left="220" w:hanging="212"/>
        <w:spacing w:after="0"/>
        <w:tabs>
          <w:tab w:leader="none" w:pos="2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above, that may be received under the Lease Agreements.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2"/>
        </w:numPr>
        <w:rPr>
          <w:rFonts w:ascii="Arial" w:cs="Arial" w:eastAsia="Arial" w:hAnsi="Arial"/>
          <w:sz w:val="13"/>
          <w:szCs w:val="13"/>
          <w:i w:val="1"/>
          <w:iCs w:val="1"/>
          <w:color w:val="auto"/>
        </w:rPr>
      </w:pPr>
      <w:r>
        <w:rPr>
          <w:rFonts w:ascii="Arial" w:cs="Arial" w:eastAsia="Arial" w:hAnsi="Arial"/>
          <w:sz w:val="13"/>
          <w:szCs w:val="13"/>
          <w:i w:val="1"/>
          <w:iCs w:val="1"/>
          <w:color w:val="auto"/>
        </w:rPr>
        <w:t>The minimum lease payments and weighted average remaining lease term assumes the exercise of all tenant renewal options, consistent with our conclusions under ASC 842 and ASC 310.</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Overview</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is a summary of the material lease provisions of our Caesars Leases, Venetian Lease, MGM Master Lease, and BREIT JV Lease (the MGM Master Lease as entered into and BREIT JV Lease as assumed by us, each as part of the closing of the MGP Transactions on April 29,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80" w:type="dxa"/>
            <w:vAlign w:val="bottom"/>
          </w:tcPr>
          <w:p>
            <w:pPr>
              <w:spacing w:after="0"/>
              <w:rPr>
                <w:sz w:val="14"/>
                <w:szCs w:val="14"/>
                <w:color w:val="auto"/>
              </w:rPr>
            </w:pPr>
          </w:p>
        </w:tc>
        <w:tc>
          <w:tcPr>
            <w:tcW w:w="20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0"/>
              </w:rPr>
              <w:t>Caesars Regional Master</w:t>
            </w:r>
          </w:p>
        </w:tc>
        <w:tc>
          <w:tcPr>
            <w:tcW w:w="186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87"/>
              </w:rPr>
              <w:t>Caesars Las Vegas</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2"/>
            <w:vMerge w:val="continue"/>
          </w:tcPr>
          <w:p>
            <w:pPr>
              <w:spacing w:after="0" w:line="20" w:lineRule="exact"/>
              <w:rPr>
                <w:sz w:val="1"/>
                <w:szCs w:val="1"/>
                <w:color w:val="auto"/>
              </w:rPr>
            </w:pPr>
          </w:p>
        </w:tc>
        <w:tc>
          <w:tcPr>
            <w:tcW w:w="1860" w:type="dxa"/>
            <w:vAlign w:val="bottom"/>
            <w:gridSpan w:val="2"/>
            <w:vMerge w:val="continu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Lease Provision</w:t>
            </w:r>
          </w:p>
        </w:tc>
        <w:tc>
          <w:tcPr>
            <w:tcW w:w="80" w:type="dxa"/>
            <w:vAlign w:val="bottom"/>
          </w:tcPr>
          <w:p>
            <w:pPr>
              <w:spacing w:after="0"/>
              <w:rPr>
                <w:sz w:val="5"/>
                <w:szCs w:val="5"/>
                <w:color w:val="auto"/>
              </w:rPr>
            </w:pPr>
          </w:p>
        </w:tc>
        <w:tc>
          <w:tcPr>
            <w:tcW w:w="2080" w:type="dxa"/>
            <w:vAlign w:val="bottom"/>
            <w:gridSpan w:val="2"/>
            <w:vMerge w:val="continue"/>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17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Venetian Lease</w:t>
            </w:r>
          </w:p>
        </w:tc>
        <w:tc>
          <w:tcPr>
            <w:tcW w:w="16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MGM Master Lease</w:t>
            </w:r>
          </w:p>
        </w:tc>
        <w:tc>
          <w:tcPr>
            <w:tcW w:w="174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BREIT JV Lease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Lease and Joliet Lease</w:t>
            </w:r>
          </w:p>
        </w:tc>
        <w:tc>
          <w:tcPr>
            <w:tcW w:w="1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Master Lease</w:t>
            </w:r>
          </w:p>
        </w:tc>
        <w:tc>
          <w:tcPr>
            <w:tcW w:w="174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18 years</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18 years</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30 years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25 years</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30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Initial term maturity</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7/31/2035</w:t>
            </w:r>
          </w:p>
        </w:tc>
        <w:tc>
          <w:tcPr>
            <w:tcW w:w="80" w:type="dxa"/>
            <w:vAlign w:val="bottom"/>
          </w:tcPr>
          <w:p>
            <w:pPr>
              <w:spacing w:after="0"/>
              <w:rPr>
                <w:sz w:val="19"/>
                <w:szCs w:val="19"/>
                <w:color w:val="auto"/>
              </w:rPr>
            </w:pPr>
          </w:p>
        </w:tc>
        <w:tc>
          <w:tcPr>
            <w:tcW w:w="1780" w:type="dxa"/>
            <w:vAlign w:val="bottom"/>
          </w:tcPr>
          <w:p>
            <w:pPr>
              <w:ind w:left="20"/>
              <w:spacing w:after="0"/>
              <w:rPr>
                <w:sz w:val="20"/>
                <w:szCs w:val="20"/>
                <w:color w:val="auto"/>
              </w:rPr>
            </w:pPr>
            <w:r>
              <w:rPr>
                <w:rFonts w:ascii="Arial" w:cs="Arial" w:eastAsia="Arial" w:hAnsi="Arial"/>
                <w:sz w:val="18"/>
                <w:szCs w:val="18"/>
                <w:color w:val="auto"/>
              </w:rPr>
              <w:t>7/31/2035</w:t>
            </w:r>
          </w:p>
        </w:tc>
        <w:tc>
          <w:tcPr>
            <w:tcW w:w="8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2/29/2052</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4/30/2047</w:t>
            </w:r>
          </w:p>
        </w:tc>
        <w:tc>
          <w:tcPr>
            <w:tcW w:w="100" w:type="dxa"/>
            <w:vAlign w:val="bottom"/>
          </w:tcPr>
          <w:p>
            <w:pPr>
              <w:spacing w:after="0"/>
              <w:rPr>
                <w:sz w:val="19"/>
                <w:szCs w:val="19"/>
                <w:color w:val="auto"/>
              </w:rPr>
            </w:pPr>
          </w:p>
        </w:tc>
        <w:tc>
          <w:tcPr>
            <w:tcW w:w="1740" w:type="dxa"/>
            <w:vAlign w:val="bottom"/>
          </w:tcPr>
          <w:p>
            <w:pPr>
              <w:ind w:left="20"/>
              <w:spacing w:after="0"/>
              <w:rPr>
                <w:sz w:val="20"/>
                <w:szCs w:val="20"/>
                <w:color w:val="auto"/>
              </w:rPr>
            </w:pPr>
            <w:r>
              <w:rPr>
                <w:rFonts w:ascii="Arial" w:cs="Arial" w:eastAsia="Arial" w:hAnsi="Arial"/>
                <w:sz w:val="18"/>
                <w:szCs w:val="18"/>
                <w:color w:val="auto"/>
              </w:rPr>
              <w:t>2/28/2050</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Renewal terms</w:t>
            </w:r>
          </w:p>
        </w:tc>
        <w:tc>
          <w:tcPr>
            <w:tcW w:w="80" w:type="dxa"/>
            <w:vAlign w:val="bottom"/>
            <w:shd w:val="clear" w:color="auto" w:fill="CCEEFF"/>
          </w:tcPr>
          <w:p>
            <w:pPr>
              <w:spacing w:after="0"/>
              <w:rPr>
                <w:sz w:val="15"/>
                <w:szCs w:val="15"/>
                <w:color w:val="auto"/>
              </w:rPr>
            </w:pPr>
          </w:p>
        </w:tc>
        <w:tc>
          <w:tcPr>
            <w:tcW w:w="20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18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17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Two, ten-year terms</w:t>
            </w:r>
          </w:p>
        </w:tc>
        <w:tc>
          <w:tcPr>
            <w:tcW w:w="16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Three, ten-year</w:t>
            </w:r>
          </w:p>
        </w:tc>
        <w:tc>
          <w:tcPr>
            <w:tcW w:w="1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Two, ten-year terms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0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80" w:type="dxa"/>
            <w:vAlign w:val="bottom"/>
            <w:gridSpan w:val="2"/>
            <w:vMerge w:val="continue"/>
            <w:shd w:val="clear" w:color="auto" w:fill="CCEEFF"/>
          </w:tcPr>
          <w:p>
            <w:pPr>
              <w:spacing w:after="0"/>
              <w:rPr>
                <w:sz w:val="11"/>
                <w:szCs w:val="11"/>
                <w:color w:val="auto"/>
              </w:rPr>
            </w:pPr>
          </w:p>
        </w:tc>
        <w:tc>
          <w:tcPr>
            <w:tcW w:w="1860" w:type="dxa"/>
            <w:vAlign w:val="bottom"/>
            <w:gridSpan w:val="2"/>
            <w:vMerge w:val="continue"/>
            <w:shd w:val="clear" w:color="auto" w:fill="CCEEFF"/>
          </w:tcPr>
          <w:p>
            <w:pPr>
              <w:spacing w:after="0"/>
              <w:rPr>
                <w:sz w:val="11"/>
                <w:szCs w:val="11"/>
                <w:color w:val="auto"/>
              </w:rPr>
            </w:pPr>
          </w:p>
        </w:tc>
        <w:tc>
          <w:tcPr>
            <w:tcW w:w="1740" w:type="dxa"/>
            <w:vAlign w:val="bottom"/>
            <w:gridSpan w:val="2"/>
            <w:vMerge w:val="continue"/>
            <w:shd w:val="clear" w:color="auto" w:fill="CCEEFF"/>
          </w:tcPr>
          <w:p>
            <w:pPr>
              <w:spacing w:after="0"/>
              <w:rPr>
                <w:sz w:val="11"/>
                <w:szCs w:val="11"/>
                <w:color w:val="auto"/>
              </w:rPr>
            </w:pPr>
          </w:p>
        </w:tc>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terms</w:t>
            </w:r>
          </w:p>
        </w:tc>
        <w:tc>
          <w:tcPr>
            <w:tcW w:w="1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60" w:type="dxa"/>
            <w:vAlign w:val="bottom"/>
            <w:gridSpan w:val="2"/>
            <w:vMerge w:val="continue"/>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7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Current lease year </w:t>
      </w:r>
      <w:r>
        <w:rPr>
          <w:rFonts w:ascii="Arial" w:cs="Arial" w:eastAsia="Arial" w:hAnsi="Arial"/>
          <w:sz w:val="20"/>
          <w:szCs w:val="20"/>
          <w:i w:val="1"/>
          <w:iCs w:val="1"/>
          <w:color w:val="auto"/>
          <w:vertAlign w:val="superscript"/>
        </w:rPr>
        <w:t>(1)</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Current annual rent </w:t>
      </w:r>
      <w:r>
        <w:rPr>
          <w:rFonts w:ascii="Arial" w:cs="Arial" w:eastAsia="Arial" w:hAnsi="Arial"/>
          <w:sz w:val="19"/>
          <w:szCs w:val="19"/>
          <w:i w:val="1"/>
          <w:iCs w:val="1"/>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Annual escalator </w:t>
      </w:r>
      <w:r>
        <w:rPr>
          <w:rFonts w:ascii="Arial" w:cs="Arial" w:eastAsia="Arial" w:hAnsi="Arial"/>
          <w:sz w:val="23"/>
          <w:szCs w:val="23"/>
          <w:i w:val="1"/>
          <w:iCs w:val="1"/>
          <w:color w:val="auto"/>
          <w:vertAlign w:val="superscript"/>
        </w:rPr>
        <w:t>(3)</w:t>
      </w:r>
    </w:p>
    <w:p>
      <w:pPr>
        <w:spacing w:after="0" w:line="20" w:lineRule="exact"/>
        <w:rPr>
          <w:sz w:val="20"/>
          <w:szCs w:val="20"/>
          <w:color w:val="auto"/>
        </w:rPr>
      </w:pPr>
      <w:r>
        <w:rPr>
          <w:sz w:val="20"/>
          <w:szCs w:val="20"/>
          <w:color w:val="auto"/>
        </w:rPr>
        <w:br w:type="column"/>
      </w:r>
    </w:p>
    <w:p>
      <w:pPr>
        <w:spacing w:after="0"/>
        <w:tabs>
          <w:tab w:leader="none" w:pos="2060" w:val="left"/>
        </w:tabs>
        <w:rPr>
          <w:sz w:val="20"/>
          <w:szCs w:val="20"/>
          <w:color w:val="auto"/>
        </w:rPr>
      </w:pPr>
      <w:r>
        <w:rPr>
          <w:rFonts w:ascii="Arial" w:cs="Arial" w:eastAsia="Arial" w:hAnsi="Arial"/>
          <w:sz w:val="18"/>
          <w:szCs w:val="18"/>
          <w:color w:val="auto"/>
        </w:rPr>
        <w:t>11/1/21 - 10/31/22 (Lease</w:t>
      </w:r>
      <w:r>
        <w:rPr>
          <w:sz w:val="20"/>
          <w:szCs w:val="20"/>
          <w:color w:val="auto"/>
        </w:rPr>
        <w:tab/>
      </w:r>
      <w:r>
        <w:rPr>
          <w:rFonts w:ascii="Arial" w:cs="Arial" w:eastAsia="Arial" w:hAnsi="Arial"/>
          <w:sz w:val="16"/>
          <w:szCs w:val="16"/>
          <w:color w:val="auto"/>
        </w:rPr>
        <w:t>11/1/21 - 10/31/22</w:t>
      </w:r>
    </w:p>
    <w:p>
      <w:pPr>
        <w:spacing w:after="0"/>
        <w:tabs>
          <w:tab w:leader="none" w:pos="2060" w:val="left"/>
        </w:tabs>
        <w:rPr>
          <w:sz w:val="20"/>
          <w:szCs w:val="20"/>
          <w:color w:val="auto"/>
        </w:rPr>
      </w:pPr>
      <w:r>
        <w:rPr>
          <w:rFonts w:ascii="Arial" w:cs="Arial" w:eastAsia="Arial" w:hAnsi="Arial"/>
          <w:sz w:val="18"/>
          <w:szCs w:val="18"/>
          <w:color w:val="auto"/>
        </w:rPr>
        <w:t>Year 5)</w:t>
      </w:r>
      <w:r>
        <w:rPr>
          <w:sz w:val="20"/>
          <w:szCs w:val="20"/>
          <w:color w:val="auto"/>
        </w:rPr>
        <w:tab/>
      </w:r>
      <w:r>
        <w:rPr>
          <w:rFonts w:ascii="Arial" w:cs="Arial" w:eastAsia="Arial" w:hAnsi="Arial"/>
          <w:sz w:val="16"/>
          <w:szCs w:val="16"/>
          <w:color w:val="auto"/>
        </w:rPr>
        <w:t>(Lease Year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4445</wp:posOffset>
            </wp:positionV>
            <wp:extent cx="7132320" cy="368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162"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$649,572</w:t>
      </w:r>
      <w:r>
        <w:rPr>
          <w:sz w:val="20"/>
          <w:szCs w:val="20"/>
          <w:color w:val="auto"/>
        </w:rPr>
        <w:tab/>
      </w:r>
      <w:r>
        <w:rPr>
          <w:rFonts w:ascii="Arial" w:cs="Arial" w:eastAsia="Arial" w:hAnsi="Arial"/>
          <w:sz w:val="16"/>
          <w:szCs w:val="16"/>
          <w:color w:val="auto"/>
        </w:rPr>
        <w:t>$422,224</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Lease years 2-5 - 1.5%</w:t>
      </w:r>
    </w:p>
    <w:p>
      <w:pPr>
        <w:spacing w:after="0" w:line="226" w:lineRule="auto"/>
        <w:rPr>
          <w:sz w:val="20"/>
          <w:szCs w:val="20"/>
          <w:color w:val="auto"/>
        </w:rPr>
      </w:pPr>
      <w:r>
        <w:rPr>
          <w:rFonts w:ascii="Arial" w:cs="Arial" w:eastAsia="Arial" w:hAnsi="Arial"/>
          <w:sz w:val="18"/>
          <w:szCs w:val="18"/>
          <w:color w:val="auto"/>
        </w:rPr>
        <w:t>Lease years 6-end of term &gt; 2% / change in CPI - CPI subject to 2.0%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171450</wp:posOffset>
            </wp:positionV>
            <wp:extent cx="7132320" cy="480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620" w:type="dxa"/>
            <w:vAlign w:val="bottom"/>
          </w:tcPr>
          <w:p>
            <w:pPr>
              <w:spacing w:after="0" w:line="176" w:lineRule="exact"/>
              <w:rPr>
                <w:sz w:val="20"/>
                <w:szCs w:val="20"/>
                <w:color w:val="auto"/>
              </w:rPr>
            </w:pPr>
            <w:r>
              <w:rPr>
                <w:rFonts w:ascii="Arial" w:cs="Arial" w:eastAsia="Arial" w:hAnsi="Arial"/>
                <w:sz w:val="18"/>
                <w:szCs w:val="18"/>
                <w:color w:val="auto"/>
              </w:rPr>
              <w:t>2/23/22 - 2/28/23</w:t>
            </w:r>
          </w:p>
        </w:tc>
        <w:tc>
          <w:tcPr>
            <w:tcW w:w="1640" w:type="dxa"/>
            <w:vAlign w:val="bottom"/>
          </w:tcPr>
          <w:p>
            <w:pPr>
              <w:ind w:left="120"/>
              <w:spacing w:after="0" w:line="176" w:lineRule="exact"/>
              <w:rPr>
                <w:sz w:val="20"/>
                <w:szCs w:val="20"/>
                <w:color w:val="auto"/>
              </w:rPr>
            </w:pPr>
            <w:r>
              <w:rPr>
                <w:rFonts w:ascii="Arial" w:cs="Arial" w:eastAsia="Arial" w:hAnsi="Arial"/>
                <w:sz w:val="18"/>
                <w:szCs w:val="18"/>
                <w:color w:val="auto"/>
              </w:rPr>
              <w:t>4/29/22-4/30/23</w:t>
            </w:r>
          </w:p>
        </w:tc>
        <w:tc>
          <w:tcPr>
            <w:tcW w:w="1820" w:type="dxa"/>
            <w:vAlign w:val="bottom"/>
          </w:tcPr>
          <w:p>
            <w:pPr>
              <w:ind w:left="140"/>
              <w:spacing w:after="0" w:line="176" w:lineRule="exact"/>
              <w:rPr>
                <w:sz w:val="20"/>
                <w:szCs w:val="20"/>
                <w:color w:val="auto"/>
              </w:rPr>
            </w:pPr>
            <w:r>
              <w:rPr>
                <w:rFonts w:ascii="Arial" w:cs="Arial" w:eastAsia="Arial" w:hAnsi="Arial"/>
                <w:sz w:val="18"/>
                <w:szCs w:val="18"/>
                <w:color w:val="auto"/>
                <w:w w:val="89"/>
              </w:rPr>
              <w:t>3/1/22 - 2/28/23 (Lease</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20"/>
                <w:szCs w:val="20"/>
                <w:color w:val="auto"/>
              </w:rPr>
            </w:pPr>
            <w:r>
              <w:rPr>
                <w:rFonts w:ascii="Arial" w:cs="Arial" w:eastAsia="Arial" w:hAnsi="Arial"/>
                <w:sz w:val="18"/>
                <w:szCs w:val="18"/>
                <w:color w:val="auto"/>
              </w:rPr>
              <w:t>(Lease Year 1)</w:t>
            </w:r>
          </w:p>
        </w:tc>
        <w:tc>
          <w:tcPr>
            <w:tcW w:w="1640" w:type="dxa"/>
            <w:vAlign w:val="bottom"/>
          </w:tcPr>
          <w:p>
            <w:pPr>
              <w:ind w:left="120"/>
              <w:spacing w:after="0"/>
              <w:rPr>
                <w:sz w:val="20"/>
                <w:szCs w:val="20"/>
                <w:color w:val="auto"/>
              </w:rPr>
            </w:pPr>
            <w:r>
              <w:rPr>
                <w:rFonts w:ascii="Arial" w:cs="Arial" w:eastAsia="Arial" w:hAnsi="Arial"/>
                <w:sz w:val="18"/>
                <w:szCs w:val="18"/>
                <w:color w:val="auto"/>
              </w:rPr>
              <w:t>(Lease Year 1)</w:t>
            </w:r>
          </w:p>
        </w:tc>
        <w:tc>
          <w:tcPr>
            <w:tcW w:w="1820" w:type="dxa"/>
            <w:vAlign w:val="bottom"/>
          </w:tcPr>
          <w:p>
            <w:pPr>
              <w:ind w:left="140"/>
              <w:spacing w:after="0"/>
              <w:rPr>
                <w:sz w:val="20"/>
                <w:szCs w:val="20"/>
                <w:color w:val="auto"/>
              </w:rPr>
            </w:pPr>
            <w:r>
              <w:rPr>
                <w:rFonts w:ascii="Arial" w:cs="Arial" w:eastAsia="Arial" w:hAnsi="Arial"/>
                <w:sz w:val="18"/>
                <w:szCs w:val="18"/>
                <w:color w:val="auto"/>
              </w:rPr>
              <w:t>Year 3)</w:t>
            </w:r>
          </w:p>
        </w:tc>
        <w:tc>
          <w:tcPr>
            <w:tcW w:w="0" w:type="dxa"/>
            <w:vAlign w:val="bottom"/>
          </w:tcPr>
          <w:p>
            <w:pPr>
              <w:spacing w:after="0"/>
              <w:rPr>
                <w:sz w:val="1"/>
                <w:szCs w:val="1"/>
                <w:color w:val="auto"/>
              </w:rPr>
            </w:pPr>
          </w:p>
        </w:tc>
      </w:tr>
      <w:tr>
        <w:trPr>
          <w:trHeight w:val="176"/>
        </w:trPr>
        <w:tc>
          <w:tcPr>
            <w:tcW w:w="1620" w:type="dxa"/>
            <w:vAlign w:val="bottom"/>
            <w:vMerge w:val="restart"/>
          </w:tcPr>
          <w:p>
            <w:pPr>
              <w:spacing w:after="0"/>
              <w:rPr>
                <w:sz w:val="20"/>
                <w:szCs w:val="20"/>
                <w:color w:val="auto"/>
              </w:rPr>
            </w:pPr>
            <w:r>
              <w:rPr>
                <w:rFonts w:ascii="Arial" w:cs="Arial" w:eastAsia="Arial" w:hAnsi="Arial"/>
                <w:sz w:val="18"/>
                <w:szCs w:val="18"/>
                <w:color w:val="auto"/>
              </w:rPr>
              <w:t>$250,000</w:t>
            </w:r>
          </w:p>
        </w:tc>
        <w:tc>
          <w:tcPr>
            <w:tcW w:w="1640" w:type="dxa"/>
            <w:vAlign w:val="bottom"/>
            <w:vMerge w:val="restart"/>
          </w:tcPr>
          <w:p>
            <w:pPr>
              <w:ind w:left="120"/>
              <w:spacing w:after="0"/>
              <w:rPr>
                <w:sz w:val="20"/>
                <w:szCs w:val="20"/>
                <w:color w:val="auto"/>
              </w:rPr>
            </w:pPr>
            <w:r>
              <w:rPr>
                <w:rFonts w:ascii="Arial" w:cs="Arial" w:eastAsia="Arial" w:hAnsi="Arial"/>
                <w:sz w:val="18"/>
                <w:szCs w:val="18"/>
                <w:color w:val="auto"/>
              </w:rPr>
              <w:t>$860,000</w:t>
            </w:r>
          </w:p>
        </w:tc>
        <w:tc>
          <w:tcPr>
            <w:tcW w:w="1820" w:type="dxa"/>
            <w:vAlign w:val="bottom"/>
          </w:tcPr>
          <w:p>
            <w:pPr>
              <w:ind w:left="140"/>
              <w:spacing w:after="0" w:line="176" w:lineRule="exact"/>
              <w:rPr>
                <w:sz w:val="20"/>
                <w:szCs w:val="20"/>
                <w:color w:val="auto"/>
              </w:rPr>
            </w:pPr>
            <w:r>
              <w:rPr>
                <w:rFonts w:ascii="Arial" w:cs="Arial" w:eastAsia="Arial" w:hAnsi="Arial"/>
                <w:sz w:val="18"/>
                <w:szCs w:val="18"/>
                <w:color w:val="auto"/>
              </w:rPr>
              <w:t>$303,800 (VICI’s</w:t>
            </w: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820" w:type="dxa"/>
            <w:vAlign w:val="bottom"/>
          </w:tcPr>
          <w:p>
            <w:pPr>
              <w:ind w:left="140"/>
              <w:spacing w:after="0" w:line="176" w:lineRule="exact"/>
              <w:rPr>
                <w:sz w:val="20"/>
                <w:szCs w:val="20"/>
                <w:color w:val="auto"/>
              </w:rPr>
            </w:pPr>
            <w:r>
              <w:rPr>
                <w:rFonts w:ascii="Arial" w:cs="Arial" w:eastAsia="Arial" w:hAnsi="Arial"/>
                <w:sz w:val="18"/>
                <w:szCs w:val="18"/>
                <w:color w:val="auto"/>
                <w:w w:val="89"/>
              </w:rPr>
              <w:t>50.1% Pro Rata Share: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640" w:type="dxa"/>
            <w:vAlign w:val="bottom"/>
            <w:vMerge w:val="restart"/>
          </w:tcPr>
          <w:p>
            <w:pPr>
              <w:ind w:left="120"/>
              <w:spacing w:after="0"/>
              <w:rPr>
                <w:sz w:val="20"/>
                <w:szCs w:val="20"/>
                <w:color w:val="auto"/>
              </w:rPr>
            </w:pPr>
            <w:r>
              <w:rPr>
                <w:rFonts w:ascii="Arial" w:cs="Arial" w:eastAsia="Arial" w:hAnsi="Arial"/>
                <w:sz w:val="18"/>
                <w:szCs w:val="18"/>
                <w:color w:val="auto"/>
                <w:w w:val="99"/>
              </w:rPr>
              <w:t>Lease years 2-10 -</w:t>
            </w:r>
          </w:p>
        </w:tc>
        <w:tc>
          <w:tcPr>
            <w:tcW w:w="1820" w:type="dxa"/>
            <w:vAlign w:val="bottom"/>
          </w:tcPr>
          <w:p>
            <w:pPr>
              <w:ind w:left="140"/>
              <w:spacing w:after="0"/>
              <w:rPr>
                <w:sz w:val="20"/>
                <w:szCs w:val="20"/>
                <w:color w:val="auto"/>
              </w:rPr>
            </w:pPr>
            <w:r>
              <w:rPr>
                <w:rFonts w:ascii="Arial" w:cs="Arial" w:eastAsia="Arial" w:hAnsi="Arial"/>
                <w:sz w:val="18"/>
                <w:szCs w:val="18"/>
                <w:color w:val="auto"/>
              </w:rPr>
              <w:t>$152,203)</w:t>
            </w:r>
          </w:p>
        </w:tc>
        <w:tc>
          <w:tcPr>
            <w:tcW w:w="0" w:type="dxa"/>
            <w:vAlign w:val="bottom"/>
          </w:tcPr>
          <w:p>
            <w:pPr>
              <w:spacing w:after="0"/>
              <w:rPr>
                <w:sz w:val="1"/>
                <w:szCs w:val="1"/>
                <w:color w:val="auto"/>
              </w:rPr>
            </w:pPr>
          </w:p>
        </w:tc>
      </w:tr>
      <w:tr>
        <w:trPr>
          <w:trHeight w:val="175"/>
        </w:trPr>
        <w:tc>
          <w:tcPr>
            <w:tcW w:w="1620" w:type="dxa"/>
            <w:vAlign w:val="bottom"/>
            <w:vMerge w:val="restart"/>
          </w:tcPr>
          <w:p>
            <w:pPr>
              <w:spacing w:after="0"/>
              <w:rPr>
                <w:sz w:val="20"/>
                <w:szCs w:val="20"/>
                <w:color w:val="auto"/>
              </w:rPr>
            </w:pPr>
            <w:r>
              <w:rPr>
                <w:rFonts w:ascii="Arial" w:cs="Arial" w:eastAsia="Arial" w:hAnsi="Arial"/>
                <w:sz w:val="18"/>
                <w:szCs w:val="18"/>
                <w:color w:val="auto"/>
                <w:w w:val="97"/>
              </w:rPr>
              <w:t>&gt;2% / change in CPI</w:t>
            </w:r>
          </w:p>
        </w:tc>
        <w:tc>
          <w:tcPr>
            <w:tcW w:w="1640" w:type="dxa"/>
            <w:vAlign w:val="bottom"/>
            <w:vMerge w:val="continue"/>
          </w:tcPr>
          <w:p>
            <w:pPr>
              <w:spacing w:after="0"/>
              <w:rPr>
                <w:sz w:val="15"/>
                <w:szCs w:val="15"/>
                <w:color w:val="auto"/>
              </w:rPr>
            </w:pPr>
          </w:p>
        </w:tc>
        <w:tc>
          <w:tcPr>
            <w:tcW w:w="1820" w:type="dxa"/>
            <w:vAlign w:val="bottom"/>
            <w:vMerge w:val="restart"/>
          </w:tcPr>
          <w:p>
            <w:pPr>
              <w:ind w:left="140"/>
              <w:spacing w:after="0"/>
              <w:rPr>
                <w:sz w:val="20"/>
                <w:szCs w:val="20"/>
                <w:color w:val="auto"/>
              </w:rPr>
            </w:pPr>
            <w:r>
              <w:rPr>
                <w:rFonts w:ascii="Arial" w:cs="Arial" w:eastAsia="Arial" w:hAnsi="Arial"/>
                <w:sz w:val="18"/>
                <w:szCs w:val="18"/>
                <w:color w:val="auto"/>
                <w:w w:val="91"/>
              </w:rPr>
              <w:t>Lease years 2-15 - 2%</w:t>
            </w:r>
          </w:p>
        </w:tc>
        <w:tc>
          <w:tcPr>
            <w:tcW w:w="0" w:type="dxa"/>
            <w:vAlign w:val="bottom"/>
          </w:tcPr>
          <w:p>
            <w:pPr>
              <w:spacing w:after="0"/>
              <w:rPr>
                <w:sz w:val="1"/>
                <w:szCs w:val="1"/>
                <w:color w:val="auto"/>
              </w:rPr>
            </w:pPr>
          </w:p>
        </w:tc>
      </w:tr>
      <w:tr>
        <w:trPr>
          <w:trHeight w:val="176"/>
        </w:trPr>
        <w:tc>
          <w:tcPr>
            <w:tcW w:w="1620" w:type="dxa"/>
            <w:vAlign w:val="bottom"/>
            <w:vMerge w:val="continue"/>
          </w:tcPr>
          <w:p>
            <w:pPr>
              <w:spacing w:after="0"/>
              <w:rPr>
                <w:sz w:val="15"/>
                <w:szCs w:val="15"/>
                <w:color w:val="auto"/>
              </w:rPr>
            </w:pPr>
          </w:p>
        </w:tc>
        <w:tc>
          <w:tcPr>
            <w:tcW w:w="1640" w:type="dxa"/>
            <w:vAlign w:val="bottom"/>
          </w:tcPr>
          <w:p>
            <w:pPr>
              <w:ind w:left="120"/>
              <w:spacing w:after="0" w:line="176" w:lineRule="exact"/>
              <w:rPr>
                <w:sz w:val="20"/>
                <w:szCs w:val="20"/>
                <w:color w:val="auto"/>
              </w:rPr>
            </w:pPr>
            <w:r>
              <w:rPr>
                <w:rFonts w:ascii="Arial" w:cs="Arial" w:eastAsia="Arial" w:hAnsi="Arial"/>
                <w:sz w:val="18"/>
                <w:szCs w:val="18"/>
                <w:color w:val="auto"/>
              </w:rPr>
              <w:t>2%</w:t>
            </w: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line="176" w:lineRule="exact"/>
              <w:rPr>
                <w:sz w:val="20"/>
                <w:szCs w:val="20"/>
                <w:color w:val="auto"/>
              </w:rPr>
            </w:pPr>
            <w:r>
              <w:rPr>
                <w:rFonts w:ascii="Arial" w:cs="Arial" w:eastAsia="Arial" w:hAnsi="Arial"/>
                <w:sz w:val="18"/>
                <w:szCs w:val="18"/>
                <w:color w:val="auto"/>
              </w:rPr>
              <w:t>(capped at 3%)</w:t>
            </w:r>
          </w:p>
        </w:tc>
        <w:tc>
          <w:tcPr>
            <w:tcW w:w="1640" w:type="dxa"/>
            <w:vAlign w:val="bottom"/>
          </w:tcPr>
          <w:p>
            <w:pPr>
              <w:ind w:left="120"/>
              <w:spacing w:after="0" w:line="176" w:lineRule="exact"/>
              <w:rPr>
                <w:sz w:val="20"/>
                <w:szCs w:val="20"/>
                <w:color w:val="auto"/>
              </w:rPr>
            </w:pPr>
            <w:r>
              <w:rPr>
                <w:rFonts w:ascii="Arial" w:cs="Arial" w:eastAsia="Arial" w:hAnsi="Arial"/>
                <w:sz w:val="18"/>
                <w:szCs w:val="18"/>
                <w:color w:val="auto"/>
                <w:w w:val="94"/>
              </w:rPr>
              <w:t>Lease years 11-end</w:t>
            </w:r>
          </w:p>
        </w:tc>
        <w:tc>
          <w:tcPr>
            <w:tcW w:w="1820" w:type="dxa"/>
            <w:vAlign w:val="bottom"/>
          </w:tcPr>
          <w:p>
            <w:pPr>
              <w:ind w:left="140"/>
              <w:spacing w:after="0" w:line="176" w:lineRule="exact"/>
              <w:rPr>
                <w:sz w:val="20"/>
                <w:szCs w:val="20"/>
                <w:color w:val="auto"/>
              </w:rPr>
            </w:pPr>
            <w:r>
              <w:rPr>
                <w:rFonts w:ascii="Arial" w:cs="Arial" w:eastAsia="Arial" w:hAnsi="Arial"/>
                <w:sz w:val="18"/>
                <w:szCs w:val="18"/>
                <w:color w:val="auto"/>
                <w:w w:val="92"/>
              </w:rPr>
              <w:t>Lease years 16-end of</w:t>
            </w:r>
          </w:p>
        </w:tc>
        <w:tc>
          <w:tcPr>
            <w:tcW w:w="0" w:type="dxa"/>
            <w:vAlign w:val="bottom"/>
          </w:tcPr>
          <w:p>
            <w:pPr>
              <w:spacing w:after="0"/>
              <w:rPr>
                <w:sz w:val="1"/>
                <w:szCs w:val="1"/>
                <w:color w:val="auto"/>
              </w:rPr>
            </w:pPr>
          </w:p>
        </w:tc>
      </w:tr>
      <w:tr>
        <w:trPr>
          <w:trHeight w:val="176"/>
        </w:trPr>
        <w:tc>
          <w:tcPr>
            <w:tcW w:w="1620" w:type="dxa"/>
            <w:vAlign w:val="bottom"/>
          </w:tcPr>
          <w:p>
            <w:pPr>
              <w:spacing w:after="0" w:line="176" w:lineRule="exact"/>
              <w:rPr>
                <w:sz w:val="20"/>
                <w:szCs w:val="20"/>
                <w:color w:val="auto"/>
              </w:rPr>
            </w:pPr>
            <w:r>
              <w:rPr>
                <w:rFonts w:ascii="Arial" w:cs="Arial" w:eastAsia="Arial" w:hAnsi="Arial"/>
                <w:sz w:val="18"/>
                <w:szCs w:val="18"/>
                <w:color w:val="auto"/>
              </w:rPr>
              <w:t>beginning in Lease</w:t>
            </w:r>
          </w:p>
        </w:tc>
        <w:tc>
          <w:tcPr>
            <w:tcW w:w="1640" w:type="dxa"/>
            <w:vAlign w:val="bottom"/>
          </w:tcPr>
          <w:p>
            <w:pPr>
              <w:ind w:left="120"/>
              <w:spacing w:after="0" w:line="176" w:lineRule="exact"/>
              <w:rPr>
                <w:sz w:val="20"/>
                <w:szCs w:val="20"/>
                <w:color w:val="auto"/>
              </w:rPr>
            </w:pPr>
            <w:r>
              <w:rPr>
                <w:rFonts w:ascii="Arial" w:cs="Arial" w:eastAsia="Arial" w:hAnsi="Arial"/>
                <w:sz w:val="18"/>
                <w:szCs w:val="18"/>
                <w:color w:val="auto"/>
              </w:rPr>
              <w:t>of term - &gt;2% /</w:t>
            </w:r>
          </w:p>
        </w:tc>
        <w:tc>
          <w:tcPr>
            <w:tcW w:w="1820" w:type="dxa"/>
            <w:vAlign w:val="bottom"/>
          </w:tcPr>
          <w:p>
            <w:pPr>
              <w:ind w:left="140"/>
              <w:spacing w:after="0" w:line="176" w:lineRule="exact"/>
              <w:rPr>
                <w:sz w:val="20"/>
                <w:szCs w:val="20"/>
                <w:color w:val="auto"/>
              </w:rPr>
            </w:pPr>
            <w:r>
              <w:rPr>
                <w:rFonts w:ascii="Arial" w:cs="Arial" w:eastAsia="Arial" w:hAnsi="Arial"/>
                <w:sz w:val="18"/>
                <w:szCs w:val="18"/>
                <w:color w:val="auto"/>
                <w:w w:val="91"/>
              </w:rPr>
              <w:t>term - &gt;2% / change in</w:t>
            </w:r>
          </w:p>
        </w:tc>
        <w:tc>
          <w:tcPr>
            <w:tcW w:w="0" w:type="dxa"/>
            <w:vAlign w:val="bottom"/>
          </w:tcPr>
          <w:p>
            <w:pPr>
              <w:spacing w:after="0"/>
              <w:rPr>
                <w:sz w:val="1"/>
                <w:szCs w:val="1"/>
                <w:color w:val="auto"/>
              </w:rPr>
            </w:pPr>
          </w:p>
        </w:tc>
      </w:tr>
      <w:tr>
        <w:trPr>
          <w:trHeight w:val="176"/>
        </w:trPr>
        <w:tc>
          <w:tcPr>
            <w:tcW w:w="1620" w:type="dxa"/>
            <w:vAlign w:val="bottom"/>
          </w:tcPr>
          <w:p>
            <w:pPr>
              <w:spacing w:after="0" w:line="176" w:lineRule="exact"/>
              <w:rPr>
                <w:sz w:val="20"/>
                <w:szCs w:val="20"/>
                <w:color w:val="auto"/>
              </w:rPr>
            </w:pPr>
            <w:r>
              <w:rPr>
                <w:rFonts w:ascii="Arial" w:cs="Arial" w:eastAsia="Arial" w:hAnsi="Arial"/>
                <w:sz w:val="18"/>
                <w:szCs w:val="18"/>
                <w:color w:val="auto"/>
              </w:rPr>
              <w:t>year 2</w:t>
            </w:r>
          </w:p>
        </w:tc>
        <w:tc>
          <w:tcPr>
            <w:tcW w:w="1640" w:type="dxa"/>
            <w:vAlign w:val="bottom"/>
          </w:tcPr>
          <w:p>
            <w:pPr>
              <w:ind w:left="120"/>
              <w:spacing w:after="0" w:line="176" w:lineRule="exact"/>
              <w:rPr>
                <w:sz w:val="20"/>
                <w:szCs w:val="20"/>
                <w:color w:val="auto"/>
              </w:rPr>
            </w:pPr>
            <w:r>
              <w:rPr>
                <w:rFonts w:ascii="Arial" w:cs="Arial" w:eastAsia="Arial" w:hAnsi="Arial"/>
                <w:sz w:val="18"/>
                <w:szCs w:val="18"/>
                <w:color w:val="auto"/>
              </w:rPr>
              <w:t>change in CPI</w:t>
            </w:r>
          </w:p>
        </w:tc>
        <w:tc>
          <w:tcPr>
            <w:tcW w:w="1820" w:type="dxa"/>
            <w:vAlign w:val="bottom"/>
          </w:tcPr>
          <w:p>
            <w:pPr>
              <w:ind w:left="140"/>
              <w:spacing w:after="0" w:line="176" w:lineRule="exact"/>
              <w:rPr>
                <w:sz w:val="20"/>
                <w:szCs w:val="20"/>
                <w:color w:val="auto"/>
              </w:rPr>
            </w:pPr>
            <w:r>
              <w:rPr>
                <w:rFonts w:ascii="Arial" w:cs="Arial" w:eastAsia="Arial" w:hAnsi="Arial"/>
                <w:sz w:val="18"/>
                <w:szCs w:val="18"/>
                <w:color w:val="auto"/>
              </w:rPr>
              <w:t>CPI (capped at 3%)</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640" w:type="dxa"/>
            <w:vAlign w:val="bottom"/>
          </w:tcPr>
          <w:p>
            <w:pPr>
              <w:ind w:left="120"/>
              <w:spacing w:after="0"/>
              <w:rPr>
                <w:sz w:val="20"/>
                <w:szCs w:val="20"/>
                <w:color w:val="auto"/>
              </w:rPr>
            </w:pPr>
            <w:r>
              <w:rPr>
                <w:rFonts w:ascii="Arial" w:cs="Arial" w:eastAsia="Arial" w:hAnsi="Arial"/>
                <w:sz w:val="18"/>
                <w:szCs w:val="18"/>
                <w:color w:val="auto"/>
              </w:rPr>
              <w:t>(capped at 3%)</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1600" w:space="580"/>
            <w:col w:w="3640" w:space="300"/>
            <w:col w:w="5120"/>
          </w:cols>
          <w:pgMar w:left="320" w:top="287" w:right="339" w:bottom="1440" w:gutter="0" w:footer="0" w:header="0"/>
          <w:type w:val="continuous"/>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Variable rent adjustment </w:t>
      </w:r>
      <w:r>
        <w:rPr>
          <w:rFonts w:ascii="Arial" w:cs="Arial" w:eastAsia="Arial" w:hAnsi="Arial"/>
          <w:sz w:val="19"/>
          <w:szCs w:val="19"/>
          <w:i w:val="1"/>
          <w:iCs w:val="1"/>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right="180"/>
        <w:spacing w:after="0" w:line="303" w:lineRule="auto"/>
        <w:rPr>
          <w:sz w:val="20"/>
          <w:szCs w:val="20"/>
          <w:color w:val="auto"/>
        </w:rPr>
      </w:pPr>
      <w:r>
        <w:rPr>
          <w:rFonts w:ascii="Arial" w:cs="Arial" w:eastAsia="Arial" w:hAnsi="Arial"/>
          <w:sz w:val="16"/>
          <w:szCs w:val="16"/>
          <w:color w:val="auto"/>
        </w:rPr>
        <w:t xml:space="preserve">Variable rent adjustment calculation </w:t>
      </w:r>
      <w:r>
        <w:rPr>
          <w:rFonts w:ascii="Arial" w:cs="Arial" w:eastAsia="Arial" w:hAnsi="Arial"/>
          <w:sz w:val="20"/>
          <w:szCs w:val="20"/>
          <w:i w:val="1"/>
          <w:iCs w:val="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0" w:lineRule="exact"/>
        <w:rPr>
          <w:sz w:val="20"/>
          <w:szCs w:val="20"/>
          <w:color w:val="auto"/>
        </w:rPr>
      </w:pPr>
      <w:r>
        <w:rPr>
          <w:sz w:val="20"/>
          <w:szCs w:val="20"/>
          <w:color w:val="auto"/>
        </w:rPr>
        <w:br w:type="column"/>
      </w:r>
    </w:p>
    <w:p>
      <w:pPr>
        <w:spacing w:after="0" w:line="220" w:lineRule="auto"/>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70% base rent /</w:t>
      </w:r>
    </w:p>
    <w:p>
      <w:pPr>
        <w:spacing w:after="0" w:line="203" w:lineRule="auto"/>
        <w:rPr>
          <w:sz w:val="20"/>
          <w:szCs w:val="20"/>
          <w:color w:val="auto"/>
        </w:rPr>
      </w:pPr>
      <w:r>
        <w:rPr>
          <w:rFonts w:ascii="Arial" w:cs="Arial" w:eastAsia="Arial" w:hAnsi="Arial"/>
          <w:sz w:val="18"/>
          <w:szCs w:val="18"/>
          <w:color w:val="auto"/>
        </w:rPr>
        <w:t>30% variable rent</w:t>
      </w:r>
    </w:p>
    <w:p>
      <w:pPr>
        <w:spacing w:after="0" w:line="229" w:lineRule="auto"/>
        <w:rPr>
          <w:sz w:val="20"/>
          <w:szCs w:val="20"/>
          <w:color w:val="auto"/>
        </w:rPr>
      </w:pPr>
      <w:r>
        <w:rPr>
          <w:rFonts w:ascii="Arial" w:cs="Arial" w:eastAsia="Arial" w:hAnsi="Arial"/>
          <w:sz w:val="16"/>
          <w:szCs w:val="16"/>
          <w:b w:val="1"/>
          <w:bCs w:val="1"/>
          <w:color w:val="auto"/>
        </w:rPr>
        <w:t>Years 11 &amp; 16</w:t>
      </w:r>
      <w:r>
        <w:rPr>
          <w:rFonts w:ascii="Arial" w:cs="Arial" w:eastAsia="Arial" w:hAnsi="Arial"/>
          <w:sz w:val="16"/>
          <w:szCs w:val="16"/>
          <w:color w:val="auto"/>
        </w:rPr>
        <w:t>: 80% base</w:t>
      </w:r>
    </w:p>
    <w:p>
      <w:pPr>
        <w:spacing w:after="0"/>
        <w:rPr>
          <w:sz w:val="20"/>
          <w:szCs w:val="20"/>
          <w:color w:val="auto"/>
        </w:rPr>
      </w:pPr>
      <w:r>
        <w:rPr>
          <w:rFonts w:ascii="Arial" w:cs="Arial" w:eastAsia="Arial" w:hAnsi="Arial"/>
          <w:sz w:val="18"/>
          <w:szCs w:val="18"/>
          <w:color w:val="auto"/>
        </w:rPr>
        <w:t>rent / 20% variable rent</w:t>
      </w:r>
    </w:p>
    <w:p>
      <w:pPr>
        <w:spacing w:after="0" w:line="263" w:lineRule="exact"/>
        <w:rPr>
          <w:sz w:val="20"/>
          <w:szCs w:val="20"/>
          <w:color w:val="auto"/>
        </w:rPr>
      </w:pPr>
    </w:p>
    <w:p>
      <w:pPr>
        <w:ind w:right="620"/>
        <w:spacing w:after="0" w:line="255" w:lineRule="auto"/>
        <w:rPr>
          <w:sz w:val="20"/>
          <w:szCs w:val="20"/>
          <w:color w:val="auto"/>
        </w:rPr>
      </w:pPr>
      <w:r>
        <w:rPr>
          <w:rFonts w:ascii="Arial" w:cs="Arial" w:eastAsia="Arial" w:hAnsi="Arial"/>
          <w:sz w:val="15"/>
          <w:szCs w:val="15"/>
          <w:u w:val="single" w:color="auto"/>
          <w:color w:val="auto"/>
        </w:rPr>
        <w:t>4% of revenue increase/decrease:</w:t>
      </w:r>
    </w:p>
    <w:p>
      <w:pPr>
        <w:spacing w:after="0" w:line="237" w:lineRule="auto"/>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 years 5-7</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less avg. of years 0-2 </w:t>
      </w:r>
      <w:r>
        <w:rPr>
          <w:rFonts w:ascii="Arial" w:cs="Arial" w:eastAsia="Arial" w:hAnsi="Arial"/>
          <w:sz w:val="16"/>
          <w:szCs w:val="16"/>
          <w:b w:val="1"/>
          <w:bCs w:val="1"/>
          <w:color w:val="auto"/>
        </w:rPr>
        <w:t>Year 11</w:t>
      </w:r>
      <w:r>
        <w:rPr>
          <w:rFonts w:ascii="Arial" w:cs="Arial" w:eastAsia="Arial" w:hAnsi="Arial"/>
          <w:sz w:val="16"/>
          <w:szCs w:val="16"/>
          <w:color w:val="auto"/>
        </w:rPr>
        <w:t xml:space="preserve">: Avg. of years 8-10 less avg. of years 5-7 </w:t>
      </w:r>
      <w:r>
        <w:rPr>
          <w:rFonts w:ascii="Arial" w:cs="Arial" w:eastAsia="Arial" w:hAnsi="Arial"/>
          <w:sz w:val="16"/>
          <w:szCs w:val="16"/>
          <w:b w:val="1"/>
          <w:bCs w:val="1"/>
          <w:color w:val="auto"/>
        </w:rPr>
        <w:t>Year 16</w:t>
      </w:r>
      <w:r>
        <w:rPr>
          <w:rFonts w:ascii="Arial" w:cs="Arial" w:eastAsia="Arial" w:hAnsi="Arial"/>
          <w:sz w:val="16"/>
          <w:szCs w:val="16"/>
          <w:color w:val="auto"/>
        </w:rPr>
        <w:t>: Avg. of years 13-15 less avg. of years 8-10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b w:val="1"/>
          <w:bCs w:val="1"/>
          <w:color w:val="auto"/>
        </w:rPr>
        <w:t>Years 8, 11 &amp; 16</w:t>
      </w:r>
      <w:r>
        <w:rPr>
          <w:rFonts w:ascii="Arial" w:cs="Arial" w:eastAsia="Arial" w:hAnsi="Arial"/>
          <w:sz w:val="18"/>
          <w:szCs w:val="18"/>
          <w:color w:val="auto"/>
        </w:rPr>
        <w:t>: 80%</w:t>
      </w:r>
      <w:r>
        <w:rPr>
          <w:rFonts w:ascii="Arial" w:cs="Arial" w:eastAsia="Arial" w:hAnsi="Arial"/>
          <w:sz w:val="18"/>
          <w:szCs w:val="18"/>
          <w:b w:val="1"/>
          <w:bCs w:val="1"/>
          <w:color w:val="auto"/>
        </w:rPr>
        <w:t xml:space="preserve"> </w:t>
      </w:r>
      <w:r>
        <w:rPr>
          <w:rFonts w:ascii="Arial" w:cs="Arial" w:eastAsia="Arial" w:hAnsi="Arial"/>
          <w:sz w:val="18"/>
          <w:szCs w:val="18"/>
          <w:color w:val="auto"/>
        </w:rPr>
        <w:t>base rent / 20% variable rent</w:t>
      </w:r>
    </w:p>
    <w:p>
      <w:pPr>
        <w:spacing w:after="0" w:line="94" w:lineRule="exact"/>
        <w:rPr>
          <w:sz w:val="20"/>
          <w:szCs w:val="20"/>
          <w:color w:val="auto"/>
        </w:rPr>
      </w:pPr>
    </w:p>
    <w:p>
      <w:pPr>
        <w:ind w:right="160"/>
        <w:spacing w:after="0" w:line="235" w:lineRule="auto"/>
        <w:rPr>
          <w:sz w:val="20"/>
          <w:szCs w:val="20"/>
          <w:color w:val="auto"/>
        </w:rPr>
      </w:pPr>
      <w:r>
        <w:rPr>
          <w:rFonts w:ascii="Arial" w:cs="Arial" w:eastAsia="Arial" w:hAnsi="Arial"/>
          <w:sz w:val="16"/>
          <w:szCs w:val="16"/>
          <w:u w:val="single" w:color="auto"/>
          <w:color w:val="auto"/>
        </w:rPr>
        <w:t xml:space="preserve">4% of revenue increase/decrease: </w:t>
      </w:r>
      <w:r>
        <w:rPr>
          <w:rFonts w:ascii="Arial" w:cs="Arial" w:eastAsia="Arial" w:hAnsi="Arial"/>
          <w:sz w:val="16"/>
          <w:szCs w:val="16"/>
          <w:b w:val="1"/>
          <w:bCs w:val="1"/>
          <w:color w:val="auto"/>
        </w:rPr>
        <w:t>Year 8</w:t>
      </w:r>
      <w:r>
        <w:rPr>
          <w:rFonts w:ascii="Arial" w:cs="Arial" w:eastAsia="Arial" w:hAnsi="Arial"/>
          <w:sz w:val="16"/>
          <w:szCs w:val="16"/>
          <w:color w:val="auto"/>
        </w:rPr>
        <w:t>: Avg. of years</w:t>
      </w:r>
    </w:p>
    <w:p>
      <w:pPr>
        <w:spacing w:after="0" w:line="231" w:lineRule="auto"/>
        <w:rPr>
          <w:sz w:val="20"/>
          <w:szCs w:val="20"/>
          <w:color w:val="auto"/>
        </w:rPr>
      </w:pPr>
      <w:r>
        <w:rPr>
          <w:rFonts w:ascii="Arial" w:cs="Arial" w:eastAsia="Arial" w:hAnsi="Arial"/>
          <w:sz w:val="16"/>
          <w:szCs w:val="16"/>
          <w:color w:val="auto"/>
        </w:rPr>
        <w:t>5-7 less avg. of years 0-</w:t>
      </w:r>
    </w:p>
    <w:p>
      <w:pPr>
        <w:spacing w:after="0" w:line="204" w:lineRule="auto"/>
        <w:rPr>
          <w:sz w:val="20"/>
          <w:szCs w:val="20"/>
          <w:color w:val="auto"/>
        </w:rPr>
      </w:pPr>
      <w:r>
        <w:rPr>
          <w:rFonts w:ascii="Arial" w:cs="Arial" w:eastAsia="Arial" w:hAnsi="Arial"/>
          <w:sz w:val="18"/>
          <w:szCs w:val="18"/>
          <w:color w:val="auto"/>
        </w:rPr>
        <w:t>2</w:t>
      </w:r>
    </w:p>
    <w:p>
      <w:pPr>
        <w:jc w:val="both"/>
        <w:ind w:right="80"/>
        <w:spacing w:after="0" w:line="203" w:lineRule="auto"/>
        <w:rPr>
          <w:sz w:val="20"/>
          <w:szCs w:val="20"/>
          <w:color w:val="auto"/>
        </w:rPr>
      </w:pPr>
      <w:r>
        <w:rPr>
          <w:rFonts w:ascii="Arial" w:cs="Arial" w:eastAsia="Arial" w:hAnsi="Arial"/>
          <w:sz w:val="18"/>
          <w:szCs w:val="18"/>
          <w:b w:val="1"/>
          <w:bCs w:val="1"/>
          <w:color w:val="auto"/>
        </w:rPr>
        <w:t>Year 11</w:t>
      </w:r>
      <w:r>
        <w:rPr>
          <w:rFonts w:ascii="Arial" w:cs="Arial" w:eastAsia="Arial" w:hAnsi="Arial"/>
          <w:sz w:val="18"/>
          <w:szCs w:val="18"/>
          <w:color w:val="auto"/>
        </w:rPr>
        <w:t>: Avg. of years</w:t>
      </w:r>
      <w:r>
        <w:rPr>
          <w:rFonts w:ascii="Arial" w:cs="Arial" w:eastAsia="Arial" w:hAnsi="Arial"/>
          <w:sz w:val="18"/>
          <w:szCs w:val="18"/>
          <w:b w:val="1"/>
          <w:bCs w:val="1"/>
          <w:color w:val="auto"/>
        </w:rPr>
        <w:t xml:space="preserve"> </w:t>
      </w:r>
      <w:r>
        <w:rPr>
          <w:rFonts w:ascii="Arial" w:cs="Arial" w:eastAsia="Arial" w:hAnsi="Arial"/>
          <w:sz w:val="18"/>
          <w:szCs w:val="18"/>
          <w:color w:val="auto"/>
        </w:rPr>
        <w:t>8-10 less avg. of years 5-7</w:t>
      </w:r>
    </w:p>
    <w:p>
      <w:pPr>
        <w:spacing w:after="0" w:line="1"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b w:val="1"/>
          <w:bCs w:val="1"/>
          <w:color w:val="auto"/>
        </w:rPr>
        <w:t>Year 16</w:t>
      </w:r>
      <w:r>
        <w:rPr>
          <w:rFonts w:ascii="Arial" w:cs="Arial" w:eastAsia="Arial" w:hAnsi="Arial"/>
          <w:sz w:val="18"/>
          <w:szCs w:val="18"/>
          <w:color w:val="auto"/>
        </w:rPr>
        <w:t>: Avg. of years</w:t>
      </w:r>
      <w:r>
        <w:rPr>
          <w:rFonts w:ascii="Arial" w:cs="Arial" w:eastAsia="Arial" w:hAnsi="Arial"/>
          <w:sz w:val="18"/>
          <w:szCs w:val="18"/>
          <w:b w:val="1"/>
          <w:bCs w:val="1"/>
          <w:color w:val="auto"/>
        </w:rPr>
        <w:t xml:space="preserve"> </w:t>
      </w:r>
      <w:r>
        <w:rPr>
          <w:rFonts w:ascii="Arial" w:cs="Arial" w:eastAsia="Arial" w:hAnsi="Arial"/>
          <w:sz w:val="18"/>
          <w:szCs w:val="18"/>
          <w:color w:val="auto"/>
        </w:rPr>
        <w:t>13-15 less avg. of years 8-10</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tabs>
          <w:tab w:leader="none" w:pos="1720" w:val="left"/>
          <w:tab w:leader="none" w:pos="338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r>
        <w:rPr>
          <w:sz w:val="20"/>
          <w:szCs w:val="20"/>
          <w:color w:val="auto"/>
        </w:rPr>
        <w:tab/>
      </w: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720" w:val="left"/>
          <w:tab w:leader="none" w:pos="338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r>
        <w:rPr>
          <w:sz w:val="20"/>
          <w:szCs w:val="20"/>
          <w:color w:val="auto"/>
        </w:rPr>
        <w:tab/>
      </w:r>
      <w:r>
        <w:rPr>
          <w:rFonts w:ascii="Arial" w:cs="Arial" w:eastAsia="Arial" w:hAnsi="Arial"/>
          <w:sz w:val="15"/>
          <w:szCs w:val="15"/>
          <w:color w:val="auto"/>
        </w:rPr>
        <w:t>None</w:t>
      </w:r>
    </w:p>
    <w:p>
      <w:pPr>
        <w:spacing w:after="0" w:line="1150" w:lineRule="exact"/>
        <w:rPr>
          <w:sz w:val="20"/>
          <w:szCs w:val="20"/>
          <w:color w:val="auto"/>
        </w:rPr>
      </w:pPr>
    </w:p>
    <w:p>
      <w:pPr>
        <w:sectPr>
          <w:pgSz w:w="11900" w:h="16838" w:orient="portrait"/>
          <w:cols w:equalWidth="0" w:num="4">
            <w:col w:w="1960" w:space="220"/>
            <w:col w:w="1940" w:space="140"/>
            <w:col w:w="1720" w:space="140"/>
            <w:col w:w="5120"/>
          </w:cols>
          <w:pgMar w:left="320" w:top="287" w:right="339" w:bottom="1440" w:gutter="0" w:footer="0" w:header="0"/>
          <w:type w:val="continuous"/>
        </w:sectPr>
      </w:pPr>
    </w:p>
    <w:p>
      <w:pPr>
        <w:ind w:right="40" w:firstLine="8"/>
        <w:spacing w:after="0" w:line="221" w:lineRule="auto"/>
        <w:tabs>
          <w:tab w:leader="none" w:pos="204"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For the Venetian Lease, lease year two will begin on the earlier of (i) March 1, 2024 and (ii) the first day of the first month following the month in which the net revenue of the Venetian Resort for the trailing twelve months equals or exceeds 2019 net revenue.</w:t>
      </w:r>
    </w:p>
    <w:p>
      <w:pPr>
        <w:ind w:right="380" w:firstLine="8"/>
        <w:spacing w:after="0" w:line="238" w:lineRule="auto"/>
        <w:tabs>
          <w:tab w:leader="none" w:pos="204" w:val="left"/>
        </w:tabs>
        <w:numPr>
          <w:ilvl w:val="0"/>
          <w:numId w:val="13"/>
        </w:numPr>
        <w:rPr>
          <w:rFonts w:ascii="Arial" w:cs="Arial" w:eastAsia="Arial" w:hAnsi="Arial"/>
          <w:sz w:val="13"/>
          <w:szCs w:val="13"/>
          <w:i w:val="1"/>
          <w:iCs w:val="1"/>
          <w:color w:val="auto"/>
        </w:rPr>
      </w:pPr>
      <w:r>
        <w:rPr>
          <w:rFonts w:ascii="Arial" w:cs="Arial" w:eastAsia="Arial" w:hAnsi="Arial"/>
          <w:sz w:val="13"/>
          <w:szCs w:val="13"/>
          <w:i w:val="1"/>
          <w:iCs w:val="1"/>
          <w:color w:val="auto"/>
        </w:rPr>
        <w:t>Current annual rent with respect to the Joliet Lease is presented prior to accounting for the non-controlling interest, or rent payable, to the 20% third-party ownership of Harrah’s Joliet LandCo LLC. After adjusting for the 20% non-controlling interest, Current annual rent under the Caesars Regional Master Lease and Joliet Lease is $641.2 million.</w:t>
      </w:r>
    </w:p>
    <w:p>
      <w:pPr>
        <w:jc w:val="both"/>
        <w:ind w:firstLine="8"/>
        <w:spacing w:after="0" w:line="260" w:lineRule="auto"/>
        <w:tabs>
          <w:tab w:leader="none" w:pos="211" w:val="left"/>
        </w:tabs>
        <w:numPr>
          <w:ilvl w:val="0"/>
          <w:numId w:val="13"/>
        </w:numPr>
        <w:rPr>
          <w:rFonts w:ascii="Arial" w:cs="Arial" w:eastAsia="Arial" w:hAnsi="Arial"/>
          <w:sz w:val="13"/>
          <w:szCs w:val="13"/>
          <w:i w:val="1"/>
          <w:iCs w:val="1"/>
          <w:color w:val="auto"/>
        </w:rPr>
      </w:pPr>
      <w:r>
        <w:rPr>
          <w:rFonts w:ascii="Arial" w:cs="Arial" w:eastAsia="Arial" w:hAnsi="Arial"/>
          <w:sz w:val="13"/>
          <w:szCs w:val="13"/>
          <w:i w:val="1"/>
          <w:iCs w:val="1"/>
          <w:color w:val="auto"/>
        </w:rPr>
        <w:t>Any amounts representing rents in excess of the CPI floors specified above are considered contingent rent in accordance with GAAP. In relation to the Caesars Las Vegas Master Lease, we recognized approximately $3.1 million in contingent rent during the three months ended March 31, 2022. No such rent has been recognized for the three months ended March 31, 2021. In relation to the Caesars Regional Master Lease, Joliet Lease, Venetian Lease, MGM Master Lease no such rent has been recognized for the three months ended March 31, 2022 and 2021.</w:t>
      </w:r>
    </w:p>
    <w:p>
      <w:pPr>
        <w:ind w:left="220" w:hanging="212"/>
        <w:spacing w:after="0"/>
        <w:tabs>
          <w:tab w:leader="none" w:pos="2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material lease provisions of our Penn National Leases, Hard Rock Cincinnati Lease, Century Portfolio Lease, JACK Cleveland/Thistledown Lease and CSI Lease: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JACK</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Hard Rock</w:t>
            </w:r>
          </w:p>
        </w:tc>
        <w:tc>
          <w:tcPr>
            <w:tcW w:w="158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Century Portfolio</w:t>
            </w:r>
          </w:p>
        </w:tc>
        <w:tc>
          <w:tcPr>
            <w:tcW w:w="172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w w:val="96"/>
              </w:rPr>
              <w:t>Cleveland/Thistledown</w:t>
            </w: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1720" w:type="dxa"/>
            <w:vAlign w:val="bottom"/>
            <w:gridSpan w:val="2"/>
            <w:vMerge w:val="continu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Lease Provision</w:t>
            </w:r>
          </w:p>
        </w:tc>
        <w:tc>
          <w:tcPr>
            <w:tcW w:w="80" w:type="dxa"/>
            <w:vAlign w:val="bottom"/>
          </w:tcPr>
          <w:p>
            <w:pPr>
              <w:spacing w:after="0"/>
              <w:rPr>
                <w:sz w:val="5"/>
                <w:szCs w:val="5"/>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Margaritaville Lease</w:t>
            </w:r>
          </w:p>
        </w:tc>
        <w:tc>
          <w:tcPr>
            <w:tcW w:w="17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Greektown Lease</w:t>
            </w:r>
          </w:p>
        </w:tc>
        <w:tc>
          <w:tcPr>
            <w:tcW w:w="1580" w:type="dxa"/>
            <w:vAlign w:val="bottom"/>
            <w:gridSpan w:val="2"/>
            <w:vMerge w:val="continue"/>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150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CSI Lease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Cincinnati Lease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Lease</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Lease</w:t>
            </w: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 years</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Initial term</w:t>
            </w:r>
          </w:p>
        </w:tc>
        <w:tc>
          <w:tcPr>
            <w:tcW w:w="1660" w:type="dxa"/>
            <w:vAlign w:val="bottom"/>
            <w:gridSpan w:val="2"/>
            <w:vMerge w:val="restart"/>
          </w:tcPr>
          <w:p>
            <w:pPr>
              <w:ind w:left="100"/>
              <w:spacing w:after="0"/>
              <w:rPr>
                <w:sz w:val="20"/>
                <w:szCs w:val="20"/>
                <w:color w:val="auto"/>
              </w:rPr>
            </w:pPr>
            <w:r>
              <w:rPr>
                <w:rFonts w:ascii="Arial" w:cs="Arial" w:eastAsia="Arial" w:hAnsi="Arial"/>
                <w:sz w:val="18"/>
                <w:szCs w:val="18"/>
                <w:color w:val="auto"/>
              </w:rPr>
              <w:t>1/31/2034</w:t>
            </w:r>
          </w:p>
        </w:tc>
        <w:tc>
          <w:tcPr>
            <w:tcW w:w="80" w:type="dxa"/>
            <w:vAlign w:val="bottom"/>
          </w:tcPr>
          <w:p>
            <w:pPr>
              <w:spacing w:after="0"/>
              <w:rPr>
                <w:sz w:val="15"/>
                <w:szCs w:val="15"/>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5/31/2034</w:t>
            </w:r>
          </w:p>
        </w:tc>
        <w:tc>
          <w:tcPr>
            <w:tcW w:w="100" w:type="dxa"/>
            <w:vAlign w:val="bottom"/>
          </w:tcPr>
          <w:p>
            <w:pPr>
              <w:spacing w:after="0"/>
              <w:rPr>
                <w:sz w:val="15"/>
                <w:szCs w:val="15"/>
                <w:color w:val="auto"/>
              </w:rPr>
            </w:pPr>
          </w:p>
        </w:tc>
        <w:tc>
          <w:tcPr>
            <w:tcW w:w="1480" w:type="dxa"/>
            <w:vAlign w:val="bottom"/>
            <w:vMerge w:val="restart"/>
          </w:tcPr>
          <w:p>
            <w:pPr>
              <w:ind w:left="20"/>
              <w:spacing w:after="0"/>
              <w:rPr>
                <w:sz w:val="20"/>
                <w:szCs w:val="20"/>
                <w:color w:val="auto"/>
              </w:rPr>
            </w:pPr>
            <w:r>
              <w:rPr>
                <w:rFonts w:ascii="Arial" w:cs="Arial" w:eastAsia="Arial" w:hAnsi="Arial"/>
                <w:sz w:val="18"/>
                <w:szCs w:val="18"/>
                <w:color w:val="auto"/>
              </w:rPr>
              <w:t>9/30/2034</w:t>
            </w:r>
          </w:p>
        </w:tc>
        <w:tc>
          <w:tcPr>
            <w:tcW w:w="100" w:type="dxa"/>
            <w:vAlign w:val="bottom"/>
          </w:tcPr>
          <w:p>
            <w:pPr>
              <w:spacing w:after="0"/>
              <w:rPr>
                <w:sz w:val="15"/>
                <w:szCs w:val="15"/>
                <w:color w:val="auto"/>
              </w:rPr>
            </w:pPr>
          </w:p>
        </w:tc>
        <w:tc>
          <w:tcPr>
            <w:tcW w:w="1480" w:type="dxa"/>
            <w:vAlign w:val="bottom"/>
            <w:vMerge w:val="restart"/>
          </w:tcPr>
          <w:p>
            <w:pPr>
              <w:ind w:left="20"/>
              <w:spacing w:after="0"/>
              <w:rPr>
                <w:sz w:val="20"/>
                <w:szCs w:val="20"/>
                <w:color w:val="auto"/>
              </w:rPr>
            </w:pPr>
            <w:r>
              <w:rPr>
                <w:rFonts w:ascii="Arial" w:cs="Arial" w:eastAsia="Arial" w:hAnsi="Arial"/>
                <w:sz w:val="18"/>
                <w:szCs w:val="18"/>
                <w:color w:val="auto"/>
              </w:rPr>
              <w:t>12/31/2034</w:t>
            </w:r>
          </w:p>
        </w:tc>
        <w:tc>
          <w:tcPr>
            <w:tcW w:w="100" w:type="dxa"/>
            <w:vAlign w:val="bottom"/>
          </w:tcPr>
          <w:p>
            <w:pPr>
              <w:spacing w:after="0"/>
              <w:rPr>
                <w:sz w:val="15"/>
                <w:szCs w:val="15"/>
                <w:color w:val="auto"/>
              </w:rPr>
            </w:pPr>
          </w:p>
        </w:tc>
        <w:tc>
          <w:tcPr>
            <w:tcW w:w="1620" w:type="dxa"/>
            <w:vAlign w:val="bottom"/>
            <w:vMerge w:val="restart"/>
          </w:tcPr>
          <w:p>
            <w:pPr>
              <w:ind w:left="20"/>
              <w:spacing w:after="0"/>
              <w:rPr>
                <w:sz w:val="20"/>
                <w:szCs w:val="20"/>
                <w:color w:val="auto"/>
              </w:rPr>
            </w:pPr>
            <w:r>
              <w:rPr>
                <w:rFonts w:ascii="Arial" w:cs="Arial" w:eastAsia="Arial" w:hAnsi="Arial"/>
                <w:sz w:val="18"/>
                <w:szCs w:val="18"/>
                <w:color w:val="auto"/>
              </w:rPr>
              <w:t>1/31/2040</w:t>
            </w:r>
          </w:p>
        </w:tc>
        <w:tc>
          <w:tcPr>
            <w:tcW w:w="100" w:type="dxa"/>
            <w:vAlign w:val="bottom"/>
          </w:tcPr>
          <w:p>
            <w:pPr>
              <w:spacing w:after="0"/>
              <w:rPr>
                <w:sz w:val="15"/>
                <w:szCs w:val="15"/>
                <w:color w:val="auto"/>
              </w:rPr>
            </w:pPr>
          </w:p>
        </w:tc>
        <w:tc>
          <w:tcPr>
            <w:tcW w:w="1500" w:type="dxa"/>
            <w:vAlign w:val="bottom"/>
            <w:vMerge w:val="restart"/>
          </w:tcPr>
          <w:p>
            <w:pPr>
              <w:ind w:left="20"/>
              <w:spacing w:after="0"/>
              <w:rPr>
                <w:sz w:val="20"/>
                <w:szCs w:val="20"/>
                <w:color w:val="auto"/>
              </w:rPr>
            </w:pPr>
            <w:r>
              <w:rPr>
                <w:rFonts w:ascii="Arial" w:cs="Arial" w:eastAsia="Arial" w:hAnsi="Arial"/>
                <w:sz w:val="18"/>
                <w:szCs w:val="18"/>
                <w:color w:val="auto"/>
              </w:rPr>
              <w:t>8/31/2036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gridSpan w:val="2"/>
            <w:vMerge w:val="restart"/>
          </w:tcPr>
          <w:p>
            <w:pPr>
              <w:spacing w:after="0"/>
              <w:rPr>
                <w:sz w:val="20"/>
                <w:szCs w:val="20"/>
                <w:color w:val="auto"/>
              </w:rPr>
            </w:pPr>
            <w:r>
              <w:rPr>
                <w:rFonts w:ascii="Arial" w:cs="Arial" w:eastAsia="Arial" w:hAnsi="Arial"/>
                <w:sz w:val="18"/>
                <w:szCs w:val="18"/>
                <w:color w:val="auto"/>
              </w:rPr>
              <w:t>maturity</w:t>
            </w:r>
          </w:p>
        </w:tc>
        <w:tc>
          <w:tcPr>
            <w:tcW w:w="1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Renewal terms</w:t>
            </w:r>
          </w:p>
        </w:tc>
        <w:tc>
          <w:tcPr>
            <w:tcW w:w="1680" w:type="dxa"/>
            <w:vAlign w:val="bottom"/>
          </w:tcPr>
          <w:p>
            <w:pPr>
              <w:ind w:left="80"/>
              <w:spacing w:after="0"/>
              <w:rPr>
                <w:sz w:val="20"/>
                <w:szCs w:val="20"/>
                <w:color w:val="auto"/>
              </w:rPr>
            </w:pPr>
            <w:r>
              <w:rPr>
                <w:rFonts w:ascii="Arial" w:cs="Arial" w:eastAsia="Arial" w:hAnsi="Arial"/>
                <w:sz w:val="18"/>
                <w:szCs w:val="18"/>
                <w:color w:val="auto"/>
                <w:w w:val="95"/>
              </w:rPr>
              <w:t>Four, five-year terms</w:t>
            </w:r>
          </w:p>
        </w:tc>
        <w:tc>
          <w:tcPr>
            <w:tcW w:w="1580" w:type="dxa"/>
            <w:vAlign w:val="bottom"/>
          </w:tcPr>
          <w:p>
            <w:pPr>
              <w:ind w:left="60"/>
              <w:spacing w:after="0"/>
              <w:rPr>
                <w:sz w:val="20"/>
                <w:szCs w:val="20"/>
                <w:color w:val="auto"/>
              </w:rPr>
            </w:pPr>
            <w:r>
              <w:rPr>
                <w:rFonts w:ascii="Arial" w:cs="Arial" w:eastAsia="Arial" w:hAnsi="Arial"/>
                <w:sz w:val="18"/>
                <w:szCs w:val="18"/>
                <w:color w:val="auto"/>
                <w:w w:val="90"/>
              </w:rPr>
              <w:t>Four, five-year terms</w:t>
            </w:r>
          </w:p>
        </w:tc>
        <w:tc>
          <w:tcPr>
            <w:tcW w:w="0" w:type="dxa"/>
            <w:vAlign w:val="bottom"/>
          </w:tcPr>
          <w:p>
            <w:pPr>
              <w:spacing w:after="0"/>
              <w:rPr>
                <w:sz w:val="1"/>
                <w:szCs w:val="1"/>
                <w:color w:val="auto"/>
              </w:rPr>
            </w:pPr>
          </w:p>
        </w:tc>
      </w:tr>
      <w:tr>
        <w:trPr>
          <w:trHeight w:val="351"/>
        </w:trPr>
        <w:tc>
          <w:tcPr>
            <w:tcW w:w="1380" w:type="dxa"/>
            <w:vAlign w:val="bottom"/>
          </w:tcPr>
          <w:p>
            <w:pPr>
              <w:spacing w:after="0"/>
              <w:rPr>
                <w:sz w:val="20"/>
                <w:szCs w:val="20"/>
                <w:color w:val="auto"/>
              </w:rPr>
            </w:pPr>
            <w:r>
              <w:rPr>
                <w:rFonts w:ascii="Arial" w:cs="Arial" w:eastAsia="Arial" w:hAnsi="Arial"/>
                <w:sz w:val="18"/>
                <w:szCs w:val="18"/>
                <w:color w:val="auto"/>
                <w:w w:val="91"/>
              </w:rPr>
              <w:t>Current lease year</w:t>
            </w:r>
          </w:p>
        </w:tc>
        <w:tc>
          <w:tcPr>
            <w:tcW w:w="1680" w:type="dxa"/>
            <w:vAlign w:val="bottom"/>
          </w:tcPr>
          <w:p>
            <w:pPr>
              <w:ind w:left="80"/>
              <w:spacing w:after="0"/>
              <w:rPr>
                <w:sz w:val="20"/>
                <w:szCs w:val="20"/>
                <w:color w:val="auto"/>
              </w:rPr>
            </w:pPr>
            <w:r>
              <w:rPr>
                <w:rFonts w:ascii="Arial" w:cs="Arial" w:eastAsia="Arial" w:hAnsi="Arial"/>
                <w:sz w:val="18"/>
                <w:szCs w:val="18"/>
                <w:color w:val="auto"/>
              </w:rPr>
              <w:t>2/1/22 - 1/31/23</w:t>
            </w:r>
          </w:p>
        </w:tc>
        <w:tc>
          <w:tcPr>
            <w:tcW w:w="1580" w:type="dxa"/>
            <w:vAlign w:val="bottom"/>
          </w:tcPr>
          <w:p>
            <w:pPr>
              <w:ind w:left="60"/>
              <w:spacing w:after="0"/>
              <w:rPr>
                <w:sz w:val="20"/>
                <w:szCs w:val="20"/>
                <w:color w:val="auto"/>
              </w:rPr>
            </w:pPr>
            <w:r>
              <w:rPr>
                <w:rFonts w:ascii="Arial" w:cs="Arial" w:eastAsia="Arial" w:hAnsi="Arial"/>
                <w:sz w:val="18"/>
                <w:szCs w:val="18"/>
                <w:color w:val="auto"/>
              </w:rPr>
              <w:t>6/1/21 - 5/31/22</w:t>
            </w:r>
          </w:p>
        </w:tc>
        <w:tc>
          <w:tcPr>
            <w:tcW w:w="0" w:type="dxa"/>
            <w:vAlign w:val="bottom"/>
          </w:tcPr>
          <w:p>
            <w:pPr>
              <w:spacing w:after="0"/>
              <w:rPr>
                <w:sz w:val="1"/>
                <w:szCs w:val="1"/>
                <w:color w:val="auto"/>
              </w:rPr>
            </w:pPr>
          </w:p>
        </w:tc>
      </w:tr>
      <w:tr>
        <w:trPr>
          <w:trHeight w:val="229"/>
        </w:trPr>
        <w:tc>
          <w:tcPr>
            <w:tcW w:w="1380" w:type="dxa"/>
            <w:vAlign w:val="bottom"/>
            <w:vMerge w:val="restart"/>
          </w:tcPr>
          <w:p>
            <w:pPr>
              <w:spacing w:after="0"/>
              <w:rPr>
                <w:sz w:val="20"/>
                <w:szCs w:val="20"/>
                <w:color w:val="auto"/>
              </w:rPr>
            </w:pPr>
            <w:r>
              <w:rPr>
                <w:rFonts w:ascii="Arial" w:cs="Arial" w:eastAsia="Arial" w:hAnsi="Arial"/>
                <w:sz w:val="18"/>
                <w:szCs w:val="18"/>
                <w:color w:val="auto"/>
              </w:rPr>
              <w:t>Current annual</w:t>
            </w:r>
          </w:p>
        </w:tc>
        <w:tc>
          <w:tcPr>
            <w:tcW w:w="1680" w:type="dxa"/>
            <w:vAlign w:val="bottom"/>
          </w:tcPr>
          <w:p>
            <w:pPr>
              <w:ind w:left="80"/>
              <w:spacing w:after="0"/>
              <w:rPr>
                <w:sz w:val="20"/>
                <w:szCs w:val="20"/>
                <w:color w:val="auto"/>
              </w:rPr>
            </w:pPr>
            <w:r>
              <w:rPr>
                <w:rFonts w:ascii="Arial" w:cs="Arial" w:eastAsia="Arial" w:hAnsi="Arial"/>
                <w:sz w:val="18"/>
                <w:szCs w:val="18"/>
                <w:color w:val="auto"/>
              </w:rPr>
              <w:t>(Lease Year 4)</w:t>
            </w:r>
          </w:p>
        </w:tc>
        <w:tc>
          <w:tcPr>
            <w:tcW w:w="1580" w:type="dxa"/>
            <w:vAlign w:val="bottom"/>
          </w:tcPr>
          <w:p>
            <w:pPr>
              <w:ind w:left="60"/>
              <w:spacing w:after="0"/>
              <w:rPr>
                <w:sz w:val="20"/>
                <w:szCs w:val="20"/>
                <w:color w:val="auto"/>
              </w:rPr>
            </w:pPr>
            <w:r>
              <w:rPr>
                <w:rFonts w:ascii="Arial" w:cs="Arial" w:eastAsia="Arial" w:hAnsi="Arial"/>
                <w:sz w:val="18"/>
                <w:szCs w:val="18"/>
                <w:color w:val="auto"/>
              </w:rPr>
              <w:t>(Lease Year 3)</w:t>
            </w:r>
          </w:p>
        </w:tc>
        <w:tc>
          <w:tcPr>
            <w:tcW w:w="0" w:type="dxa"/>
            <w:vAlign w:val="bottom"/>
          </w:tcPr>
          <w:p>
            <w:pPr>
              <w:spacing w:after="0"/>
              <w:rPr>
                <w:sz w:val="1"/>
                <w:szCs w:val="1"/>
                <w:color w:val="auto"/>
              </w:rPr>
            </w:pPr>
          </w:p>
        </w:tc>
      </w:tr>
      <w:tr>
        <w:trPr>
          <w:trHeight w:val="95"/>
        </w:trPr>
        <w:tc>
          <w:tcPr>
            <w:tcW w:w="1380" w:type="dxa"/>
            <w:vAlign w:val="bottom"/>
            <w:vMerge w:val="continue"/>
          </w:tcPr>
          <w:p>
            <w:pPr>
              <w:spacing w:after="0"/>
              <w:rPr>
                <w:sz w:val="8"/>
                <w:szCs w:val="8"/>
                <w:color w:val="auto"/>
              </w:rPr>
            </w:pPr>
          </w:p>
        </w:tc>
        <w:tc>
          <w:tcPr>
            <w:tcW w:w="1680" w:type="dxa"/>
            <w:vAlign w:val="bottom"/>
            <w:vMerge w:val="restart"/>
          </w:tcPr>
          <w:p>
            <w:pPr>
              <w:ind w:left="80"/>
              <w:spacing w:after="0"/>
              <w:rPr>
                <w:sz w:val="20"/>
                <w:szCs w:val="20"/>
                <w:color w:val="auto"/>
              </w:rPr>
            </w:pPr>
            <w:r>
              <w:rPr>
                <w:rFonts w:ascii="Arial" w:cs="Arial" w:eastAsia="Arial" w:hAnsi="Arial"/>
                <w:sz w:val="18"/>
                <w:szCs w:val="18"/>
                <w:color w:val="auto"/>
              </w:rPr>
              <w:t>$23,813</w:t>
            </w:r>
          </w:p>
        </w:tc>
        <w:tc>
          <w:tcPr>
            <w:tcW w:w="1580" w:type="dxa"/>
            <w:vAlign w:val="bottom"/>
            <w:vMerge w:val="restart"/>
          </w:tcPr>
          <w:p>
            <w:pPr>
              <w:ind w:left="60"/>
              <w:spacing w:after="0"/>
              <w:rPr>
                <w:sz w:val="20"/>
                <w:szCs w:val="20"/>
                <w:color w:val="auto"/>
              </w:rPr>
            </w:pPr>
            <w:r>
              <w:rPr>
                <w:rFonts w:ascii="Arial" w:cs="Arial" w:eastAsia="Arial" w:hAnsi="Arial"/>
                <w:sz w:val="18"/>
                <w:szCs w:val="18"/>
                <w:color w:val="auto"/>
              </w:rPr>
              <w:t>$51,321</w:t>
            </w:r>
          </w:p>
        </w:tc>
        <w:tc>
          <w:tcPr>
            <w:tcW w:w="0" w:type="dxa"/>
            <w:vAlign w:val="bottom"/>
          </w:tcPr>
          <w:p>
            <w:pPr>
              <w:spacing w:after="0"/>
              <w:rPr>
                <w:sz w:val="1"/>
                <w:szCs w:val="1"/>
                <w:color w:val="auto"/>
              </w:rPr>
            </w:pPr>
          </w:p>
        </w:tc>
      </w:tr>
      <w:tr>
        <w:trPr>
          <w:trHeight w:val="304"/>
        </w:trPr>
        <w:tc>
          <w:tcPr>
            <w:tcW w:w="1380" w:type="dxa"/>
            <w:vAlign w:val="bottom"/>
          </w:tcPr>
          <w:p>
            <w:pPr>
              <w:spacing w:after="0"/>
              <w:rPr>
                <w:sz w:val="20"/>
                <w:szCs w:val="20"/>
                <w:color w:val="auto"/>
              </w:rPr>
            </w:pPr>
            <w:r>
              <w:rPr>
                <w:rFonts w:ascii="Arial" w:cs="Arial" w:eastAsia="Arial" w:hAnsi="Arial"/>
                <w:sz w:val="18"/>
                <w:szCs w:val="18"/>
                <w:color w:val="auto"/>
              </w:rPr>
              <w:t xml:space="preserve">rent </w:t>
            </w:r>
            <w:r>
              <w:rPr>
                <w:rFonts w:ascii="Arial" w:cs="Arial" w:eastAsia="Arial" w:hAnsi="Arial"/>
                <w:sz w:val="23"/>
                <w:szCs w:val="23"/>
                <w:i w:val="1"/>
                <w:iCs w:val="1"/>
                <w:color w:val="auto"/>
                <w:vertAlign w:val="superscript"/>
              </w:rPr>
              <w:t>(1)</w:t>
            </w:r>
          </w:p>
        </w:tc>
        <w:tc>
          <w:tcPr>
            <w:tcW w:w="168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380" w:type="dxa"/>
            <w:vAlign w:val="bottom"/>
          </w:tcPr>
          <w:p>
            <w:pPr>
              <w:spacing w:after="0"/>
              <w:rPr>
                <w:sz w:val="20"/>
                <w:szCs w:val="20"/>
                <w:color w:val="auto"/>
              </w:rPr>
            </w:pPr>
            <w:r>
              <w:rPr>
                <w:rFonts w:ascii="Arial" w:cs="Arial" w:eastAsia="Arial" w:hAnsi="Arial"/>
                <w:sz w:val="18"/>
                <w:szCs w:val="18"/>
                <w:color w:val="auto"/>
              </w:rPr>
              <w:t>Annual escalator</w:t>
            </w:r>
          </w:p>
        </w:tc>
        <w:tc>
          <w:tcPr>
            <w:tcW w:w="1680" w:type="dxa"/>
            <w:vAlign w:val="bottom"/>
          </w:tcPr>
          <w:p>
            <w:pPr>
              <w:ind w:left="80"/>
              <w:spacing w:after="0"/>
              <w:rPr>
                <w:sz w:val="20"/>
                <w:szCs w:val="20"/>
                <w:color w:val="auto"/>
              </w:rPr>
            </w:pPr>
            <w:r>
              <w:rPr>
                <w:rFonts w:ascii="Arial" w:cs="Arial" w:eastAsia="Arial" w:hAnsi="Arial"/>
                <w:sz w:val="18"/>
                <w:szCs w:val="18"/>
                <w:color w:val="auto"/>
                <w:w w:val="99"/>
              </w:rPr>
              <w:t>2% of Building base</w:t>
            </w:r>
          </w:p>
        </w:tc>
        <w:tc>
          <w:tcPr>
            <w:tcW w:w="1580" w:type="dxa"/>
            <w:vAlign w:val="bottom"/>
          </w:tcPr>
          <w:p>
            <w:pPr>
              <w:ind w:left="60"/>
              <w:spacing w:after="0"/>
              <w:rPr>
                <w:sz w:val="20"/>
                <w:szCs w:val="20"/>
                <w:color w:val="auto"/>
              </w:rPr>
            </w:pPr>
            <w:r>
              <w:rPr>
                <w:rFonts w:ascii="Arial" w:cs="Arial" w:eastAsia="Arial" w:hAnsi="Arial"/>
                <w:sz w:val="18"/>
                <w:szCs w:val="18"/>
                <w:color w:val="auto"/>
                <w:w w:val="94"/>
              </w:rPr>
              <w:t>2% of Building base</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20"/>
                <w:szCs w:val="20"/>
                <w:color w:val="auto"/>
              </w:rPr>
            </w:pPr>
            <w:r>
              <w:rPr>
                <w:rFonts w:ascii="Arial" w:cs="Arial" w:eastAsia="Arial" w:hAnsi="Arial"/>
                <w:sz w:val="12"/>
                <w:szCs w:val="12"/>
                <w:i w:val="1"/>
                <w:iCs w:val="1"/>
                <w:color w:val="auto"/>
              </w:rPr>
              <w:t>(2)</w:t>
            </w:r>
          </w:p>
        </w:tc>
        <w:tc>
          <w:tcPr>
            <w:tcW w:w="1680" w:type="dxa"/>
            <w:vAlign w:val="bottom"/>
            <w:vMerge w:val="restart"/>
          </w:tcPr>
          <w:p>
            <w:pPr>
              <w:ind w:left="80"/>
              <w:spacing w:after="0"/>
              <w:rPr>
                <w:sz w:val="20"/>
                <w:szCs w:val="20"/>
                <w:color w:val="auto"/>
              </w:rPr>
            </w:pPr>
            <w:r>
              <w:rPr>
                <w:rFonts w:ascii="Arial" w:cs="Arial" w:eastAsia="Arial" w:hAnsi="Arial"/>
                <w:sz w:val="18"/>
                <w:szCs w:val="18"/>
                <w:color w:val="auto"/>
              </w:rPr>
              <w:t>rent ($17.2 million)</w:t>
            </w:r>
          </w:p>
        </w:tc>
        <w:tc>
          <w:tcPr>
            <w:tcW w:w="1580" w:type="dxa"/>
            <w:vAlign w:val="bottom"/>
            <w:vMerge w:val="restart"/>
          </w:tcPr>
          <w:p>
            <w:pPr>
              <w:ind w:left="60"/>
              <w:spacing w:after="0"/>
              <w:rPr>
                <w:sz w:val="20"/>
                <w:szCs w:val="20"/>
                <w:color w:val="auto"/>
              </w:rPr>
            </w:pPr>
            <w:r>
              <w:rPr>
                <w:rFonts w:ascii="Arial" w:cs="Arial" w:eastAsia="Arial" w:hAnsi="Arial"/>
                <w:sz w:val="18"/>
                <w:szCs w:val="18"/>
                <w:color w:val="auto"/>
              </w:rPr>
              <w:t>rent ($42.8 million)</w:t>
            </w:r>
          </w:p>
        </w:tc>
        <w:tc>
          <w:tcPr>
            <w:tcW w:w="0" w:type="dxa"/>
            <w:vAlign w:val="bottom"/>
          </w:tcPr>
          <w:p>
            <w:pPr>
              <w:spacing w:after="0"/>
              <w:rPr>
                <w:sz w:val="1"/>
                <w:szCs w:val="1"/>
                <w:color w:val="auto"/>
              </w:rPr>
            </w:pPr>
          </w:p>
        </w:tc>
      </w:tr>
      <w:tr>
        <w:trPr>
          <w:trHeight w:val="82"/>
        </w:trPr>
        <w:tc>
          <w:tcPr>
            <w:tcW w:w="138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8" w:right="260"/>
        <w:spacing w:after="0" w:line="234" w:lineRule="auto"/>
        <w:rPr>
          <w:sz w:val="20"/>
          <w:szCs w:val="20"/>
          <w:color w:val="auto"/>
        </w:rPr>
      </w:pPr>
      <w:r>
        <w:rPr>
          <w:rFonts w:ascii="Arial" w:cs="Arial" w:eastAsia="Arial" w:hAnsi="Arial"/>
          <w:sz w:val="18"/>
          <w:szCs w:val="18"/>
          <w:color w:val="auto"/>
        </w:rPr>
        <w:t>Four, five-year terms</w:t>
      </w:r>
    </w:p>
    <w:p>
      <w:pPr>
        <w:spacing w:after="0" w:line="1" w:lineRule="exact"/>
        <w:rPr>
          <w:sz w:val="20"/>
          <w:szCs w:val="20"/>
          <w:color w:val="auto"/>
        </w:rPr>
      </w:pPr>
    </w:p>
    <w:p>
      <w:pPr>
        <w:ind w:left="8" w:right="80"/>
        <w:spacing w:after="0" w:line="288" w:lineRule="auto"/>
        <w:rPr>
          <w:sz w:val="20"/>
          <w:szCs w:val="20"/>
          <w:color w:val="auto"/>
        </w:rPr>
      </w:pPr>
      <w:r>
        <w:rPr>
          <w:rFonts w:ascii="Arial" w:cs="Arial" w:eastAsia="Arial" w:hAnsi="Arial"/>
          <w:sz w:val="16"/>
          <w:szCs w:val="16"/>
          <w:color w:val="auto"/>
        </w:rPr>
        <w:t>10/1/21 - 9/30/22 (Lease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-22860</wp:posOffset>
            </wp:positionV>
            <wp:extent cx="713232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4" w:lineRule="exact"/>
        <w:rPr>
          <w:sz w:val="20"/>
          <w:szCs w:val="20"/>
          <w:color w:val="auto"/>
        </w:rPr>
      </w:pPr>
    </w:p>
    <w:p>
      <w:pPr>
        <w:ind w:left="8"/>
        <w:spacing w:after="0"/>
        <w:rPr>
          <w:sz w:val="20"/>
          <w:szCs w:val="20"/>
          <w:color w:val="auto"/>
        </w:rPr>
      </w:pPr>
      <w:r>
        <w:rPr>
          <w:rFonts w:ascii="Arial" w:cs="Arial" w:eastAsia="Arial" w:hAnsi="Arial"/>
          <w:sz w:val="18"/>
          <w:szCs w:val="18"/>
          <w:color w:val="auto"/>
        </w:rPr>
        <w:t>$44,042</w:t>
      </w:r>
    </w:p>
    <w:p>
      <w:pPr>
        <w:spacing w:after="0" w:line="198" w:lineRule="exact"/>
        <w:rPr>
          <w:sz w:val="20"/>
          <w:szCs w:val="20"/>
          <w:color w:val="auto"/>
        </w:rPr>
      </w:pPr>
    </w:p>
    <w:p>
      <w:pPr>
        <w:ind w:left="8" w:right="100"/>
        <w:spacing w:after="0" w:line="212" w:lineRule="auto"/>
        <w:rPr>
          <w:sz w:val="20"/>
          <w:szCs w:val="20"/>
          <w:color w:val="auto"/>
        </w:rPr>
      </w:pPr>
      <w:r>
        <w:rPr>
          <w:rFonts w:ascii="Arial" w:cs="Arial" w:eastAsia="Arial" w:hAnsi="Arial"/>
          <w:sz w:val="18"/>
          <w:szCs w:val="18"/>
          <w:color w:val="auto"/>
        </w:rPr>
        <w:t>Lease years 2-4 - 1.5%</w:t>
      </w:r>
    </w:p>
    <w:p>
      <w:pPr>
        <w:spacing w:after="0" w:line="1" w:lineRule="exact"/>
        <w:rPr>
          <w:sz w:val="20"/>
          <w:szCs w:val="20"/>
          <w:color w:val="auto"/>
        </w:rPr>
      </w:pPr>
    </w:p>
    <w:p>
      <w:pPr>
        <w:ind w:left="8"/>
        <w:spacing w:after="0"/>
        <w:rPr>
          <w:sz w:val="20"/>
          <w:szCs w:val="20"/>
          <w:color w:val="auto"/>
        </w:rPr>
      </w:pPr>
      <w:r>
        <w:rPr>
          <w:rFonts w:ascii="Arial" w:cs="Arial" w:eastAsia="Arial" w:hAnsi="Arial"/>
          <w:sz w:val="15"/>
          <w:szCs w:val="15"/>
          <w:color w:val="auto"/>
        </w:rPr>
        <w:t>Lease years 5-15 -</w:t>
      </w:r>
    </w:p>
    <w:p>
      <w:pPr>
        <w:spacing w:after="0" w:line="3" w:lineRule="exact"/>
        <w:rPr>
          <w:sz w:val="20"/>
          <w:szCs w:val="20"/>
          <w:color w:val="auto"/>
        </w:rPr>
      </w:pPr>
    </w:p>
    <w:p>
      <w:pPr>
        <w:ind w:left="8" w:right="100" w:hanging="8"/>
        <w:spacing w:after="0" w:line="233" w:lineRule="auto"/>
        <w:tabs>
          <w:tab w:leader="none" w:pos="1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2% / change in CPI </w:t>
      </w:r>
      <w:r>
        <w:rPr>
          <w:rFonts w:ascii="Arial" w:cs="Arial" w:eastAsia="Arial" w:hAnsi="Arial"/>
          <w:sz w:val="23"/>
          <w:szCs w:val="23"/>
          <w:i w:val="1"/>
          <w:iCs w:val="1"/>
          <w:color w:val="auto"/>
          <w:vertAlign w:val="superscript"/>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Pr>
          <w:p>
            <w:pPr>
              <w:spacing w:after="0" w:line="175" w:lineRule="exact"/>
              <w:rPr>
                <w:sz w:val="20"/>
                <w:szCs w:val="20"/>
                <w:color w:val="auto"/>
              </w:rPr>
            </w:pPr>
            <w:r>
              <w:rPr>
                <w:rFonts w:ascii="Arial" w:cs="Arial" w:eastAsia="Arial" w:hAnsi="Arial"/>
                <w:sz w:val="18"/>
                <w:szCs w:val="18"/>
                <w:color w:val="auto"/>
              </w:rPr>
              <w:t>Four, five-year</w:t>
            </w:r>
          </w:p>
        </w:tc>
        <w:tc>
          <w:tcPr>
            <w:tcW w:w="1680" w:type="dxa"/>
            <w:vAlign w:val="bottom"/>
          </w:tcPr>
          <w:p>
            <w:pPr>
              <w:ind w:left="140"/>
              <w:spacing w:after="0" w:line="175" w:lineRule="exact"/>
              <w:rPr>
                <w:sz w:val="20"/>
                <w:szCs w:val="20"/>
                <w:color w:val="auto"/>
              </w:rPr>
            </w:pPr>
            <w:r>
              <w:rPr>
                <w:rFonts w:ascii="Arial" w:cs="Arial" w:eastAsia="Arial" w:hAnsi="Arial"/>
                <w:sz w:val="18"/>
                <w:szCs w:val="18"/>
                <w:color w:val="auto"/>
              </w:rPr>
              <w:t>Three, five-year</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terms</w:t>
            </w:r>
          </w:p>
        </w:tc>
        <w:tc>
          <w:tcPr>
            <w:tcW w:w="1680" w:type="dxa"/>
            <w:vAlign w:val="bottom"/>
          </w:tcPr>
          <w:p>
            <w:pPr>
              <w:ind w:left="140"/>
              <w:spacing w:after="0"/>
              <w:rPr>
                <w:sz w:val="20"/>
                <w:szCs w:val="20"/>
                <w:color w:val="auto"/>
              </w:rPr>
            </w:pPr>
            <w:r>
              <w:rPr>
                <w:rFonts w:ascii="Arial" w:cs="Arial" w:eastAsia="Arial" w:hAnsi="Arial"/>
                <w:sz w:val="18"/>
                <w:szCs w:val="18"/>
                <w:color w:val="auto"/>
              </w:rPr>
              <w:t>terms</w:t>
            </w:r>
          </w:p>
        </w:tc>
        <w:tc>
          <w:tcPr>
            <w:tcW w:w="0" w:type="dxa"/>
            <w:vAlign w:val="bottom"/>
          </w:tcPr>
          <w:p>
            <w:pPr>
              <w:spacing w:after="0"/>
              <w:rPr>
                <w:sz w:val="1"/>
                <w:szCs w:val="1"/>
                <w:color w:val="auto"/>
              </w:rPr>
            </w:pPr>
          </w:p>
        </w:tc>
      </w:tr>
      <w:tr>
        <w:trPr>
          <w:trHeight w:val="176"/>
        </w:trPr>
        <w:tc>
          <w:tcPr>
            <w:tcW w:w="1440" w:type="dxa"/>
            <w:vAlign w:val="bottom"/>
          </w:tcPr>
          <w:p>
            <w:pPr>
              <w:spacing w:after="0" w:line="176" w:lineRule="exact"/>
              <w:rPr>
                <w:sz w:val="20"/>
                <w:szCs w:val="20"/>
                <w:color w:val="auto"/>
              </w:rPr>
            </w:pPr>
            <w:r>
              <w:rPr>
                <w:rFonts w:ascii="Arial" w:cs="Arial" w:eastAsia="Arial" w:hAnsi="Arial"/>
                <w:sz w:val="18"/>
                <w:szCs w:val="18"/>
                <w:color w:val="auto"/>
              </w:rPr>
              <w:t>1/1/22 - 12/31/22</w:t>
            </w:r>
          </w:p>
        </w:tc>
        <w:tc>
          <w:tcPr>
            <w:tcW w:w="1680" w:type="dxa"/>
            <w:vAlign w:val="bottom"/>
          </w:tcPr>
          <w:p>
            <w:pPr>
              <w:ind w:left="140"/>
              <w:spacing w:after="0" w:line="176" w:lineRule="exact"/>
              <w:rPr>
                <w:sz w:val="20"/>
                <w:szCs w:val="20"/>
                <w:color w:val="auto"/>
              </w:rPr>
            </w:pPr>
            <w:r>
              <w:rPr>
                <w:rFonts w:ascii="Arial" w:cs="Arial" w:eastAsia="Arial" w:hAnsi="Arial"/>
                <w:sz w:val="18"/>
                <w:szCs w:val="18"/>
                <w:color w:val="auto"/>
              </w:rPr>
              <w:t>2/1/22 - 1/31/22</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(Lease Year 3)</w:t>
            </w:r>
          </w:p>
        </w:tc>
        <w:tc>
          <w:tcPr>
            <w:tcW w:w="1680" w:type="dxa"/>
            <w:vAlign w:val="bottom"/>
          </w:tcPr>
          <w:p>
            <w:pPr>
              <w:ind w:left="140"/>
              <w:spacing w:after="0"/>
              <w:rPr>
                <w:sz w:val="20"/>
                <w:szCs w:val="20"/>
                <w:color w:val="auto"/>
              </w:rPr>
            </w:pPr>
            <w:r>
              <w:rPr>
                <w:rFonts w:ascii="Arial" w:cs="Arial" w:eastAsia="Arial" w:hAnsi="Arial"/>
                <w:sz w:val="18"/>
                <w:szCs w:val="18"/>
                <w:color w:val="auto"/>
              </w:rPr>
              <w:t>(Lease Year 3)</w:t>
            </w:r>
          </w:p>
        </w:tc>
        <w:tc>
          <w:tcPr>
            <w:tcW w:w="0" w:type="dxa"/>
            <w:vAlign w:val="bottom"/>
          </w:tcPr>
          <w:p>
            <w:pPr>
              <w:spacing w:after="0"/>
              <w:rPr>
                <w:sz w:val="1"/>
                <w:szCs w:val="1"/>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$25,503</w:t>
            </w:r>
          </w:p>
        </w:tc>
        <w:tc>
          <w:tcPr>
            <w:tcW w:w="1680" w:type="dxa"/>
            <w:vAlign w:val="bottom"/>
          </w:tcPr>
          <w:p>
            <w:pPr>
              <w:ind w:left="140"/>
              <w:spacing w:after="0"/>
              <w:rPr>
                <w:sz w:val="20"/>
                <w:szCs w:val="20"/>
                <w:color w:val="auto"/>
              </w:rPr>
            </w:pPr>
            <w:r>
              <w:rPr>
                <w:rFonts w:ascii="Arial" w:cs="Arial" w:eastAsia="Arial" w:hAnsi="Arial"/>
                <w:sz w:val="18"/>
                <w:szCs w:val="18"/>
                <w:color w:val="auto"/>
              </w:rPr>
              <w:t>$68,704</w:t>
            </w:r>
          </w:p>
        </w:tc>
        <w:tc>
          <w:tcPr>
            <w:tcW w:w="0" w:type="dxa"/>
            <w:vAlign w:val="bottom"/>
          </w:tcPr>
          <w:p>
            <w:pPr>
              <w:spacing w:after="0"/>
              <w:rPr>
                <w:sz w:val="1"/>
                <w:szCs w:val="1"/>
                <w:color w:val="auto"/>
              </w:rPr>
            </w:pPr>
          </w:p>
        </w:tc>
      </w:tr>
      <w:tr>
        <w:trPr>
          <w:trHeight w:val="270"/>
        </w:trPr>
        <w:tc>
          <w:tcPr>
            <w:tcW w:w="1440" w:type="dxa"/>
            <w:vAlign w:val="bottom"/>
            <w:vMerge w:val="restart"/>
          </w:tcPr>
          <w:p>
            <w:pPr>
              <w:spacing w:after="0"/>
              <w:rPr>
                <w:sz w:val="20"/>
                <w:szCs w:val="20"/>
                <w:color w:val="auto"/>
              </w:rPr>
            </w:pPr>
            <w:r>
              <w:rPr>
                <w:rFonts w:ascii="Arial" w:cs="Arial" w:eastAsia="Arial" w:hAnsi="Arial"/>
                <w:sz w:val="18"/>
                <w:szCs w:val="18"/>
                <w:color w:val="auto"/>
              </w:rPr>
              <w:t>Lease years 2-3 -</w:t>
            </w:r>
          </w:p>
        </w:tc>
        <w:tc>
          <w:tcPr>
            <w:tcW w:w="1680" w:type="dxa"/>
            <w:vAlign w:val="bottom"/>
          </w:tcPr>
          <w:p>
            <w:pPr>
              <w:ind w:left="140"/>
              <w:spacing w:after="0"/>
              <w:rPr>
                <w:sz w:val="20"/>
                <w:szCs w:val="20"/>
                <w:color w:val="auto"/>
              </w:rPr>
            </w:pPr>
            <w:r>
              <w:rPr>
                <w:rFonts w:ascii="Arial" w:cs="Arial" w:eastAsia="Arial" w:hAnsi="Arial"/>
                <w:sz w:val="18"/>
                <w:szCs w:val="18"/>
                <w:color w:val="auto"/>
                <w:w w:val="94"/>
              </w:rPr>
              <w:t>Lease year 3 - 1.0%</w:t>
            </w:r>
          </w:p>
        </w:tc>
        <w:tc>
          <w:tcPr>
            <w:tcW w:w="0" w:type="dxa"/>
            <w:vAlign w:val="bottom"/>
          </w:tcPr>
          <w:p>
            <w:pPr>
              <w:spacing w:after="0"/>
              <w:rPr>
                <w:sz w:val="1"/>
                <w:szCs w:val="1"/>
                <w:color w:val="auto"/>
              </w:rPr>
            </w:pPr>
          </w:p>
        </w:tc>
      </w:tr>
      <w:tr>
        <w:trPr>
          <w:trHeight w:val="176"/>
        </w:trPr>
        <w:tc>
          <w:tcPr>
            <w:tcW w:w="1440" w:type="dxa"/>
            <w:vAlign w:val="bottom"/>
            <w:vMerge w:val="continue"/>
          </w:tcPr>
          <w:p>
            <w:pPr>
              <w:spacing w:after="0"/>
              <w:rPr>
                <w:sz w:val="15"/>
                <w:szCs w:val="15"/>
                <w:color w:val="auto"/>
              </w:rPr>
            </w:pPr>
          </w:p>
        </w:tc>
        <w:tc>
          <w:tcPr>
            <w:tcW w:w="1680" w:type="dxa"/>
            <w:vAlign w:val="bottom"/>
          </w:tcPr>
          <w:p>
            <w:pPr>
              <w:ind w:left="140"/>
              <w:spacing w:after="0" w:line="176" w:lineRule="exact"/>
              <w:rPr>
                <w:sz w:val="20"/>
                <w:szCs w:val="20"/>
                <w:color w:val="auto"/>
              </w:rPr>
            </w:pPr>
            <w:r>
              <w:rPr>
                <w:rFonts w:ascii="Arial" w:cs="Arial" w:eastAsia="Arial" w:hAnsi="Arial"/>
                <w:sz w:val="18"/>
                <w:szCs w:val="18"/>
                <w:color w:val="auto"/>
              </w:rPr>
              <w:t>Lease years 4-6 -</w:t>
            </w:r>
          </w:p>
        </w:tc>
        <w:tc>
          <w:tcPr>
            <w:tcW w:w="0" w:type="dxa"/>
            <w:vAlign w:val="bottom"/>
          </w:tcPr>
          <w:p>
            <w:pPr>
              <w:spacing w:after="0"/>
              <w:rPr>
                <w:sz w:val="1"/>
                <w:szCs w:val="1"/>
                <w:color w:val="auto"/>
              </w:rPr>
            </w:pPr>
          </w:p>
        </w:tc>
      </w:tr>
      <w:tr>
        <w:trPr>
          <w:trHeight w:val="176"/>
        </w:trPr>
        <w:tc>
          <w:tcPr>
            <w:tcW w:w="1440" w:type="dxa"/>
            <w:vAlign w:val="bottom"/>
          </w:tcPr>
          <w:p>
            <w:pPr>
              <w:spacing w:after="0" w:line="176" w:lineRule="exact"/>
              <w:rPr>
                <w:sz w:val="20"/>
                <w:szCs w:val="20"/>
                <w:color w:val="auto"/>
              </w:rPr>
            </w:pPr>
            <w:r>
              <w:rPr>
                <w:rFonts w:ascii="Arial" w:cs="Arial" w:eastAsia="Arial" w:hAnsi="Arial"/>
                <w:sz w:val="18"/>
                <w:szCs w:val="18"/>
                <w:color w:val="auto"/>
              </w:rPr>
              <w:t>1.0%</w:t>
            </w:r>
          </w:p>
        </w:tc>
        <w:tc>
          <w:tcPr>
            <w:tcW w:w="1680" w:type="dxa"/>
            <w:vAlign w:val="bottom"/>
          </w:tcPr>
          <w:p>
            <w:pPr>
              <w:ind w:left="140"/>
              <w:spacing w:after="0" w:line="17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5"/>
        </w:trPr>
        <w:tc>
          <w:tcPr>
            <w:tcW w:w="1440" w:type="dxa"/>
            <w:vAlign w:val="bottom"/>
          </w:tcPr>
          <w:p>
            <w:pPr>
              <w:spacing w:after="0" w:line="176" w:lineRule="exact"/>
              <w:rPr>
                <w:sz w:val="20"/>
                <w:szCs w:val="20"/>
                <w:color w:val="auto"/>
              </w:rPr>
            </w:pPr>
            <w:r>
              <w:rPr>
                <w:rFonts w:ascii="Arial" w:cs="Arial" w:eastAsia="Arial" w:hAnsi="Arial"/>
                <w:sz w:val="18"/>
                <w:szCs w:val="18"/>
                <w:color w:val="auto"/>
                <w:w w:val="94"/>
              </w:rPr>
              <w:t>Lease years 4-15 -</w:t>
            </w:r>
          </w:p>
        </w:tc>
        <w:tc>
          <w:tcPr>
            <w:tcW w:w="1680" w:type="dxa"/>
            <w:vAlign w:val="bottom"/>
          </w:tcPr>
          <w:p>
            <w:pPr>
              <w:ind w:left="140"/>
              <w:spacing w:after="0" w:line="176" w:lineRule="exact"/>
              <w:rPr>
                <w:sz w:val="20"/>
                <w:szCs w:val="20"/>
                <w:color w:val="auto"/>
              </w:rPr>
            </w:pPr>
            <w:r>
              <w:rPr>
                <w:rFonts w:ascii="Arial" w:cs="Arial" w:eastAsia="Arial" w:hAnsi="Arial"/>
                <w:sz w:val="18"/>
                <w:szCs w:val="18"/>
                <w:color w:val="auto"/>
              </w:rPr>
              <w:t>Lease years 7-20 -</w:t>
            </w:r>
          </w:p>
        </w:tc>
        <w:tc>
          <w:tcPr>
            <w:tcW w:w="0" w:type="dxa"/>
            <w:vAlign w:val="bottom"/>
          </w:tcPr>
          <w:p>
            <w:pPr>
              <w:spacing w:after="0"/>
              <w:rPr>
                <w:sz w:val="1"/>
                <w:szCs w:val="1"/>
                <w:color w:val="auto"/>
              </w:rPr>
            </w:pPr>
          </w:p>
        </w:tc>
      </w:tr>
      <w:tr>
        <w:trPr>
          <w:trHeight w:val="176"/>
        </w:trPr>
        <w:tc>
          <w:tcPr>
            <w:tcW w:w="1440" w:type="dxa"/>
            <w:vAlign w:val="bottom"/>
          </w:tcPr>
          <w:p>
            <w:pPr>
              <w:spacing w:after="0" w:line="176" w:lineRule="exact"/>
              <w:rPr>
                <w:sz w:val="20"/>
                <w:szCs w:val="20"/>
                <w:color w:val="auto"/>
              </w:rPr>
            </w:pPr>
            <w:r>
              <w:rPr>
                <w:rFonts w:ascii="Arial" w:cs="Arial" w:eastAsia="Arial" w:hAnsi="Arial"/>
                <w:sz w:val="18"/>
                <w:szCs w:val="18"/>
                <w:color w:val="auto"/>
              </w:rPr>
              <w:t>&gt; 1.25% / CPI</w:t>
            </w:r>
          </w:p>
        </w:tc>
        <w:tc>
          <w:tcPr>
            <w:tcW w:w="1680" w:type="dxa"/>
            <w:vAlign w:val="bottom"/>
          </w:tcPr>
          <w:p>
            <w:pPr>
              <w:ind w:left="140"/>
              <w:spacing w:after="0" w:line="176" w:lineRule="exact"/>
              <w:rPr>
                <w:sz w:val="20"/>
                <w:szCs w:val="20"/>
                <w:color w:val="auto"/>
              </w:rPr>
            </w:pPr>
            <w:r>
              <w:rPr>
                <w:rFonts w:ascii="Arial" w:cs="Arial" w:eastAsia="Arial" w:hAnsi="Arial"/>
                <w:sz w:val="18"/>
                <w:szCs w:val="18"/>
                <w:color w:val="auto"/>
                <w:w w:val="89"/>
              </w:rPr>
              <w:t>&gt;1.5%/change in CPI</w:t>
            </w: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1680" w:type="dxa"/>
            <w:vAlign w:val="bottom"/>
          </w:tcPr>
          <w:p>
            <w:pPr>
              <w:ind w:left="140"/>
              <w:spacing w:after="0"/>
              <w:rPr>
                <w:sz w:val="20"/>
                <w:szCs w:val="20"/>
                <w:color w:val="auto"/>
              </w:rPr>
            </w:pPr>
            <w:r>
              <w:rPr>
                <w:rFonts w:ascii="Arial" w:cs="Arial" w:eastAsia="Arial" w:hAnsi="Arial"/>
                <w:sz w:val="18"/>
                <w:szCs w:val="18"/>
                <w:color w:val="auto"/>
              </w:rPr>
              <w:t>(capped at 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400"/>
        <w:spacing w:after="0" w:line="234" w:lineRule="auto"/>
        <w:rPr>
          <w:sz w:val="20"/>
          <w:szCs w:val="20"/>
          <w:color w:val="auto"/>
        </w:rPr>
      </w:pPr>
      <w:r>
        <w:rPr>
          <w:rFonts w:ascii="Arial" w:cs="Arial" w:eastAsia="Arial" w:hAnsi="Arial"/>
          <w:sz w:val="18"/>
          <w:szCs w:val="18"/>
          <w:color w:val="auto"/>
        </w:rPr>
        <w:t>Four, five-year terms</w:t>
      </w:r>
    </w:p>
    <w:p>
      <w:pPr>
        <w:spacing w:after="0" w:line="1"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auto"/>
        </w:rPr>
        <w:t>9/3/21 - 8/31/22 (Lease Year 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$32,500</w:t>
      </w:r>
    </w:p>
    <w:p>
      <w:pPr>
        <w:spacing w:after="0" w:line="198" w:lineRule="exact"/>
        <w:rPr>
          <w:sz w:val="20"/>
          <w:szCs w:val="20"/>
          <w:color w:val="auto"/>
        </w:rPr>
      </w:pPr>
    </w:p>
    <w:p>
      <w:pPr>
        <w:ind w:right="240"/>
        <w:spacing w:after="0" w:line="212" w:lineRule="auto"/>
        <w:rPr>
          <w:sz w:val="20"/>
          <w:szCs w:val="20"/>
          <w:color w:val="auto"/>
        </w:rPr>
      </w:pPr>
      <w:r>
        <w:rPr>
          <w:rFonts w:ascii="Arial" w:cs="Arial" w:eastAsia="Arial" w:hAnsi="Arial"/>
          <w:sz w:val="18"/>
          <w:szCs w:val="18"/>
          <w:color w:val="auto"/>
        </w:rPr>
        <w:t>Lease years 2-5 - 1.5%</w:t>
      </w:r>
    </w:p>
    <w:p>
      <w:pPr>
        <w:spacing w:after="0" w:line="1" w:lineRule="exact"/>
        <w:rPr>
          <w:sz w:val="20"/>
          <w:szCs w:val="20"/>
          <w:color w:val="auto"/>
        </w:rPr>
      </w:pPr>
    </w:p>
    <w:p>
      <w:pPr>
        <w:jc w:val="both"/>
        <w:ind w:right="160"/>
        <w:spacing w:after="0" w:line="218" w:lineRule="auto"/>
        <w:rPr>
          <w:sz w:val="20"/>
          <w:szCs w:val="20"/>
          <w:color w:val="auto"/>
        </w:rPr>
      </w:pPr>
      <w:r>
        <w:rPr>
          <w:rFonts w:ascii="Arial" w:cs="Arial" w:eastAsia="Arial" w:hAnsi="Arial"/>
          <w:sz w:val="18"/>
          <w:szCs w:val="18"/>
          <w:color w:val="auto"/>
        </w:rPr>
        <w:t>Lease years 6-15 - &gt;2.0% / change in CPI</w:t>
      </w:r>
    </w:p>
    <w:p>
      <w:pPr>
        <w:spacing w:after="0" w:line="94" w:lineRule="exact"/>
        <w:rPr>
          <w:sz w:val="20"/>
          <w:szCs w:val="20"/>
          <w:color w:val="auto"/>
        </w:rPr>
      </w:pPr>
    </w:p>
    <w:p>
      <w:pPr>
        <w:sectPr>
          <w:pgSz w:w="11900" w:h="16838" w:orient="portrait"/>
          <w:cols w:equalWidth="0" w:num="4">
            <w:col w:w="4660" w:space="212"/>
            <w:col w:w="1328" w:space="260"/>
            <w:col w:w="3120" w:space="180"/>
            <w:col w:w="1480"/>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1100" w:type="dxa"/>
            <w:vAlign w:val="bottom"/>
            <w:shd w:val="clear" w:color="auto" w:fill="CCEEFF"/>
          </w:tcPr>
          <w:p>
            <w:pPr>
              <w:spacing w:after="0"/>
              <w:rPr>
                <w:sz w:val="15"/>
                <w:szCs w:val="15"/>
                <w:color w:val="auto"/>
              </w:rPr>
            </w:pPr>
          </w:p>
        </w:tc>
        <w:tc>
          <w:tcPr>
            <w:tcW w:w="1900" w:type="dxa"/>
            <w:vAlign w:val="bottom"/>
            <w:shd w:val="clear" w:color="auto" w:fill="CCEEFF"/>
          </w:tcPr>
          <w:p>
            <w:pPr>
              <w:ind w:left="380"/>
              <w:spacing w:after="0" w:line="177" w:lineRule="exact"/>
              <w:rPr>
                <w:sz w:val="20"/>
                <w:szCs w:val="20"/>
                <w:color w:val="auto"/>
              </w:rPr>
            </w:pPr>
            <w:r>
              <w:rPr>
                <w:rFonts w:ascii="Arial" w:cs="Arial" w:eastAsia="Arial" w:hAnsi="Arial"/>
                <w:sz w:val="18"/>
                <w:szCs w:val="18"/>
                <w:color w:val="auto"/>
                <w:w w:val="97"/>
              </w:rPr>
              <w:t>Net revenue to rent</w:t>
            </w:r>
          </w:p>
        </w:tc>
        <w:tc>
          <w:tcPr>
            <w:tcW w:w="1720" w:type="dxa"/>
            <w:vAlign w:val="bottom"/>
            <w:shd w:val="clear" w:color="auto" w:fill="CCEEFF"/>
          </w:tcPr>
          <w:p>
            <w:pPr>
              <w:ind w:left="140"/>
              <w:spacing w:after="0" w:line="177" w:lineRule="exact"/>
              <w:rPr>
                <w:sz w:val="20"/>
                <w:szCs w:val="20"/>
                <w:color w:val="auto"/>
              </w:rPr>
            </w:pPr>
            <w:r>
              <w:rPr>
                <w:rFonts w:ascii="Arial" w:cs="Arial" w:eastAsia="Arial" w:hAnsi="Arial"/>
                <w:sz w:val="18"/>
                <w:szCs w:val="18"/>
                <w:color w:val="auto"/>
                <w:w w:val="98"/>
              </w:rPr>
              <w:t>Net revenue ratio to</w:t>
            </w:r>
          </w:p>
        </w:tc>
        <w:tc>
          <w:tcPr>
            <w:tcW w:w="1140" w:type="dxa"/>
            <w:vAlign w:val="bottom"/>
            <w:shd w:val="clear" w:color="auto" w:fill="CCEEFF"/>
          </w:tcPr>
          <w:p>
            <w:pPr>
              <w:spacing w:after="0"/>
              <w:rPr>
                <w:sz w:val="15"/>
                <w:szCs w:val="15"/>
                <w:color w:val="auto"/>
              </w:rPr>
            </w:pPr>
          </w:p>
        </w:tc>
        <w:tc>
          <w:tcPr>
            <w:tcW w:w="32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7.5x net revenue</w:t>
            </w: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Coverage</w:t>
            </w:r>
          </w:p>
        </w:tc>
        <w:tc>
          <w:tcPr>
            <w:tcW w:w="190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ratio:</w:t>
            </w:r>
          </w:p>
        </w:tc>
        <w:tc>
          <w:tcPr>
            <w:tcW w:w="1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be mutually agreed</w:t>
            </w:r>
          </w:p>
        </w:tc>
        <w:tc>
          <w:tcPr>
            <w:tcW w:w="1140" w:type="dxa"/>
            <w:vAlign w:val="bottom"/>
            <w:shd w:val="clear" w:color="auto" w:fill="CCEEFF"/>
          </w:tcPr>
          <w:p>
            <w:pPr>
              <w:spacing w:after="0"/>
              <w:rPr>
                <w:sz w:val="15"/>
                <w:szCs w:val="15"/>
                <w:color w:val="auto"/>
              </w:rPr>
            </w:pPr>
          </w:p>
        </w:tc>
        <w:tc>
          <w:tcPr>
            <w:tcW w:w="3240" w:type="dxa"/>
            <w:vAlign w:val="bottom"/>
            <w:vMerge w:val="continue"/>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100" w:type="dxa"/>
            <w:vAlign w:val="bottom"/>
            <w:vMerge w:val="continue"/>
            <w:shd w:val="clear" w:color="auto" w:fill="CCEEFF"/>
          </w:tcPr>
          <w:p>
            <w:pPr>
              <w:spacing w:after="0"/>
              <w:rPr>
                <w:sz w:val="7"/>
                <w:szCs w:val="7"/>
                <w:color w:val="auto"/>
              </w:rPr>
            </w:pPr>
          </w:p>
        </w:tc>
        <w:tc>
          <w:tcPr>
            <w:tcW w:w="190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6.1x net revenue</w:t>
            </w:r>
          </w:p>
        </w:tc>
        <w:tc>
          <w:tcPr>
            <w:tcW w:w="17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upon prior to the</w:t>
            </w:r>
          </w:p>
        </w:tc>
        <w:tc>
          <w:tcPr>
            <w:tcW w:w="11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None</w:t>
            </w:r>
          </w:p>
        </w:tc>
        <w:tc>
          <w:tcPr>
            <w:tcW w:w="32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commencing lease   None</w:t>
            </w:r>
          </w:p>
        </w:tc>
        <w:tc>
          <w:tcPr>
            <w:tcW w:w="214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 xml:space="preserve">floor </w:t>
            </w:r>
            <w:r>
              <w:rPr>
                <w:rFonts w:ascii="Arial" w:cs="Arial" w:eastAsia="Arial" w:hAnsi="Arial"/>
                <w:sz w:val="20"/>
                <w:szCs w:val="20"/>
                <w:i w:val="1"/>
                <w:iCs w:val="1"/>
                <w:color w:val="auto"/>
                <w:vertAlign w:val="superscript"/>
              </w:rPr>
              <w:t>(4)</w:t>
            </w:r>
          </w:p>
        </w:tc>
        <w:tc>
          <w:tcPr>
            <w:tcW w:w="1900" w:type="dxa"/>
            <w:vAlign w:val="bottom"/>
            <w:vMerge w:val="continue"/>
            <w:shd w:val="clear" w:color="auto" w:fill="CCEEFF"/>
          </w:tcPr>
          <w:p>
            <w:pPr>
              <w:spacing w:after="0"/>
              <w:rPr>
                <w:sz w:val="15"/>
                <w:szCs w:val="15"/>
                <w:color w:val="auto"/>
              </w:rPr>
            </w:pPr>
          </w:p>
        </w:tc>
        <w:tc>
          <w:tcPr>
            <w:tcW w:w="172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3240" w:type="dxa"/>
            <w:vAlign w:val="bottom"/>
            <w:vMerge w:val="continue"/>
            <w:shd w:val="clear" w:color="auto" w:fill="CCEEFF"/>
          </w:tcPr>
          <w:p>
            <w:pPr>
              <w:spacing w:after="0"/>
              <w:rPr>
                <w:sz w:val="15"/>
                <w:szCs w:val="15"/>
                <w:color w:val="auto"/>
              </w:rPr>
            </w:pPr>
          </w:p>
        </w:tc>
        <w:tc>
          <w:tcPr>
            <w:tcW w:w="2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00" w:type="dxa"/>
            <w:vAlign w:val="bottom"/>
            <w:shd w:val="clear" w:color="auto" w:fill="CCEEFF"/>
          </w:tcPr>
          <w:p>
            <w:pPr>
              <w:spacing w:after="0"/>
              <w:rPr>
                <w:sz w:val="8"/>
                <w:szCs w:val="8"/>
                <w:color w:val="auto"/>
              </w:rPr>
            </w:pPr>
          </w:p>
        </w:tc>
        <w:tc>
          <w:tcPr>
            <w:tcW w:w="1900" w:type="dxa"/>
            <w:vAlign w:val="bottom"/>
            <w:shd w:val="clear" w:color="auto" w:fill="CCEEFF"/>
          </w:tcPr>
          <w:p>
            <w:pPr>
              <w:ind w:left="380"/>
              <w:spacing w:after="0" w:line="95" w:lineRule="exact"/>
              <w:rPr>
                <w:sz w:val="20"/>
                <w:szCs w:val="20"/>
                <w:color w:val="auto"/>
              </w:rPr>
            </w:pPr>
            <w:r>
              <w:rPr>
                <w:rFonts w:ascii="Arial" w:cs="Arial" w:eastAsia="Arial" w:hAnsi="Arial"/>
                <w:sz w:val="10"/>
                <w:szCs w:val="10"/>
                <w:color w:val="auto"/>
              </w:rPr>
              <w:t>commencing lease</w:t>
            </w:r>
          </w:p>
        </w:tc>
        <w:tc>
          <w:tcPr>
            <w:tcW w:w="1720" w:type="dxa"/>
            <w:vAlign w:val="bottom"/>
            <w:shd w:val="clear" w:color="auto" w:fill="CCEEFF"/>
          </w:tcPr>
          <w:p>
            <w:pPr>
              <w:ind w:left="140"/>
              <w:spacing w:after="0" w:line="95" w:lineRule="exact"/>
              <w:rPr>
                <w:sz w:val="20"/>
                <w:szCs w:val="20"/>
                <w:color w:val="auto"/>
              </w:rPr>
            </w:pPr>
            <w:r>
              <w:rPr>
                <w:rFonts w:ascii="Arial" w:cs="Arial" w:eastAsia="Arial" w:hAnsi="Arial"/>
                <w:sz w:val="10"/>
                <w:szCs w:val="10"/>
                <w:color w:val="auto"/>
              </w:rPr>
              <w:t>commencement of</w:t>
            </w:r>
          </w:p>
        </w:tc>
        <w:tc>
          <w:tcPr>
            <w:tcW w:w="1140" w:type="dxa"/>
            <w:vAlign w:val="bottom"/>
            <w:shd w:val="clear" w:color="auto" w:fill="CCEEFF"/>
          </w:tcPr>
          <w:p>
            <w:pPr>
              <w:spacing w:after="0"/>
              <w:rPr>
                <w:sz w:val="8"/>
                <w:szCs w:val="8"/>
                <w:color w:val="auto"/>
              </w:rPr>
            </w:pPr>
          </w:p>
        </w:tc>
        <w:tc>
          <w:tcPr>
            <w:tcW w:w="3240" w:type="dxa"/>
            <w:vAlign w:val="bottom"/>
            <w:shd w:val="clear" w:color="auto" w:fill="CCEEFF"/>
          </w:tcPr>
          <w:p>
            <w:pPr>
              <w:ind w:left="600"/>
              <w:spacing w:after="0" w:line="95" w:lineRule="exact"/>
              <w:rPr>
                <w:sz w:val="20"/>
                <w:szCs w:val="20"/>
                <w:color w:val="auto"/>
              </w:rPr>
            </w:pPr>
            <w:r>
              <w:rPr>
                <w:rFonts w:ascii="Arial" w:cs="Arial" w:eastAsia="Arial" w:hAnsi="Arial"/>
                <w:sz w:val="10"/>
                <w:szCs w:val="10"/>
                <w:color w:val="auto"/>
              </w:rPr>
              <w:t>year six</w:t>
            </w:r>
          </w:p>
        </w:tc>
        <w:tc>
          <w:tcPr>
            <w:tcW w:w="2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spacing w:after="0"/>
              <w:rPr>
                <w:sz w:val="19"/>
                <w:szCs w:val="19"/>
                <w:color w:val="auto"/>
              </w:rPr>
            </w:pPr>
          </w:p>
        </w:tc>
        <w:tc>
          <w:tcPr>
            <w:tcW w:w="1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year two</w:t>
            </w:r>
          </w:p>
        </w:tc>
        <w:tc>
          <w:tcPr>
            <w:tcW w:w="1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year five</w:t>
            </w:r>
          </w:p>
        </w:tc>
        <w:tc>
          <w:tcPr>
            <w:tcW w:w="114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87" w:right="339" w:bottom="1440" w:gutter="0" w:footer="0" w:header="0"/>
          <w:type w:val="continuous"/>
        </w:sectPr>
      </w:pP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vMerge w:val="restart"/>
          </w:tcPr>
          <w:p>
            <w:pPr>
              <w:spacing w:after="0"/>
              <w:rPr>
                <w:sz w:val="20"/>
                <w:szCs w:val="20"/>
                <w:color w:val="auto"/>
              </w:rPr>
            </w:pPr>
            <w:r>
              <w:rPr>
                <w:rFonts w:ascii="Arial" w:cs="Arial" w:eastAsia="Arial" w:hAnsi="Arial"/>
                <w:sz w:val="18"/>
                <w:szCs w:val="18"/>
                <w:color w:val="auto"/>
              </w:rPr>
              <w:t>Variable Rent</w:t>
            </w:r>
          </w:p>
        </w:tc>
        <w:tc>
          <w:tcPr>
            <w:tcW w:w="1820" w:type="dxa"/>
            <w:vAlign w:val="bottom"/>
          </w:tcPr>
          <w:p>
            <w:pPr>
              <w:ind w:left="240"/>
              <w:spacing w:after="0"/>
              <w:rPr>
                <w:sz w:val="20"/>
                <w:szCs w:val="20"/>
                <w:color w:val="auto"/>
              </w:rPr>
            </w:pPr>
            <w:r>
              <w:rPr>
                <w:rFonts w:ascii="Arial" w:cs="Arial" w:eastAsia="Arial" w:hAnsi="Arial"/>
                <w:sz w:val="18"/>
                <w:szCs w:val="18"/>
                <w:color w:val="auto"/>
                <w:w w:val="91"/>
              </w:rPr>
              <w:t>Lease year three and</w:t>
            </w:r>
          </w:p>
        </w:tc>
        <w:tc>
          <w:tcPr>
            <w:tcW w:w="1700" w:type="dxa"/>
            <w:vAlign w:val="bottom"/>
          </w:tcPr>
          <w:p>
            <w:pPr>
              <w:ind w:left="80"/>
              <w:spacing w:after="0"/>
              <w:rPr>
                <w:sz w:val="20"/>
                <w:szCs w:val="20"/>
                <w:color w:val="auto"/>
              </w:rPr>
            </w:pPr>
            <w:r>
              <w:rPr>
                <w:rFonts w:ascii="Arial" w:cs="Arial" w:eastAsia="Arial" w:hAnsi="Arial"/>
                <w:sz w:val="18"/>
                <w:szCs w:val="18"/>
                <w:color w:val="auto"/>
                <w:w w:val="94"/>
              </w:rPr>
              <w:t>Lease year three and</w:t>
            </w:r>
          </w:p>
        </w:tc>
        <w:tc>
          <w:tcPr>
            <w:tcW w:w="1500" w:type="dxa"/>
            <w:vAlign w:val="bottom"/>
          </w:tcPr>
          <w:p>
            <w:pPr>
              <w:ind w:left="120"/>
              <w:spacing w:after="0"/>
              <w:rPr>
                <w:sz w:val="20"/>
                <w:szCs w:val="20"/>
                <w:color w:val="auto"/>
              </w:rPr>
            </w:pPr>
            <w:r>
              <w:rPr>
                <w:rFonts w:ascii="Arial" w:cs="Arial" w:eastAsia="Arial" w:hAnsi="Arial"/>
                <w:sz w:val="18"/>
                <w:szCs w:val="18"/>
                <w:b w:val="1"/>
                <w:bCs w:val="1"/>
                <w:color w:val="auto"/>
                <w:w w:val="87"/>
              </w:rPr>
              <w:t xml:space="preserve">Lease year 8: </w:t>
            </w:r>
            <w:r>
              <w:rPr>
                <w:rFonts w:ascii="Arial" w:cs="Arial" w:eastAsia="Arial" w:hAnsi="Arial"/>
                <w:sz w:val="18"/>
                <w:szCs w:val="18"/>
                <w:color w:val="auto"/>
                <w:w w:val="87"/>
              </w:rPr>
              <w:t>80%</w:t>
            </w:r>
          </w:p>
        </w:tc>
        <w:tc>
          <w:tcPr>
            <w:tcW w:w="0" w:type="dxa"/>
            <w:vAlign w:val="bottom"/>
          </w:tcPr>
          <w:p>
            <w:pPr>
              <w:spacing w:after="0"/>
              <w:rPr>
                <w:sz w:val="1"/>
                <w:szCs w:val="1"/>
                <w:color w:val="auto"/>
              </w:rPr>
            </w:pPr>
          </w:p>
        </w:tc>
      </w:tr>
      <w:tr>
        <w:trPr>
          <w:trHeight w:val="95"/>
        </w:trPr>
        <w:tc>
          <w:tcPr>
            <w:tcW w:w="1220" w:type="dxa"/>
            <w:vAlign w:val="bottom"/>
            <w:vMerge w:val="continue"/>
          </w:tcPr>
          <w:p>
            <w:pPr>
              <w:spacing w:after="0"/>
              <w:rPr>
                <w:sz w:val="8"/>
                <w:szCs w:val="8"/>
                <w:color w:val="auto"/>
              </w:rPr>
            </w:pPr>
          </w:p>
        </w:tc>
        <w:tc>
          <w:tcPr>
            <w:tcW w:w="1820" w:type="dxa"/>
            <w:vAlign w:val="bottom"/>
            <w:vMerge w:val="restart"/>
          </w:tcPr>
          <w:p>
            <w:pPr>
              <w:ind w:left="240"/>
              <w:spacing w:after="0"/>
              <w:rPr>
                <w:sz w:val="20"/>
                <w:szCs w:val="20"/>
                <w:color w:val="auto"/>
              </w:rPr>
            </w:pPr>
            <w:r>
              <w:rPr>
                <w:rFonts w:ascii="Arial" w:cs="Arial" w:eastAsia="Arial" w:hAnsi="Arial"/>
                <w:sz w:val="18"/>
                <w:szCs w:val="18"/>
                <w:color w:val="auto"/>
                <w:w w:val="92"/>
              </w:rPr>
              <w:t>each and every other</w:t>
            </w:r>
          </w:p>
        </w:tc>
        <w:tc>
          <w:tcPr>
            <w:tcW w:w="1700" w:type="dxa"/>
            <w:vAlign w:val="bottom"/>
            <w:vMerge w:val="restart"/>
          </w:tcPr>
          <w:p>
            <w:pPr>
              <w:ind w:left="80"/>
              <w:spacing w:after="0"/>
              <w:rPr>
                <w:sz w:val="20"/>
                <w:szCs w:val="20"/>
                <w:color w:val="auto"/>
              </w:rPr>
            </w:pPr>
            <w:r>
              <w:rPr>
                <w:rFonts w:ascii="Arial" w:cs="Arial" w:eastAsia="Arial" w:hAnsi="Arial"/>
                <w:sz w:val="18"/>
                <w:szCs w:val="18"/>
                <w:color w:val="auto"/>
                <w:w w:val="94"/>
              </w:rPr>
              <w:t>each and every other</w:t>
            </w:r>
          </w:p>
        </w:tc>
        <w:tc>
          <w:tcPr>
            <w:tcW w:w="1500" w:type="dxa"/>
            <w:vAlign w:val="bottom"/>
            <w:vMerge w:val="restart"/>
          </w:tcPr>
          <w:p>
            <w:pPr>
              <w:ind w:left="120"/>
              <w:spacing w:after="0"/>
              <w:rPr>
                <w:sz w:val="20"/>
                <w:szCs w:val="20"/>
                <w:color w:val="auto"/>
              </w:rPr>
            </w:pPr>
            <w:r>
              <w:rPr>
                <w:rFonts w:ascii="Arial" w:cs="Arial" w:eastAsia="Arial" w:hAnsi="Arial"/>
                <w:sz w:val="18"/>
                <w:szCs w:val="18"/>
                <w:color w:val="auto"/>
                <w:w w:val="89"/>
              </w:rPr>
              <w:t>base rent and 20%</w:t>
            </w:r>
          </w:p>
        </w:tc>
        <w:tc>
          <w:tcPr>
            <w:tcW w:w="0" w:type="dxa"/>
            <w:vAlign w:val="bottom"/>
          </w:tcPr>
          <w:p>
            <w:pPr>
              <w:spacing w:after="0"/>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Arial" w:cs="Arial" w:eastAsia="Arial" w:hAnsi="Arial"/>
                <w:sz w:val="16"/>
                <w:szCs w:val="16"/>
                <w:color w:val="auto"/>
              </w:rPr>
              <w:t xml:space="preserve">adjustment </w:t>
            </w:r>
            <w:r>
              <w:rPr>
                <w:rFonts w:ascii="Arial" w:cs="Arial" w:eastAsia="Arial" w:hAnsi="Arial"/>
                <w:sz w:val="20"/>
                <w:szCs w:val="20"/>
                <w:i w:val="1"/>
                <w:iCs w:val="1"/>
                <w:color w:val="auto"/>
                <w:vertAlign w:val="superscript"/>
              </w:rPr>
              <w:t>(5)</w:t>
            </w:r>
          </w:p>
        </w:tc>
        <w:tc>
          <w:tcPr>
            <w:tcW w:w="18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w w:val="94"/>
              </w:rPr>
              <w:t>lease year thereafter</w:t>
            </w:r>
          </w:p>
        </w:tc>
        <w:tc>
          <w:tcPr>
            <w:tcW w:w="1700" w:type="dxa"/>
            <w:vAlign w:val="bottom"/>
          </w:tcPr>
          <w:p>
            <w:pPr>
              <w:ind w:left="80"/>
              <w:spacing w:after="0"/>
              <w:rPr>
                <w:sz w:val="20"/>
                <w:szCs w:val="20"/>
                <w:color w:val="auto"/>
              </w:rPr>
            </w:pPr>
            <w:r>
              <w:rPr>
                <w:rFonts w:ascii="Arial" w:cs="Arial" w:eastAsia="Arial" w:hAnsi="Arial"/>
                <w:sz w:val="18"/>
                <w:szCs w:val="18"/>
                <w:color w:val="auto"/>
                <w:w w:val="96"/>
              </w:rPr>
              <w:t>lease year thereafter</w:t>
            </w:r>
          </w:p>
        </w:tc>
        <w:tc>
          <w:tcPr>
            <w:tcW w:w="1500" w:type="dxa"/>
            <w:vAlign w:val="bottom"/>
          </w:tcPr>
          <w:p>
            <w:pPr>
              <w:ind w:left="120"/>
              <w:spacing w:after="0"/>
              <w:rPr>
                <w:sz w:val="20"/>
                <w:szCs w:val="20"/>
                <w:color w:val="auto"/>
              </w:rPr>
            </w:pPr>
            <w:r>
              <w:rPr>
                <w:rFonts w:ascii="Arial" w:cs="Arial" w:eastAsia="Arial" w:hAnsi="Arial"/>
                <w:sz w:val="18"/>
                <w:szCs w:val="18"/>
                <w:color w:val="auto"/>
              </w:rPr>
              <w:t>variable rent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8"/>
          <w:szCs w:val="18"/>
          <w:b w:val="1"/>
          <w:bCs w:val="1"/>
          <w:color w:val="auto"/>
        </w:rPr>
        <w:t>Lease year 8 and</w:t>
      </w:r>
    </w:p>
    <w:p>
      <w:pPr>
        <w:spacing w:after="0" w:line="183" w:lineRule="auto"/>
        <w:tabs>
          <w:tab w:leader="none" w:pos="1560" w:val="left"/>
        </w:tabs>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80% Base Rent</w:t>
      </w:r>
      <w:r>
        <w:rPr>
          <w:sz w:val="20"/>
          <w:szCs w:val="20"/>
          <w:color w:val="auto"/>
        </w:rPr>
        <w:tab/>
      </w:r>
      <w:r>
        <w:rPr>
          <w:rFonts w:ascii="Arial" w:cs="Arial" w:eastAsia="Arial" w:hAnsi="Arial"/>
          <w:sz w:val="20"/>
          <w:szCs w:val="20"/>
          <w:color w:val="auto"/>
          <w:vertAlign w:val="subscript"/>
        </w:rPr>
        <w:t>None</w:t>
      </w:r>
    </w:p>
    <w:p>
      <w:pPr>
        <w:spacing w:after="0" w:line="203" w:lineRule="auto"/>
        <w:rPr>
          <w:sz w:val="20"/>
          <w:szCs w:val="20"/>
          <w:color w:val="auto"/>
        </w:rPr>
      </w:pPr>
      <w:r>
        <w:rPr>
          <w:rFonts w:ascii="Arial" w:cs="Arial" w:eastAsia="Arial" w:hAnsi="Arial"/>
          <w:sz w:val="18"/>
          <w:szCs w:val="18"/>
          <w:color w:val="auto"/>
        </w:rPr>
        <w:t>and 20% Variable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Rent</w:t>
      </w:r>
    </w:p>
    <w:p>
      <w:pPr>
        <w:spacing w:after="0" w:line="20" w:lineRule="exact"/>
        <w:rPr>
          <w:sz w:val="20"/>
          <w:szCs w:val="20"/>
          <w:color w:val="auto"/>
        </w:rPr>
      </w:pPr>
      <w:r>
        <w:rPr>
          <w:sz w:val="20"/>
          <w:szCs w:val="20"/>
          <w:color w:val="auto"/>
        </w:rPr>
        <w:br w:type="column"/>
      </w:r>
    </w:p>
    <w:p>
      <w:pPr>
        <w:ind w:left="1"/>
        <w:spacing w:after="0" w:line="234" w:lineRule="auto"/>
        <w:rPr>
          <w:sz w:val="20"/>
          <w:szCs w:val="20"/>
          <w:color w:val="auto"/>
        </w:rPr>
      </w:pPr>
      <w:r>
        <w:rPr>
          <w:rFonts w:ascii="Arial" w:cs="Arial" w:eastAsia="Arial" w:hAnsi="Arial"/>
          <w:sz w:val="17"/>
          <w:szCs w:val="17"/>
          <w:b w:val="1"/>
          <w:bCs w:val="1"/>
          <w:color w:val="auto"/>
        </w:rPr>
        <w:t>Lease year 8 and</w:t>
      </w:r>
    </w:p>
    <w:p>
      <w:pPr>
        <w:ind w:left="1" w:right="100" w:hanging="1"/>
        <w:spacing w:after="0" w:line="217" w:lineRule="auto"/>
        <w:tabs>
          <w:tab w:leader="none" w:pos="27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80% Base Rent and 20% Variable Rent</w:t>
      </w:r>
    </w:p>
    <w:p>
      <w:pPr>
        <w:spacing w:after="0" w:line="2" w:lineRule="exact"/>
        <w:rPr>
          <w:sz w:val="20"/>
          <w:szCs w:val="20"/>
          <w:color w:val="auto"/>
        </w:rPr>
      </w:pPr>
    </w:p>
    <w:p>
      <w:pPr>
        <w:sectPr>
          <w:pgSz w:w="11900" w:h="16838" w:orient="portrait"/>
          <w:cols w:equalWidth="0" w:num="3">
            <w:col w:w="6260" w:space="200"/>
            <w:col w:w="2579" w:space="720"/>
            <w:col w:w="1481"/>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1460" w:type="dxa"/>
            <w:vAlign w:val="bottom"/>
            <w:shd w:val="clear" w:color="auto" w:fill="CCEEFF"/>
          </w:tcPr>
          <w:p>
            <w:pPr>
              <w:spacing w:after="0"/>
              <w:rPr>
                <w:sz w:val="16"/>
                <w:szCs w:val="16"/>
                <w:color w:val="auto"/>
              </w:rPr>
            </w:pPr>
          </w:p>
        </w:tc>
        <w:tc>
          <w:tcPr>
            <w:tcW w:w="15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4% of the average</w:t>
            </w: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3"/>
              </w:rPr>
              <w:t>4% of the average net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spacing w:after="0" w:line="191" w:lineRule="exact"/>
              <w:rPr>
                <w:sz w:val="20"/>
                <w:szCs w:val="20"/>
                <w:color w:val="auto"/>
              </w:rPr>
            </w:pPr>
            <w:r>
              <w:rPr>
                <w:rFonts w:ascii="Arial" w:cs="Arial" w:eastAsia="Arial" w:hAnsi="Arial"/>
                <w:sz w:val="18"/>
                <w:szCs w:val="18"/>
                <w:color w:val="auto"/>
              </w:rPr>
              <w:t>4% of revenue</w:t>
            </w:r>
          </w:p>
        </w:tc>
        <w:tc>
          <w:tcPr>
            <w:tcW w:w="1140" w:type="dxa"/>
            <w:vAlign w:val="bottom"/>
            <w:shd w:val="clear" w:color="auto" w:fill="CCEEFF"/>
          </w:tcPr>
          <w:p>
            <w:pPr>
              <w:spacing w:after="0"/>
              <w:rPr>
                <w:sz w:val="16"/>
                <w:szCs w:val="16"/>
                <w:color w:val="auto"/>
              </w:rPr>
            </w:pPr>
          </w:p>
        </w:tc>
        <w:tc>
          <w:tcPr>
            <w:tcW w:w="2140" w:type="dxa"/>
            <w:vAlign w:val="bottom"/>
            <w:gridSpan w:val="4"/>
            <w:shd w:val="clear" w:color="auto" w:fill="CCEEFF"/>
          </w:tcPr>
          <w:p>
            <w:pPr>
              <w:ind w:left="660"/>
              <w:spacing w:after="0" w:line="191" w:lineRule="exact"/>
              <w:rPr>
                <w:sz w:val="20"/>
                <w:szCs w:val="20"/>
                <w:color w:val="auto"/>
              </w:rPr>
            </w:pPr>
            <w:r>
              <w:rPr>
                <w:rFonts w:ascii="Arial" w:cs="Arial" w:eastAsia="Arial" w:hAnsi="Arial"/>
                <w:sz w:val="18"/>
                <w:szCs w:val="18"/>
                <w:color w:val="auto"/>
              </w:rPr>
              <w:t>4% of revenue</w:t>
            </w: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780" w:type="dxa"/>
            <w:vAlign w:val="bottom"/>
            <w:vMerge w:val="continue"/>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460" w:type="dxa"/>
            <w:vAlign w:val="bottom"/>
            <w:shd w:val="clear" w:color="auto" w:fill="CCEEFF"/>
          </w:tcPr>
          <w:p>
            <w:pPr>
              <w:spacing w:after="0"/>
              <w:rPr>
                <w:sz w:val="4"/>
                <w:szCs w:val="4"/>
                <w:color w:val="auto"/>
              </w:rPr>
            </w:pPr>
          </w:p>
        </w:tc>
        <w:tc>
          <w:tcPr>
            <w:tcW w:w="1560" w:type="dxa"/>
            <w:vAlign w:val="bottom"/>
            <w:vMerge w:val="restart"/>
            <w:shd w:val="clear" w:color="auto" w:fill="CCEEFF"/>
          </w:tcPr>
          <w:p>
            <w:pPr>
              <w:ind w:left="20"/>
              <w:spacing w:after="0" w:line="156" w:lineRule="exact"/>
              <w:rPr>
                <w:sz w:val="20"/>
                <w:szCs w:val="20"/>
                <w:color w:val="auto"/>
              </w:rPr>
            </w:pPr>
            <w:r>
              <w:rPr>
                <w:rFonts w:ascii="Arial" w:cs="Arial" w:eastAsia="Arial" w:hAnsi="Arial"/>
                <w:sz w:val="18"/>
                <w:szCs w:val="18"/>
                <w:color w:val="auto"/>
              </w:rPr>
              <w:t>net revenues for</w:t>
            </w:r>
          </w:p>
        </w:tc>
        <w:tc>
          <w:tcPr>
            <w:tcW w:w="178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500" w:type="dxa"/>
            <w:vAlign w:val="bottom"/>
            <w:gridSpan w:val="3"/>
            <w:vMerge w:val="restart"/>
            <w:shd w:val="clear" w:color="auto" w:fill="CCEEFF"/>
          </w:tcPr>
          <w:p>
            <w:pPr>
              <w:spacing w:after="0" w:line="156" w:lineRule="exact"/>
              <w:rPr>
                <w:sz w:val="20"/>
                <w:szCs w:val="20"/>
                <w:color w:val="auto"/>
              </w:rPr>
            </w:pPr>
            <w:r>
              <w:rPr>
                <w:rFonts w:ascii="Arial" w:cs="Arial" w:eastAsia="Arial" w:hAnsi="Arial"/>
                <w:sz w:val="18"/>
                <w:szCs w:val="18"/>
                <w:color w:val="auto"/>
                <w:w w:val="97"/>
              </w:rPr>
              <w:t>increase/decrease:</w:t>
            </w:r>
          </w:p>
        </w:tc>
        <w:tc>
          <w:tcPr>
            <w:tcW w:w="1140" w:type="dxa"/>
            <w:vAlign w:val="bottom"/>
            <w:shd w:val="clear" w:color="auto" w:fill="CCEEFF"/>
          </w:tcPr>
          <w:p>
            <w:pPr>
              <w:spacing w:after="0"/>
              <w:rPr>
                <w:sz w:val="4"/>
                <w:szCs w:val="4"/>
                <w:color w:val="auto"/>
              </w:rPr>
            </w:pPr>
          </w:p>
        </w:tc>
        <w:tc>
          <w:tcPr>
            <w:tcW w:w="2140" w:type="dxa"/>
            <w:vAlign w:val="bottom"/>
            <w:gridSpan w:val="4"/>
            <w:vMerge w:val="restart"/>
            <w:shd w:val="clear" w:color="auto" w:fill="CCEEFF"/>
          </w:tcPr>
          <w:p>
            <w:pPr>
              <w:ind w:left="660"/>
              <w:spacing w:after="0" w:line="156" w:lineRule="exact"/>
              <w:rPr>
                <w:sz w:val="20"/>
                <w:szCs w:val="20"/>
                <w:color w:val="auto"/>
              </w:rPr>
            </w:pPr>
            <w:r>
              <w:rPr>
                <w:rFonts w:ascii="Arial" w:cs="Arial" w:eastAsia="Arial" w:hAnsi="Arial"/>
                <w:sz w:val="18"/>
                <w:szCs w:val="18"/>
                <w:color w:val="auto"/>
                <w:w w:val="95"/>
              </w:rPr>
              <w:t>increase/decrease:</w:t>
            </w:r>
          </w:p>
        </w:tc>
        <w:tc>
          <w:tcPr>
            <w:tcW w:w="0" w:type="dxa"/>
            <w:vAlign w:val="bottom"/>
          </w:tcPr>
          <w:p>
            <w:pPr>
              <w:spacing w:after="0"/>
              <w:rPr>
                <w:sz w:val="1"/>
                <w:szCs w:val="1"/>
                <w:color w:val="auto"/>
              </w:rPr>
            </w:pPr>
          </w:p>
        </w:tc>
      </w:tr>
      <w:tr>
        <w:trPr>
          <w:trHeight w:val="108"/>
        </w:trPr>
        <w:tc>
          <w:tcPr>
            <w:tcW w:w="1460" w:type="dxa"/>
            <w:vAlign w:val="bottom"/>
            <w:shd w:val="clear" w:color="auto" w:fill="CCEEFF"/>
          </w:tcPr>
          <w:p>
            <w:pPr>
              <w:spacing w:after="0"/>
              <w:rPr>
                <w:sz w:val="9"/>
                <w:szCs w:val="9"/>
                <w:color w:val="auto"/>
              </w:rPr>
            </w:pPr>
          </w:p>
        </w:tc>
        <w:tc>
          <w:tcPr>
            <w:tcW w:w="1560" w:type="dxa"/>
            <w:vAlign w:val="bottom"/>
            <w:vMerge w:val="continue"/>
            <w:shd w:val="clear" w:color="auto" w:fill="CCEEFF"/>
          </w:tcPr>
          <w:p>
            <w:pPr>
              <w:spacing w:after="0"/>
              <w:rPr>
                <w:sz w:val="9"/>
                <w:szCs w:val="9"/>
                <w:color w:val="auto"/>
              </w:rPr>
            </w:pPr>
          </w:p>
        </w:tc>
        <w:tc>
          <w:tcPr>
            <w:tcW w:w="1780" w:type="dxa"/>
            <w:vAlign w:val="bottom"/>
            <w:vMerge w:val="restart"/>
            <w:shd w:val="clear" w:color="auto" w:fill="CCEEFF"/>
          </w:tcPr>
          <w:p>
            <w:pPr>
              <w:ind w:left="120"/>
              <w:spacing w:after="0" w:line="189" w:lineRule="exact"/>
              <w:rPr>
                <w:sz w:val="20"/>
                <w:szCs w:val="20"/>
                <w:color w:val="auto"/>
              </w:rPr>
            </w:pPr>
            <w:r>
              <w:rPr>
                <w:rFonts w:ascii="Arial" w:cs="Arial" w:eastAsia="Arial" w:hAnsi="Arial"/>
                <w:sz w:val="18"/>
                <w:szCs w:val="18"/>
                <w:color w:val="auto"/>
              </w:rPr>
              <w:t>revenues for trailing</w:t>
            </w:r>
          </w:p>
        </w:tc>
        <w:tc>
          <w:tcPr>
            <w:tcW w:w="1660" w:type="dxa"/>
            <w:vAlign w:val="bottom"/>
            <w:gridSpan w:val="4"/>
            <w:vMerge w:val="restart"/>
            <w:shd w:val="clear" w:color="auto" w:fill="CCEEFF"/>
          </w:tcPr>
          <w:p>
            <w:pPr>
              <w:ind w:left="80"/>
              <w:spacing w:after="0" w:line="189" w:lineRule="exact"/>
              <w:rPr>
                <w:sz w:val="20"/>
                <w:szCs w:val="20"/>
                <w:color w:val="auto"/>
              </w:rPr>
            </w:pPr>
            <w:r>
              <w:rPr>
                <w:rFonts w:ascii="Arial" w:cs="Arial" w:eastAsia="Arial" w:hAnsi="Arial"/>
                <w:sz w:val="18"/>
                <w:szCs w:val="18"/>
                <w:color w:val="auto"/>
              </w:rPr>
              <w:t>4% of revenue</w:t>
            </w:r>
          </w:p>
        </w:tc>
        <w:tc>
          <w:tcPr>
            <w:tcW w:w="1500" w:type="dxa"/>
            <w:vAlign w:val="bottom"/>
            <w:gridSpan w:val="3"/>
            <w:vMerge w:val="continue"/>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140" w:type="dxa"/>
            <w:vAlign w:val="bottom"/>
            <w:gridSpan w:val="4"/>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780" w:type="dxa"/>
            <w:vAlign w:val="bottom"/>
            <w:vMerge w:val="continue"/>
            <w:shd w:val="clear" w:color="auto" w:fill="CCEEFF"/>
          </w:tcPr>
          <w:p>
            <w:pPr>
              <w:spacing w:after="0" w:line="20" w:lineRule="exact"/>
              <w:rPr>
                <w:sz w:val="1"/>
                <w:szCs w:val="1"/>
                <w:color w:val="auto"/>
              </w:rPr>
            </w:pPr>
          </w:p>
        </w:tc>
        <w:tc>
          <w:tcPr>
            <w:tcW w:w="1660" w:type="dxa"/>
            <w:vAlign w:val="bottom"/>
            <w:gridSpan w:val="4"/>
            <w:vMerge w:val="continue"/>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460" w:type="dxa"/>
            <w:vAlign w:val="bottom"/>
            <w:shd w:val="clear" w:color="auto" w:fill="CCEEFF"/>
          </w:tcPr>
          <w:p>
            <w:pPr>
              <w:spacing w:after="0"/>
              <w:rPr>
                <w:sz w:val="5"/>
                <w:szCs w:val="5"/>
                <w:color w:val="auto"/>
              </w:rPr>
            </w:pPr>
          </w:p>
        </w:tc>
        <w:tc>
          <w:tcPr>
            <w:tcW w:w="1560" w:type="dxa"/>
            <w:vAlign w:val="bottom"/>
            <w:vMerge w:val="restart"/>
            <w:shd w:val="clear" w:color="auto" w:fill="CCEEFF"/>
          </w:tcPr>
          <w:p>
            <w:pPr>
              <w:ind w:left="20"/>
              <w:spacing w:after="0" w:line="142" w:lineRule="exact"/>
              <w:rPr>
                <w:sz w:val="20"/>
                <w:szCs w:val="20"/>
                <w:color w:val="auto"/>
              </w:rPr>
            </w:pPr>
            <w:r>
              <w:rPr>
                <w:rFonts w:ascii="Arial" w:cs="Arial" w:eastAsia="Arial" w:hAnsi="Arial"/>
                <w:sz w:val="16"/>
                <w:szCs w:val="16"/>
                <w:color w:val="auto"/>
              </w:rPr>
              <w:t>trailing</w:t>
            </w:r>
          </w:p>
        </w:tc>
        <w:tc>
          <w:tcPr>
            <w:tcW w:w="1780" w:type="dxa"/>
            <w:vAlign w:val="bottom"/>
            <w:vMerge w:val="continue"/>
            <w:shd w:val="clear" w:color="auto" w:fill="CCEEFF"/>
          </w:tcPr>
          <w:p>
            <w:pPr>
              <w:spacing w:after="0"/>
              <w:rPr>
                <w:sz w:val="5"/>
                <w:szCs w:val="5"/>
                <w:color w:val="auto"/>
              </w:rPr>
            </w:pPr>
          </w:p>
        </w:tc>
        <w:tc>
          <w:tcPr>
            <w:tcW w:w="1660" w:type="dxa"/>
            <w:vAlign w:val="bottom"/>
            <w:gridSpan w:val="4"/>
            <w:vMerge w:val="continue"/>
            <w:shd w:val="clear" w:color="auto" w:fill="CCEEFF"/>
          </w:tcPr>
          <w:p>
            <w:pPr>
              <w:spacing w:after="0"/>
              <w:rPr>
                <w:sz w:val="5"/>
                <w:szCs w:val="5"/>
                <w:color w:val="auto"/>
              </w:rPr>
            </w:pPr>
          </w:p>
        </w:tc>
        <w:tc>
          <w:tcPr>
            <w:tcW w:w="1300" w:type="dxa"/>
            <w:vAlign w:val="bottom"/>
            <w:gridSpan w:val="2"/>
            <w:vMerge w:val="restart"/>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 xml:space="preserve">Year 8: </w:t>
            </w:r>
            <w:r>
              <w:rPr>
                <w:rFonts w:ascii="Arial" w:cs="Arial" w:eastAsia="Arial" w:hAnsi="Arial"/>
                <w:sz w:val="16"/>
                <w:szCs w:val="16"/>
                <w:color w:val="auto"/>
              </w:rPr>
              <w:t>Avg. of</w:t>
            </w:r>
          </w:p>
        </w:tc>
        <w:tc>
          <w:tcPr>
            <w:tcW w:w="200" w:type="dxa"/>
            <w:vAlign w:val="bottom"/>
            <w:vMerge w:val="restart"/>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2140" w:type="dxa"/>
            <w:vAlign w:val="bottom"/>
            <w:gridSpan w:val="4"/>
            <w:vMerge w:val="restart"/>
            <w:shd w:val="clear" w:color="auto" w:fill="CCEEFF"/>
          </w:tcPr>
          <w:p>
            <w:pPr>
              <w:ind w:left="660"/>
              <w:spacing w:after="0" w:line="142" w:lineRule="exact"/>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w:t>
            </w: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1560" w:type="dxa"/>
            <w:vAlign w:val="bottom"/>
            <w:vMerge w:val="continue"/>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00" w:type="dxa"/>
            <w:vAlign w:val="bottom"/>
            <w:gridSpan w:val="2"/>
            <w:vMerge w:val="continue"/>
            <w:shd w:val="clear" w:color="auto" w:fill="CCEEFF"/>
          </w:tcPr>
          <w:p>
            <w:pPr>
              <w:spacing w:after="0" w:line="20" w:lineRule="exact"/>
              <w:rPr>
                <w:sz w:val="1"/>
                <w:szCs w:val="1"/>
                <w:color w:val="auto"/>
              </w:rPr>
            </w:pPr>
          </w:p>
        </w:tc>
        <w:tc>
          <w:tcPr>
            <w:tcW w:w="200" w:type="dxa"/>
            <w:vAlign w:val="bottom"/>
            <w:vMerge w:val="continue"/>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40" w:type="dxa"/>
            <w:vAlign w:val="bottom"/>
            <w:gridSpan w:val="4"/>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460" w:type="dxa"/>
            <w:vAlign w:val="bottom"/>
            <w:vMerge w:val="restart"/>
            <w:shd w:val="clear" w:color="auto" w:fill="CCEEFF"/>
          </w:tcPr>
          <w:p>
            <w:pPr>
              <w:ind w:left="20"/>
              <w:spacing w:after="0" w:line="156" w:lineRule="exact"/>
              <w:rPr>
                <w:sz w:val="20"/>
                <w:szCs w:val="20"/>
                <w:color w:val="auto"/>
              </w:rPr>
            </w:pPr>
            <w:r>
              <w:rPr>
                <w:rFonts w:ascii="Arial" w:cs="Arial" w:eastAsia="Arial" w:hAnsi="Arial"/>
                <w:sz w:val="18"/>
                <w:szCs w:val="18"/>
                <w:color w:val="auto"/>
              </w:rPr>
              <w:t>Variable Rent</w:t>
            </w:r>
          </w:p>
        </w:tc>
        <w:tc>
          <w:tcPr>
            <w:tcW w:w="1560" w:type="dxa"/>
            <w:vAlign w:val="bottom"/>
            <w:vMerge w:val="continue"/>
            <w:shd w:val="clear" w:color="auto" w:fill="CCEEFF"/>
          </w:tcPr>
          <w:p>
            <w:pPr>
              <w:spacing w:after="0"/>
              <w:rPr>
                <w:sz w:val="5"/>
                <w:szCs w:val="5"/>
                <w:color w:val="auto"/>
              </w:rPr>
            </w:pPr>
          </w:p>
        </w:tc>
        <w:tc>
          <w:tcPr>
            <w:tcW w:w="1780" w:type="dxa"/>
            <w:vAlign w:val="bottom"/>
            <w:vMerge w:val="restart"/>
            <w:shd w:val="clear" w:color="auto" w:fill="CCEEFF"/>
          </w:tcPr>
          <w:p>
            <w:pPr>
              <w:ind w:left="120"/>
              <w:spacing w:after="0" w:line="156" w:lineRule="exact"/>
              <w:rPr>
                <w:sz w:val="20"/>
                <w:szCs w:val="20"/>
                <w:color w:val="auto"/>
              </w:rPr>
            </w:pPr>
            <w:r>
              <w:rPr>
                <w:rFonts w:ascii="Arial" w:cs="Arial" w:eastAsia="Arial" w:hAnsi="Arial"/>
                <w:sz w:val="18"/>
                <w:szCs w:val="18"/>
                <w:color w:val="auto"/>
              </w:rPr>
              <w:t>2 year period less</w:t>
            </w:r>
          </w:p>
        </w:tc>
        <w:tc>
          <w:tcPr>
            <w:tcW w:w="1660" w:type="dxa"/>
            <w:vAlign w:val="bottom"/>
            <w:gridSpan w:val="4"/>
            <w:vMerge w:val="restart"/>
            <w:shd w:val="clear" w:color="auto" w:fill="CCEEFF"/>
          </w:tcPr>
          <w:p>
            <w:pPr>
              <w:ind w:left="80"/>
              <w:spacing w:after="0" w:line="156" w:lineRule="exact"/>
              <w:rPr>
                <w:sz w:val="20"/>
                <w:szCs w:val="20"/>
                <w:color w:val="auto"/>
              </w:rPr>
            </w:pPr>
            <w:r>
              <w:rPr>
                <w:rFonts w:ascii="Arial" w:cs="Arial" w:eastAsia="Arial" w:hAnsi="Arial"/>
                <w:sz w:val="18"/>
                <w:szCs w:val="18"/>
                <w:color w:val="auto"/>
              </w:rPr>
              <w:t>increase/decrease:</w:t>
            </w:r>
          </w:p>
        </w:tc>
        <w:tc>
          <w:tcPr>
            <w:tcW w:w="1300" w:type="dxa"/>
            <w:vAlign w:val="bottom"/>
            <w:gridSpan w:val="2"/>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2140" w:type="dxa"/>
            <w:vAlign w:val="bottom"/>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460" w:type="dxa"/>
            <w:vAlign w:val="bottom"/>
            <w:vMerge w:val="continue"/>
            <w:shd w:val="clear" w:color="auto" w:fill="CCEEFF"/>
          </w:tcPr>
          <w:p>
            <w:pPr>
              <w:spacing w:after="0"/>
              <w:rPr>
                <w:sz w:val="8"/>
                <w:szCs w:val="8"/>
                <w:color w:val="auto"/>
              </w:rPr>
            </w:pPr>
          </w:p>
        </w:tc>
        <w:tc>
          <w:tcPr>
            <w:tcW w:w="156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2 year period less</w:t>
            </w:r>
          </w:p>
        </w:tc>
        <w:tc>
          <w:tcPr>
            <w:tcW w:w="1780" w:type="dxa"/>
            <w:vAlign w:val="bottom"/>
            <w:vMerge w:val="continue"/>
            <w:shd w:val="clear" w:color="auto" w:fill="CCEEFF"/>
          </w:tcPr>
          <w:p>
            <w:pPr>
              <w:spacing w:after="0"/>
              <w:rPr>
                <w:sz w:val="8"/>
                <w:szCs w:val="8"/>
                <w:color w:val="auto"/>
              </w:rPr>
            </w:pPr>
          </w:p>
        </w:tc>
        <w:tc>
          <w:tcPr>
            <w:tcW w:w="1660" w:type="dxa"/>
            <w:vAlign w:val="bottom"/>
            <w:gridSpan w:val="4"/>
            <w:vMerge w:val="continue"/>
            <w:shd w:val="clear" w:color="auto" w:fill="CCEEFF"/>
          </w:tcPr>
          <w:p>
            <w:pPr>
              <w:spacing w:after="0"/>
              <w:rPr>
                <w:sz w:val="8"/>
                <w:szCs w:val="8"/>
                <w:color w:val="auto"/>
              </w:rPr>
            </w:pPr>
          </w:p>
        </w:tc>
        <w:tc>
          <w:tcPr>
            <w:tcW w:w="1500" w:type="dxa"/>
            <w:vAlign w:val="bottom"/>
            <w:gridSpan w:val="3"/>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7"/>
              </w:rPr>
              <w:t>years 5-7 less avg.</w:t>
            </w:r>
          </w:p>
        </w:tc>
        <w:tc>
          <w:tcPr>
            <w:tcW w:w="1140" w:type="dxa"/>
            <w:vAlign w:val="bottom"/>
            <w:shd w:val="clear" w:color="auto" w:fill="CCEEFF"/>
          </w:tcPr>
          <w:p>
            <w:pPr>
              <w:spacing w:after="0"/>
              <w:rPr>
                <w:sz w:val="8"/>
                <w:szCs w:val="8"/>
                <w:color w:val="auto"/>
              </w:rPr>
            </w:pPr>
          </w:p>
        </w:tc>
        <w:tc>
          <w:tcPr>
            <w:tcW w:w="2140" w:type="dxa"/>
            <w:vAlign w:val="bottom"/>
            <w:gridSpan w:val="4"/>
            <w:vMerge w:val="restart"/>
            <w:shd w:val="clear" w:color="auto" w:fill="CCEEFF"/>
          </w:tcPr>
          <w:p>
            <w:pPr>
              <w:ind w:left="660"/>
              <w:spacing w:after="0" w:line="176" w:lineRule="exact"/>
              <w:rPr>
                <w:sz w:val="20"/>
                <w:szCs w:val="20"/>
                <w:color w:val="auto"/>
              </w:rPr>
            </w:pPr>
            <w:r>
              <w:rPr>
                <w:rFonts w:ascii="Arial" w:cs="Arial" w:eastAsia="Arial" w:hAnsi="Arial"/>
                <w:sz w:val="18"/>
                <w:szCs w:val="18"/>
                <w:color w:val="auto"/>
                <w:w w:val="96"/>
              </w:rPr>
              <w:t>years 5-7 less avg.</w:t>
            </w: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1560" w:type="dxa"/>
            <w:vAlign w:val="bottom"/>
            <w:vMerge w:val="continue"/>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500" w:type="dxa"/>
            <w:vAlign w:val="bottom"/>
            <w:gridSpan w:val="3"/>
            <w:vMerge w:val="continue"/>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40" w:type="dxa"/>
            <w:vAlign w:val="bottom"/>
            <w:gridSpan w:val="4"/>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adjustment</w:t>
            </w:r>
          </w:p>
        </w:tc>
        <w:tc>
          <w:tcPr>
            <w:tcW w:w="1560" w:type="dxa"/>
            <w:vAlign w:val="bottom"/>
            <w:vMerge w:val="continue"/>
            <w:shd w:val="clear" w:color="auto" w:fill="CCEEFF"/>
          </w:tcPr>
          <w:p>
            <w:pPr>
              <w:spacing w:after="0"/>
              <w:rPr>
                <w:sz w:val="5"/>
                <w:szCs w:val="5"/>
                <w:color w:val="auto"/>
              </w:rPr>
            </w:pP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threshold amount</w:t>
            </w:r>
          </w:p>
        </w:tc>
        <w:tc>
          <w:tcPr>
            <w:tcW w:w="1660" w:type="dxa"/>
            <w:vAlign w:val="bottom"/>
            <w:gridSpan w:val="4"/>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 xml:space="preserve">Year 8: </w:t>
            </w:r>
            <w:r>
              <w:rPr>
                <w:rFonts w:ascii="Arial" w:cs="Arial" w:eastAsia="Arial" w:hAnsi="Arial"/>
                <w:sz w:val="18"/>
                <w:szCs w:val="18"/>
                <w:color w:val="auto"/>
              </w:rPr>
              <w:t>Avg. of</w:t>
            </w:r>
          </w:p>
        </w:tc>
        <w:tc>
          <w:tcPr>
            <w:tcW w:w="1500" w:type="dxa"/>
            <w:vAlign w:val="bottom"/>
            <w:gridSpan w:val="3"/>
            <w:vMerge w:val="continue"/>
            <w:shd w:val="clear" w:color="auto" w:fill="CCEEFF"/>
          </w:tcPr>
          <w:p>
            <w:pPr>
              <w:spacing w:after="0"/>
              <w:rPr>
                <w:sz w:val="5"/>
                <w:szCs w:val="5"/>
                <w:color w:val="auto"/>
              </w:rPr>
            </w:pPr>
          </w:p>
        </w:tc>
        <w:tc>
          <w:tcPr>
            <w:tcW w:w="11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None</w:t>
            </w:r>
          </w:p>
        </w:tc>
        <w:tc>
          <w:tcPr>
            <w:tcW w:w="2140" w:type="dxa"/>
            <w:vAlign w:val="bottom"/>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460" w:type="dxa"/>
            <w:vAlign w:val="bottom"/>
            <w:vMerge w:val="continue"/>
            <w:shd w:val="clear" w:color="auto" w:fill="CCEEFF"/>
          </w:tcPr>
          <w:p>
            <w:pPr>
              <w:spacing w:after="0"/>
              <w:rPr>
                <w:sz w:val="15"/>
                <w:szCs w:val="15"/>
                <w:color w:val="auto"/>
              </w:rPr>
            </w:pPr>
          </w:p>
        </w:tc>
        <w:tc>
          <w:tcPr>
            <w:tcW w:w="1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threshold amount</w:t>
            </w:r>
          </w:p>
        </w:tc>
        <w:tc>
          <w:tcPr>
            <w:tcW w:w="1780" w:type="dxa"/>
            <w:vAlign w:val="bottom"/>
            <w:vMerge w:val="continue"/>
            <w:shd w:val="clear" w:color="auto" w:fill="CCEEFF"/>
          </w:tcPr>
          <w:p>
            <w:pPr>
              <w:spacing w:after="0"/>
              <w:rPr>
                <w:sz w:val="15"/>
                <w:szCs w:val="15"/>
                <w:color w:val="auto"/>
              </w:rPr>
            </w:pPr>
          </w:p>
        </w:tc>
        <w:tc>
          <w:tcPr>
            <w:tcW w:w="1660" w:type="dxa"/>
            <w:vAlign w:val="bottom"/>
            <w:gridSpan w:val="4"/>
            <w:vMerge w:val="continue"/>
            <w:shd w:val="clear" w:color="auto" w:fill="CCEEFF"/>
          </w:tcPr>
          <w:p>
            <w:pPr>
              <w:spacing w:after="0"/>
              <w:rPr>
                <w:sz w:val="15"/>
                <w:szCs w:val="15"/>
                <w:color w:val="auto"/>
              </w:rPr>
            </w:pPr>
          </w:p>
        </w:tc>
        <w:tc>
          <w:tcPr>
            <w:tcW w:w="1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of years 1-3</w:t>
            </w:r>
          </w:p>
        </w:tc>
        <w:tc>
          <w:tcPr>
            <w:tcW w:w="1140" w:type="dxa"/>
            <w:vAlign w:val="bottom"/>
            <w:vMerge w:val="continue"/>
            <w:shd w:val="clear" w:color="auto" w:fill="CCEEFF"/>
          </w:tcPr>
          <w:p>
            <w:pPr>
              <w:spacing w:after="0"/>
              <w:rPr>
                <w:sz w:val="15"/>
                <w:szCs w:val="15"/>
                <w:color w:val="auto"/>
              </w:rPr>
            </w:pPr>
          </w:p>
        </w:tc>
        <w:tc>
          <w:tcPr>
            <w:tcW w:w="2140" w:type="dxa"/>
            <w:vAlign w:val="bottom"/>
            <w:gridSpan w:val="4"/>
            <w:shd w:val="clear" w:color="auto" w:fill="CCEEFF"/>
          </w:tcPr>
          <w:p>
            <w:pPr>
              <w:ind w:left="660"/>
              <w:spacing w:after="0" w:line="176" w:lineRule="exact"/>
              <w:rPr>
                <w:sz w:val="20"/>
                <w:szCs w:val="20"/>
                <w:color w:val="auto"/>
              </w:rPr>
            </w:pPr>
            <w:r>
              <w:rPr>
                <w:rFonts w:ascii="Arial" w:cs="Arial" w:eastAsia="Arial" w:hAnsi="Arial"/>
                <w:sz w:val="16"/>
                <w:szCs w:val="16"/>
                <w:color w:val="auto"/>
              </w:rPr>
              <w:t xml:space="preserve">of years 0-2 </w:t>
            </w:r>
            <w:r>
              <w:rPr>
                <w:rFonts w:ascii="Arial" w:cs="Arial" w:eastAsia="Arial" w:hAnsi="Arial"/>
                <w:sz w:val="20"/>
                <w:szCs w:val="20"/>
                <w:i w:val="1"/>
                <w:iCs w:val="1"/>
                <w:color w:val="auto"/>
                <w:vertAlign w:val="superscript"/>
              </w:rPr>
              <w:t>(6)</w:t>
            </w: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ind w:left="20"/>
              <w:spacing w:after="0" w:line="81" w:lineRule="exact"/>
              <w:rPr>
                <w:sz w:val="20"/>
                <w:szCs w:val="20"/>
                <w:color w:val="auto"/>
              </w:rPr>
            </w:pPr>
            <w:r>
              <w:rPr>
                <w:rFonts w:ascii="Arial" w:cs="Arial" w:eastAsia="Arial" w:hAnsi="Arial"/>
                <w:sz w:val="9"/>
                <w:szCs w:val="9"/>
                <w:color w:val="auto"/>
              </w:rPr>
              <w:t>calculation</w:t>
            </w:r>
          </w:p>
        </w:tc>
        <w:tc>
          <w:tcPr>
            <w:tcW w:w="156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(defined as 50% of</w:t>
            </w:r>
          </w:p>
        </w:tc>
        <w:tc>
          <w:tcPr>
            <w:tcW w:w="1780" w:type="dxa"/>
            <w:vAlign w:val="bottom"/>
            <w:shd w:val="clear" w:color="auto" w:fill="CCEEFF"/>
          </w:tcPr>
          <w:p>
            <w:pPr>
              <w:ind w:left="120"/>
              <w:spacing w:after="0" w:line="81" w:lineRule="exact"/>
              <w:rPr>
                <w:sz w:val="20"/>
                <w:szCs w:val="20"/>
                <w:color w:val="auto"/>
              </w:rPr>
            </w:pPr>
            <w:r>
              <w:rPr>
                <w:rFonts w:ascii="Arial" w:cs="Arial" w:eastAsia="Arial" w:hAnsi="Arial"/>
                <w:sz w:val="9"/>
                <w:szCs w:val="9"/>
                <w:color w:val="auto"/>
              </w:rPr>
              <w:t>(defined as 50% of</w:t>
            </w:r>
          </w:p>
        </w:tc>
        <w:tc>
          <w:tcPr>
            <w:tcW w:w="1660" w:type="dxa"/>
            <w:vAlign w:val="bottom"/>
            <w:gridSpan w:val="4"/>
            <w:shd w:val="clear" w:color="auto" w:fill="CCEEFF"/>
          </w:tcPr>
          <w:p>
            <w:pPr>
              <w:ind w:left="80"/>
              <w:spacing w:after="0" w:line="81" w:lineRule="exact"/>
              <w:rPr>
                <w:sz w:val="20"/>
                <w:szCs w:val="20"/>
                <w:color w:val="auto"/>
              </w:rPr>
            </w:pPr>
            <w:r>
              <w:rPr>
                <w:rFonts w:ascii="Arial" w:cs="Arial" w:eastAsia="Arial" w:hAnsi="Arial"/>
                <w:sz w:val="9"/>
                <w:szCs w:val="9"/>
                <w:color w:val="auto"/>
              </w:rPr>
              <w:t>years 5-7 less avg.</w:t>
            </w:r>
          </w:p>
        </w:tc>
        <w:tc>
          <w:tcPr>
            <w:tcW w:w="1500" w:type="dxa"/>
            <w:vAlign w:val="bottom"/>
            <w:gridSpan w:val="3"/>
            <w:vMerge w:val="restart"/>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 xml:space="preserve">Year 11: </w:t>
            </w:r>
            <w:r>
              <w:rPr>
                <w:rFonts w:ascii="Arial" w:cs="Arial" w:eastAsia="Arial" w:hAnsi="Arial"/>
                <w:sz w:val="18"/>
                <w:szCs w:val="18"/>
                <w:color w:val="auto"/>
              </w:rPr>
              <w:t>Avg. of</w:t>
            </w:r>
          </w:p>
        </w:tc>
        <w:tc>
          <w:tcPr>
            <w:tcW w:w="1140" w:type="dxa"/>
            <w:vAlign w:val="bottom"/>
            <w:shd w:val="clear" w:color="auto" w:fill="CCEEFF"/>
          </w:tcPr>
          <w:p>
            <w:pPr>
              <w:spacing w:after="0"/>
              <w:rPr>
                <w:sz w:val="7"/>
                <w:szCs w:val="7"/>
                <w:color w:val="auto"/>
              </w:rPr>
            </w:pPr>
          </w:p>
        </w:tc>
        <w:tc>
          <w:tcPr>
            <w:tcW w:w="2140" w:type="dxa"/>
            <w:vAlign w:val="bottom"/>
            <w:gridSpan w:val="4"/>
            <w:vMerge w:val="restart"/>
            <w:shd w:val="clear" w:color="auto" w:fill="CCEEFF"/>
          </w:tcPr>
          <w:p>
            <w:pPr>
              <w:ind w:left="660"/>
              <w:spacing w:after="0" w:line="176" w:lineRule="exact"/>
              <w:rPr>
                <w:sz w:val="20"/>
                <w:szCs w:val="20"/>
                <w:color w:val="auto"/>
              </w:rPr>
            </w:pPr>
            <w:r>
              <w:rPr>
                <w:rFonts w:ascii="Arial" w:cs="Arial" w:eastAsia="Arial" w:hAnsi="Arial"/>
                <w:sz w:val="18"/>
                <w:szCs w:val="18"/>
                <w:b w:val="1"/>
                <w:bCs w:val="1"/>
                <w:color w:val="auto"/>
              </w:rPr>
              <w:t>Year 11</w:t>
            </w:r>
            <w:r>
              <w:rPr>
                <w:rFonts w:ascii="Arial" w:cs="Arial" w:eastAsia="Arial" w:hAnsi="Arial"/>
                <w:sz w:val="18"/>
                <w:szCs w:val="18"/>
                <w:color w:val="auto"/>
              </w:rPr>
              <w:t>: Avg. of</w:t>
            </w:r>
          </w:p>
        </w:tc>
        <w:tc>
          <w:tcPr>
            <w:tcW w:w="0" w:type="dxa"/>
            <w:vAlign w:val="bottom"/>
          </w:tcPr>
          <w:p>
            <w:pPr>
              <w:spacing w:after="0"/>
              <w:rPr>
                <w:sz w:val="1"/>
                <w:szCs w:val="1"/>
                <w:color w:val="auto"/>
              </w:rPr>
            </w:pPr>
          </w:p>
        </w:tc>
      </w:tr>
      <w:tr>
        <w:trPr>
          <w:trHeight w:val="95"/>
        </w:trPr>
        <w:tc>
          <w:tcPr>
            <w:tcW w:w="146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1780" w:type="dxa"/>
            <w:vAlign w:val="bottom"/>
            <w:vMerge w:val="restart"/>
            <w:shd w:val="clear" w:color="auto" w:fill="CCEEFF"/>
          </w:tcPr>
          <w:p>
            <w:pPr>
              <w:ind w:left="120"/>
              <w:spacing w:after="0" w:line="176" w:lineRule="exact"/>
              <w:rPr>
                <w:sz w:val="20"/>
                <w:szCs w:val="20"/>
                <w:color w:val="auto"/>
              </w:rPr>
            </w:pPr>
            <w:r>
              <w:rPr>
                <w:rFonts w:ascii="Arial" w:cs="Arial" w:eastAsia="Arial" w:hAnsi="Arial"/>
                <w:sz w:val="18"/>
                <w:szCs w:val="18"/>
                <w:color w:val="auto"/>
              </w:rPr>
              <w:t>LTM net revenues</w:t>
            </w:r>
          </w:p>
        </w:tc>
        <w:tc>
          <w:tcPr>
            <w:tcW w:w="1660" w:type="dxa"/>
            <w:vAlign w:val="bottom"/>
            <w:gridSpan w:val="4"/>
            <w:vMerge w:val="restart"/>
            <w:shd w:val="clear" w:color="auto" w:fill="CCEEFF"/>
          </w:tcPr>
          <w:p>
            <w:pPr>
              <w:ind w:left="80"/>
              <w:spacing w:after="0" w:line="176" w:lineRule="exact"/>
              <w:rPr>
                <w:sz w:val="20"/>
                <w:szCs w:val="20"/>
                <w:color w:val="auto"/>
              </w:rPr>
            </w:pPr>
            <w:r>
              <w:rPr>
                <w:rFonts w:ascii="Arial" w:cs="Arial" w:eastAsia="Arial" w:hAnsi="Arial"/>
                <w:sz w:val="18"/>
                <w:szCs w:val="18"/>
                <w:color w:val="auto"/>
              </w:rPr>
              <w:t>of years 1-3</w:t>
            </w:r>
          </w:p>
        </w:tc>
        <w:tc>
          <w:tcPr>
            <w:tcW w:w="1500" w:type="dxa"/>
            <w:vAlign w:val="bottom"/>
            <w:gridSpan w:val="3"/>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140" w:type="dxa"/>
            <w:vAlign w:val="bottom"/>
            <w:gridSpan w:val="4"/>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spacing w:after="0"/>
              <w:rPr>
                <w:sz w:val="7"/>
                <w:szCs w:val="7"/>
                <w:color w:val="auto"/>
              </w:rPr>
            </w:pPr>
          </w:p>
        </w:tc>
        <w:tc>
          <w:tcPr>
            <w:tcW w:w="156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LTM net revenues</w:t>
            </w:r>
          </w:p>
        </w:tc>
        <w:tc>
          <w:tcPr>
            <w:tcW w:w="1780" w:type="dxa"/>
            <w:vAlign w:val="bottom"/>
            <w:vMerge w:val="continue"/>
            <w:shd w:val="clear" w:color="auto" w:fill="CCEEFF"/>
          </w:tcPr>
          <w:p>
            <w:pPr>
              <w:spacing w:after="0"/>
              <w:rPr>
                <w:sz w:val="7"/>
                <w:szCs w:val="7"/>
                <w:color w:val="auto"/>
              </w:rPr>
            </w:pPr>
          </w:p>
        </w:tc>
        <w:tc>
          <w:tcPr>
            <w:tcW w:w="1660" w:type="dxa"/>
            <w:vAlign w:val="bottom"/>
            <w:gridSpan w:val="4"/>
            <w:vMerge w:val="continue"/>
            <w:shd w:val="clear" w:color="auto" w:fill="CCEEFF"/>
          </w:tcPr>
          <w:p>
            <w:pPr>
              <w:spacing w:after="0"/>
              <w:rPr>
                <w:sz w:val="7"/>
                <w:szCs w:val="7"/>
                <w:color w:val="auto"/>
              </w:rPr>
            </w:pPr>
          </w:p>
        </w:tc>
        <w:tc>
          <w:tcPr>
            <w:tcW w:w="1500" w:type="dxa"/>
            <w:vAlign w:val="bottom"/>
            <w:gridSpan w:val="3"/>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1"/>
              </w:rPr>
              <w:t>years 8-10 less avg.</w:t>
            </w:r>
          </w:p>
        </w:tc>
        <w:tc>
          <w:tcPr>
            <w:tcW w:w="1140" w:type="dxa"/>
            <w:vAlign w:val="bottom"/>
            <w:shd w:val="clear" w:color="auto" w:fill="CCEEFF"/>
          </w:tcPr>
          <w:p>
            <w:pPr>
              <w:spacing w:after="0"/>
              <w:rPr>
                <w:sz w:val="7"/>
                <w:szCs w:val="7"/>
                <w:color w:val="auto"/>
              </w:rPr>
            </w:pPr>
          </w:p>
        </w:tc>
        <w:tc>
          <w:tcPr>
            <w:tcW w:w="2140" w:type="dxa"/>
            <w:vAlign w:val="bottom"/>
            <w:gridSpan w:val="4"/>
            <w:vMerge w:val="restart"/>
            <w:shd w:val="clear" w:color="auto" w:fill="CCEEFF"/>
          </w:tcPr>
          <w:p>
            <w:pPr>
              <w:ind w:left="660"/>
              <w:spacing w:after="0" w:line="176" w:lineRule="exact"/>
              <w:rPr>
                <w:sz w:val="20"/>
                <w:szCs w:val="20"/>
                <w:color w:val="auto"/>
              </w:rPr>
            </w:pPr>
            <w:r>
              <w:rPr>
                <w:rFonts w:ascii="Arial" w:cs="Arial" w:eastAsia="Arial" w:hAnsi="Arial"/>
                <w:sz w:val="18"/>
                <w:szCs w:val="18"/>
                <w:color w:val="auto"/>
                <w:w w:val="90"/>
              </w:rPr>
              <w:t>years 8-10 less avg.</w:t>
            </w:r>
          </w:p>
        </w:tc>
        <w:tc>
          <w:tcPr>
            <w:tcW w:w="0" w:type="dxa"/>
            <w:vAlign w:val="bottom"/>
          </w:tcPr>
          <w:p>
            <w:pPr>
              <w:spacing w:after="0"/>
              <w:rPr>
                <w:sz w:val="1"/>
                <w:szCs w:val="1"/>
                <w:color w:val="auto"/>
              </w:rPr>
            </w:pPr>
          </w:p>
        </w:tc>
      </w:tr>
      <w:tr>
        <w:trPr>
          <w:trHeight w:val="95"/>
        </w:trPr>
        <w:tc>
          <w:tcPr>
            <w:tcW w:w="146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prior to acquisition)</w:t>
            </w: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500" w:type="dxa"/>
            <w:vAlign w:val="bottom"/>
            <w:gridSpan w:val="3"/>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140" w:type="dxa"/>
            <w:vAlign w:val="bottom"/>
            <w:gridSpan w:val="4"/>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460" w:type="dxa"/>
            <w:vAlign w:val="bottom"/>
            <w:shd w:val="clear" w:color="auto" w:fill="CCEEFF"/>
          </w:tcPr>
          <w:p>
            <w:pPr>
              <w:spacing w:after="0"/>
              <w:rPr>
                <w:sz w:val="11"/>
                <w:szCs w:val="11"/>
                <w:color w:val="auto"/>
              </w:rPr>
            </w:pPr>
          </w:p>
        </w:tc>
        <w:tc>
          <w:tcPr>
            <w:tcW w:w="1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prior to acquisition)</w:t>
            </w:r>
          </w:p>
        </w:tc>
        <w:tc>
          <w:tcPr>
            <w:tcW w:w="17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of years 5-7</w:t>
            </w:r>
          </w:p>
        </w:tc>
        <w:tc>
          <w:tcPr>
            <w:tcW w:w="1140" w:type="dxa"/>
            <w:vAlign w:val="bottom"/>
            <w:shd w:val="clear" w:color="auto" w:fill="CCEEFF"/>
          </w:tcPr>
          <w:p>
            <w:pPr>
              <w:spacing w:after="0"/>
              <w:rPr>
                <w:sz w:val="11"/>
                <w:szCs w:val="11"/>
                <w:color w:val="auto"/>
              </w:rPr>
            </w:pPr>
          </w:p>
        </w:tc>
        <w:tc>
          <w:tcPr>
            <w:tcW w:w="2140" w:type="dxa"/>
            <w:vAlign w:val="bottom"/>
            <w:gridSpan w:val="4"/>
            <w:vMerge w:val="restart"/>
            <w:shd w:val="clear" w:color="auto" w:fill="CCEEFF"/>
          </w:tcPr>
          <w:p>
            <w:pPr>
              <w:ind w:left="660"/>
              <w:spacing w:after="0"/>
              <w:rPr>
                <w:sz w:val="20"/>
                <w:szCs w:val="20"/>
                <w:color w:val="auto"/>
              </w:rPr>
            </w:pPr>
            <w:r>
              <w:rPr>
                <w:rFonts w:ascii="Arial" w:cs="Arial" w:eastAsia="Arial" w:hAnsi="Arial"/>
                <w:sz w:val="18"/>
                <w:szCs w:val="18"/>
                <w:color w:val="auto"/>
              </w:rPr>
              <w:t>of years 5-7</w:t>
            </w:r>
          </w:p>
        </w:tc>
        <w:tc>
          <w:tcPr>
            <w:tcW w:w="0" w:type="dxa"/>
            <w:vAlign w:val="bottom"/>
          </w:tcPr>
          <w:p>
            <w:pPr>
              <w:spacing w:after="0"/>
              <w:rPr>
                <w:sz w:val="1"/>
                <w:szCs w:val="1"/>
                <w:color w:val="auto"/>
              </w:rPr>
            </w:pPr>
          </w:p>
        </w:tc>
      </w:tr>
      <w:tr>
        <w:trPr>
          <w:trHeight w:val="94"/>
        </w:trPr>
        <w:tc>
          <w:tcPr>
            <w:tcW w:w="146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500" w:type="dxa"/>
            <w:vAlign w:val="bottom"/>
            <w:gridSpan w:val="3"/>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140" w:type="dxa"/>
            <w:vAlign w:val="bottom"/>
            <w:gridSpan w:val="4"/>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4"/>
                <w:szCs w:val="14"/>
                <w:color w:val="auto"/>
                <w:w w:val="92"/>
              </w:rPr>
              <w:t>____________________</w:t>
            </w:r>
          </w:p>
        </w:tc>
        <w:tc>
          <w:tcPr>
            <w:tcW w:w="15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For the JACK Cleveland/Thistledown Lease, the annualized rent is inclusive of an increase of $1.8 million, effective April 1, 2022, related to the gaming patio amenity at JACK Thistledown.</w:t>
      </w:r>
    </w:p>
    <w:p>
      <w:pPr>
        <w:spacing w:after="0" w:line="12" w:lineRule="exact"/>
        <w:rPr>
          <w:rFonts w:ascii="Arial" w:cs="Arial" w:eastAsia="Arial" w:hAnsi="Arial"/>
          <w:sz w:val="13"/>
          <w:szCs w:val="13"/>
          <w:i w:val="1"/>
          <w:iCs w:val="1"/>
          <w:color w:val="auto"/>
        </w:rPr>
      </w:pPr>
    </w:p>
    <w:p>
      <w:pPr>
        <w:ind w:firstLine="8"/>
        <w:spacing w:after="0" w:line="241" w:lineRule="auto"/>
        <w:tabs>
          <w:tab w:leader="none" w:pos="211"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months ended March 31, 2022 and 2021.</w:t>
      </w:r>
    </w:p>
    <w:p>
      <w:pPr>
        <w:ind w:left="220" w:hanging="212"/>
        <w:spacing w:after="0"/>
        <w:tabs>
          <w:tab w:leader="none" w:pos="2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Starting in lease year 5, if the change in CPI is less than 0.5%, there will be no escalation in rent for such lease year.</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04"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net revenue to rent ratio coverage, as applicable, is below the stated floor, the escalation will be reduced to such amount to achieve the stated net revenue to rent ratio coverage, as applicable, provided that the amount shall never result in a decrease to the prior year’s rent. With respect to the Century Portfolio Lease, if the coverage ratio is below the stated amount the escalator will be reduced to 0.75%.</w:t>
      </w:r>
    </w:p>
    <w:p>
      <w:pPr>
        <w:spacing w:after="0" w:line="1" w:lineRule="exact"/>
        <w:rPr>
          <w:rFonts w:ascii="Arial" w:cs="Arial" w:eastAsia="Arial" w:hAnsi="Arial"/>
          <w:sz w:val="14"/>
          <w:szCs w:val="14"/>
          <w:i w:val="1"/>
          <w:iCs w:val="1"/>
          <w:color w:val="auto"/>
        </w:rPr>
      </w:pPr>
    </w:p>
    <w:p>
      <w:pPr>
        <w:jc w:val="both"/>
        <w:ind w:firstLine="8"/>
        <w:spacing w:after="0" w:line="260" w:lineRule="auto"/>
        <w:tabs>
          <w:tab w:leader="none" w:pos="227"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Variable (percentage rent) is subject to the percentage rent multiplier. With respect to the Penn National Leases, after the first percentage rent reset, any amounts related to variable (percentage) rent are considered contingent rent in accordance with GAAP. In relation to the Margaritaville Lease, we recognized approximately $0.9 million in contingent rent during the three months ended March 31, 2022, and approximately $0.6 million in contingent rent during the three months ended March 31, 2021. In relation to the Greektown Lease during the three months ended March 31, 2022 we recognized approximately $0.5 million in contingent rent. No such contingent rent was recognized for the three months ended March 31, 2021 for the Greektown Lease.</w:t>
      </w:r>
    </w:p>
    <w:p>
      <w:pPr>
        <w:ind w:firstLine="8"/>
        <w:spacing w:after="0" w:line="255" w:lineRule="auto"/>
        <w:tabs>
          <w:tab w:leader="none" w:pos="204"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With respect to lease year 0, for the period Caesars Southern Indiana was closed in 2020 due to COVID 19, the CSI Lease provides for the use of 2019 net revenues, pro rated for the period of such closure.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Requirements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Except for as specifically provided for in the below table, which summarizes the capital expenditure requirements of the respective tenants under certain of the Lease Agreements, the tenants under our other Lease Agreements are all required to spend a minimum of 1% of net revenues or net gaming revenues, as the case may be: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Provision</w:t>
            </w:r>
          </w:p>
        </w:tc>
        <w:tc>
          <w:tcPr>
            <w:tcW w:w="100" w:type="dxa"/>
            <w:vAlign w:val="bottom"/>
            <w:vMerge w:val="restart"/>
          </w:tcPr>
          <w:p>
            <w:pPr>
              <w:spacing w:after="0"/>
              <w:rPr>
                <w:sz w:val="17"/>
                <w:szCs w:val="17"/>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Caesars Regional Master Lease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Caesars Las Vegas Master</w:t>
            </w: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Venetian Lease</w:t>
            </w:r>
          </w:p>
        </w:tc>
        <w:tc>
          <w:tcPr>
            <w:tcW w:w="80" w:type="dxa"/>
            <w:vAlign w:val="bottom"/>
            <w:vMerge w:val="restart"/>
          </w:tcPr>
          <w:p>
            <w:pPr>
              <w:spacing w:after="0"/>
              <w:rPr>
                <w:sz w:val="17"/>
                <w:szCs w:val="17"/>
                <w:color w:val="auto"/>
              </w:rPr>
            </w:pPr>
          </w:p>
        </w:tc>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BREIT JV Lease</w:t>
            </w:r>
          </w:p>
        </w:tc>
        <w:tc>
          <w:tcPr>
            <w:tcW w:w="0" w:type="dxa"/>
            <w:vAlign w:val="bottom"/>
          </w:tcPr>
          <w:p>
            <w:pPr>
              <w:spacing w:after="0"/>
              <w:rPr>
                <w:sz w:val="1"/>
                <w:szCs w:val="1"/>
                <w:color w:val="auto"/>
              </w:rPr>
            </w:pPr>
          </w:p>
        </w:tc>
      </w:tr>
      <w:tr>
        <w:trPr>
          <w:trHeight w:val="229"/>
        </w:trPr>
        <w:tc>
          <w:tcPr>
            <w:tcW w:w="1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and Joliet Lease</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Lease</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Yearly minimum</w:t>
            </w:r>
          </w:p>
        </w:tc>
        <w:tc>
          <w:tcPr>
            <w:tcW w:w="25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 xml:space="preserve">1% of net revenues </w:t>
            </w:r>
            <w:r>
              <w:rPr>
                <w:rFonts w:ascii="Arial" w:cs="Arial" w:eastAsia="Arial" w:hAnsi="Arial"/>
                <w:sz w:val="23"/>
                <w:szCs w:val="23"/>
                <w:i w:val="1"/>
                <w:iCs w:val="1"/>
                <w:color w:val="auto"/>
                <w:w w:val="88"/>
                <w:vertAlign w:val="superscript"/>
              </w:rPr>
              <w:t>(1)</w:t>
            </w:r>
          </w:p>
        </w:tc>
        <w:tc>
          <w:tcPr>
            <w:tcW w:w="22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7"/>
              </w:rPr>
              <w:t xml:space="preserve">1% of net revenues </w:t>
            </w:r>
            <w:r>
              <w:rPr>
                <w:rFonts w:ascii="Arial" w:cs="Arial" w:eastAsia="Arial" w:hAnsi="Arial"/>
                <w:sz w:val="23"/>
                <w:szCs w:val="23"/>
                <w:i w:val="1"/>
                <w:iCs w:val="1"/>
                <w:color w:val="auto"/>
                <w:w w:val="87"/>
                <w:vertAlign w:val="superscript"/>
              </w:rPr>
              <w:t>(1)</w:t>
            </w:r>
          </w:p>
        </w:tc>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7"/>
              </w:rPr>
              <w:t>2% of net revenues based on</w:t>
            </w:r>
          </w:p>
        </w:tc>
        <w:tc>
          <w:tcPr>
            <w:tcW w:w="21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8"/>
              </w:rPr>
              <w:t>3.5% of net revenues based</w:t>
            </w:r>
          </w:p>
        </w:tc>
        <w:tc>
          <w:tcPr>
            <w:tcW w:w="0" w:type="dxa"/>
            <w:vAlign w:val="bottom"/>
          </w:tcPr>
          <w:p>
            <w:pPr>
              <w:spacing w:after="0"/>
              <w:rPr>
                <w:sz w:val="1"/>
                <w:szCs w:val="1"/>
                <w:color w:val="auto"/>
              </w:rPr>
            </w:pPr>
          </w:p>
        </w:tc>
      </w:tr>
      <w:tr>
        <w:trPr>
          <w:trHeight w:val="175"/>
        </w:trPr>
        <w:tc>
          <w:tcPr>
            <w:tcW w:w="2000" w:type="dxa"/>
            <w:vAlign w:val="bottom"/>
            <w:gridSpan w:val="2"/>
            <w:vMerge w:val="continue"/>
            <w:shd w:val="clear" w:color="auto" w:fill="CCEEFF"/>
          </w:tcPr>
          <w:p>
            <w:pPr>
              <w:spacing w:after="0"/>
              <w:rPr>
                <w:sz w:val="15"/>
                <w:szCs w:val="15"/>
                <w:color w:val="auto"/>
              </w:rPr>
            </w:pPr>
          </w:p>
        </w:tc>
        <w:tc>
          <w:tcPr>
            <w:tcW w:w="2560" w:type="dxa"/>
            <w:vAlign w:val="bottom"/>
            <w:gridSpan w:val="2"/>
            <w:vMerge w:val="continue"/>
            <w:shd w:val="clear" w:color="auto" w:fill="CCEEFF"/>
          </w:tcPr>
          <w:p>
            <w:pPr>
              <w:spacing w:after="0"/>
              <w:rPr>
                <w:sz w:val="15"/>
                <w:szCs w:val="15"/>
                <w:color w:val="auto"/>
              </w:rPr>
            </w:pPr>
          </w:p>
        </w:tc>
        <w:tc>
          <w:tcPr>
            <w:tcW w:w="2260" w:type="dxa"/>
            <w:vAlign w:val="bottom"/>
            <w:gridSpan w:val="2"/>
            <w:vMerge w:val="continue"/>
            <w:shd w:val="clear" w:color="auto" w:fill="CCEEFF"/>
          </w:tcPr>
          <w:p>
            <w:pPr>
              <w:spacing w:after="0"/>
              <w:rPr>
                <w:sz w:val="15"/>
                <w:szCs w:val="15"/>
                <w:color w:val="auto"/>
              </w:rPr>
            </w:pPr>
          </w:p>
        </w:tc>
        <w:tc>
          <w:tcPr>
            <w:tcW w:w="2240" w:type="dxa"/>
            <w:vAlign w:val="bottom"/>
            <w:gridSpan w:val="2"/>
            <w:vMerge w:val="continue"/>
            <w:shd w:val="clear" w:color="auto" w:fill="CCEEFF"/>
          </w:tcPr>
          <w:p>
            <w:pPr>
              <w:spacing w:after="0"/>
              <w:rPr>
                <w:sz w:val="15"/>
                <w:szCs w:val="15"/>
                <w:color w:val="auto"/>
              </w:rPr>
            </w:pPr>
          </w:p>
        </w:tc>
        <w:tc>
          <w:tcPr>
            <w:tcW w:w="2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on 5-year rolling test, 1.5%</w:t>
            </w:r>
          </w:p>
        </w:tc>
        <w:tc>
          <w:tcPr>
            <w:tcW w:w="0" w:type="dxa"/>
            <w:vAlign w:val="bottom"/>
          </w:tcPr>
          <w:p>
            <w:pPr>
              <w:spacing w:after="0"/>
              <w:rPr>
                <w:sz w:val="1"/>
                <w:szCs w:val="1"/>
                <w:color w:val="auto"/>
              </w:rPr>
            </w:pPr>
          </w:p>
        </w:tc>
      </w:tr>
      <w:tr>
        <w:trPr>
          <w:trHeight w:val="210"/>
        </w:trPr>
        <w:tc>
          <w:tcPr>
            <w:tcW w:w="200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expenditure</w:t>
            </w:r>
          </w:p>
        </w:tc>
        <w:tc>
          <w:tcPr>
            <w:tcW w:w="2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1"/>
              </w:rPr>
              <w:t>rolling three-year basis</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monthly reserves</w:t>
            </w: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Rolling three-year</w:t>
            </w:r>
          </w:p>
        </w:tc>
        <w:tc>
          <w:tcPr>
            <w:tcW w:w="2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$311 million</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$84 million</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N/A</w:t>
            </w:r>
          </w:p>
        </w:tc>
        <w:tc>
          <w:tcPr>
            <w:tcW w:w="218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04"/>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 xml:space="preserve">minimum </w:t>
            </w:r>
            <w:r>
              <w:rPr>
                <w:rFonts w:ascii="Arial" w:cs="Arial" w:eastAsia="Arial" w:hAnsi="Arial"/>
                <w:sz w:val="23"/>
                <w:szCs w:val="23"/>
                <w:i w:val="1"/>
                <w:iCs w:val="1"/>
                <w:color w:val="auto"/>
                <w:vertAlign w:val="superscript"/>
              </w:rPr>
              <w:t>(2)</w:t>
            </w:r>
          </w:p>
        </w:tc>
        <w:tc>
          <w:tcPr>
            <w:tcW w:w="2560" w:type="dxa"/>
            <w:vAlign w:val="bottom"/>
            <w:gridSpan w:val="2"/>
            <w:vMerge w:val="continue"/>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2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900" w:type="dxa"/>
            <w:vAlign w:val="bottom"/>
          </w:tcPr>
          <w:p>
            <w:pPr>
              <w:spacing w:after="0"/>
              <w:rPr>
                <w:sz w:val="20"/>
                <w:szCs w:val="20"/>
                <w:color w:val="auto"/>
              </w:rPr>
            </w:pPr>
            <w:r>
              <w:rPr>
                <w:rFonts w:ascii="Arial" w:cs="Arial" w:eastAsia="Arial" w:hAnsi="Arial"/>
                <w:sz w:val="14"/>
                <w:szCs w:val="14"/>
                <w:color w:val="auto"/>
              </w:rPr>
              <w:t>____________________</w:t>
            </w:r>
          </w:p>
        </w:tc>
        <w:tc>
          <w:tcPr>
            <w:tcW w:w="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firstLine="8"/>
        <w:spacing w:after="0" w:line="250" w:lineRule="auto"/>
        <w:tabs>
          <w:tab w:leader="none" w:pos="23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The Caesars Leases require a $114.5 million floor on annual capital expenditures for Caesars Palace Las Vegas, Joliet and the Regional Master Lease properties in the aggregate. Additionally, annual building &amp; improvement capital improvements must be equal to or greater than 1% of prior year net revenues.</w:t>
      </w:r>
    </w:p>
    <w:p>
      <w:pPr>
        <w:jc w:val="both"/>
        <w:ind w:firstLine="8"/>
        <w:spacing w:after="0" w:line="271" w:lineRule="auto"/>
        <w:tabs>
          <w:tab w:leader="none" w:pos="213"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Certain tenants under the Caesars Leases,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Regional Master Lease and Joliet Lease are required to expend a minimum of $537.5 million on capital expenditures (including gaming equipment) across certain of its affiliates and other assets, together with the $380.3 million requirement.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investments in loans as of March 31, 2022 and December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2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3"/>
              </w:rPr>
              <w:t>March 31, 2022</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2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Investment Name</w:t>
            </w:r>
          </w:p>
        </w:tc>
        <w:tc>
          <w:tcPr>
            <w:tcW w:w="100" w:type="dxa"/>
            <w:vAlign w:val="bottom"/>
            <w:vMerge w:val="restart"/>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Loan Type</w:t>
            </w:r>
          </w:p>
        </w:tc>
        <w:tc>
          <w:tcPr>
            <w:tcW w:w="10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0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4"/>
              </w:rPr>
              <w:t>Principal</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3"/>
                <w:szCs w:val="13"/>
                <w:color w:val="auto"/>
              </w:rPr>
            </w:pPr>
          </w:p>
        </w:tc>
        <w:tc>
          <w:tcPr>
            <w:tcW w:w="14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Future Funding</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Interest Rate</w:t>
            </w:r>
            <w:r>
              <w:rPr>
                <w:rFonts w:ascii="Arial" w:cs="Arial" w:eastAsia="Arial" w:hAnsi="Arial"/>
                <w:sz w:val="21"/>
                <w:szCs w:val="21"/>
                <w:b w:val="1"/>
                <w:bCs w:val="1"/>
                <w:i w:val="1"/>
                <w:iCs w:val="1"/>
                <w:color w:val="auto"/>
                <w:w w:val="94"/>
                <w:vertAlign w:val="superscript"/>
              </w:rPr>
              <w:t>(3)</w:t>
            </w:r>
          </w:p>
        </w:tc>
        <w:tc>
          <w:tcPr>
            <w:tcW w:w="10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6"/>
              </w:rPr>
              <w:t>Final</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4"/>
              <w:spacing w:after="0" w:line="216" w:lineRule="exact"/>
              <w:rPr>
                <w:sz w:val="20"/>
                <w:szCs w:val="20"/>
                <w:color w:val="auto"/>
              </w:rPr>
            </w:pPr>
            <w:r>
              <w:rPr>
                <w:rFonts w:ascii="Arial" w:cs="Arial" w:eastAsia="Arial" w:hAnsi="Arial"/>
                <w:sz w:val="16"/>
                <w:szCs w:val="16"/>
                <w:b w:val="1"/>
                <w:bCs w:val="1"/>
                <w:color w:val="auto"/>
                <w:w w:val="83"/>
              </w:rPr>
              <w:t>Value</w:t>
            </w:r>
            <w:r>
              <w:rPr>
                <w:rFonts w:ascii="Arial" w:cs="Arial" w:eastAsia="Arial" w:hAnsi="Arial"/>
                <w:sz w:val="21"/>
                <w:szCs w:val="21"/>
                <w:b w:val="1"/>
                <w:bCs w:val="1"/>
                <w:i w:val="1"/>
                <w:iCs w:val="1"/>
                <w:color w:val="auto"/>
                <w:w w:val="83"/>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i w:val="1"/>
                <w:i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Maturity</w:t>
            </w:r>
            <w:r>
              <w:rPr>
                <w:rFonts w:ascii="Arial" w:cs="Arial" w:eastAsia="Arial" w:hAnsi="Arial"/>
                <w:sz w:val="21"/>
                <w:szCs w:val="21"/>
                <w:b w:val="1"/>
                <w:bCs w:val="1"/>
                <w:i w:val="1"/>
                <w:iCs w:val="1"/>
                <w:color w:val="auto"/>
                <w:w w:val="95"/>
                <w:vertAlign w:val="superscript"/>
              </w:rPr>
              <w:t>(4)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Forum Convention Center Mortgage</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8"/>
              </w:rPr>
              <w:t>Senior Secured</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400,033</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9/18/2025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Chelsea Piers Mortgage Loan</w:t>
            </w:r>
          </w:p>
        </w:tc>
        <w:tc>
          <w:tcPr>
            <w:tcW w:w="1740" w:type="dxa"/>
            <w:vAlign w:val="bottom"/>
            <w:gridSpan w:val="3"/>
          </w:tcPr>
          <w:p>
            <w:pPr>
              <w:jc w:val="center"/>
              <w:ind w:right="190"/>
              <w:spacing w:after="0"/>
              <w:rPr>
                <w:sz w:val="20"/>
                <w:szCs w:val="20"/>
                <w:color w:val="auto"/>
              </w:rPr>
            </w:pPr>
            <w:r>
              <w:rPr>
                <w:rFonts w:ascii="Arial" w:cs="Arial" w:eastAsia="Arial" w:hAnsi="Arial"/>
                <w:sz w:val="18"/>
                <w:szCs w:val="18"/>
                <w:color w:val="auto"/>
                <w:w w:val="88"/>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8/31/2027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Great Wolf Mezzanine Loan</w:t>
            </w:r>
          </w:p>
        </w:tc>
        <w:tc>
          <w:tcPr>
            <w:tcW w:w="174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89"/>
              </w:rPr>
              <w:t>Mezzanine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514,173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513,128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45,327</w:t>
            </w: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2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0"/>
              </w:rPr>
              <w:t>December 31, 2021</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2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Investment Name</w:t>
            </w:r>
          </w:p>
        </w:tc>
        <w:tc>
          <w:tcPr>
            <w:tcW w:w="100" w:type="dxa"/>
            <w:vAlign w:val="bottom"/>
            <w:vMerge w:val="restart"/>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Loan Type</w:t>
            </w:r>
          </w:p>
        </w:tc>
        <w:tc>
          <w:tcPr>
            <w:tcW w:w="10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0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4"/>
              </w:rPr>
              <w:t>Principal</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3"/>
                <w:szCs w:val="13"/>
                <w:color w:val="auto"/>
              </w:rPr>
            </w:pPr>
          </w:p>
        </w:tc>
        <w:tc>
          <w:tcPr>
            <w:tcW w:w="14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Future Funding</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Interest Rate</w:t>
            </w:r>
            <w:r>
              <w:rPr>
                <w:rFonts w:ascii="Arial" w:cs="Arial" w:eastAsia="Arial" w:hAnsi="Arial"/>
                <w:sz w:val="21"/>
                <w:szCs w:val="21"/>
                <w:b w:val="1"/>
                <w:bCs w:val="1"/>
                <w:i w:val="1"/>
                <w:iCs w:val="1"/>
                <w:color w:val="auto"/>
                <w:w w:val="94"/>
                <w:vertAlign w:val="superscript"/>
              </w:rPr>
              <w:t>(3)</w:t>
            </w:r>
          </w:p>
        </w:tc>
        <w:tc>
          <w:tcPr>
            <w:tcW w:w="10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6"/>
              </w:rPr>
              <w:t>Final</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4"/>
              <w:spacing w:after="0" w:line="216" w:lineRule="exact"/>
              <w:rPr>
                <w:sz w:val="20"/>
                <w:szCs w:val="20"/>
                <w:color w:val="auto"/>
              </w:rPr>
            </w:pPr>
            <w:r>
              <w:rPr>
                <w:rFonts w:ascii="Arial" w:cs="Arial" w:eastAsia="Arial" w:hAnsi="Arial"/>
                <w:sz w:val="16"/>
                <w:szCs w:val="16"/>
                <w:b w:val="1"/>
                <w:bCs w:val="1"/>
                <w:color w:val="auto"/>
                <w:w w:val="83"/>
              </w:rPr>
              <w:t>Value</w:t>
            </w:r>
            <w:r>
              <w:rPr>
                <w:rFonts w:ascii="Arial" w:cs="Arial" w:eastAsia="Arial" w:hAnsi="Arial"/>
                <w:sz w:val="21"/>
                <w:szCs w:val="21"/>
                <w:b w:val="1"/>
                <w:bCs w:val="1"/>
                <w:i w:val="1"/>
                <w:iCs w:val="1"/>
                <w:color w:val="auto"/>
                <w:w w:val="83"/>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i w:val="1"/>
                <w:i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Maturity</w:t>
            </w:r>
            <w:r>
              <w:rPr>
                <w:rFonts w:ascii="Arial" w:cs="Arial" w:eastAsia="Arial" w:hAnsi="Arial"/>
                <w:sz w:val="21"/>
                <w:szCs w:val="21"/>
                <w:b w:val="1"/>
                <w:bCs w:val="1"/>
                <w:i w:val="1"/>
                <w:iCs w:val="1"/>
                <w:color w:val="auto"/>
                <w:w w:val="95"/>
                <w:vertAlign w:val="superscript"/>
              </w:rPr>
              <w:t>(4)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Forum Convention Center Mortgage</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8"/>
              </w:rPr>
              <w:t>Senior Secured</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400,036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9/18/2025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Chelsea Piers Mortgage Loan</w:t>
            </w:r>
          </w:p>
        </w:tc>
        <w:tc>
          <w:tcPr>
            <w:tcW w:w="1740" w:type="dxa"/>
            <w:vAlign w:val="bottom"/>
            <w:gridSpan w:val="3"/>
          </w:tcPr>
          <w:p>
            <w:pPr>
              <w:jc w:val="center"/>
              <w:ind w:right="190"/>
              <w:spacing w:after="0"/>
              <w:rPr>
                <w:sz w:val="20"/>
                <w:szCs w:val="20"/>
                <w:color w:val="auto"/>
              </w:rPr>
            </w:pPr>
            <w:r>
              <w:rPr>
                <w:rFonts w:ascii="Arial" w:cs="Arial" w:eastAsia="Arial" w:hAnsi="Arial"/>
                <w:sz w:val="18"/>
                <w:szCs w:val="18"/>
                <w:color w:val="auto"/>
                <w:w w:val="88"/>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8/31/2027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Great Wolf Mezzanine Loan</w:t>
            </w:r>
          </w:p>
        </w:tc>
        <w:tc>
          <w:tcPr>
            <w:tcW w:w="174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89"/>
              </w:rPr>
              <w:t>Mezzanine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498,614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498,002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60,886</w:t>
            </w: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includes unamortized loan origination costs and are net of allowance for credit losses.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Our future funding commitments are subject to our borrowers' compliance with the financial covenants and other applicable provisions of each respective loan agreement.</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current interest rate per annum. The interest rate of the Forum Convention Center Mortgage Loan is subject to a 2.0% annual escalation.</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Final maturity assumes all extension options are exercised; however, our loans may be repaid, subject to certain conditions, prior to such date.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Allowance for Credit Losses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326</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ASC 326 we are required to estimate and record non-cash credit losses related to our historical and any future investments in sales-type leases, lease financing receivables and loans.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months ended March 31, 2022, we recognized a $80.8 million increase in our allowance for credit losses primarily driven by (i) the initial CECL allowance in relation to (a) the Venetian Acquisition and classification of the Venetian Lease as a sales-type lease, (b) the estimated future funding commitments under the Venetian PGFA and (c) the sales-type sub-lease agreements we assumed in connection with the Venetian Acquisition and are required to present gross and (ii) the increase in the reasonable and supportable period, or R&amp;S Period, probability of default, or PD, of our tenants and their parent guarantors as a result of market volatility during the first quarter of 2022. This was partially offset by a decrease in the Long-Term Period PD as a result of a standard annual update made to the Long-Term PD default study we utilize to estimate our CECL allowance.</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we recognized a $4.4 million decrease in our allowance for credit losses primarily driven by the decrease in the R&amp;S Period PD of our tenants and their parent guarantors as a result of an improvement in their economic outlook due to the reopening of a majority of their gaming operations and relative performance of such operations during the first quarter of 2021.</w:t>
      </w:r>
    </w:p>
    <w:p>
      <w:pPr>
        <w:spacing w:after="0" w:line="130" w:lineRule="exact"/>
        <w:rPr>
          <w:sz w:val="20"/>
          <w:szCs w:val="20"/>
          <w:color w:val="auto"/>
        </w:rPr>
      </w:pPr>
    </w:p>
    <w:p>
      <w:pPr>
        <w:jc w:val="both"/>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Subsequent to quarter-end, on April 29, 2022, we closed on the previously announced MGP Transactions in which we entered into the MGM Master Lease. As discussed in </w:t>
      </w:r>
      <w:hyperlink w:anchor="page23">
        <w:r>
          <w:rPr>
            <w:rFonts w:ascii="Arial" w:cs="Arial" w:eastAsia="Arial" w:hAnsi="Arial"/>
            <w:sz w:val="17"/>
            <w:szCs w:val="17"/>
            <w:u w:val="single" w:color="auto"/>
            <w:color w:val="0000FF"/>
          </w:rPr>
          <w:t>Note</w:t>
        </w:r>
        <w:r>
          <w:rPr>
            <w:rFonts w:ascii="Arial" w:cs="Arial" w:eastAsia="Arial" w:hAnsi="Arial"/>
            <w:sz w:val="17"/>
            <w:szCs w:val="17"/>
            <w:u w:val="single" w:color="auto"/>
            <w:color w:val="auto"/>
          </w:rPr>
          <w:t xml:space="preserve"> </w:t>
        </w:r>
        <w:r>
          <w:rPr>
            <w:rFonts w:ascii="Arial" w:cs="Arial" w:eastAsia="Arial" w:hAnsi="Arial"/>
            <w:sz w:val="17"/>
            <w:szCs w:val="17"/>
            <w:u w:val="single" w:color="auto"/>
            <w:color w:val="0000FF"/>
            <w:highlight w:val="white"/>
          </w:rPr>
          <w:t>3 - Property Transactions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we anticipate the MGM Master Lease will be accounted for as a financing receivable under ASC 310, and, accordingly, we will be required to record a material initial and ongoing CECL allowance as required under ASC 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-296545</wp:posOffset>
            </wp:positionV>
            <wp:extent cx="497205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4972050" cy="128905"/>
                    </a:xfrm>
                    <a:prstGeom prst="rect">
                      <a:avLst/>
                    </a:prstGeom>
                    <a:noFill/>
                  </pic:spPr>
                </pic:pic>
              </a:graphicData>
            </a:graphic>
          </wp:anchor>
        </w:drawing>
      </w:r>
    </w:p>
    <w:p>
      <w:pPr>
        <w:spacing w:after="0" w:line="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and December 31, 2021, and since our formation date on October 6, 2017, all of our Lease Agreements and loan investments are current in payment of their obligations to us and no investments are on non-accrual status.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the allowance for credit losses as of March 31, 2022 and December 31,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94"/>
              </w:rPr>
              <w:t>March 31, 2022</w:t>
            </w: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Amortized Cost</w:t>
            </w:r>
          </w:p>
        </w:tc>
        <w:tc>
          <w:tcPr>
            <w:tcW w:w="260" w:type="dxa"/>
            <w:vAlign w:val="bottom"/>
          </w:tcPr>
          <w:p>
            <w:pPr>
              <w:spacing w:after="0"/>
              <w:rPr>
                <w:sz w:val="13"/>
                <w:szCs w:val="13"/>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 xml:space="preserve">Allowance </w:t>
            </w:r>
            <w:r>
              <w:rPr>
                <w:rFonts w:ascii="Arial" w:cs="Arial" w:eastAsia="Arial" w:hAnsi="Arial"/>
                <w:sz w:val="21"/>
                <w:szCs w:val="21"/>
                <w:b w:val="1"/>
                <w:bCs w:val="1"/>
                <w:color w:val="auto"/>
                <w:vertAlign w:val="superscript"/>
              </w:rPr>
              <w:t>(1)</w:t>
            </w:r>
          </w:p>
        </w:tc>
        <w:tc>
          <w:tcPr>
            <w:tcW w:w="22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 Investment</w:t>
            </w:r>
          </w:p>
        </w:tc>
        <w:tc>
          <w:tcPr>
            <w:tcW w:w="18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Allowance as a %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8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Amortized Cost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sales-type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17,617,877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17,113,699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2,742,615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(91,982)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2,650,633</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513,128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 sales-type sub-leases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446,956</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21,330,419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(606,003)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20,724,416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91"/>
              </w:rPr>
              <w:t>December 31, 2021</w:t>
            </w: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Amortized Cost</w:t>
            </w:r>
          </w:p>
        </w:tc>
        <w:tc>
          <w:tcPr>
            <w:tcW w:w="260" w:type="dxa"/>
            <w:vAlign w:val="bottom"/>
          </w:tcPr>
          <w:p>
            <w:pPr>
              <w:spacing w:after="0"/>
              <w:rPr>
                <w:sz w:val="13"/>
                <w:szCs w:val="13"/>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 xml:space="preserve">Allowance </w:t>
            </w:r>
            <w:r>
              <w:rPr>
                <w:rFonts w:ascii="Arial" w:cs="Arial" w:eastAsia="Arial" w:hAnsi="Arial"/>
                <w:sz w:val="21"/>
                <w:szCs w:val="21"/>
                <w:b w:val="1"/>
                <w:bCs w:val="1"/>
                <w:color w:val="auto"/>
                <w:vertAlign w:val="superscript"/>
              </w:rPr>
              <w:t>(1)</w:t>
            </w:r>
          </w:p>
        </w:tc>
        <w:tc>
          <w:tcPr>
            <w:tcW w:w="22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 Investment</w:t>
            </w:r>
          </w:p>
        </w:tc>
        <w:tc>
          <w:tcPr>
            <w:tcW w:w="18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Allowance as a %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8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Amortized Cost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sales-type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13,571,516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2,735,948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(91,124)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2,644,824</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 sales-type sub-leases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273,970</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17,086,749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(533,289)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16,553,460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firstLine="8"/>
        <w:spacing w:after="0" w:line="255" w:lineRule="auto"/>
        <w:tabs>
          <w:tab w:leader="none" w:pos="207"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total allowance excludes the CECL allowance for unfunded commitments, primarily related to the Venetian PGFA. As of March 31, 2022 and December 31, 2021, such allowance is $9.1 million and $1.0 million, respectively, and is recorded in Other liabilities.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chart reflects the roll-forward of the allowance for credit losses on our real estate portfolio for the three months ended March 31, 2022 and 2021:</w:t>
      </w:r>
    </w:p>
    <w:p>
      <w:pPr>
        <w:spacing w:after="0" w:line="265" w:lineRule="exact"/>
        <w:rPr>
          <w:sz w:val="20"/>
          <w:szCs w:val="20"/>
          <w:color w:val="auto"/>
        </w:rPr>
      </w:pPr>
    </w:p>
    <w:p>
      <w:pPr>
        <w:ind w:left="804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ind w:right="791"/>
              <w:spacing w:after="0" w:line="175"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1"/>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Beginning Balance December 31,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534,326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553,879</w:t>
            </w:r>
          </w:p>
        </w:tc>
      </w:tr>
      <w:tr>
        <w:trPr>
          <w:trHeight w:val="229"/>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Initial allowance from current period investments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76,037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period change in credit allowance</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r>
      <w:tr>
        <w:trPr>
          <w:trHeight w:val="229"/>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Charge-offs</w:t>
            </w:r>
          </w:p>
        </w:tc>
        <w:tc>
          <w:tcPr>
            <w:tcW w:w="4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Recoveries</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6"/>
                <w:szCs w:val="16"/>
                <w:b w:val="1"/>
                <w:bCs w:val="1"/>
                <w:color w:val="auto"/>
              </w:rPr>
              <w:t>Ending Balance March 31,</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615,146</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549,499</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the amortized cost basis of our investments by the credit quality indicator we assigned to each lease or loan guarantor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w w:val="93"/>
              </w:rPr>
              <w:t>March 31, 2022</w:t>
            </w: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72"/>
        </w:trPr>
        <w:tc>
          <w:tcPr>
            <w:tcW w:w="2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20" w:type="dxa"/>
            <w:vAlign w:val="bottom"/>
            <w:gridSpan w:val="2"/>
          </w:tcPr>
          <w:p>
            <w:pPr>
              <w:ind w:left="420"/>
              <w:spacing w:after="0" w:line="172" w:lineRule="exact"/>
              <w:rPr>
                <w:sz w:val="20"/>
                <w:szCs w:val="20"/>
                <w:color w:val="auto"/>
              </w:rPr>
            </w:pPr>
            <w:r>
              <w:rPr>
                <w:rFonts w:ascii="Arial" w:cs="Arial" w:eastAsia="Arial" w:hAnsi="Arial"/>
                <w:sz w:val="16"/>
                <w:szCs w:val="16"/>
                <w:b w:val="1"/>
                <w:bCs w:val="1"/>
                <w:color w:val="auto"/>
              </w:rPr>
              <w:t>Ba2</w:t>
            </w:r>
          </w:p>
        </w:tc>
        <w:tc>
          <w:tcPr>
            <w:tcW w:w="1120" w:type="dxa"/>
            <w:vAlign w:val="bottom"/>
            <w:gridSpan w:val="2"/>
          </w:tcPr>
          <w:p>
            <w:pPr>
              <w:ind w:left="360"/>
              <w:spacing w:after="0" w:line="172" w:lineRule="exact"/>
              <w:rPr>
                <w:sz w:val="20"/>
                <w:szCs w:val="20"/>
                <w:color w:val="auto"/>
              </w:rPr>
            </w:pPr>
            <w:r>
              <w:rPr>
                <w:rFonts w:ascii="Arial" w:cs="Arial" w:eastAsia="Arial" w:hAnsi="Arial"/>
                <w:sz w:val="16"/>
                <w:szCs w:val="16"/>
                <w:b w:val="1"/>
                <w:bCs w:val="1"/>
                <w:color w:val="auto"/>
              </w:rPr>
              <w:t>Ba3</w:t>
            </w:r>
          </w:p>
        </w:tc>
        <w:tc>
          <w:tcPr>
            <w:tcW w:w="1260" w:type="dxa"/>
            <w:vAlign w:val="bottom"/>
          </w:tcPr>
          <w:p>
            <w:pPr>
              <w:ind w:left="540"/>
              <w:spacing w:after="0" w:line="172" w:lineRule="exact"/>
              <w:rPr>
                <w:sz w:val="20"/>
                <w:szCs w:val="20"/>
                <w:color w:val="auto"/>
              </w:rPr>
            </w:pPr>
            <w:r>
              <w:rPr>
                <w:rFonts w:ascii="Arial" w:cs="Arial" w:eastAsia="Arial" w:hAnsi="Arial"/>
                <w:sz w:val="16"/>
                <w:szCs w:val="16"/>
                <w:b w:val="1"/>
                <w:bCs w:val="1"/>
                <w:color w:val="auto"/>
              </w:rPr>
              <w:t>B1</w:t>
            </w:r>
          </w:p>
        </w:tc>
        <w:tc>
          <w:tcPr>
            <w:tcW w:w="100" w:type="dxa"/>
            <w:vAlign w:val="bottom"/>
          </w:tcPr>
          <w:p>
            <w:pPr>
              <w:spacing w:after="0"/>
              <w:rPr>
                <w:sz w:val="14"/>
                <w:szCs w:val="14"/>
                <w:color w:val="auto"/>
              </w:rPr>
            </w:pPr>
          </w:p>
        </w:tc>
        <w:tc>
          <w:tcPr>
            <w:tcW w:w="1120" w:type="dxa"/>
            <w:vAlign w:val="bottom"/>
            <w:gridSpan w:val="2"/>
          </w:tcPr>
          <w:p>
            <w:pPr>
              <w:jc w:val="center"/>
              <w:ind w:right="100"/>
              <w:spacing w:after="0" w:line="172" w:lineRule="exact"/>
              <w:rPr>
                <w:sz w:val="20"/>
                <w:szCs w:val="20"/>
                <w:color w:val="auto"/>
              </w:rPr>
            </w:pPr>
            <w:r>
              <w:rPr>
                <w:rFonts w:ascii="Arial" w:cs="Arial" w:eastAsia="Arial" w:hAnsi="Arial"/>
                <w:sz w:val="16"/>
                <w:szCs w:val="16"/>
                <w:b w:val="1"/>
                <w:bCs w:val="1"/>
                <w:color w:val="auto"/>
                <w:w w:val="87"/>
              </w:rPr>
              <w:t>B2</w:t>
            </w:r>
          </w:p>
        </w:tc>
        <w:tc>
          <w:tcPr>
            <w:tcW w:w="1120" w:type="dxa"/>
            <w:vAlign w:val="bottom"/>
            <w:gridSpan w:val="2"/>
          </w:tcPr>
          <w:p>
            <w:pPr>
              <w:ind w:left="420"/>
              <w:spacing w:after="0" w:line="172" w:lineRule="exact"/>
              <w:rPr>
                <w:sz w:val="20"/>
                <w:szCs w:val="20"/>
                <w:color w:val="auto"/>
              </w:rPr>
            </w:pPr>
            <w:r>
              <w:rPr>
                <w:rFonts w:ascii="Arial" w:cs="Arial" w:eastAsia="Arial" w:hAnsi="Arial"/>
                <w:sz w:val="16"/>
                <w:szCs w:val="16"/>
                <w:b w:val="1"/>
                <w:bCs w:val="1"/>
                <w:color w:val="auto"/>
              </w:rPr>
              <w:t>B3</w:t>
            </w:r>
          </w:p>
        </w:tc>
        <w:tc>
          <w:tcPr>
            <w:tcW w:w="1120" w:type="dxa"/>
            <w:vAlign w:val="bottom"/>
          </w:tcPr>
          <w:p>
            <w:pPr>
              <w:ind w:left="280"/>
              <w:spacing w:after="0" w:line="172" w:lineRule="exact"/>
              <w:rPr>
                <w:sz w:val="20"/>
                <w:szCs w:val="20"/>
                <w:color w:val="auto"/>
              </w:rPr>
            </w:pPr>
            <w:r>
              <w:rPr>
                <w:rFonts w:ascii="Arial" w:cs="Arial" w:eastAsia="Arial" w:hAnsi="Arial"/>
                <w:sz w:val="15"/>
                <w:szCs w:val="15"/>
                <w:b w:val="1"/>
                <w:bCs w:val="1"/>
                <w:color w:val="auto"/>
              </w:rPr>
              <w:t>N/A</w:t>
            </w:r>
            <w:r>
              <w:rPr>
                <w:rFonts w:ascii="Arial" w:cs="Arial" w:eastAsia="Arial" w:hAnsi="Arial"/>
                <w:sz w:val="19"/>
                <w:szCs w:val="19"/>
                <w:b w:val="1"/>
                <w:bCs w:val="1"/>
                <w:i w:val="1"/>
                <w:iCs w:val="1"/>
                <w:color w:val="auto"/>
                <w:vertAlign w:val="superscript"/>
              </w:rPr>
              <w:t>(2)</w:t>
            </w:r>
          </w:p>
        </w:tc>
        <w:tc>
          <w:tcPr>
            <w:tcW w:w="1320" w:type="dxa"/>
            <w:vAlign w:val="bottom"/>
          </w:tcPr>
          <w:p>
            <w:pPr>
              <w:ind w:left="460"/>
              <w:spacing w:after="0" w:line="172" w:lineRule="exact"/>
              <w:rPr>
                <w:sz w:val="20"/>
                <w:szCs w:val="20"/>
                <w:color w:val="auto"/>
              </w:rPr>
            </w:pPr>
            <w:r>
              <w:rPr>
                <w:rFonts w:ascii="Arial" w:cs="Arial" w:eastAsia="Arial" w:hAnsi="Arial"/>
                <w:sz w:val="16"/>
                <w:szCs w:val="16"/>
                <w:b w:val="1"/>
                <w:bCs w:val="1"/>
                <w:color w:val="auto"/>
              </w:rPr>
              <w:t>Total</w:t>
            </w: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68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40" w:type="dxa"/>
            <w:vAlign w:val="bottom"/>
            <w:gridSpan w:val="2"/>
          </w:tcPr>
          <w:p>
            <w:pPr>
              <w:spacing w:after="0" w:line="162" w:lineRule="exact"/>
              <w:rPr>
                <w:sz w:val="20"/>
                <w:szCs w:val="20"/>
                <w:color w:val="auto"/>
              </w:rPr>
            </w:pPr>
            <w:r>
              <w:rPr>
                <w:rFonts w:ascii="Arial" w:cs="Arial" w:eastAsia="Arial" w:hAnsi="Arial"/>
                <w:sz w:val="18"/>
                <w:szCs w:val="18"/>
                <w:color w:val="auto"/>
                <w:w w:val="92"/>
              </w:rPr>
              <w:t>Investments in leases - sales-type and</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40" w:type="dxa"/>
            <w:vAlign w:val="bottom"/>
            <w:gridSpan w:val="2"/>
          </w:tcPr>
          <w:p>
            <w:pPr>
              <w:spacing w:after="0" w:line="176" w:lineRule="exact"/>
              <w:rPr>
                <w:sz w:val="20"/>
                <w:szCs w:val="20"/>
                <w:color w:val="auto"/>
              </w:rPr>
            </w:pPr>
            <w:r>
              <w:rPr>
                <w:rFonts w:ascii="Arial" w:cs="Arial" w:eastAsia="Arial" w:hAnsi="Arial"/>
                <w:sz w:val="18"/>
                <w:szCs w:val="18"/>
                <w:color w:val="auto"/>
                <w:w w:val="98"/>
              </w:rPr>
              <w:t>financing receivable, Investments in</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9"/>
              </w:rPr>
              <w:t>4,198,118</w:t>
            </w:r>
          </w:p>
        </w:tc>
        <w:tc>
          <w:tcPr>
            <w:tcW w:w="100" w:type="dxa"/>
            <w:vAlign w:val="bottom"/>
          </w:tcPr>
          <w:p>
            <w:pPr>
              <w:spacing w:after="0"/>
              <w:rPr>
                <w:sz w:val="15"/>
                <w:szCs w:val="15"/>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949,418</w:t>
            </w:r>
          </w:p>
        </w:tc>
        <w:tc>
          <w:tcPr>
            <w:tcW w:w="100" w:type="dxa"/>
            <w:vAlign w:val="bottom"/>
          </w:tcPr>
          <w:p>
            <w:pPr>
              <w:spacing w:after="0"/>
              <w:rPr>
                <w:sz w:val="15"/>
                <w:szCs w:val="15"/>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14,918,185</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870,774</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279,740</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114,183</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ind w:left="200"/>
              <w:spacing w:after="0"/>
              <w:rPr>
                <w:sz w:val="20"/>
                <w:szCs w:val="20"/>
                <w:color w:val="auto"/>
              </w:rPr>
            </w:pPr>
            <w:r>
              <w:rPr>
                <w:rFonts w:ascii="Arial" w:cs="Arial" w:eastAsia="Arial" w:hAnsi="Arial"/>
                <w:sz w:val="18"/>
                <w:szCs w:val="18"/>
                <w:color w:val="auto"/>
                <w:w w:val="95"/>
              </w:rPr>
              <w:t>21,330,419</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loans and Other assets </w:t>
            </w:r>
            <w:r>
              <w:rPr>
                <w:rFonts w:ascii="Arial" w:cs="Arial" w:eastAsia="Arial" w:hAnsi="Arial"/>
                <w:sz w:val="23"/>
                <w:szCs w:val="23"/>
                <w:color w:val="auto"/>
                <w:vertAlign w:val="superscript"/>
              </w:rPr>
              <w:t>(1)</w:t>
            </w:r>
          </w:p>
        </w:tc>
        <w:tc>
          <w:tcPr>
            <w:tcW w:w="22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4"/>
              </w:rPr>
              <w:t>March 31, 2021</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4"/>
                <w:szCs w:val="14"/>
                <w:color w:val="auto"/>
              </w:rPr>
            </w:pPr>
          </w:p>
        </w:tc>
        <w:tc>
          <w:tcPr>
            <w:tcW w:w="960" w:type="dxa"/>
            <w:vAlign w:val="bottom"/>
            <w:gridSpan w:val="2"/>
          </w:tcPr>
          <w:p>
            <w:pPr>
              <w:ind w:left="180"/>
              <w:spacing w:after="0" w:line="172" w:lineRule="exact"/>
              <w:rPr>
                <w:sz w:val="20"/>
                <w:szCs w:val="20"/>
                <w:color w:val="auto"/>
              </w:rPr>
            </w:pPr>
            <w:r>
              <w:rPr>
                <w:rFonts w:ascii="Arial" w:cs="Arial" w:eastAsia="Arial" w:hAnsi="Arial"/>
                <w:sz w:val="16"/>
                <w:szCs w:val="16"/>
                <w:b w:val="1"/>
                <w:bCs w:val="1"/>
                <w:color w:val="auto"/>
              </w:rPr>
              <w:t>Ba2</w:t>
            </w:r>
          </w:p>
        </w:tc>
        <w:tc>
          <w:tcPr>
            <w:tcW w:w="260" w:type="dxa"/>
            <w:vAlign w:val="bottom"/>
          </w:tcPr>
          <w:p>
            <w:pPr>
              <w:spacing w:after="0"/>
              <w:rPr>
                <w:sz w:val="14"/>
                <w:szCs w:val="14"/>
                <w:color w:val="auto"/>
              </w:rPr>
            </w:pPr>
          </w:p>
        </w:tc>
        <w:tc>
          <w:tcPr>
            <w:tcW w:w="86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Ba3</w:t>
            </w:r>
          </w:p>
        </w:tc>
        <w:tc>
          <w:tcPr>
            <w:tcW w:w="260" w:type="dxa"/>
            <w:vAlign w:val="bottom"/>
          </w:tcPr>
          <w:p>
            <w:pPr>
              <w:spacing w:after="0"/>
              <w:rPr>
                <w:sz w:val="14"/>
                <w:szCs w:val="14"/>
                <w:color w:val="auto"/>
              </w:rPr>
            </w:pPr>
          </w:p>
        </w:tc>
        <w:tc>
          <w:tcPr>
            <w:tcW w:w="1020" w:type="dxa"/>
            <w:vAlign w:val="bottom"/>
          </w:tcPr>
          <w:p>
            <w:pPr>
              <w:jc w:val="right"/>
              <w:ind w:right="473"/>
              <w:spacing w:after="0" w:line="172" w:lineRule="exact"/>
              <w:rPr>
                <w:sz w:val="20"/>
                <w:szCs w:val="20"/>
                <w:color w:val="auto"/>
              </w:rPr>
            </w:pPr>
            <w:r>
              <w:rPr>
                <w:rFonts w:ascii="Arial" w:cs="Arial" w:eastAsia="Arial" w:hAnsi="Arial"/>
                <w:sz w:val="16"/>
                <w:szCs w:val="16"/>
                <w:b w:val="1"/>
                <w:bCs w:val="1"/>
                <w:color w:val="auto"/>
              </w:rPr>
              <w:t>B1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340"/>
              <w:spacing w:after="0" w:line="172" w:lineRule="exact"/>
              <w:rPr>
                <w:sz w:val="20"/>
                <w:szCs w:val="20"/>
                <w:color w:val="auto"/>
              </w:rPr>
            </w:pPr>
            <w:r>
              <w:rPr>
                <w:rFonts w:ascii="Arial" w:cs="Arial" w:eastAsia="Arial" w:hAnsi="Arial"/>
                <w:sz w:val="16"/>
                <w:szCs w:val="16"/>
                <w:b w:val="1"/>
                <w:bCs w:val="1"/>
                <w:color w:val="auto"/>
                <w:w w:val="87"/>
              </w:rPr>
              <w:t>B2</w:t>
            </w:r>
          </w:p>
        </w:tc>
        <w:tc>
          <w:tcPr>
            <w:tcW w:w="260" w:type="dxa"/>
            <w:vAlign w:val="bottom"/>
          </w:tcPr>
          <w:p>
            <w:pPr>
              <w:spacing w:after="0"/>
              <w:rPr>
                <w:sz w:val="14"/>
                <w:szCs w:val="14"/>
                <w:color w:val="auto"/>
              </w:rPr>
            </w:pPr>
          </w:p>
        </w:tc>
        <w:tc>
          <w:tcPr>
            <w:tcW w:w="8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B3</w:t>
            </w:r>
          </w:p>
        </w:tc>
        <w:tc>
          <w:tcPr>
            <w:tcW w:w="200" w:type="dxa"/>
            <w:vAlign w:val="bottom"/>
          </w:tcPr>
          <w:p>
            <w:pPr>
              <w:spacing w:after="0"/>
              <w:rPr>
                <w:sz w:val="14"/>
                <w:szCs w:val="14"/>
                <w:color w:val="auto"/>
              </w:rPr>
            </w:pPr>
          </w:p>
        </w:tc>
        <w:tc>
          <w:tcPr>
            <w:tcW w:w="860" w:type="dxa"/>
            <w:vAlign w:val="bottom"/>
            <w:gridSpan w:val="2"/>
          </w:tcPr>
          <w:p>
            <w:pPr>
              <w:ind w:left="80"/>
              <w:spacing w:after="0" w:line="172" w:lineRule="exact"/>
              <w:rPr>
                <w:sz w:val="20"/>
                <w:szCs w:val="20"/>
                <w:color w:val="auto"/>
              </w:rPr>
            </w:pPr>
            <w:r>
              <w:rPr>
                <w:rFonts w:ascii="Arial" w:cs="Arial" w:eastAsia="Arial" w:hAnsi="Arial"/>
                <w:sz w:val="19"/>
                <w:szCs w:val="19"/>
                <w:b w:val="1"/>
                <w:bCs w:val="1"/>
                <w:color w:val="auto"/>
                <w:vertAlign w:val="subscript"/>
              </w:rPr>
              <w:t>N/A</w:t>
            </w:r>
            <w:r>
              <w:rPr>
                <w:rFonts w:ascii="Arial" w:cs="Arial" w:eastAsia="Arial" w:hAnsi="Arial"/>
                <w:sz w:val="8"/>
                <w:szCs w:val="8"/>
                <w:b w:val="1"/>
                <w:bCs w:val="1"/>
                <w:i w:val="1"/>
                <w:iCs w:val="1"/>
                <w:color w:val="auto"/>
              </w:rPr>
              <w:t>(2)</w:t>
            </w:r>
          </w:p>
        </w:tc>
        <w:tc>
          <w:tcPr>
            <w:tcW w:w="300" w:type="dxa"/>
            <w:vAlign w:val="bottom"/>
          </w:tcPr>
          <w:p>
            <w:pPr>
              <w:spacing w:after="0"/>
              <w:rPr>
                <w:sz w:val="14"/>
                <w:szCs w:val="14"/>
                <w:color w:val="auto"/>
              </w:rPr>
            </w:pPr>
          </w:p>
        </w:tc>
        <w:tc>
          <w:tcPr>
            <w:tcW w:w="1080" w:type="dxa"/>
            <w:vAlign w:val="bottom"/>
          </w:tcPr>
          <w:p>
            <w:pPr>
              <w:ind w:left="220"/>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8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2"/>
              </w:rPr>
              <w:t>Investments in leases - sales-type and</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financing receivable, Investments in</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15,761,205</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917,138</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281,450</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65,012</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w w:val="95"/>
              </w:rPr>
              <w:t>17,024,805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loans and Other assets </w:t>
            </w:r>
            <w:r>
              <w:rPr>
                <w:rFonts w:ascii="Arial" w:cs="Arial" w:eastAsia="Arial" w:hAnsi="Arial"/>
                <w:sz w:val="23"/>
                <w:szCs w:val="23"/>
                <w:color w:val="auto"/>
                <w:vertAlign w:val="superscript"/>
              </w:rPr>
              <w:t>(1)</w:t>
            </w:r>
          </w:p>
        </w:tc>
        <w:tc>
          <w:tcPr>
            <w:tcW w:w="22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40" w:hanging="332"/>
        <w:spacing w:after="0" w:line="241" w:lineRule="auto"/>
        <w:tabs>
          <w:tab w:leader="none" w:pos="332"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CECL allowance for unfunded commitments recorded in Other liabilities as such commitments are not currently reflected on our Balance Sheet, rather the CECL allowance is based on our current best estimate of future funding commitments.</w:t>
      </w:r>
    </w:p>
    <w:p>
      <w:pPr>
        <w:ind w:left="340" w:hanging="332"/>
        <w:spacing w:after="0" w:line="255" w:lineRule="auto"/>
        <w:tabs>
          <w:tab w:leader="none" w:pos="332"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We estimate the CECL allowance for the Chelsea Piers Mortgage Loan and Great Wolf Mezzanine Loan using a traditional commercial real estate model based on standardized credit metrics to estimate potential losses.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Other Assets and Other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assets as of March 31, 2022 and December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6"/>
                <w:szCs w:val="16"/>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Pr>
          <w:p>
            <w:pPr>
              <w:spacing w:after="0"/>
              <w:rPr>
                <w:sz w:val="16"/>
                <w:szCs w:val="16"/>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Sales-type sub-leases, net </w:t>
            </w:r>
            <w:r>
              <w:rPr>
                <w:rFonts w:ascii="Arial" w:cs="Arial" w:eastAsia="Arial" w:hAnsi="Arial"/>
                <w:sz w:val="23"/>
                <w:szCs w:val="23"/>
                <w:i w:val="1"/>
                <w:iCs w:val="1"/>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273,970</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Forward-starting interest rate swaps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109,495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used in operations, net</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68,515</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Right of use assets and sub-lease right of use assets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49,731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16,811</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financing costs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24,928</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Deferred acquisition costs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24,690</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Tenant receivables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3,660</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r>
      <w:tr>
        <w:trPr>
          <w:trHeight w:val="223"/>
        </w:trPr>
        <w:tc>
          <w:tcPr>
            <w:tcW w:w="20" w:type="dxa"/>
            <w:vAlign w:val="bottom"/>
          </w:tcPr>
          <w:p>
            <w:pPr>
              <w:spacing w:after="0"/>
              <w:rPr>
                <w:sz w:val="19"/>
                <w:szCs w:val="19"/>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Total other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424,693</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ind w:firstLine="8"/>
        <w:spacing w:after="0" w:line="273" w:lineRule="auto"/>
        <w:tabs>
          <w:tab w:leader="none" w:pos="204" w:val="left"/>
        </w:tabs>
        <w:numPr>
          <w:ilvl w:val="0"/>
          <w:numId w:val="21"/>
        </w:numPr>
        <w:rPr>
          <w:rFonts w:ascii="Arial" w:cs="Arial" w:eastAsia="Arial" w:hAnsi="Arial"/>
          <w:sz w:val="14"/>
          <w:szCs w:val="14"/>
          <w:i w:val="1"/>
          <w:iCs w:val="1"/>
          <w:color w:val="0000FF"/>
        </w:rPr>
      </w:pPr>
      <w:hyperlink w:anchor="page31">
        <w:r>
          <w:rPr>
            <w:rFonts w:ascii="Arial" w:cs="Arial" w:eastAsia="Arial" w:hAnsi="Arial"/>
            <w:sz w:val="14"/>
            <w:szCs w:val="14"/>
            <w:i w:val="1"/>
            <w:iCs w:val="1"/>
            <w:color w:val="auto"/>
          </w:rPr>
          <w:t xml:space="preserve">As of March 31, 2022 and December 31, 2021, sales-type sub-leases are net of $8.8 million and $6.5 million of Allowance for credit losses, respectively. Refer to </w:t>
        </w:r>
        <w:r>
          <w:rPr>
            <w:rFonts w:ascii="Arial" w:cs="Arial" w:eastAsia="Arial" w:hAnsi="Arial"/>
            <w:sz w:val="14"/>
            <w:szCs w:val="14"/>
            <w:i w:val="1"/>
            <w:iCs w:val="1"/>
            <w:u w:val="single" w:color="auto"/>
            <w:color w:val="0000FF"/>
          </w:rPr>
          <w:t>Note 5 - Allowance for Credit</w:t>
        </w:r>
      </w:hyperlink>
      <w:r>
        <w:rPr>
          <w:rFonts w:ascii="Arial" w:cs="Arial" w:eastAsia="Arial" w:hAnsi="Arial"/>
          <w:sz w:val="14"/>
          <w:szCs w:val="14"/>
          <w:i w:val="1"/>
          <w:iCs w:val="1"/>
          <w:color w:val="auto"/>
        </w:rPr>
        <w:t xml:space="preserve"> </w:t>
      </w:r>
      <w:hyperlink w:anchor="page31">
        <w:r>
          <w:rPr>
            <w:rFonts w:ascii="Arial" w:cs="Arial" w:eastAsia="Arial" w:hAnsi="Arial"/>
            <w:sz w:val="14"/>
            <w:szCs w:val="14"/>
            <w:i w:val="1"/>
            <w:iCs w:val="1"/>
            <w:u w:val="single" w:color="auto"/>
            <w:color w:val="0000FF"/>
          </w:rPr>
          <w:t>Losses</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for further details.</w:t>
        </w:r>
      </w:hyperlink>
    </w:p>
    <w:p>
      <w:pPr>
        <w:spacing w:after="0" w:line="124" w:lineRule="exact"/>
        <w:rPr>
          <w:rFonts w:ascii="Arial" w:cs="Arial" w:eastAsia="Arial" w:hAnsi="Arial"/>
          <w:sz w:val="14"/>
          <w:szCs w:val="14"/>
          <w:i w:val="1"/>
          <w:iCs w:val="1"/>
          <w:color w:val="auto"/>
        </w:rPr>
      </w:pPr>
    </w:p>
    <w:p>
      <w:pPr>
        <w:ind w:right="20"/>
        <w:spacing w:after="0" w:line="277" w:lineRule="auto"/>
        <w:rPr>
          <w:sz w:val="20"/>
          <w:szCs w:val="20"/>
          <w:color w:val="auto"/>
        </w:rPr>
      </w:pPr>
      <w:r>
        <w:rPr>
          <w:rFonts w:ascii="Arial" w:cs="Arial" w:eastAsia="Arial" w:hAnsi="Arial"/>
          <w:sz w:val="18"/>
          <w:szCs w:val="18"/>
          <w:color w:val="auto"/>
        </w:rPr>
        <w:t>Property and equipment used in operations, included within other assets, is primarily attributable to the land, building and improvements of our golf operations and consists of the following as of March 31, 2022 and December 31, 2021:</w:t>
      </w:r>
    </w:p>
    <w:p>
      <w:pPr>
        <w:spacing w:after="0" w:line="149" w:lineRule="exact"/>
        <w:rPr>
          <w:rFonts w:ascii="Arial" w:cs="Arial" w:eastAsia="Arial" w:hAnsi="Arial"/>
          <w:sz w:val="14"/>
          <w:szCs w:val="14"/>
          <w:i w:val="1"/>
          <w:i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6"/>
                <w:szCs w:val="16"/>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Pr>
          <w:p>
            <w:pPr>
              <w:spacing w:after="0"/>
              <w:rPr>
                <w:sz w:val="16"/>
                <w:szCs w:val="16"/>
                <w:color w:val="auto"/>
              </w:rPr>
            </w:pPr>
          </w:p>
        </w:tc>
        <w:tc>
          <w:tcPr>
            <w:tcW w:w="1820" w:type="dxa"/>
            <w:vAlign w:val="bottom"/>
          </w:tcPr>
          <w:p>
            <w:pPr>
              <w:jc w:val="right"/>
              <w:ind w:right="292"/>
              <w:spacing w:after="0"/>
              <w:rPr>
                <w:sz w:val="20"/>
                <w:szCs w:val="20"/>
                <w:color w:val="auto"/>
              </w:rPr>
            </w:pPr>
            <w:r>
              <w:rPr>
                <w:rFonts w:ascii="Arial" w:cs="Arial" w:eastAsia="Arial" w:hAnsi="Arial"/>
                <w:sz w:val="16"/>
                <w:szCs w:val="16"/>
                <w:b w:val="1"/>
                <w:bCs w:val="1"/>
                <w:color w:val="auto"/>
                <w:w w:val="98"/>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59,250</w:t>
            </w:r>
          </w:p>
        </w:tc>
      </w:tr>
      <w:tr>
        <w:trPr>
          <w:trHeight w:val="229"/>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15,045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14,880</w:t>
            </w: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r>
      <w:tr>
        <w:trPr>
          <w:trHeight w:val="223"/>
        </w:trPr>
        <w:tc>
          <w:tcPr>
            <w:tcW w:w="20" w:type="dxa"/>
            <w:vAlign w:val="bottom"/>
          </w:tcPr>
          <w:p>
            <w:pPr>
              <w:spacing w:after="0"/>
              <w:rPr>
                <w:sz w:val="19"/>
                <w:szCs w:val="19"/>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Total property and equipment used in operations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83,598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83,144</w:t>
            </w: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(14,629)</w:t>
            </w:r>
          </w:p>
        </w:tc>
      </w:tr>
      <w:tr>
        <w:trPr>
          <w:trHeight w:val="223"/>
        </w:trPr>
        <w:tc>
          <w:tcPr>
            <w:tcW w:w="20" w:type="dxa"/>
            <w:vAlign w:val="bottom"/>
          </w:tcPr>
          <w:p>
            <w:pPr>
              <w:spacing w:after="0"/>
              <w:rPr>
                <w:sz w:val="19"/>
                <w:szCs w:val="19"/>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Total property and equipment used in operations,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68,193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68,515</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6"/>
                <w:szCs w:val="16"/>
                <w:b w:val="1"/>
                <w:bCs w:val="1"/>
                <w:color w:val="auto"/>
              </w:rPr>
              <w:t>Three Months Ended March 31,</w:t>
            </w:r>
          </w:p>
        </w:tc>
      </w:tr>
      <w:tr>
        <w:trPr>
          <w:trHeight w:val="172"/>
        </w:trPr>
        <w:tc>
          <w:tcPr>
            <w:tcW w:w="20" w:type="dxa"/>
            <w:vAlign w:val="bottom"/>
          </w:tcPr>
          <w:p>
            <w:pPr>
              <w:spacing w:after="0"/>
              <w:rPr>
                <w:sz w:val="14"/>
                <w:szCs w:val="14"/>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4"/>
                <w:szCs w:val="14"/>
                <w:color w:val="auto"/>
              </w:rPr>
            </w:pPr>
          </w:p>
        </w:tc>
        <w:tc>
          <w:tcPr>
            <w:tcW w:w="1760" w:type="dxa"/>
            <w:vAlign w:val="bottom"/>
          </w:tcPr>
          <w:p>
            <w:pPr>
              <w:jc w:val="right"/>
              <w:ind w:right="793"/>
              <w:spacing w:after="0" w:line="17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jc w:val="right"/>
              <w:ind w:right="772"/>
              <w:spacing w:after="0" w:line="172"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bl>
    <w:p>
      <w:pPr>
        <w:spacing w:after="0" w:line="292" w:lineRule="exact"/>
        <w:rPr>
          <w:rFonts w:ascii="Arial" w:cs="Arial" w:eastAsia="Arial" w:hAnsi="Arial"/>
          <w:sz w:val="14"/>
          <w:szCs w:val="14"/>
          <w:i w:val="1"/>
          <w:iCs w:val="1"/>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175" w:lineRule="exact"/>
        <w:rPr>
          <w:rFonts w:ascii="Arial" w:cs="Arial" w:eastAsia="Arial" w:hAnsi="Arial"/>
          <w:sz w:val="14"/>
          <w:szCs w:val="14"/>
          <w:i w:val="1"/>
          <w:iCs w:val="1"/>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 as of March 31, 2022 and December 31, 2021:</w:t>
      </w:r>
    </w:p>
    <w:p>
      <w:pPr>
        <w:spacing w:after="0" w:line="204" w:lineRule="exact"/>
        <w:rPr>
          <w:rFonts w:ascii="Arial" w:cs="Arial" w:eastAsia="Arial" w:hAnsi="Arial"/>
          <w:sz w:val="14"/>
          <w:szCs w:val="14"/>
          <w:i w:val="1"/>
          <w:i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6"/>
                <w:szCs w:val="16"/>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Pr>
          <w:p>
            <w:pPr>
              <w:spacing w:after="0"/>
              <w:rPr>
                <w:sz w:val="16"/>
                <w:szCs w:val="16"/>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sub-lease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280,510</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Deferred financing liabilities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73,600</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 and sub-lease liabilities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CECL allowance for unfunded commitments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1,037</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r>
      <w:tr>
        <w:trPr>
          <w:trHeight w:val="223"/>
        </w:trPr>
        <w:tc>
          <w:tcPr>
            <w:tcW w:w="20" w:type="dxa"/>
            <w:vAlign w:val="bottom"/>
          </w:tcPr>
          <w:p>
            <w:pPr>
              <w:spacing w:after="0"/>
              <w:rPr>
                <w:sz w:val="19"/>
                <w:szCs w:val="19"/>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Total other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375,837</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rFonts w:ascii="Arial" w:cs="Arial" w:eastAsia="Arial" w:hAnsi="Arial"/>
          <w:sz w:val="14"/>
          <w:szCs w:val="14"/>
          <w:i w:val="1"/>
          <w:iCs w:val="1"/>
          <w:color w:val="auto"/>
        </w:rPr>
      </w:pPr>
    </w:p>
    <w:p>
      <w:pPr>
        <w:sectPr>
          <w:pgSz w:w="11900" w:h="16838" w:orient="portrait"/>
          <w:cols w:equalWidth="0" w:num="1">
            <w:col w:w="11240"/>
          </w:cols>
          <w:pgMar w:left="320" w:top="287" w:right="339" w:bottom="1440" w:gutter="0" w:footer="0" w:header="0"/>
        </w:sectPr>
      </w:pPr>
    </w:p>
    <w:p>
      <w:pPr>
        <w:spacing w:after="0" w:line="200" w:lineRule="exact"/>
        <w:rPr>
          <w:rFonts w:ascii="Arial" w:cs="Arial" w:eastAsia="Arial" w:hAnsi="Arial"/>
          <w:sz w:val="14"/>
          <w:szCs w:val="14"/>
          <w:i w:val="1"/>
          <w:iCs w:val="1"/>
          <w:color w:val="auto"/>
        </w:rPr>
      </w:pPr>
    </w:p>
    <w:p>
      <w:pPr>
        <w:spacing w:after="0" w:line="274" w:lineRule="exact"/>
        <w:rPr>
          <w:rFonts w:ascii="Arial" w:cs="Arial" w:eastAsia="Arial" w:hAnsi="Arial"/>
          <w:sz w:val="14"/>
          <w:szCs w:val="14"/>
          <w:i w:val="1"/>
          <w:iCs w:val="1"/>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March 31, 2022 and December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140" w:type="dxa"/>
            <w:vAlign w:val="bottom"/>
            <w:gridSpan w:val="4"/>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gridSpan w:val="8"/>
          </w:tcPr>
          <w:p>
            <w:pPr>
              <w:jc w:val="center"/>
              <w:ind w:left="115"/>
              <w:spacing w:after="0"/>
              <w:rPr>
                <w:sz w:val="20"/>
                <w:szCs w:val="20"/>
                <w:color w:val="auto"/>
              </w:rPr>
            </w:pPr>
            <w:r>
              <w:rPr>
                <w:rFonts w:ascii="Arial" w:cs="Arial" w:eastAsia="Arial" w:hAnsi="Arial"/>
                <w:sz w:val="16"/>
                <w:szCs w:val="16"/>
                <w:b w:val="1"/>
                <w:bCs w:val="1"/>
                <w:color w:val="auto"/>
                <w:w w:val="94"/>
              </w:rPr>
              <w:t>March 31, 2022</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6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Description of Debt</w:t>
            </w:r>
          </w:p>
        </w:tc>
        <w:tc>
          <w:tcPr>
            <w:tcW w:w="120" w:type="dxa"/>
            <w:vAlign w:val="bottom"/>
            <w:gridSpan w:val="2"/>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0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Maturity</w:t>
            </w:r>
          </w:p>
        </w:tc>
        <w:tc>
          <w:tcPr>
            <w:tcW w:w="10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Interest Rate</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w w:val="98"/>
              </w:rPr>
              <w:t>Face Value</w:t>
            </w:r>
          </w:p>
        </w:tc>
        <w:tc>
          <w:tcPr>
            <w:tcW w:w="10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20"/>
              <w:spacing w:after="0" w:line="210" w:lineRule="exact"/>
              <w:rPr>
                <w:sz w:val="20"/>
                <w:szCs w:val="20"/>
                <w:color w:val="auto"/>
              </w:rPr>
            </w:pPr>
            <w:r>
              <w:rPr>
                <w:rFonts w:ascii="Arial" w:cs="Arial" w:eastAsia="Arial" w:hAnsi="Arial"/>
                <w:sz w:val="16"/>
                <w:szCs w:val="16"/>
                <w:b w:val="1"/>
                <w:bCs w:val="1"/>
                <w:color w:val="auto"/>
                <w:w w:val="95"/>
              </w:rPr>
              <w:t>Carrying Value</w:t>
            </w:r>
            <w:r>
              <w:rPr>
                <w:rFonts w:ascii="Arial" w:cs="Arial" w:eastAsia="Arial" w:hAnsi="Arial"/>
                <w:sz w:val="23"/>
                <w:szCs w:val="23"/>
                <w:i w:val="1"/>
                <w:iCs w:val="1"/>
                <w:color w:val="auto"/>
                <w:w w:val="95"/>
                <w:vertAlign w:val="superscript"/>
              </w:rPr>
              <w:t>(1)</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140" w:type="dxa"/>
            <w:vAlign w:val="bottom"/>
            <w:gridSpan w:val="4"/>
            <w:shd w:val="clear" w:color="auto" w:fill="CCEEFF"/>
          </w:tcPr>
          <w:p>
            <w:pPr>
              <w:spacing w:after="0" w:line="25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98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SOFR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vMerge w:val="restart"/>
            <w:shd w:val="clear" w:color="auto" w:fill="CCEEFF"/>
          </w:tcPr>
          <w:p>
            <w:pPr>
              <w:jc w:val="right"/>
              <w:ind w:right="135"/>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1.425%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40" w:type="dxa"/>
            <w:vAlign w:val="bottom"/>
            <w:gridSpan w:val="4"/>
          </w:tcPr>
          <w:p>
            <w:pPr>
              <w:spacing w:after="0" w:line="256" w:lineRule="exact"/>
              <w:rPr>
                <w:sz w:val="20"/>
                <w:szCs w:val="20"/>
                <w:color w:val="auto"/>
              </w:rPr>
            </w:pPr>
            <w:r>
              <w:rPr>
                <w:rFonts w:ascii="Arial" w:cs="Arial" w:eastAsia="Arial" w:hAnsi="Arial"/>
                <w:sz w:val="18"/>
                <w:szCs w:val="18"/>
                <w:color w:val="auto"/>
              </w:rPr>
              <w:t xml:space="preserve">Delayed Draw Term Loan </w:t>
            </w:r>
            <w:r>
              <w:rPr>
                <w:rFonts w:ascii="Arial" w:cs="Arial" w:eastAsia="Arial" w:hAnsi="Arial"/>
                <w:sz w:val="23"/>
                <w:szCs w:val="23"/>
                <w:i w:val="1"/>
                <w:iCs w:val="1"/>
                <w:color w:val="auto"/>
                <w:vertAlign w:val="superscript"/>
              </w:rPr>
              <w:t>(2)</w:t>
            </w:r>
          </w:p>
        </w:tc>
        <w:tc>
          <w:tcPr>
            <w:tcW w:w="9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2025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SOFR +</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7"/>
                <w:szCs w:val="17"/>
                <w:color w:val="auto"/>
                <w:w w:val="97"/>
              </w:rPr>
              <w:t>1.700%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November 2019 Notes</w:t>
            </w:r>
            <w:r>
              <w:rPr>
                <w:rFonts w:ascii="Arial" w:cs="Arial" w:eastAsia="Arial" w:hAnsi="Arial"/>
                <w:sz w:val="23"/>
                <w:szCs w:val="23"/>
                <w:i w:val="1"/>
                <w:iCs w:val="1"/>
                <w:color w:val="auto"/>
                <w:vertAlign w:val="superscript"/>
              </w:rPr>
              <w:t>(3)</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4"/>
          </w:tcPr>
          <w:p>
            <w:pPr>
              <w:ind w:left="220"/>
              <w:spacing w:after="0"/>
              <w:rPr>
                <w:sz w:val="20"/>
                <w:szCs w:val="20"/>
                <w:color w:val="auto"/>
              </w:rPr>
            </w:pPr>
            <w:r>
              <w:rPr>
                <w:rFonts w:ascii="Arial" w:cs="Arial" w:eastAsia="Arial" w:hAnsi="Arial"/>
                <w:sz w:val="18"/>
                <w:szCs w:val="18"/>
                <w:color w:val="auto"/>
              </w:rPr>
              <w:t>2026 Maturity</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4.250%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1,236,685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2029 Maturity</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4.625%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4"/>
          </w:tcPr>
          <w:p>
            <w:pPr>
              <w:spacing w:after="0" w:line="230" w:lineRule="exact"/>
              <w:rPr>
                <w:sz w:val="20"/>
                <w:szCs w:val="20"/>
                <w:color w:val="auto"/>
              </w:rPr>
            </w:pPr>
            <w:r>
              <w:rPr>
                <w:rFonts w:ascii="Arial" w:cs="Arial" w:eastAsia="Arial" w:hAnsi="Arial"/>
                <w:sz w:val="18"/>
                <w:szCs w:val="18"/>
                <w:color w:val="auto"/>
              </w:rPr>
              <w:t>February 2020 Notes</w:t>
            </w:r>
            <w:r>
              <w:rPr>
                <w:rFonts w:ascii="Arial" w:cs="Arial" w:eastAsia="Arial" w:hAnsi="Arial"/>
                <w:sz w:val="23"/>
                <w:szCs w:val="23"/>
                <w:i w:val="1"/>
                <w:iCs w:val="1"/>
                <w:color w:val="auto"/>
                <w:vertAlign w:val="superscript"/>
              </w:rPr>
              <w:t>(3)</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2025 Maturity</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4"/>
          </w:tcPr>
          <w:p>
            <w:pPr>
              <w:ind w:left="220"/>
              <w:spacing w:after="0"/>
              <w:rPr>
                <w:sz w:val="20"/>
                <w:szCs w:val="20"/>
                <w:color w:val="auto"/>
              </w:rPr>
            </w:pPr>
            <w:r>
              <w:rPr>
                <w:rFonts w:ascii="Arial" w:cs="Arial" w:eastAsia="Arial" w:hAnsi="Arial"/>
                <w:sz w:val="18"/>
                <w:szCs w:val="18"/>
                <w:color w:val="auto"/>
              </w:rPr>
              <w:t>2027 Maturity</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3.750%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741,828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2030 Maturity</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987,507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4"/>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5,297,014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140" w:type="dxa"/>
            <w:vAlign w:val="bottom"/>
            <w:gridSpan w:val="4"/>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8"/>
          </w:tcPr>
          <w:p>
            <w:pPr>
              <w:jc w:val="center"/>
              <w:ind w:left="135"/>
              <w:spacing w:after="0"/>
              <w:rPr>
                <w:sz w:val="20"/>
                <w:szCs w:val="20"/>
                <w:color w:val="auto"/>
              </w:rPr>
            </w:pPr>
            <w:r>
              <w:rPr>
                <w:rFonts w:ascii="Arial" w:cs="Arial" w:eastAsia="Arial" w:hAnsi="Arial"/>
                <w:sz w:val="16"/>
                <w:szCs w:val="16"/>
                <w:b w:val="1"/>
                <w:bCs w:val="1"/>
                <w:color w:val="auto"/>
                <w:w w:val="90"/>
              </w:rPr>
              <w:t>December 31, 2021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140" w:type="dxa"/>
            <w:vAlign w:val="bottom"/>
            <w:gridSpan w:val="4"/>
          </w:tcPr>
          <w:p>
            <w:pPr>
              <w:spacing w:after="0"/>
              <w:rPr>
                <w:sz w:val="20"/>
                <w:szCs w:val="20"/>
                <w:color w:val="auto"/>
              </w:rPr>
            </w:pPr>
            <w:r>
              <w:rPr>
                <w:rFonts w:ascii="Arial" w:cs="Arial" w:eastAsia="Arial" w:hAnsi="Arial"/>
                <w:sz w:val="16"/>
                <w:szCs w:val="16"/>
                <w:b w:val="1"/>
                <w:bCs w:val="1"/>
                <w:color w:val="auto"/>
              </w:rPr>
              <w:t>Description of Debt</w:t>
            </w:r>
          </w:p>
        </w:tc>
        <w:tc>
          <w:tcPr>
            <w:tcW w:w="20" w:type="dxa"/>
            <w:vAlign w:val="bottom"/>
          </w:tcPr>
          <w:p>
            <w:pPr>
              <w:spacing w:after="0"/>
              <w:rPr>
                <w:sz w:val="24"/>
                <w:szCs w:val="2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9"/>
              </w:rPr>
              <w:t>Maturity</w:t>
            </w:r>
          </w:p>
        </w:tc>
        <w:tc>
          <w:tcPr>
            <w:tcW w:w="40" w:type="dxa"/>
            <w:vAlign w:val="bottom"/>
          </w:tcPr>
          <w:p>
            <w:pPr>
              <w:spacing w:after="0"/>
              <w:rPr>
                <w:sz w:val="24"/>
                <w:szCs w:val="24"/>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ind w:left="120"/>
              <w:spacing w:after="0"/>
              <w:rPr>
                <w:sz w:val="20"/>
                <w:szCs w:val="20"/>
                <w:color w:val="auto"/>
              </w:rPr>
            </w:pPr>
            <w:r>
              <w:rPr>
                <w:rFonts w:ascii="Arial" w:cs="Arial" w:eastAsia="Arial" w:hAnsi="Arial"/>
                <w:sz w:val="16"/>
                <w:szCs w:val="16"/>
                <w:b w:val="1"/>
                <w:bCs w:val="1"/>
                <w:color w:val="auto"/>
              </w:rPr>
              <w:t>Face Value</w:t>
            </w:r>
          </w:p>
        </w:tc>
        <w:tc>
          <w:tcPr>
            <w:tcW w:w="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Carrying Value</w:t>
            </w:r>
            <w:r>
              <w:rPr>
                <w:rFonts w:ascii="Arial" w:cs="Arial" w:eastAsia="Arial" w:hAnsi="Arial"/>
                <w:sz w:val="23"/>
                <w:szCs w:val="23"/>
                <w:i w:val="1"/>
                <w:iCs w:val="1"/>
                <w:color w:val="auto"/>
                <w:w w:val="94"/>
                <w:vertAlign w:val="superscript"/>
              </w:rPr>
              <w:t>(1)</w:t>
            </w:r>
          </w:p>
        </w:tc>
        <w:tc>
          <w:tcPr>
            <w:tcW w:w="0" w:type="dxa"/>
            <w:vAlign w:val="bottom"/>
          </w:tcPr>
          <w:p>
            <w:pPr>
              <w:spacing w:after="0"/>
              <w:rPr>
                <w:sz w:val="1"/>
                <w:szCs w:val="1"/>
                <w:color w:val="auto"/>
              </w:rPr>
            </w:pPr>
          </w:p>
        </w:tc>
      </w:tr>
      <w:tr>
        <w:trPr>
          <w:trHeight w:val="223"/>
        </w:trPr>
        <w:tc>
          <w:tcPr>
            <w:tcW w:w="6060" w:type="dxa"/>
            <w:vAlign w:val="bottom"/>
            <w:tcBorders>
              <w:top w:val="single" w:sz="8" w:color="auto"/>
            </w:tcBorders>
            <w:gridSpan w:val="4"/>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Secured Revolving Credit Facility </w:t>
            </w:r>
            <w:r>
              <w:rPr>
                <w:rFonts w:ascii="Arial" w:cs="Arial" w:eastAsia="Arial" w:hAnsi="Arial"/>
                <w:sz w:val="23"/>
                <w:szCs w:val="23"/>
                <w:i w:val="1"/>
                <w:iCs w:val="1"/>
                <w:color w:val="auto"/>
                <w:vertAlign w:val="superscript"/>
              </w:rPr>
              <w:t>(4)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3"/>
              </w:rPr>
              <w:t>L + 2.00%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4"/>
          </w:tcPr>
          <w:p>
            <w:pPr>
              <w:spacing w:after="0" w:line="230" w:lineRule="exact"/>
              <w:rPr>
                <w:sz w:val="20"/>
                <w:szCs w:val="20"/>
                <w:color w:val="auto"/>
              </w:rPr>
            </w:pPr>
            <w:r>
              <w:rPr>
                <w:rFonts w:ascii="Arial" w:cs="Arial" w:eastAsia="Arial" w:hAnsi="Arial"/>
                <w:sz w:val="18"/>
                <w:szCs w:val="18"/>
                <w:color w:val="auto"/>
              </w:rPr>
              <w:t>November 2019 Notes</w:t>
            </w:r>
            <w:r>
              <w:rPr>
                <w:rFonts w:ascii="Arial" w:cs="Arial" w:eastAsia="Arial" w:hAnsi="Arial"/>
                <w:sz w:val="23"/>
                <w:szCs w:val="23"/>
                <w:i w:val="1"/>
                <w:iCs w:val="1"/>
                <w:color w:val="auto"/>
                <w:vertAlign w:val="superscript"/>
              </w:rPr>
              <w:t>(3)</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2026 Maturity</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1,235,972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4"/>
          </w:tcPr>
          <w:p>
            <w:pPr>
              <w:ind w:left="220"/>
              <w:spacing w:after="0"/>
              <w:rPr>
                <w:sz w:val="20"/>
                <w:szCs w:val="20"/>
                <w:color w:val="auto"/>
              </w:rPr>
            </w:pPr>
            <w:r>
              <w:rPr>
                <w:rFonts w:ascii="Arial" w:cs="Arial" w:eastAsia="Arial" w:hAnsi="Arial"/>
                <w:sz w:val="18"/>
                <w:szCs w:val="18"/>
                <w:color w:val="auto"/>
              </w:rPr>
              <w:t>2029 Maturity</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4.625%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987,331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February 2020 Notes</w:t>
            </w:r>
            <w:r>
              <w:rPr>
                <w:rFonts w:ascii="Arial" w:cs="Arial" w:eastAsia="Arial" w:hAnsi="Arial"/>
                <w:sz w:val="23"/>
                <w:szCs w:val="23"/>
                <w:i w:val="1"/>
                <w:iCs w:val="1"/>
                <w:color w:val="auto"/>
                <w:vertAlign w:val="superscript"/>
              </w:rPr>
              <w:t>(3)</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4"/>
          </w:tcPr>
          <w:p>
            <w:pPr>
              <w:ind w:left="220"/>
              <w:spacing w:after="0"/>
              <w:rPr>
                <w:sz w:val="20"/>
                <w:szCs w:val="20"/>
                <w:color w:val="auto"/>
              </w:rPr>
            </w:pPr>
            <w:r>
              <w:rPr>
                <w:rFonts w:ascii="Arial" w:cs="Arial" w:eastAsia="Arial" w:hAnsi="Arial"/>
                <w:sz w:val="18"/>
                <w:szCs w:val="18"/>
                <w:color w:val="auto"/>
              </w:rPr>
              <w:t>2025 Maturity</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3.500%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742,677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2027 Maturity</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741,409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140" w:type="dxa"/>
            <w:vAlign w:val="bottom"/>
            <w:tcBorders>
              <w:bottom w:val="single" w:sz="8" w:color="CCEEFF"/>
            </w:tcBorders>
            <w:gridSpan w:val="4"/>
          </w:tcPr>
          <w:p>
            <w:pPr>
              <w:ind w:left="220"/>
              <w:spacing w:after="0"/>
              <w:rPr>
                <w:sz w:val="20"/>
                <w:szCs w:val="20"/>
                <w:color w:val="auto"/>
              </w:rPr>
            </w:pPr>
            <w:r>
              <w:rPr>
                <w:rFonts w:ascii="Arial" w:cs="Arial" w:eastAsia="Arial" w:hAnsi="Arial"/>
                <w:sz w:val="18"/>
                <w:szCs w:val="18"/>
                <w:color w:val="auto"/>
              </w:rPr>
              <w:t>2030 Maturity</w:t>
            </w:r>
          </w:p>
        </w:tc>
        <w:tc>
          <w:tcPr>
            <w:tcW w:w="98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89"/>
              </w:rPr>
              <w:t>2030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1"/>
              </w:rPr>
              <w:t>4.125%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987,134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4,750,000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4,694,523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original issue discount and unamortized debt issuance costs incurred in conjunction with debt.</w:t>
      </w:r>
    </w:p>
    <w:p>
      <w:pPr>
        <w:spacing w:after="0" w:line="1" w:lineRule="exact"/>
        <w:rPr>
          <w:rFonts w:ascii="Arial" w:cs="Arial" w:eastAsia="Arial" w:hAnsi="Arial"/>
          <w:sz w:val="14"/>
          <w:szCs w:val="14"/>
          <w:i w:val="1"/>
          <w:iCs w:val="1"/>
          <w:color w:val="auto"/>
        </w:rPr>
      </w:pPr>
    </w:p>
    <w:p>
      <w:pPr>
        <w:jc w:val="both"/>
        <w:ind w:left="340" w:hanging="332"/>
        <w:spacing w:after="0" w:line="260" w:lineRule="auto"/>
        <w:tabs>
          <w:tab w:leader="none" w:pos="332" w:val="left"/>
        </w:tabs>
        <w:numPr>
          <w:ilvl w:val="0"/>
          <w:numId w:val="22"/>
        </w:numPr>
        <w:rPr>
          <w:rFonts w:ascii="Arial" w:cs="Arial" w:eastAsia="Arial" w:hAnsi="Arial"/>
          <w:sz w:val="13"/>
          <w:szCs w:val="13"/>
          <w:i w:val="1"/>
          <w:iCs w:val="1"/>
          <w:color w:val="auto"/>
        </w:rPr>
      </w:pPr>
      <w:r>
        <w:rPr>
          <w:rFonts w:ascii="Arial" w:cs="Arial" w:eastAsia="Arial" w:hAnsi="Arial"/>
          <w:sz w:val="13"/>
          <w:szCs w:val="13"/>
          <w:i w:val="1"/>
          <w:iCs w:val="1"/>
          <w:color w:val="auto"/>
        </w:rPr>
        <w:t>Interest on any outstanding balance is payable monthly. Borrowings under the Revolving Credit Facility and Delayed Draw Term Loan bear interest at a rate based on a credit rating-based pricing grid with a range of 0.775% to 1.325% margin plus SOFR and a range of 0.85% to 1.60% margin plus SOFR, respectively, depending on our credit ratings, with an additional 0.10% adjustment. Additionally, the commitment fees under the Revolving Credit Facility and Delayed Draw Term Loan are calculated on a credit rating-based pricing grid with a range of</w:t>
      </w:r>
    </w:p>
    <w:p>
      <w:pPr>
        <w:ind w:left="340"/>
        <w:spacing w:after="0" w:line="241" w:lineRule="auto"/>
        <w:rPr>
          <w:rFonts w:ascii="Arial" w:cs="Arial" w:eastAsia="Arial" w:hAnsi="Arial"/>
          <w:sz w:val="13"/>
          <w:szCs w:val="13"/>
          <w:i w:val="1"/>
          <w:iCs w:val="1"/>
          <w:color w:val="auto"/>
        </w:rPr>
      </w:pPr>
      <w:r>
        <w:rPr>
          <w:rFonts w:ascii="Arial" w:cs="Arial" w:eastAsia="Arial" w:hAnsi="Arial"/>
          <w:sz w:val="14"/>
          <w:szCs w:val="14"/>
          <w:i w:val="1"/>
          <w:iCs w:val="1"/>
          <w:color w:val="auto"/>
        </w:rPr>
        <w:t>0.15% to 0.375%, for both instruments depending on our credit ratings. For the three months ended March 31, 2022, the commitment fees for both the Revolving Credit Facility and Delayed Draw Term Loan were 0.375%.</w:t>
      </w:r>
    </w:p>
    <w:p>
      <w:pPr>
        <w:ind w:left="320" w:hanging="312"/>
        <w:spacing w:after="0"/>
        <w:tabs>
          <w:tab w:leader="none" w:pos="32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1" w:lineRule="exact"/>
        <w:rPr>
          <w:rFonts w:ascii="Arial" w:cs="Arial" w:eastAsia="Arial" w:hAnsi="Arial"/>
          <w:sz w:val="14"/>
          <w:szCs w:val="14"/>
          <w:i w:val="1"/>
          <w:iCs w:val="1"/>
          <w:color w:val="auto"/>
        </w:rPr>
      </w:pPr>
    </w:p>
    <w:p>
      <w:pPr>
        <w:jc w:val="both"/>
        <w:ind w:left="340" w:hanging="332"/>
        <w:spacing w:after="0" w:line="248" w:lineRule="auto"/>
        <w:tabs>
          <w:tab w:leader="none" w:pos="332"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On February 8, 2022, we terminated the Secured Revolving Credit Facility (including the first priority lien on substantially all of VICI PropCo’s and its existing and subsequently acquired wholly owned material domestic restricted subsidiaries’ material assets) and the Existing Credit Agreement, and entered into the Credit Agreement providing for the Credit Facilities, as described below.</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380" w:type="dxa"/>
            <w:vAlign w:val="bottom"/>
          </w:tcPr>
          <w:p>
            <w:pPr>
              <w:jc w:val="center"/>
              <w:ind w:left="981"/>
              <w:spacing w:after="0"/>
              <w:rPr>
                <w:sz w:val="20"/>
                <w:szCs w:val="20"/>
                <w:color w:val="auto"/>
              </w:rPr>
            </w:pPr>
            <w:r>
              <w:rPr>
                <w:rFonts w:ascii="Arial" w:cs="Arial" w:eastAsia="Arial" w:hAnsi="Arial"/>
                <w:sz w:val="20"/>
                <w:szCs w:val="20"/>
                <w:b w:val="1"/>
                <w:bCs w:val="1"/>
                <w:color w:val="auto"/>
                <w:w w:val="99"/>
              </w:rPr>
              <w:t>VICI PROPERTIES INC. AND VICI PROPERTIES L.P.</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380" w:type="dxa"/>
            <w:vAlign w:val="bottom"/>
          </w:tcPr>
          <w:p>
            <w:pPr>
              <w:jc w:val="center"/>
              <w:ind w:left="981"/>
              <w:spacing w:after="0"/>
              <w:rPr>
                <w:sz w:val="20"/>
                <w:szCs w:val="20"/>
                <w:color w:val="auto"/>
              </w:rPr>
            </w:pPr>
            <w:r>
              <w:rPr>
                <w:rFonts w:ascii="Arial" w:cs="Arial" w:eastAsia="Arial" w:hAnsi="Arial"/>
                <w:sz w:val="20"/>
                <w:szCs w:val="20"/>
                <w:b w:val="1"/>
                <w:bCs w:val="1"/>
                <w:color w:val="auto"/>
                <w:w w:val="97"/>
              </w:rPr>
              <w:t>NOTES TO CONSOLIDATED FINANCIAL STATEMENTS (Continued)</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380" w:type="dxa"/>
            <w:vAlign w:val="bottom"/>
          </w:tcPr>
          <w:p>
            <w:pPr>
              <w:jc w:val="center"/>
              <w:ind w:left="961"/>
              <w:spacing w:after="0"/>
              <w:rPr>
                <w:sz w:val="20"/>
                <w:szCs w:val="20"/>
                <w:color w:val="auto"/>
              </w:rPr>
            </w:pPr>
            <w:r>
              <w:rPr>
                <w:rFonts w:ascii="Arial" w:cs="Arial" w:eastAsia="Arial" w:hAnsi="Arial"/>
                <w:sz w:val="20"/>
                <w:szCs w:val="20"/>
                <w:b w:val="1"/>
                <w:bCs w:val="1"/>
                <w:color w:val="auto"/>
              </w:rPr>
              <w:t>(UNAUDITED)</w:t>
            </w:r>
          </w:p>
        </w:tc>
        <w:tc>
          <w:tcPr>
            <w:tcW w:w="2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928"/>
        </w:trPr>
        <w:tc>
          <w:tcPr>
            <w:tcW w:w="9280" w:type="dxa"/>
            <w:vAlign w:val="bottom"/>
            <w:gridSpan w:val="3"/>
          </w:tcPr>
          <w:p>
            <w:pPr>
              <w:spacing w:after="0"/>
              <w:rPr>
                <w:sz w:val="20"/>
                <w:szCs w:val="20"/>
                <w:color w:val="auto"/>
              </w:rPr>
            </w:pPr>
            <w:r>
              <w:rPr>
                <w:rFonts w:ascii="Arial" w:cs="Arial" w:eastAsia="Arial" w:hAnsi="Arial"/>
                <w:sz w:val="18"/>
                <w:szCs w:val="18"/>
                <w:color w:val="auto"/>
              </w:rPr>
              <w:t>The following table is a schedule of future minimum payments of our debt obligations as of March 31, 2022:</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right"/>
              <w:ind w:right="272"/>
              <w:spacing w:after="0"/>
              <w:rPr>
                <w:sz w:val="20"/>
                <w:szCs w:val="20"/>
                <w:color w:val="auto"/>
              </w:rPr>
            </w:pPr>
            <w:r>
              <w:rPr>
                <w:rFonts w:ascii="Arial" w:cs="Arial" w:eastAsia="Arial" w:hAnsi="Arial"/>
                <w:sz w:val="16"/>
                <w:szCs w:val="16"/>
                <w:b w:val="1"/>
                <w:bCs w:val="1"/>
                <w:color w:val="auto"/>
              </w:rPr>
              <w:t>Future Minimum</w:t>
            </w:r>
          </w:p>
        </w:tc>
      </w:tr>
      <w:tr>
        <w:trPr>
          <w:trHeight w:val="175"/>
        </w:trPr>
        <w:tc>
          <w:tcPr>
            <w:tcW w:w="20" w:type="dxa"/>
            <w:vAlign w:val="bottom"/>
          </w:tcPr>
          <w:p>
            <w:pPr>
              <w:spacing w:after="0"/>
              <w:rPr>
                <w:sz w:val="15"/>
                <w:szCs w:val="15"/>
                <w:color w:val="auto"/>
              </w:rPr>
            </w:pPr>
          </w:p>
        </w:tc>
        <w:tc>
          <w:tcPr>
            <w:tcW w:w="9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5"/>
                <w:szCs w:val="15"/>
                <w:color w:val="auto"/>
              </w:rPr>
            </w:pPr>
          </w:p>
        </w:tc>
        <w:tc>
          <w:tcPr>
            <w:tcW w:w="1700" w:type="dxa"/>
            <w:vAlign w:val="bottom"/>
          </w:tcPr>
          <w:p>
            <w:pPr>
              <w:jc w:val="right"/>
              <w:ind w:right="552"/>
              <w:spacing w:after="0" w:line="175" w:lineRule="exact"/>
              <w:rPr>
                <w:sz w:val="20"/>
                <w:szCs w:val="20"/>
                <w:color w:val="auto"/>
              </w:rPr>
            </w:pPr>
            <w:r>
              <w:rPr>
                <w:rFonts w:ascii="Arial" w:cs="Arial" w:eastAsia="Arial" w:hAnsi="Arial"/>
                <w:sz w:val="16"/>
                <w:szCs w:val="16"/>
                <w:b w:val="1"/>
                <w:bCs w:val="1"/>
                <w:color w:val="auto"/>
              </w:rPr>
              <w:t>Payments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8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Total minimum repayments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5,350,000</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Notes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Subsequent to quarter-end, on April 29, 2022, the VICI Issuers issued $1,024.2 million in aggregate principal amount of 5.625% Senior Notes due 2024, $799.4 million in aggregate principal amount of 4.625% Senior Notes due 2025, $480.5 million in aggregate principal amount of 4.500% Senior Notes due 2026, $729.5 million in aggregate principal amount of 5.750% Senior Notes due 2027, $349.3 million in aggregate principal amount of 4.500% Senior Notes due 2028 and $727.1 million in aggregate principal amount of 3.875% Senior Notes due 2029 in exchange for the validly tendered and not validly withdrawn MGP OP Notes, originally issued by the MGP Issuers, pursuant to the settlement of the Exchange Offers and Consent Solicitations in connection with the closing of the MGP Transactions. The Exchange Notes were issued with the same interest rate, maturity date and redemption terms as the corresponding series of MGP OP Notes, in each case under a supplemental indenture dated as of April 29, 2022, between the VICI Issuers and UMB Bank, National Association, as trustee (the “Trustee”)</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on the Exchange Notes is payable semi-annually in cash in arrears on (i) May 1 and November 1 of each year, with respect to the Exchange Notes due 2024, (ii) June 15 and December 15 of each year, with respect to the Exchange Notes due 2025, (iii) March 1 and September 1 of each year, with respect to the Exchange Notes due 2026, (iv) February 1 and August 1 of each year, with respect to the Exchange Notes due 2027, (v) January 15 and July 15 of each year, with respect to the Exchange Notes due 2028, and (vi) February 15 and August 15 of each year, with respect to the Exchange Notes due 2029.</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Exchange Notes due 2025, 2026, 2027, 2028, and 2029 are redeemable at our option, in whole or in part, at any time on or after February 1, 2024, March 15, 2025, June 1, 2026, November 1, 2026, October 15, 2027 and November 15, 2028, respectively, at the redemption prices set forth in the respective indenture governing such Exchange Notes. We may redeem some or all of such notes prior to such respective dates at a price equal to 100% of the principal amount thereof plus a “make-whole” premium.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MGP OP Notes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Following the issuance of the Exchange Notes pursuant to the settlement of the Exchange Offers and Consent Solicitations, $25.8 million in aggregate principal amount of MGP OP Notes due 2024, $0.6 million in aggregate principal amount of MGP OP Notes due 2025, $19.5 million in aggregate principal amount of MGP OP Notes due 2026, $20.5 million in aggregate principal amount of MGP OP Notes due 2027, $0.7 million in aggregate principal amount of MGP OP Notes due 2028 and $22.9 million in aggregate principal amount of MGP OP Notes due 2029 remain outstanding.</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Interest on each series of the MGP OP Notes is payable semi-annually in cash in arrears on the same dates as set forth above with respect to the corresponding maturity series of the Exchange Notes. In addition, each series of the MGP OP Notes are redeemable at our option, in whole or in part, at any time on or after the same dates as set forth above with respect to the corresponding maturity series of the Exchange Notes. We may redeem some or all of such notes prior to such respective dates at a price equal to 100% of the principal amount thereof plus a “make-whole” premium.</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2022 Notes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Subsequent to quarter-end, on April 29, 2022, VICI LP, our wholly owned subsidiary, issued (i) $500.0 million in aggregate principal amount of 4.375% Senior Notes due 2025, which mature on May 15, 2025, (ii) $1,250.0 million in aggregate principal amount of 4.750% Senior Notes due 2028, which mature on February 15, 2028, (iii) $1,000.0 million in aggregate principal amount of 4.950% Senior Notes due 2030, which mature on February 15, 2030,</w:t>
      </w:r>
    </w:p>
    <w:p>
      <w:pPr>
        <w:spacing w:after="0" w:line="2" w:lineRule="exact"/>
        <w:rPr>
          <w:sz w:val="20"/>
          <w:szCs w:val="20"/>
          <w:color w:val="auto"/>
        </w:rPr>
      </w:pPr>
    </w:p>
    <w:p>
      <w:pPr>
        <w:jc w:val="both"/>
        <w:ind w:firstLine="8"/>
        <w:spacing w:after="0" w:line="292" w:lineRule="auto"/>
        <w:tabs>
          <w:tab w:leader="none" w:pos="307" w:val="left"/>
        </w:tabs>
        <w:numPr>
          <w:ilvl w:val="0"/>
          <w:numId w:val="23"/>
        </w:numPr>
        <w:rPr>
          <w:rFonts w:ascii="Arial" w:cs="Arial" w:eastAsia="Arial" w:hAnsi="Arial"/>
          <w:sz w:val="16"/>
          <w:szCs w:val="16"/>
          <w:color w:val="auto"/>
        </w:rPr>
      </w:pPr>
      <w:r>
        <w:rPr>
          <w:rFonts w:ascii="Arial" w:cs="Arial" w:eastAsia="Arial" w:hAnsi="Arial"/>
          <w:sz w:val="16"/>
          <w:szCs w:val="16"/>
          <w:color w:val="auto"/>
        </w:rPr>
        <w:t>$1,500.0 million in aggregate principal amount of 5.125% Senior Notes due 2032, which mature on May 15, 2032, and (v) $750.0 million in aggregate principal amount of 5.625% Senior Notes due 2052, which mature on May 15, 2052, (collectively, the “April 2022 Notes”) in each case under a supplemental indenture dated as of April 29, 2022, between VICI LP and the Trustee. We used the net proceeds of the offering to (i) fund the consideration for the redemption of a majority of the VICI OP Units received by MGM in the Partnership Merger for $4,404.0 million in cash in connection with the closing of the MGP Transactions on April 29, 2022, and (ii) pay down the outstanding $600.0 million balance on our Revolving Credit Facility.</w:t>
      </w:r>
    </w:p>
    <w:p>
      <w:pPr>
        <w:spacing w:after="0" w:line="1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Interest on the April 2022 Notes due 2025, 2028 and 2052 is payable semi-annually in cash in arrears on May 15 and November 15 of each year. Interest on the April 2022 Notes due 2028 and 2030 is payable semi-annually in cash in arrears on February 15 and August 15 of each year. Prior to their maturity date, in the case of the April 2022 Notes due 2025, and January 15, 2028 (one month prior to the maturity date of the April 2022 Notes due 2028), December 15, 2029 (two months prior to the maturity date of the April 2022 Notes due 2030), February 15, 2032 (three months prior to the maturity date of the April 2022 Notes due 2032) and November 15, 2051 (six months prior to the maturity date of the April 2022 Notes due 2052), respectively, in the case of the April 2022 Notes due 2028, 2030, 2032 and 2052, we may redeem the April 2022 Notes at our option, in whole or in part, at any time and from time to time, at a price equal to 100% of the principal amount thereof plus a “make-whole” premium. On or after January 15, 2028, December 15, 2029, February 15, 2032 and November 15, 2051, respectively, we may redeem the April 2022 Notes due 2028, 2030, 2032 and 2052 at a redemption price equal to 100% of the principal amount of such Notes to be redeemed, plus accrued and unpaid interest thereon to the redemption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Notes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26, 2019, the VICI Issuers issued (i) $1,250.0 million in aggregate principal amount of 4.250% Senior Notes due 2026, which mature on December 1, 2026, and (ii) $1,000.0 million in aggregate principal amount of 4.625% Senior Notes due 2029, which mature on December 1, 2029 (collectively, the “November 2019 Notes”), under separate indentures, each dated as of November 26, 2019, among the VICI Issuers, the subsidiary guarantors party thereto and the Trustee.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on the November 2019 Notes is payable semi-annually in cash in arrears on June 1 and December 1 of each year. The November 2019 Notes due 2026 and 2029 are redeemable at our option, in whole or in part, at any time on or after December 1, 2022 and December 1, 2024, respectively, at the redemption prices set forth in the respective indenture. We may redeem some or all of the November 2019 Notes due 2026 or 2029 prior to such respective dates at a price equal to 100% of the principal amount thereof plus a “make-whole” premium. Prior to December 1, 2022, we may redeem up to 40% of the aggregate principal amount of the November 2019 Notes due 2026 or 2029 using the proceeds of certain equity offerings at the redemption price set forth in the respective indenture.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Notes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5, 2020, the VICI Issuers issued (i) $750.0 million in aggregate principal amount of 3.500% Senior Notes due 2025, which mature on February 15, 2025, (ii) $750.0 million in aggregate principal amount of 3.750% Senior Notes due 2027, which mature on February 15, 2027, and (iii) $1,000.0 million in aggregate principal amount of 4.125% Senior Notes due 2030, which mature on August 15, 2030 (collectively, the “February 2020 Notes”), under separate indentures, each dated as of February 5, 2020, among the VICI Issuers, the subsidiary guarantors party thereto and the Trustee.</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on the February 2020 Notes is payable semi-annually in cash in arrears on February 15 and August 15 of each year. The February 2020 Notes due 2025, 2027 and 2030 are redeemable at our option, in whole or in part, at any time on or after February 15, 2022, February 15, 2023, and February 15, 2025, respectively, at the redemption prices set forth in the respective indenture. We may redeem some or all of the February 2020 Notes due 2025, 2027 and 2030 prior to such respective dates at a price equal to 100% of the principal amount thereof plus a “make-whole” premium. Prior to February 15, 2022, with respect to the February 2020 Notes due 2025, and February 15, 2023, with respect to the February 2020 Notes due 2027 and 2030, we may redeem up to 40% of the aggregate principal amount of the February 2020 Notes due 2025, 2027 and 2030 using the proceeds of certain equity offerings at the redemption price set forth in the respective indenture.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and 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None of the Senior Unsecured Notes are guaranteed by any subsidiaries of VICI LP. The Exchange Notes, the MGP OP Notes and the April 2022 Notes benefit from a pledge of the limited partnership interests of VICI LP directly owned by VICI OP (the “Limited Equity Pledge”). The Limited Equity Pledge has also been granted in favor of (i) the administrative agent and the lenders under the Credit Agreement and (ii) the trustee under the indentures governing, and the holders of, the November 2019 Notes and the February 2020 Notes.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Until February 8, 2022, the November 2019 Notes and February 2020 Notes were fully and unconditionally guaranteed, jointly and severally, on a senior unsecured basis by each guaranteed indebtedness under the Existing Credit Agreement. All subsidiary guarantees were released upon the termination of the Existing Credit Agreement concurrently with the execution of the Credit Agreement on February 8, 2022.</w:t>
      </w:r>
    </w:p>
    <w:p>
      <w:pPr>
        <w:spacing w:after="0" w:line="130"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VICI LP and its subsidiaries represent our “Real Property Business” segment, with the “Golf Course Business” segment corresponding to the portion of our business operated through entities that are not direct or indirect subsidiaries of VICI LP or obligors of the November 2019 Notes, February 2020 Notes and Exchange Notes. Refer to </w:t>
      </w:r>
      <w:hyperlink w:anchor="page50">
        <w:r>
          <w:rPr>
            <w:rFonts w:ascii="Arial" w:cs="Arial" w:eastAsia="Arial" w:hAnsi="Arial"/>
            <w:sz w:val="18"/>
            <w:szCs w:val="18"/>
            <w:u w:val="single" w:color="auto"/>
            <w:color w:val="0000FF"/>
          </w:rPr>
          <w:t>Note 14 - Segment Information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about our segments.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respective indentures governing the November 2019 Notes, February 2020 Notes and Exchange Notes each contain covenants that limit the VICI LP’s and its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 restricted subsidiaries; (vi) create liens on certain assets to secure debt; (vii) consolidate, merge, sell or otherwise dispose of all or substantially all of the VICI Issuers’ assets; (viii) enter into certain transactions with their affiliates; and (ix) designate restricted subsidiaries as unrestricted subsidiaries. These covenants are subject to a number of exceptions and qualifications, including the ability to declare or pay any cash dividend or make any cash distribution to VICI to the extent necessary for VICI to fund a dividend or distribution by VICI that it believes is necessary to maintain its status as a REIT or to avoid payment of any tax for any calendar year that could be avoided by reason of such distribution, and the ability to make certain restricted payments not to exceed 95% of our cumulative Funds From Operations (as defined in the respective indentures), plus the aggregate net proceeds from (i) the sale of certain equity interests in, (ii) capital contributions to, and (iii) the issuance of certain convertible indebtedness of VICI LP. As of March 31, 2022, the restricted net assets of VICI LP were approximately $7.5 billion.</w:t>
      </w:r>
    </w:p>
    <w:p>
      <w:pPr>
        <w:spacing w:after="0" w:line="12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are no longer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 governing the April 2022 Notes contains certain covenants that limit the ability of VICI LP and its subsidiaries to incur secured and unsecured indebtedness and VICI LP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Credit Facilities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8, 2022, VICI LP entered into the Credit Agreement providing for (i) the Revolving Credit Facility in the amount of $2.5 billion scheduled to mature on March 31, 2026 and (ii) the Delayed Draw Term Loan in the amount of $1.0 billion scheduled to mature on March 31, 2025. The Revolving Credit Facility includes two six-month maturity extension options and the Delayed Draw Term Loan includes two twelve-month extension options, in each case, the exercise of which is subject to customary conditions and the payment of an extension fee of 0.0625% on the extended commitments, in the case of each six-month extension of the Revolving Credit Facility, and 0.125% on the extended term loans, in the case of each twelve-month extension of the Delayed Draw Term Loan. The Credit Facilities include the option to increase the revolving loan commitments by up to $1.0 billion and increase the delayed draw term loan commitments or add one or more new tranches of term loans by up to $1.0 billion in the aggregate, in each case, to the extent that any one or more lenders (from the syndicate or otherwise) agree to provide such additional credit extensions.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Borrowings under the Credit Facilities will bear interest, at VICI LP’s option, (i) with respect to the Revolving Credit Facility, at a rate based on SOFR (including a credit spread adjustment) plus a margin ranging from 0.775% to 1.325% or a base rate plus a margin ranging from 0.00% to 0.325%, in each case, with the actual margin determined according to VICI LP’s debt ratings, and (ii) with respect to the Delayed Draw Term Loan, at a rate based on SOFR (including a credit spread adjustment) plus a margin ranging from 0.85% to 1.60% or a base rate plus a margin ranging from 0.00% to 0.60%, in each case, with the actual margin determined according to VICI LP’s debt ratings. The base rate is the highest of (i) the prime rate of interest last quoted by the Wall Street Journal in the U.S. then in effect, (ii) the NYFRB rate from time to time plus 0.5% and (iii) the SOFR rate for a one-month interest period plus 1.0%, subject in each case to a floor of 1.0%. In addition, the Revolving Credit Facility requires the payment of a facility fee ranging from 0.15% to 0.375% (depending on VICI LP’s debt rating) of total revolving commitments.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the terms of the Credit Agreement, VICI LP is subject to, among other things, customary covenants and the maintenance of various financial covenants. The Credit Agreement is consistent with certain tax-related requirements related to security for the Company’s debt.</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18, 2022, we drew on the Revolving Credit Facility in the amount of $600.0 million to fund a portion of the purchase price of the Venetian Acquisition. Subsequent to quarter-end, on April 29, 2022 we repaid the outstanding balance of the Revolving Credit Facility using the proceeds from the April 2022 Notes.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2017, VICI PropCo entered into a credit agreement (as amended, amended and restated and otherwise modified, the “2017 Credit Agreement”), which was subsequently amended and restated in May 2019 and amended in January 2020, comprised of a $2.2 billion Term Loan B Facility and a $1.0 billion Secured Revolving Credit Facility (the Term Loan B Facility and the Secured Revolving Credit Facility, as amended, are referred to together as the “Senior Secured Credit Facilities”). The Senior Secured Credit Facilities were secured by a first priority lien on substantially all of VICI PropCo’s material assets (and those of its existing and subsequently acquired wholly owned material domestic restricted subsidiaries), including mortgages on their respective real estate, subject to customary exclusions. VICI was not subject to the covenants of the 2017 Credit Agreement nor was VICI a guarantor of the Senior Secured Credit Facilities.</w:t>
      </w:r>
    </w:p>
    <w:p>
      <w:pPr>
        <w:spacing w:after="0" w:line="141" w:lineRule="exact"/>
        <w:rPr>
          <w:sz w:val="20"/>
          <w:szCs w:val="20"/>
          <w:color w:val="auto"/>
        </w:rPr>
      </w:pPr>
    </w:p>
    <w:p>
      <w:pPr>
        <w:jc w:val="both"/>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On September 15, 2021, we used the proceeds from the settlement of the June 2020 Forward Sale Agreement (as defined in </w:t>
      </w:r>
      <w:hyperlink w:anchor="page45">
        <w:r>
          <w:rPr>
            <w:rFonts w:ascii="Arial" w:cs="Arial" w:eastAsia="Arial" w:hAnsi="Arial"/>
            <w:sz w:val="17"/>
            <w:szCs w:val="17"/>
            <w:u w:val="single" w:color="auto"/>
            <w:color w:val="0000FF"/>
          </w:rPr>
          <w:t>Note 11- Stockholders’ Equity</w:t>
        </w:r>
      </w:hyperlink>
      <w:r>
        <w:rPr>
          <w:rFonts w:ascii="Arial" w:cs="Arial" w:eastAsia="Arial" w:hAnsi="Arial"/>
          <w:sz w:val="17"/>
          <w:szCs w:val="17"/>
          <w:color w:val="auto"/>
        </w:rPr>
        <w:t>) and the proceeds from the issuance of 65,000,000 shares of common stock from the September 2021 equity offering to repay in full the Term Loan B Facility, including outstanding accrued interest. In connection with the full repayment, we recognized a loss on extinguishment of debt of $15.6 million during the year ended December 31, 2021, representing the write-off of the remaining unamortized deferred financing costs. Following the repayment in full of the Term Loan B Facility, the Secured Revolving Credit Facility remained in effect pursuant to the 2017 Credit Agreement.</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8, 2022, we terminated the Secured Revolving Credit Facility (including the first priority lien on substantially all of VICI PropCo’s material assets and those of its existing and subsequently acquired wholly owned material domestic restricted subsidiaries) and the 2017 Credit Agreement, and entered into the Credit Agreement providing for the Credit Facilities, as described above.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MGP Transactions Bridge Facility</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4, 2021, in connection with the completion of the MGP Transactions, VICI PropCo entered into a Commitment Letter (the “MGP Transactions Commitment Letter”) with Morgan Stanley Senior Funding, Inc., JPMorgan Chase Bank, N.A. and Citigroup Global Markets Inc. (collectively, the “MGP Transactions Bridge Lender”), pursuant to which, and subject to the terms and conditions set forth therein, the MGP Transactions Bridge Lender provided commitments in an amount up to $9.3 billion in the aggregate, consisting of a 364-day first lien secured bridge facility (the “MGP Transactions Bridge Facility”), for the purpose of providing a portion of the financing necessary to fund (i) the consideration to be paid in connection with the Redemption pursuant to the terms of the MGP Master Transaction Agreement, (ii) amounts to be paid in connection with offers to repurchase the MGP OP Notes pursuant to their respective indentures if the assumption of such notes by VICI LP in the Mergers is unsuccessful and (iii) related fees and expenses. On September 23, 2021, following the successful early tender results and participation of the Exchange Offers and Consent Solicitations, the execution of the MGP OP Supplemental Indentures and the elimination of the change of control covenants in connection therewith, $4,242.0 million in committed financing (representing the second tranche of the MGP Transactions Bridge Facility) was terminated in accordance with the terms of the MGP Transactions Commitment Letter. Subsequent to quarter-end, on April 29, 2022, the remaining commitments under the MGP Transactions Bridge Facility were fully terminated in connection with the closing of the MGP Transactions.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MGP Transactions Bridge Facility was subject to a tiered commitment fee based on the period the commitment is outstanding and a structuring fee. For the three months ended March 31, 2022, we recognized $11.5 million of fees related to the MGP Transactions Bridge Facility in Interest expense on our Statement of Operations. We did not recognize any such amount for the three months ended March 31, 2021 since the MGP Transactions Bridge Facility was entered into on August 4,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Acquisition Bridge Facility</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2, 2021, in connection with the Venetian Acquisition, VICI PropCo entered into a Commitment Letter (the “Venetian Acquisition Commitment Letter”) with Deutsche Bank Securities Inc. and Deutsche Bank AG Cayman Islands Branch, and Morgan Stanley Senior Funding, Inc. (collectively, the “Venetian Acquisition Bridge Lender”), pursuant to which, and subject to the terms and conditions set forth therein, the Venetian Acquisition Bridge Lender has provided commitments in an amount up to $4.0 billion in the aggregate, consisting of a 364-day first lien secured bridge facility (the “Venetian Acquisition Bridge Facility”), for the purpose of providing a portion of the financing necessary to fund the consideration in connection with the Venetian PropCo Acquisition. On March 8, 2021, following the entry into the March 2021 Forward Sale Agreements, the commitments under the Venetian Acquisition Bridge Facility were reduced by $1,890.0 million. On December 13, 2021, the commitments under Venetian Bridge Acquisition Facility were reduced by an additional $1,410.0 million. On February 23, 2022, the remaining commitments under the Venetian Acquisition Bridge Facility were fully terminated in connection with the closing of the Venetian Acquisition.</w:t>
      </w:r>
    </w:p>
    <w:p>
      <w:pPr>
        <w:spacing w:after="0" w:line="12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Venetian Acquisition Bridge Facility was subject to a tiered commitment fee based on the period the commitment is outstanding and a structuring fee. For the three months ended March 31, 2022 and 2021, we recognized $1.0 million and $2.4 million, respectively, of fees related to the Venetian Acquisition Bridge Facility in Interest expense on our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VICI LP,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March 31, 2022, we are in compliance with all financial covenants under our debt obligations.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Derivatives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From December 2021 through March 2022, we entered into five forward-starting interest rate swap agreements with a notional amount of $2.5 billion to hedge against changes in future cash flows resulting from changes in interest rates from the trade date through the forecasted issuance date of $2.5 billion of long-term debt. We hedged our exposure to the variability in future cash flows for a forecasted issuance of long-term debt over a maximum period ending December 2023. The forward-starting interest rate swap were designated as cash-flow hedges. In April 2022, we entered into two U.S. Treasury Rate Lock agreements with a notional amount of $500.0 million to hedge against the changes in future cash flows resulting from changes in interest rates from the trade date through the forecasted issuance date of $500.0 million of long term debt. The treasury locks were designated as cash-flow hedges. Subsequent to quarter-end, in connection with the April 2022 Notes offering we settled the outstanding forward-starting interest rate swaps for total proceeds of $202.3 million and the treasury locks for total proceeds of $4.5 million. Since the forward-starting swaps and treasury locks were hedging the interest rate risk on the April 2022 Notes, the unrealized gain in Accumulated other comprehensive income will be amortized over the term of the respective derivative instruments, which matches that of the underlying note, as a reduction in interest expense.</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2018 and January 2019, we entered into six interest rate swap agreements with third party financial institutions having an aggregate notional amount of $2.0 billion. The interest rate swap transactions were designated as cash flow hedges that effectively fix the LIBOR component of the interest rate on a portion of the outstanding debt under the Term Loan B Facility at 2.8297%. On September 15, 2021, in connection with the full repayment of the Term Loan B Facility, we unwound and settled all of our outstanding interest rate swap agreements resulting in a cash payment of $66.9 million, inclusive of accrued interest of $2.7 million. As the Term Loan B Facility was repaid in full with proceeds from the issuance of 65,000,000 shares of common stock on September 14, 2021 and proceeds from the settlement of the June 2020 Forward Sale Agreement with no replacement debt, the full amount held in Other comprehensive income, $64.2 million, was immediately reclassified to Interest expense.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our outstanding interest rate derivatives that were designated as cash flow hedges of interest rate risk as of March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0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jc w:val="center"/>
              <w:ind w:right="700"/>
              <w:spacing w:after="0"/>
              <w:rPr>
                <w:sz w:val="20"/>
                <w:szCs w:val="20"/>
                <w:color w:val="auto"/>
              </w:rPr>
            </w:pPr>
            <w:r>
              <w:rPr>
                <w:rFonts w:ascii="Arial" w:cs="Arial" w:eastAsia="Arial" w:hAnsi="Arial"/>
                <w:sz w:val="16"/>
                <w:szCs w:val="16"/>
                <w:b w:val="1"/>
                <w:bCs w:val="1"/>
                <w:color w:val="auto"/>
                <w:w w:val="93"/>
              </w:rPr>
              <w:t>March 31, 2022</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Instrument</w:t>
            </w:r>
          </w:p>
        </w:tc>
        <w:tc>
          <w:tcPr>
            <w:tcW w:w="100" w:type="dxa"/>
            <w:vAlign w:val="bottom"/>
            <w:vMerge w:val="restart"/>
          </w:tcPr>
          <w:p>
            <w:pPr>
              <w:spacing w:after="0"/>
              <w:rPr>
                <w:sz w:val="13"/>
                <w:szCs w:val="13"/>
                <w:color w:val="auto"/>
              </w:rPr>
            </w:pPr>
          </w:p>
        </w:tc>
        <w:tc>
          <w:tcPr>
            <w:tcW w:w="15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2"/>
              </w:rPr>
              <w:t>Number of</w:t>
            </w: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Fixed Rate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54"/>
              <w:spacing w:after="0"/>
              <w:rPr>
                <w:sz w:val="20"/>
                <w:szCs w:val="20"/>
                <w:color w:val="auto"/>
              </w:rPr>
            </w:pPr>
            <w:r>
              <w:rPr>
                <w:rFonts w:ascii="Arial" w:cs="Arial" w:eastAsia="Arial" w:hAnsi="Arial"/>
                <w:sz w:val="16"/>
                <w:szCs w:val="16"/>
                <w:b w:val="1"/>
                <w:bCs w:val="1"/>
                <w:color w:val="auto"/>
              </w:rPr>
              <w:t>Notional</w:t>
            </w:r>
          </w:p>
        </w:tc>
        <w:tc>
          <w:tcPr>
            <w:tcW w:w="100" w:type="dxa"/>
            <w:vAlign w:val="bottom"/>
            <w:vMerge w:val="restart"/>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Index</w:t>
            </w:r>
          </w:p>
        </w:tc>
        <w:tc>
          <w:tcPr>
            <w:tcW w:w="120" w:type="dxa"/>
            <w:vAlign w:val="bottom"/>
            <w:vMerge w:val="restart"/>
          </w:tcPr>
          <w:p>
            <w:pPr>
              <w:spacing w:after="0"/>
              <w:rPr>
                <w:sz w:val="13"/>
                <w:szCs w:val="13"/>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Instruments</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6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Forward-starting interest rate swap</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1.3465%</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0"/>
              </w:rPr>
              <w:t>USD SOFR-</w:t>
            </w:r>
          </w:p>
        </w:tc>
        <w:tc>
          <w:tcPr>
            <w:tcW w:w="120" w:type="dxa"/>
            <w:vAlign w:val="bottom"/>
            <w:shd w:val="clear" w:color="auto" w:fill="CCEEFF"/>
          </w:tcPr>
          <w:p>
            <w:pPr>
              <w:spacing w:after="0"/>
              <w:rPr>
                <w:sz w:val="14"/>
                <w:szCs w:val="14"/>
                <w:color w:val="auto"/>
              </w:rPr>
            </w:pPr>
          </w:p>
        </w:tc>
        <w:tc>
          <w:tcPr>
            <w:tcW w:w="2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May 2, 2032</w:t>
            </w:r>
          </w:p>
        </w:tc>
        <w:tc>
          <w:tcPr>
            <w:tcW w:w="0" w:type="dxa"/>
            <w:vAlign w:val="bottom"/>
          </w:tcPr>
          <w:p>
            <w:pPr>
              <w:spacing w:after="0"/>
              <w:rPr>
                <w:sz w:val="1"/>
                <w:szCs w:val="1"/>
                <w:color w:val="auto"/>
              </w:rPr>
            </w:pPr>
          </w:p>
        </w:tc>
      </w:tr>
      <w:tr>
        <w:trPr>
          <w:trHeight w:val="230"/>
        </w:trPr>
        <w:tc>
          <w:tcPr>
            <w:tcW w:w="3600" w:type="dxa"/>
            <w:vAlign w:val="bottom"/>
            <w:gridSpan w:val="3"/>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COMPOUND</w:t>
            </w:r>
          </w:p>
        </w:tc>
        <w:tc>
          <w:tcPr>
            <w:tcW w:w="2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0" w:type="dxa"/>
            <w:vAlign w:val="bottom"/>
            <w:gridSpan w:val="3"/>
            <w:vMerge w:val="restart"/>
          </w:tcPr>
          <w:p>
            <w:pPr>
              <w:spacing w:after="0"/>
              <w:rPr>
                <w:sz w:val="20"/>
                <w:szCs w:val="20"/>
                <w:color w:val="auto"/>
              </w:rPr>
            </w:pPr>
            <w:r>
              <w:rPr>
                <w:rFonts w:ascii="Arial" w:cs="Arial" w:eastAsia="Arial" w:hAnsi="Arial"/>
                <w:sz w:val="18"/>
                <w:szCs w:val="18"/>
                <w:color w:val="auto"/>
              </w:rPr>
              <w:t>Forward-starting interest rate swap</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0"/>
              </w:rPr>
              <w:t>1.6827%</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5"/>
                <w:szCs w:val="15"/>
                <w:color w:val="auto"/>
              </w:rPr>
            </w:pPr>
          </w:p>
        </w:tc>
        <w:tc>
          <w:tcPr>
            <w:tcW w:w="15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USD-SOFR-</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2"/>
              </w:rPr>
              <w:t>May 2, 2032</w:t>
            </w:r>
          </w:p>
        </w:tc>
        <w:tc>
          <w:tcPr>
            <w:tcW w:w="0" w:type="dxa"/>
            <w:vAlign w:val="bottom"/>
          </w:tcPr>
          <w:p>
            <w:pPr>
              <w:spacing w:after="0"/>
              <w:rPr>
                <w:sz w:val="1"/>
                <w:szCs w:val="1"/>
                <w:color w:val="auto"/>
              </w:rPr>
            </w:pPr>
          </w:p>
        </w:tc>
      </w:tr>
      <w:tr>
        <w:trPr>
          <w:trHeight w:val="230"/>
        </w:trPr>
        <w:tc>
          <w:tcPr>
            <w:tcW w:w="3600" w:type="dxa"/>
            <w:vAlign w:val="bottom"/>
            <w:gridSpan w:val="3"/>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COMPOUND</w:t>
            </w: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Forward-starting interest rate swap</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1.6390%</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3"/>
              </w:rPr>
              <w:t>USD-SOFR-</w:t>
            </w:r>
          </w:p>
        </w:tc>
        <w:tc>
          <w:tcPr>
            <w:tcW w:w="2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May 2, 2032</w:t>
            </w:r>
          </w:p>
        </w:tc>
        <w:tc>
          <w:tcPr>
            <w:tcW w:w="0" w:type="dxa"/>
            <w:vAlign w:val="bottom"/>
          </w:tcPr>
          <w:p>
            <w:pPr>
              <w:spacing w:after="0"/>
              <w:rPr>
                <w:sz w:val="1"/>
                <w:szCs w:val="1"/>
                <w:color w:val="auto"/>
              </w:rPr>
            </w:pPr>
          </w:p>
        </w:tc>
      </w:tr>
      <w:tr>
        <w:trPr>
          <w:trHeight w:val="230"/>
        </w:trPr>
        <w:tc>
          <w:tcPr>
            <w:tcW w:w="3600" w:type="dxa"/>
            <w:vAlign w:val="bottom"/>
            <w:gridSpan w:val="3"/>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COMPOUND</w:t>
            </w:r>
          </w:p>
        </w:tc>
        <w:tc>
          <w:tcPr>
            <w:tcW w:w="2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0" w:type="dxa"/>
            <w:vAlign w:val="bottom"/>
            <w:gridSpan w:val="3"/>
            <w:vMerge w:val="restart"/>
          </w:tcPr>
          <w:p>
            <w:pPr>
              <w:spacing w:after="0"/>
              <w:rPr>
                <w:sz w:val="20"/>
                <w:szCs w:val="20"/>
                <w:color w:val="auto"/>
              </w:rPr>
            </w:pPr>
            <w:r>
              <w:rPr>
                <w:rFonts w:ascii="Arial" w:cs="Arial" w:eastAsia="Arial" w:hAnsi="Arial"/>
                <w:sz w:val="18"/>
                <w:szCs w:val="18"/>
                <w:color w:val="auto"/>
              </w:rPr>
              <w:t>Forward-starting interest rate swap</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0"/>
              </w:rPr>
              <w:t>1.6900%</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5"/>
                <w:szCs w:val="15"/>
                <w:color w:val="auto"/>
              </w:rPr>
            </w:pPr>
          </w:p>
        </w:tc>
        <w:tc>
          <w:tcPr>
            <w:tcW w:w="15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USD-SOFR-</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2"/>
              </w:rPr>
              <w:t>May 2, 2027</w:t>
            </w:r>
          </w:p>
        </w:tc>
        <w:tc>
          <w:tcPr>
            <w:tcW w:w="0" w:type="dxa"/>
            <w:vAlign w:val="bottom"/>
          </w:tcPr>
          <w:p>
            <w:pPr>
              <w:spacing w:after="0"/>
              <w:rPr>
                <w:sz w:val="1"/>
                <w:szCs w:val="1"/>
                <w:color w:val="auto"/>
              </w:rPr>
            </w:pPr>
          </w:p>
        </w:tc>
      </w:tr>
      <w:tr>
        <w:trPr>
          <w:trHeight w:val="230"/>
        </w:trPr>
        <w:tc>
          <w:tcPr>
            <w:tcW w:w="3600" w:type="dxa"/>
            <w:vAlign w:val="bottom"/>
            <w:gridSpan w:val="3"/>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COMPOUND</w:t>
            </w: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Forward-starting interest rate swap</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1.5850%</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3"/>
              </w:rPr>
              <w:t>USD-SOFR-</w:t>
            </w:r>
          </w:p>
        </w:tc>
        <w:tc>
          <w:tcPr>
            <w:tcW w:w="2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May 2, 2029</w:t>
            </w:r>
          </w:p>
        </w:tc>
        <w:tc>
          <w:tcPr>
            <w:tcW w:w="0" w:type="dxa"/>
            <w:vAlign w:val="bottom"/>
          </w:tcPr>
          <w:p>
            <w:pPr>
              <w:spacing w:after="0"/>
              <w:rPr>
                <w:sz w:val="1"/>
                <w:szCs w:val="1"/>
                <w:color w:val="auto"/>
              </w:rPr>
            </w:pPr>
          </w:p>
        </w:tc>
      </w:tr>
      <w:tr>
        <w:trPr>
          <w:trHeight w:val="230"/>
        </w:trPr>
        <w:tc>
          <w:tcPr>
            <w:tcW w:w="3600" w:type="dxa"/>
            <w:vAlign w:val="bottom"/>
            <w:gridSpan w:val="3"/>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COMPOUND</w:t>
            </w:r>
          </w:p>
        </w:tc>
        <w:tc>
          <w:tcPr>
            <w:tcW w:w="2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360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4"/>
          </w:tcPr>
          <w:p>
            <w:pPr>
              <w:jc w:val="center"/>
              <w:ind w:right="700"/>
              <w:spacing w:after="0"/>
              <w:rPr>
                <w:sz w:val="20"/>
                <w:szCs w:val="20"/>
                <w:color w:val="auto"/>
              </w:rPr>
            </w:pPr>
            <w:r>
              <w:rPr>
                <w:rFonts w:ascii="Arial" w:cs="Arial" w:eastAsia="Arial" w:hAnsi="Arial"/>
                <w:sz w:val="16"/>
                <w:szCs w:val="16"/>
                <w:b w:val="1"/>
                <w:bCs w:val="1"/>
                <w:color w:val="auto"/>
                <w:w w:val="90"/>
              </w:rPr>
              <w:t>December 31, 2021</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Instrument</w:t>
            </w:r>
          </w:p>
        </w:tc>
        <w:tc>
          <w:tcPr>
            <w:tcW w:w="100" w:type="dxa"/>
            <w:vAlign w:val="bottom"/>
            <w:vMerge w:val="restart"/>
          </w:tcPr>
          <w:p>
            <w:pPr>
              <w:spacing w:after="0"/>
              <w:rPr>
                <w:sz w:val="13"/>
                <w:szCs w:val="13"/>
                <w:color w:val="auto"/>
              </w:rPr>
            </w:pPr>
          </w:p>
        </w:tc>
        <w:tc>
          <w:tcPr>
            <w:tcW w:w="15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2"/>
              </w:rPr>
              <w:t>Number of</w:t>
            </w: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Fixed Rate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54"/>
              <w:spacing w:after="0"/>
              <w:rPr>
                <w:sz w:val="20"/>
                <w:szCs w:val="20"/>
                <w:color w:val="auto"/>
              </w:rPr>
            </w:pPr>
            <w:r>
              <w:rPr>
                <w:rFonts w:ascii="Arial" w:cs="Arial" w:eastAsia="Arial" w:hAnsi="Arial"/>
                <w:sz w:val="16"/>
                <w:szCs w:val="16"/>
                <w:b w:val="1"/>
                <w:bCs w:val="1"/>
                <w:color w:val="auto"/>
              </w:rPr>
              <w:t>Notional</w:t>
            </w:r>
          </w:p>
        </w:tc>
        <w:tc>
          <w:tcPr>
            <w:tcW w:w="100" w:type="dxa"/>
            <w:vAlign w:val="bottom"/>
            <w:vMerge w:val="restart"/>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Index</w:t>
            </w:r>
          </w:p>
        </w:tc>
        <w:tc>
          <w:tcPr>
            <w:tcW w:w="120" w:type="dxa"/>
            <w:vAlign w:val="bottom"/>
            <w:vMerge w:val="restart"/>
          </w:tcPr>
          <w:p>
            <w:pPr>
              <w:spacing w:after="0"/>
              <w:rPr>
                <w:sz w:val="13"/>
                <w:szCs w:val="13"/>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Instruments</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6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Forward-starting interest rate swap</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1.3465%</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0"/>
              </w:rPr>
              <w:t>USD SOFR-</w:t>
            </w:r>
          </w:p>
        </w:tc>
        <w:tc>
          <w:tcPr>
            <w:tcW w:w="120" w:type="dxa"/>
            <w:vAlign w:val="bottom"/>
            <w:shd w:val="clear" w:color="auto" w:fill="CCEEFF"/>
          </w:tcPr>
          <w:p>
            <w:pPr>
              <w:spacing w:after="0"/>
              <w:rPr>
                <w:sz w:val="14"/>
                <w:szCs w:val="14"/>
                <w:color w:val="auto"/>
              </w:rPr>
            </w:pPr>
          </w:p>
        </w:tc>
        <w:tc>
          <w:tcPr>
            <w:tcW w:w="2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May 2, 2032</w:t>
            </w:r>
          </w:p>
        </w:tc>
        <w:tc>
          <w:tcPr>
            <w:tcW w:w="0" w:type="dxa"/>
            <w:vAlign w:val="bottom"/>
          </w:tcPr>
          <w:p>
            <w:pPr>
              <w:spacing w:after="0"/>
              <w:rPr>
                <w:sz w:val="1"/>
                <w:szCs w:val="1"/>
                <w:color w:val="auto"/>
              </w:rPr>
            </w:pPr>
          </w:p>
        </w:tc>
      </w:tr>
      <w:tr>
        <w:trPr>
          <w:trHeight w:val="230"/>
        </w:trPr>
        <w:tc>
          <w:tcPr>
            <w:tcW w:w="3600" w:type="dxa"/>
            <w:vAlign w:val="bottom"/>
            <w:gridSpan w:val="3"/>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COMPOUND</w:t>
            </w:r>
          </w:p>
        </w:tc>
        <w:tc>
          <w:tcPr>
            <w:tcW w:w="2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the interest rate swaps were in an unrealized gain position and were recorded within Other assets. The following table presents the effect of our derivative financial instruments on our Statement of Operations:</w:t>
      </w:r>
    </w:p>
    <w:p>
      <w:pPr>
        <w:spacing w:after="0" w:line="103"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94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853"/>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853"/>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recorded in other comprehensive income</w:t>
            </w:r>
          </w:p>
        </w:tc>
        <w:tc>
          <w:tcPr>
            <w:tcW w:w="19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w:t>
            </w:r>
          </w:p>
        </w:tc>
      </w:tr>
      <w:tr>
        <w:trPr>
          <w:trHeight w:val="230"/>
        </w:trPr>
        <w:tc>
          <w:tcPr>
            <w:tcW w:w="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Interest recorded in interest expense</w:t>
            </w:r>
          </w:p>
        </w:tc>
        <w:tc>
          <w:tcPr>
            <w:tcW w:w="24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10,826</w:t>
            </w:r>
          </w:p>
        </w:tc>
      </w:tr>
      <w:tr>
        <w:trPr>
          <w:trHeight w:val="90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tcPr>
          <w:p>
            <w:pPr>
              <w:jc w:val="right"/>
              <w:ind w:right="970"/>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assets and liabilities measured at fair value on a recurring basis as of March 31, 2022 and December 31,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ind w:left="720"/>
              <w:spacing w:after="0"/>
              <w:rPr>
                <w:sz w:val="20"/>
                <w:szCs w:val="20"/>
                <w:color w:val="auto"/>
              </w:rPr>
            </w:pPr>
            <w:r>
              <w:rPr>
                <w:rFonts w:ascii="Arial" w:cs="Arial" w:eastAsia="Arial" w:hAnsi="Arial"/>
                <w:sz w:val="16"/>
                <w:szCs w:val="16"/>
                <w:b w:val="1"/>
                <w:bCs w:val="1"/>
                <w:color w:val="auto"/>
                <w:w w:val="93"/>
              </w:rPr>
              <w:t>March 31, 2022</w:t>
            </w:r>
          </w:p>
        </w:tc>
        <w:tc>
          <w:tcPr>
            <w:tcW w:w="1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jc w:val="center"/>
              <w:ind w:right="520"/>
              <w:spacing w:after="0" w:line="172" w:lineRule="exact"/>
              <w:rPr>
                <w:sz w:val="20"/>
                <w:szCs w:val="20"/>
                <w:color w:val="auto"/>
              </w:rPr>
            </w:pPr>
            <w:r>
              <w:rPr>
                <w:rFonts w:ascii="Arial" w:cs="Arial" w:eastAsia="Arial" w:hAnsi="Arial"/>
                <w:sz w:val="16"/>
                <w:szCs w:val="16"/>
                <w:b w:val="1"/>
                <w:bCs w:val="1"/>
                <w:color w:val="auto"/>
                <w:w w:val="96"/>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gridSpan w:val="2"/>
          </w:tcPr>
          <w:p>
            <w:pPr>
              <w:ind w:left="280"/>
              <w:spacing w:after="0" w:line="176" w:lineRule="exact"/>
              <w:rPr>
                <w:sz w:val="20"/>
                <w:szCs w:val="20"/>
                <w:color w:val="auto"/>
              </w:rPr>
            </w:pPr>
            <w:r>
              <w:rPr>
                <w:rFonts w:ascii="Arial" w:cs="Arial" w:eastAsia="Arial" w:hAnsi="Arial"/>
                <w:sz w:val="18"/>
                <w:szCs w:val="18"/>
                <w:color w:val="auto"/>
                <w:w w:val="96"/>
              </w:rPr>
              <w:t>Derivative instruments - forward-starting interest rate</w:t>
            </w: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109,495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ind w:left="1000"/>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109,495</w:t>
            </w:r>
          </w:p>
        </w:tc>
        <w:tc>
          <w:tcPr>
            <w:tcW w:w="14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 xml:space="preserve">swap </w:t>
            </w:r>
            <w:r>
              <w:rPr>
                <w:rFonts w:ascii="Arial" w:cs="Arial" w:eastAsia="Arial" w:hAnsi="Arial"/>
                <w:sz w:val="23"/>
                <w:szCs w:val="23"/>
                <w:color w:val="auto"/>
                <w:vertAlign w:val="superscript"/>
              </w:rPr>
              <w:t>(1)</w:t>
            </w:r>
          </w:p>
        </w:tc>
        <w:tc>
          <w:tcPr>
            <w:tcW w:w="180" w:type="dxa"/>
            <w:vAlign w:val="bottom"/>
            <w:gridSpan w:val="2"/>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ind w:left="600"/>
              <w:spacing w:after="0"/>
              <w:rPr>
                <w:sz w:val="20"/>
                <w:szCs w:val="20"/>
                <w:color w:val="auto"/>
              </w:rPr>
            </w:pPr>
            <w:r>
              <w:rPr>
                <w:rFonts w:ascii="Arial" w:cs="Arial" w:eastAsia="Arial" w:hAnsi="Arial"/>
                <w:sz w:val="16"/>
                <w:szCs w:val="16"/>
                <w:b w:val="1"/>
                <w:bCs w:val="1"/>
                <w:color w:val="auto"/>
              </w:rPr>
              <w:t>December 31, 2021</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jc w:val="center"/>
              <w:ind w:right="500"/>
              <w:spacing w:after="0" w:line="172" w:lineRule="exact"/>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ind w:left="80"/>
              <w:spacing w:after="0"/>
              <w:rPr>
                <w:sz w:val="20"/>
                <w:szCs w:val="20"/>
                <w:color w:val="auto"/>
              </w:rPr>
            </w:pPr>
            <w:r>
              <w:rPr>
                <w:rFonts w:ascii="Arial" w:cs="Arial" w:eastAsia="Arial" w:hAnsi="Arial"/>
                <w:sz w:val="16"/>
                <w:szCs w:val="16"/>
                <w:b w:val="1"/>
                <w:bCs w:val="1"/>
                <w:color w:val="auto"/>
              </w:rPr>
              <w:t>Carrying Amount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gridSpan w:val="2"/>
          </w:tcPr>
          <w:p>
            <w:pPr>
              <w:ind w:left="280"/>
              <w:spacing w:after="0" w:line="176" w:lineRule="exact"/>
              <w:rPr>
                <w:sz w:val="20"/>
                <w:szCs w:val="20"/>
                <w:color w:val="auto"/>
              </w:rPr>
            </w:pPr>
            <w:r>
              <w:rPr>
                <w:rFonts w:ascii="Arial" w:cs="Arial" w:eastAsia="Arial" w:hAnsi="Arial"/>
                <w:sz w:val="18"/>
                <w:szCs w:val="18"/>
                <w:color w:val="auto"/>
                <w:w w:val="96"/>
              </w:rPr>
              <w:t>Derivative instruments - forward-starting interest rate</w:t>
            </w: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 xml:space="preserve">swap </w:t>
            </w:r>
            <w:r>
              <w:rPr>
                <w:rFonts w:ascii="Arial" w:cs="Arial" w:eastAsia="Arial" w:hAnsi="Arial"/>
                <w:sz w:val="23"/>
                <w:szCs w:val="23"/>
                <w:color w:val="auto"/>
                <w:vertAlign w:val="superscript"/>
              </w:rPr>
              <w:t>(1)</w:t>
            </w:r>
          </w:p>
        </w:tc>
        <w:tc>
          <w:tcPr>
            <w:tcW w:w="180" w:type="dxa"/>
            <w:vAlign w:val="bottom"/>
            <w:gridSpan w:val="2"/>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___________________</w:t>
      </w:r>
    </w:p>
    <w:p>
      <w:pPr>
        <w:spacing w:after="0" w:line="43" w:lineRule="exact"/>
        <w:rPr>
          <w:sz w:val="20"/>
          <w:szCs w:val="20"/>
          <w:color w:val="auto"/>
        </w:rPr>
      </w:pPr>
    </w:p>
    <w:p>
      <w:pPr>
        <w:ind w:right="240" w:firstLine="8"/>
        <w:spacing w:after="0" w:line="273" w:lineRule="auto"/>
        <w:tabs>
          <w:tab w:leader="none" w:pos="204"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values of our financial instruments as of March 31, 2022 and December 31, 2021 for which fair value is only disclosed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gridSpan w:val="5"/>
          </w:tcPr>
          <w:p>
            <w:pPr>
              <w:ind w:left="540"/>
              <w:spacing w:after="0"/>
              <w:rPr>
                <w:sz w:val="20"/>
                <w:szCs w:val="20"/>
                <w:color w:val="auto"/>
              </w:rPr>
            </w:pPr>
            <w:r>
              <w:rPr>
                <w:rFonts w:ascii="Arial" w:cs="Arial" w:eastAsia="Arial" w:hAnsi="Arial"/>
                <w:sz w:val="16"/>
                <w:szCs w:val="16"/>
                <w:b w:val="1"/>
                <w:bCs w:val="1"/>
                <w:color w:val="auto"/>
              </w:rPr>
              <w:t>March 31, 2022</w:t>
            </w:r>
          </w:p>
        </w:tc>
        <w:tc>
          <w:tcPr>
            <w:tcW w:w="320" w:type="dxa"/>
            <w:vAlign w:val="bottom"/>
          </w:tcPr>
          <w:p>
            <w:pPr>
              <w:spacing w:after="0"/>
              <w:rPr>
                <w:sz w:val="18"/>
                <w:szCs w:val="18"/>
                <w:color w:val="auto"/>
              </w:rPr>
            </w:pPr>
          </w:p>
        </w:tc>
        <w:tc>
          <w:tcPr>
            <w:tcW w:w="24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December 31, 2021</w:t>
            </w:r>
          </w:p>
        </w:tc>
      </w:tr>
      <w:tr>
        <w:trPr>
          <w:trHeight w:val="172"/>
        </w:trPr>
        <w:tc>
          <w:tcPr>
            <w:tcW w:w="20" w:type="dxa"/>
            <w:vAlign w:val="bottom"/>
          </w:tcPr>
          <w:p>
            <w:pPr>
              <w:spacing w:after="0"/>
              <w:rPr>
                <w:sz w:val="14"/>
                <w:szCs w:val="14"/>
                <w:color w:val="auto"/>
              </w:rPr>
            </w:pPr>
          </w:p>
        </w:tc>
        <w:tc>
          <w:tcPr>
            <w:tcW w:w="5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40" w:type="dxa"/>
            <w:vAlign w:val="bottom"/>
            <w:tcBorders>
              <w:top w:val="single" w:sz="8" w:color="auto"/>
            </w:tcBorders>
            <w:gridSpan w:val="3"/>
          </w:tcPr>
          <w:p>
            <w:pPr>
              <w:ind w:left="40"/>
              <w:spacing w:after="0" w:line="172" w:lineRule="exact"/>
              <w:rPr>
                <w:sz w:val="20"/>
                <w:szCs w:val="20"/>
                <w:color w:val="auto"/>
              </w:rPr>
            </w:pPr>
            <w:r>
              <w:rPr>
                <w:rFonts w:ascii="Arial" w:cs="Arial" w:eastAsia="Arial" w:hAnsi="Arial"/>
                <w:sz w:val="16"/>
                <w:szCs w:val="16"/>
                <w:b w:val="1"/>
                <w:bCs w:val="1"/>
                <w:color w:val="auto"/>
              </w:rPr>
              <w:t>Carrying Amount</w:t>
            </w: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31"/>
              <w:spacing w:after="0" w:line="172" w:lineRule="exact"/>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4"/>
                <w:szCs w:val="14"/>
                <w:color w:val="auto"/>
              </w:rPr>
            </w:pPr>
          </w:p>
        </w:tc>
        <w:tc>
          <w:tcPr>
            <w:tcW w:w="1440" w:type="dxa"/>
            <w:vAlign w:val="bottom"/>
            <w:tcBorders>
              <w:top w:val="single" w:sz="8" w:color="auto"/>
            </w:tcBorders>
            <w:gridSpan w:val="3"/>
          </w:tcPr>
          <w:p>
            <w:pPr>
              <w:ind w:left="40"/>
              <w:spacing w:after="0" w:line="172" w:lineRule="exact"/>
              <w:rPr>
                <w:sz w:val="20"/>
                <w:szCs w:val="20"/>
                <w:color w:val="auto"/>
              </w:rPr>
            </w:pPr>
            <w:r>
              <w:rPr>
                <w:rFonts w:ascii="Arial" w:cs="Arial" w:eastAsia="Arial" w:hAnsi="Arial"/>
                <w:sz w:val="16"/>
                <w:szCs w:val="16"/>
                <w:b w:val="1"/>
                <w:bCs w:val="1"/>
                <w:color w:val="auto"/>
              </w:rPr>
              <w:t>Carrying Amount</w:t>
            </w: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11"/>
              <w:spacing w:after="0" w:line="172" w:lineRule="exact"/>
              <w:rPr>
                <w:sz w:val="20"/>
                <w:szCs w:val="20"/>
                <w:color w:val="auto"/>
              </w:rPr>
            </w:pPr>
            <w:r>
              <w:rPr>
                <w:rFonts w:ascii="Arial" w:cs="Arial" w:eastAsia="Arial" w:hAnsi="Arial"/>
                <w:sz w:val="16"/>
                <w:szCs w:val="16"/>
                <w:b w:val="1"/>
                <w:bCs w:val="1"/>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i w:val="1"/>
                <w:iCs w:val="1"/>
                <w:color w:val="auto"/>
              </w:rPr>
              <w:t>Financial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2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Investments in leases - financing receivables </w:t>
            </w:r>
            <w:r>
              <w:rPr>
                <w:rFonts w:ascii="Arial" w:cs="Arial" w:eastAsia="Arial" w:hAnsi="Arial"/>
                <w:sz w:val="23"/>
                <w:szCs w:val="23"/>
                <w:i w:val="1"/>
                <w:iCs w:val="1"/>
                <w:color w:val="auto"/>
                <w:vertAlign w:val="superscript"/>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2,650,633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3,123,206</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2,644,824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3,104,337</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Investments in loans </w:t>
            </w:r>
            <w:r>
              <w:rPr>
                <w:rFonts w:ascii="Arial" w:cs="Arial" w:eastAsia="Arial" w:hAnsi="Arial"/>
                <w:sz w:val="23"/>
                <w:szCs w:val="23"/>
                <w:i w:val="1"/>
                <w:iCs w:val="1"/>
                <w:color w:val="auto"/>
                <w:vertAlign w:val="superscript"/>
              </w:rPr>
              <w:t>(2)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498,614</w:t>
            </w:r>
          </w:p>
        </w:tc>
      </w:tr>
      <w:tr>
        <w:trPr>
          <w:trHeight w:val="229"/>
        </w:trPr>
        <w:tc>
          <w:tcPr>
            <w:tcW w:w="20" w:type="dxa"/>
            <w:vAlign w:val="bottom"/>
          </w:tcPr>
          <w:p>
            <w:pPr>
              <w:spacing w:after="0"/>
              <w:rPr>
                <w:sz w:val="19"/>
                <w:szCs w:val="19"/>
                <w:color w:val="auto"/>
              </w:rPr>
            </w:pPr>
          </w:p>
        </w:tc>
        <w:tc>
          <w:tcPr>
            <w:tcW w:w="55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568,702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568,702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739,614</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2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3"/>
                <w:szCs w:val="23"/>
                <w:i w:val="1"/>
                <w:iCs w:val="1"/>
                <w:color w:val="auto"/>
                <w:vertAlign w:val="superscript"/>
              </w:rPr>
              <w:t>(3)</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(4)</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Delayed Draw Term Loan</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November 2019 Notes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20" w:type="dxa"/>
            <w:vAlign w:val="bottom"/>
            <w:gridSpan w:val="2"/>
          </w:tcPr>
          <w:p>
            <w:pPr>
              <w:ind w:left="540"/>
              <w:spacing w:after="0"/>
              <w:rPr>
                <w:sz w:val="20"/>
                <w:szCs w:val="20"/>
                <w:color w:val="auto"/>
              </w:rPr>
            </w:pPr>
            <w:r>
              <w:rPr>
                <w:rFonts w:ascii="Arial" w:cs="Arial" w:eastAsia="Arial" w:hAnsi="Arial"/>
                <w:sz w:val="18"/>
                <w:szCs w:val="18"/>
                <w:color w:val="auto"/>
              </w:rPr>
              <w:t>2026 Maturity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1,236,685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1,248,438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1,235,972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1,296,875</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2029 Maturity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1,067,500</w:t>
            </w:r>
          </w:p>
        </w:tc>
      </w:tr>
      <w:tr>
        <w:trPr>
          <w:trHeight w:val="230"/>
        </w:trPr>
        <w:tc>
          <w:tcPr>
            <w:tcW w:w="20" w:type="dxa"/>
            <w:vAlign w:val="bottom"/>
          </w:tcPr>
          <w:p>
            <w:pPr>
              <w:spacing w:after="0"/>
              <w:rPr>
                <w:sz w:val="19"/>
                <w:szCs w:val="19"/>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February 2020 Notes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2025 Maturity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763,125</w:t>
            </w:r>
          </w:p>
        </w:tc>
      </w:tr>
      <w:tr>
        <w:trPr>
          <w:trHeight w:val="230"/>
        </w:trPr>
        <w:tc>
          <w:tcPr>
            <w:tcW w:w="20" w:type="dxa"/>
            <w:vAlign w:val="bottom"/>
          </w:tcPr>
          <w:p>
            <w:pPr>
              <w:spacing w:after="0"/>
              <w:rPr>
                <w:sz w:val="19"/>
                <w:szCs w:val="19"/>
                <w:color w:val="auto"/>
              </w:rPr>
            </w:pPr>
          </w:p>
        </w:tc>
        <w:tc>
          <w:tcPr>
            <w:tcW w:w="5520" w:type="dxa"/>
            <w:vAlign w:val="bottom"/>
            <w:gridSpan w:val="2"/>
          </w:tcPr>
          <w:p>
            <w:pPr>
              <w:ind w:left="540"/>
              <w:spacing w:after="0"/>
              <w:rPr>
                <w:sz w:val="20"/>
                <w:szCs w:val="20"/>
                <w:color w:val="auto"/>
              </w:rPr>
            </w:pPr>
            <w:r>
              <w:rPr>
                <w:rFonts w:ascii="Arial" w:cs="Arial" w:eastAsia="Arial" w:hAnsi="Arial"/>
                <w:sz w:val="18"/>
                <w:szCs w:val="18"/>
                <w:color w:val="auto"/>
              </w:rPr>
              <w:t>2027 Maturity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741,828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729,375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741,409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772,500</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2030 Maturity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1,055,000</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340" w:hanging="332"/>
        <w:spacing w:after="0" w:line="241" w:lineRule="auto"/>
        <w:tabs>
          <w:tab w:leader="none" w:pos="332"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These investments represent the JACK Cleveland/Thistledown Lease and the Harrah’s Original Call Properties. The fair value of these assets are based on significant “unobservable” market inputs and, as such, these fair value measurements are considered Level 3 of the fair value hierarchy.</w:t>
      </w:r>
    </w:p>
    <w:p>
      <w:pPr>
        <w:ind w:left="340" w:right="20" w:hanging="332"/>
        <w:spacing w:after="0" w:line="241" w:lineRule="auto"/>
        <w:tabs>
          <w:tab w:leader="none" w:pos="332"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These investments represent the (i) Forum Convention Center Mortgage Loan, (ii) Chelsea Piers Mortgage Loan and (iii) Great Wolf Mezzanine Loan. We believe the current principal balance of the investments approximates their fair value.</w:t>
      </w:r>
    </w:p>
    <w:p>
      <w:pPr>
        <w:ind w:left="340" w:hanging="332"/>
        <w:spacing w:after="0" w:line="241" w:lineRule="auto"/>
        <w:tabs>
          <w:tab w:leader="none" w:pos="332"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ind w:left="320" w:hanging="312"/>
        <w:spacing w:after="0"/>
        <w:tabs>
          <w:tab w:leader="none" w:pos="3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the Revolving Credit Facility approximates the carrying value.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March 31, 2022, we are not subject to any litigation that we believe could have, individually or in the aggregate, a material adverse effect on our business, financial condition or results of operations, liquidity or cash flows.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Mergers, three lawsuits were filed by purported MGP shareholders and six lawsuits were filed by purported VICI stockholders challenging the disclosures made, as applicable, in the Registration Statement on Form S-4 filed on September 8, 2021 and the Prospectus filed on September 23, 2021. The plaintiffs in each action sought, among other things, to enjoin the Mergers and the transactions contemplated by the MGP Master Transaction Agreement and an award of costs and attorneys’ fees. Each of the lawsuits has been dismissed pursuant to applicable litigation procedure, although additional lawsuits arising out of the MGP Transactions may be filed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liable under various operating leases for: (i) land at the Cascata golf course, which expires in 2038 and (ii) offices in New Orleans, LA and New York, NY, which expire in 2022 and 2030, respectively. The discount rates for the leases was determined based on the yield of our current secured borrowings, adjusted to match borrowings of similar terms, and are between 5.3% and 5.5%. The weighted average remaining lease term as of March 31, 2022 under our operating leases was 14.3 years. Our Cascata ground lease has three 10-year extension options. The rent of such options would be the in-place rent at the time of renewal.</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expense, included in golf operations and general and administrative expenses in our Statement of Operations and contractual rent expense under these agreements were as follows:</w:t>
      </w:r>
    </w:p>
    <w:p>
      <w:pPr>
        <w:spacing w:after="0" w:line="103"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40" w:type="dxa"/>
            <w:vAlign w:val="bottom"/>
            <w:tcBorders>
              <w:top w:val="single" w:sz="8" w:color="auto"/>
            </w:tcBorders>
          </w:tcPr>
          <w:p>
            <w:pPr>
              <w:jc w:val="right"/>
              <w:ind w:right="213"/>
              <w:spacing w:after="0" w:line="175" w:lineRule="exact"/>
              <w:rPr>
                <w:sz w:val="20"/>
                <w:szCs w:val="20"/>
                <w:color w:val="auto"/>
              </w:rPr>
            </w:pPr>
            <w:r>
              <w:rPr>
                <w:rFonts w:ascii="Arial" w:cs="Arial" w:eastAsia="Arial" w:hAnsi="Arial"/>
                <w:sz w:val="16"/>
                <w:szCs w:val="16"/>
                <w:b w:val="1"/>
                <w:bCs w:val="1"/>
                <w:color w:val="auto"/>
              </w:rPr>
              <w:t>2022</w:t>
            </w: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853"/>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expense</w:t>
            </w:r>
          </w:p>
        </w:tc>
        <w:tc>
          <w:tcPr>
            <w:tcW w:w="1540" w:type="dxa"/>
            <w:vAlign w:val="bottom"/>
            <w:shd w:val="clear" w:color="auto" w:fill="CCEEFF"/>
          </w:tcPr>
          <w:p>
            <w:pPr>
              <w:jc w:val="right"/>
              <w:ind w:right="135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1540" w:type="dxa"/>
            <w:vAlign w:val="bottom"/>
          </w:tcPr>
          <w:p>
            <w:pPr>
              <w:jc w:val="right"/>
              <w:ind w:right="1353"/>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470</w:t>
            </w:r>
          </w:p>
        </w:tc>
      </w:tr>
    </w:tbl>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we have a $49.7 million right of use asset and corresponding lease liability recorded in Other assets and Other liabilities, respectively, on our Balance Sheet related to our operating lease commitments for which we are the lessee.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March 31, 2022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gridSpan w:val="2"/>
          </w:tcPr>
          <w:p>
            <w:pPr>
              <w:ind w:left="200"/>
              <w:spacing w:after="0"/>
              <w:rPr>
                <w:sz w:val="20"/>
                <w:szCs w:val="20"/>
                <w:color w:val="auto"/>
              </w:rPr>
            </w:pPr>
            <w:r>
              <w:rPr>
                <w:rFonts w:ascii="Arial" w:cs="Arial" w:eastAsia="Arial" w:hAnsi="Arial"/>
                <w:sz w:val="16"/>
                <w:szCs w:val="16"/>
                <w:b w:val="1"/>
                <w:bCs w:val="1"/>
                <w:color w:val="auto"/>
              </w:rPr>
              <w:t>Lease Commitments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46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0" w:type="dxa"/>
            <w:vAlign w:val="bottom"/>
          </w:tcPr>
          <w:p>
            <w:pPr>
              <w:spacing w:after="0"/>
              <w:rPr>
                <w:sz w:val="19"/>
                <w:szCs w:val="19"/>
                <w:color w:val="auto"/>
              </w:rPr>
            </w:pP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32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1,827</w:t>
            </w:r>
          </w:p>
        </w:tc>
        <w:tc>
          <w:tcPr>
            <w:tcW w:w="20" w:type="dxa"/>
            <w:vAlign w:val="bottom"/>
          </w:tcPr>
          <w:p>
            <w:pPr>
              <w:spacing w:after="0"/>
              <w:rPr>
                <w:sz w:val="19"/>
                <w:szCs w:val="19"/>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6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0" w:type="dxa"/>
            <w:vAlign w:val="bottom"/>
          </w:tcPr>
          <w:p>
            <w:pPr>
              <w:spacing w:after="0"/>
              <w:rPr>
                <w:sz w:val="19"/>
                <w:szCs w:val="19"/>
                <w:color w:val="auto"/>
              </w:rPr>
            </w:pP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32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1,908</w:t>
            </w:r>
          </w:p>
        </w:tc>
        <w:tc>
          <w:tcPr>
            <w:tcW w:w="20" w:type="dxa"/>
            <w:vAlign w:val="bottom"/>
          </w:tcPr>
          <w:p>
            <w:pPr>
              <w:spacing w:after="0"/>
              <w:rPr>
                <w:sz w:val="19"/>
                <w:szCs w:val="19"/>
                <w:color w:val="auto"/>
              </w:rPr>
            </w:pP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26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20" w:type="dxa"/>
            <w:vAlign w:val="bottom"/>
          </w:tcPr>
          <w:p>
            <w:pPr>
              <w:spacing w:after="0"/>
              <w:rPr>
                <w:sz w:val="19"/>
                <w:szCs w:val="19"/>
                <w:color w:val="auto"/>
              </w:rPr>
            </w:pP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32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1,979</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6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Total minimum lease commitments</w:t>
            </w:r>
          </w:p>
        </w:tc>
        <w:tc>
          <w:tcPr>
            <w:tcW w:w="46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26,068</w:t>
            </w:r>
          </w:p>
        </w:tc>
        <w:tc>
          <w:tcPr>
            <w:tcW w:w="20" w:type="dxa"/>
            <w:vAlign w:val="bottom"/>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4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Lease liability</w:t>
            </w:r>
          </w:p>
        </w:tc>
        <w:tc>
          <w:tcPr>
            <w:tcW w:w="4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16,626</w:t>
            </w:r>
          </w:p>
        </w:tc>
        <w:tc>
          <w:tcPr>
            <w:tcW w:w="20" w:type="dxa"/>
            <w:vAlign w:val="bottom"/>
          </w:tcPr>
          <w:p>
            <w:pPr>
              <w:spacing w:after="0"/>
              <w:rPr>
                <w:sz w:val="20"/>
                <w:szCs w:val="20"/>
                <w:color w:val="auto"/>
              </w:rPr>
            </w:pPr>
          </w:p>
        </w:tc>
      </w:tr>
      <w:tr>
        <w:trPr>
          <w:trHeight w:val="89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600" w:type="dxa"/>
            <w:vAlign w:val="bottom"/>
          </w:tcPr>
          <w:p>
            <w:pPr>
              <w:jc w:val="right"/>
              <w:ind w:right="295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 Commitments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Certain of our acquisitions necessitate that we assume, as the lessee, ground and use leases, the cost of which is passed to our tenants through the Lease Agreements, which require the tenants to pay all costs associated with such ground and use leases and provide for their direct payment to the landlord.</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determined we are the primary obligor of certain of such ground and use leases and, accordingly, have presented these leases on a gross basis on our Balance Sheet and Statement of Operations. The following is a summary of the leases, the lease classification of which has been determined to be either an operating sub-lease or finance sub-lease.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Sub-Lease Commitments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the following information, we assessed the lease classification of certain of the sub-leases to our tenants through the Lease Agreements, and our obligation as primary obligor of the leases and determined that they meet the definition of an operating lease. Accordingly, we have recorded a sub-lease right-of-use assets in Other assets and sub-lease liability in Other liabilities.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6"/>
                <w:szCs w:val="16"/>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Pr>
          <w:p>
            <w:pPr>
              <w:spacing w:after="0"/>
              <w:rPr>
                <w:sz w:val="16"/>
                <w:szCs w:val="16"/>
                <w:color w:val="auto"/>
              </w:rPr>
            </w:pPr>
          </w:p>
        </w:tc>
        <w:tc>
          <w:tcPr>
            <w:tcW w:w="1820" w:type="dxa"/>
            <w:vAlign w:val="bottom"/>
          </w:tcPr>
          <w:p>
            <w:pPr>
              <w:ind w:left="140"/>
              <w:spacing w:after="0"/>
              <w:rPr>
                <w:sz w:val="20"/>
                <w:szCs w:val="20"/>
                <w:color w:val="auto"/>
              </w:rPr>
            </w:pPr>
            <w:r>
              <w:rPr>
                <w:rFonts w:ascii="Arial" w:cs="Arial" w:eastAsia="Arial" w:hAnsi="Arial"/>
                <w:sz w:val="16"/>
                <w:szCs w:val="16"/>
                <w:b w:val="1"/>
                <w:bCs w:val="1"/>
                <w:color w:val="auto"/>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 assets (operating sub-leases)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Other liabilities (operating sub-lease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33,105</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ind w:left="1560"/>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rental income and rental expense, included in Other income and Other expenses, respectively, in our Statement of Operations and contractual rent expense under these agreements were as follows:</w:t>
      </w:r>
    </w:p>
    <w:p>
      <w:pPr>
        <w:spacing w:after="0" w:line="157"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92"/>
              <w:spacing w:after="0" w:line="175" w:lineRule="exact"/>
              <w:rPr>
                <w:sz w:val="20"/>
                <w:szCs w:val="20"/>
                <w:color w:val="auto"/>
              </w:rPr>
            </w:pPr>
            <w:r>
              <w:rPr>
                <w:rFonts w:ascii="Arial" w:cs="Arial" w:eastAsia="Arial" w:hAnsi="Arial"/>
                <w:sz w:val="16"/>
                <w:szCs w:val="16"/>
                <w:b w:val="1"/>
                <w:bCs w:val="1"/>
                <w:color w:val="auto"/>
              </w:rPr>
              <w:t>2022</w:t>
            </w: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right"/>
              <w:ind w:right="791"/>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 and expense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center"/>
              <w:ind w:left="1012"/>
              <w:spacing w:after="0"/>
              <w:rPr>
                <w:sz w:val="20"/>
                <w:szCs w:val="20"/>
                <w:color w:val="auto"/>
              </w:rPr>
            </w:pPr>
            <w:r>
              <w:rPr>
                <w:rFonts w:ascii="Arial" w:cs="Arial" w:eastAsia="Arial" w:hAnsi="Arial"/>
                <w:sz w:val="18"/>
                <w:szCs w:val="18"/>
                <w:color w:val="auto"/>
                <w:w w:val="86"/>
              </w:rPr>
              <w:t>571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center"/>
              <w:ind w:left="1012"/>
              <w:spacing w:after="0"/>
              <w:rPr>
                <w:sz w:val="20"/>
                <w:szCs w:val="20"/>
                <w:color w:val="auto"/>
              </w:rPr>
            </w:pPr>
            <w:r>
              <w:rPr>
                <w:rFonts w:ascii="Arial" w:cs="Arial" w:eastAsia="Arial" w:hAnsi="Arial"/>
                <w:sz w:val="18"/>
                <w:szCs w:val="18"/>
                <w:color w:val="auto"/>
                <w:w w:val="86"/>
              </w:rPr>
              <w:t>528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8"/>
        </w:trPr>
        <w:tc>
          <w:tcPr>
            <w:tcW w:w="7540" w:type="dxa"/>
            <w:vAlign w:val="bottom"/>
            <w:gridSpan w:val="4"/>
          </w:tcPr>
          <w:p>
            <w:pPr>
              <w:spacing w:after="0"/>
              <w:rPr>
                <w:sz w:val="20"/>
                <w:szCs w:val="20"/>
                <w:color w:val="auto"/>
              </w:rPr>
            </w:pPr>
            <w:r>
              <w:rPr>
                <w:rFonts w:ascii="Arial" w:cs="Arial" w:eastAsia="Arial" w:hAnsi="Arial"/>
                <w:sz w:val="18"/>
                <w:szCs w:val="18"/>
                <w:color w:val="auto"/>
                <w:w w:val="94"/>
              </w:rPr>
              <w:t>The future minimum lease commitments relating to the sub-leases at March 31, 2022 are as follows:</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jc w:val="right"/>
              <w:ind w:right="431"/>
              <w:spacing w:after="0"/>
              <w:rPr>
                <w:sz w:val="20"/>
                <w:szCs w:val="20"/>
                <w:color w:val="auto"/>
              </w:rPr>
            </w:pPr>
            <w:r>
              <w:rPr>
                <w:rFonts w:ascii="Arial" w:cs="Arial" w:eastAsia="Arial" w:hAnsi="Arial"/>
                <w:sz w:val="16"/>
                <w:szCs w:val="16"/>
                <w:b w:val="1"/>
                <w:bCs w:val="1"/>
                <w:color w:val="auto"/>
                <w:w w:val="89"/>
              </w:rPr>
              <w:t>Lease Commitments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6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6,585</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6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5,129</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6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4,010</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r>
      <w:tr>
        <w:trPr>
          <w:trHeight w:val="223"/>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Total minimum lease commitments</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r>
      <w:tr>
        <w:trPr>
          <w:trHeight w:val="230"/>
        </w:trPr>
        <w:tc>
          <w:tcPr>
            <w:tcW w:w="2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Sub-lease liabilities</w:t>
            </w:r>
          </w:p>
        </w:tc>
        <w:tc>
          <w:tcPr>
            <w:tcW w:w="540" w:type="dxa"/>
            <w:vAlign w:val="bottom"/>
          </w:tcPr>
          <w:p>
            <w:pPr>
              <w:spacing w:after="0"/>
              <w:rPr>
                <w:sz w:val="20"/>
                <w:szCs w:val="20"/>
                <w:color w:val="auto"/>
              </w:rPr>
            </w:pPr>
          </w:p>
        </w:tc>
        <w:tc>
          <w:tcPr>
            <w:tcW w:w="1520" w:type="dxa"/>
            <w:vAlign w:val="bottom"/>
            <w:gridSpan w:val="2"/>
          </w:tcPr>
          <w:p>
            <w:pPr>
              <w:jc w:val="center"/>
              <w:ind w:left="9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33,105</w:t>
            </w:r>
          </w:p>
        </w:tc>
      </w:tr>
    </w:tbl>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discount rate for the operating sub-leases were determined based on the yield of our current secured borrowings, adjusted to match borrowings of similar terms, and are between 2.6% and 2.9%. The weighted average remaining lease term as of March 31, 2022 under our operating sub-lease was 7.7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Sub-Lease Commitments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respect to the following information, we assessed the lease classification of certain of the sub-leases to our tenants through the Lease Agreements, and our obligation as primary obligor of the ground and use leases and determined that they meet the definition of a sales-type lease and finance lease. Accordingly, we have recorded a sales-type sub-lease in Other assets and finance sub-lease liability in Other liabilities.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balance and location in our Balance Sheet of the ground and use sub-leases as of March 31, 2022 and December 31,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6"/>
                <w:szCs w:val="16"/>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Pr>
          <w:p>
            <w:pPr>
              <w:spacing w:after="0"/>
              <w:rPr>
                <w:sz w:val="16"/>
                <w:szCs w:val="16"/>
                <w:color w:val="auto"/>
              </w:rPr>
            </w:pPr>
          </w:p>
        </w:tc>
        <w:tc>
          <w:tcPr>
            <w:tcW w:w="1820" w:type="dxa"/>
            <w:vAlign w:val="bottom"/>
          </w:tcPr>
          <w:p>
            <w:pPr>
              <w:jc w:val="right"/>
              <w:ind w:right="293"/>
              <w:spacing w:after="0"/>
              <w:rPr>
                <w:sz w:val="20"/>
                <w:szCs w:val="20"/>
                <w:color w:val="auto"/>
              </w:rPr>
            </w:pPr>
            <w:r>
              <w:rPr>
                <w:rFonts w:ascii="Arial" w:cs="Arial" w:eastAsia="Arial" w:hAnsi="Arial"/>
                <w:sz w:val="16"/>
                <w:szCs w:val="16"/>
                <w:b w:val="1"/>
                <w:bCs w:val="1"/>
                <w:color w:val="auto"/>
                <w:w w:val="98"/>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 assets (sales-type sub-leases,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273,970</w:t>
            </w:r>
          </w:p>
        </w:tc>
      </w:tr>
      <w:tr>
        <w:trPr>
          <w:trHeight w:val="230"/>
        </w:trPr>
        <w:tc>
          <w:tcPr>
            <w:tcW w:w="2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Other liabilities (finance sub-lease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455,710</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280,510</w:t>
            </w:r>
          </w:p>
        </w:tc>
      </w:tr>
    </w:tbl>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income and rental expense, included in Other income and Other expenses, respectively, in our Statement of Operations and contractual rent expense under these agreements were as follows:</w:t>
      </w:r>
    </w:p>
    <w:p>
      <w:pPr>
        <w:spacing w:after="0" w:line="157"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40" w:type="dxa"/>
            <w:vAlign w:val="bottom"/>
            <w:tcBorders>
              <w:top w:val="single" w:sz="8" w:color="auto"/>
            </w:tcBorders>
          </w:tcPr>
          <w:p>
            <w:pPr>
              <w:jc w:val="right"/>
              <w:ind w:right="313"/>
              <w:spacing w:after="0" w:line="175" w:lineRule="exact"/>
              <w:rPr>
                <w:sz w:val="20"/>
                <w:szCs w:val="20"/>
                <w:color w:val="auto"/>
              </w:rPr>
            </w:pPr>
            <w:r>
              <w:rPr>
                <w:rFonts w:ascii="Arial" w:cs="Arial" w:eastAsia="Arial" w:hAnsi="Arial"/>
                <w:sz w:val="16"/>
                <w:szCs w:val="16"/>
                <w:b w:val="1"/>
                <w:bCs w:val="1"/>
                <w:color w:val="auto"/>
              </w:rPr>
              <w:t>2022</w:t>
            </w:r>
          </w:p>
        </w:tc>
        <w:tc>
          <w:tcPr>
            <w:tcW w:w="3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jc w:val="right"/>
              <w:ind w:right="831"/>
              <w:spacing w:after="0" w:line="175" w:lineRule="exact"/>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tcBorders>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 and expense</w:t>
            </w:r>
          </w:p>
        </w:tc>
        <w:tc>
          <w:tcPr>
            <w:tcW w:w="1640" w:type="dxa"/>
            <w:vAlign w:val="bottom"/>
            <w:shd w:val="clear" w:color="auto" w:fill="CCEEFF"/>
          </w:tcPr>
          <w:p>
            <w:pPr>
              <w:jc w:val="right"/>
              <w:ind w:right="1453"/>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1640" w:type="dxa"/>
            <w:vAlign w:val="bottom"/>
          </w:tcPr>
          <w:p>
            <w:pPr>
              <w:jc w:val="right"/>
              <w:ind w:right="1453"/>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6,678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5,838</w:t>
            </w:r>
          </w:p>
        </w:tc>
        <w:tc>
          <w:tcPr>
            <w:tcW w:w="20" w:type="dxa"/>
            <w:vAlign w:val="bottom"/>
          </w:tcPr>
          <w:p>
            <w:pPr>
              <w:spacing w:after="0"/>
              <w:rPr>
                <w:sz w:val="20"/>
                <w:szCs w:val="20"/>
                <w:color w:val="auto"/>
              </w:rPr>
            </w:pPr>
          </w:p>
        </w:tc>
      </w:tr>
      <w:tr>
        <w:trPr>
          <w:trHeight w:val="458"/>
        </w:trPr>
        <w:tc>
          <w:tcPr>
            <w:tcW w:w="8420" w:type="dxa"/>
            <w:vAlign w:val="bottom"/>
            <w:gridSpan w:val="4"/>
          </w:tcPr>
          <w:p>
            <w:pPr>
              <w:spacing w:after="0"/>
              <w:rPr>
                <w:sz w:val="20"/>
                <w:szCs w:val="20"/>
                <w:color w:val="auto"/>
              </w:rPr>
            </w:pPr>
            <w:r>
              <w:rPr>
                <w:rFonts w:ascii="Arial" w:cs="Arial" w:eastAsia="Arial" w:hAnsi="Arial"/>
                <w:sz w:val="18"/>
                <w:szCs w:val="18"/>
                <w:color w:val="auto"/>
                <w:w w:val="90"/>
              </w:rPr>
              <w:t>The future minimum lease commitments relating to the ground and use sub-leases at March 31, 2022 are as follows: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2"/>
          </w:tcPr>
          <w:p>
            <w:pPr>
              <w:ind w:left="60"/>
              <w:spacing w:after="0"/>
              <w:rPr>
                <w:sz w:val="20"/>
                <w:szCs w:val="20"/>
                <w:color w:val="auto"/>
              </w:rPr>
            </w:pPr>
            <w:r>
              <w:rPr>
                <w:rFonts w:ascii="Arial" w:cs="Arial" w:eastAsia="Arial" w:hAnsi="Arial"/>
                <w:sz w:val="16"/>
                <w:szCs w:val="16"/>
                <w:b w:val="1"/>
                <w:bCs w:val="1"/>
                <w:color w:val="auto"/>
              </w:rPr>
              <w:t>Lease Commitments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(remaining)</w:t>
            </w: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28,917</w:t>
            </w:r>
          </w:p>
        </w:tc>
        <w:tc>
          <w:tcPr>
            <w:tcW w:w="20" w:type="dxa"/>
            <w:vAlign w:val="bottom"/>
          </w:tcPr>
          <w:p>
            <w:pPr>
              <w:spacing w:after="0"/>
              <w:rPr>
                <w:sz w:val="19"/>
                <w:szCs w:val="19"/>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5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33,435</w:t>
            </w:r>
          </w:p>
        </w:tc>
        <w:tc>
          <w:tcPr>
            <w:tcW w:w="20" w:type="dxa"/>
            <w:vAlign w:val="bottom"/>
          </w:tcPr>
          <w:p>
            <w:pPr>
              <w:spacing w:after="0"/>
              <w:rPr>
                <w:sz w:val="19"/>
                <w:szCs w:val="19"/>
                <w:color w:val="auto"/>
              </w:rPr>
            </w:pP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8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33,705</w:t>
            </w:r>
          </w:p>
        </w:tc>
        <w:tc>
          <w:tcPr>
            <w:tcW w:w="20" w:type="dxa"/>
            <w:vAlign w:val="bottom"/>
          </w:tcPr>
          <w:p>
            <w:pPr>
              <w:spacing w:after="0"/>
              <w:rPr>
                <w:sz w:val="19"/>
                <w:szCs w:val="19"/>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5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33,840</w:t>
            </w:r>
          </w:p>
        </w:tc>
        <w:tc>
          <w:tcPr>
            <w:tcW w:w="20" w:type="dxa"/>
            <w:vAlign w:val="bottom"/>
          </w:tcPr>
          <w:p>
            <w:pPr>
              <w:spacing w:after="0"/>
              <w:rPr>
                <w:sz w:val="19"/>
                <w:szCs w:val="19"/>
                <w:color w:val="auto"/>
              </w:rPr>
            </w:pP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8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33,840</w:t>
            </w:r>
          </w:p>
        </w:tc>
        <w:tc>
          <w:tcPr>
            <w:tcW w:w="20" w:type="dxa"/>
            <w:vAlign w:val="bottom"/>
          </w:tcPr>
          <w:p>
            <w:pPr>
              <w:spacing w:after="0"/>
              <w:rPr>
                <w:sz w:val="19"/>
                <w:szCs w:val="19"/>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5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33,840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1,343,128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Total minimum lease commitments</w:t>
            </w: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1,540,705</w:t>
            </w:r>
          </w:p>
        </w:tc>
        <w:tc>
          <w:tcPr>
            <w:tcW w:w="20" w:type="dxa"/>
            <w:vAlign w:val="bottom"/>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1,084,995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Finance sub-lease liability</w:t>
            </w:r>
          </w:p>
        </w:tc>
        <w:tc>
          <w:tcPr>
            <w:tcW w:w="16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455,710</w:t>
            </w:r>
          </w:p>
        </w:tc>
        <w:tc>
          <w:tcPr>
            <w:tcW w:w="20" w:type="dxa"/>
            <w:vAlign w:val="bottom"/>
          </w:tcPr>
          <w:p>
            <w:pPr>
              <w:spacing w:after="0"/>
              <w:rPr>
                <w:sz w:val="20"/>
                <w:szCs w:val="20"/>
                <w:color w:val="auto"/>
              </w:rPr>
            </w:pPr>
          </w:p>
        </w:tc>
      </w:tr>
    </w:tbl>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discount rates for the finance ground and use sub-leases were determined based on the yield of our current secured borrowings, adjusted to match borrowings of similar terms, and are between 6% and 8%. The weighted average remaining lease term as of March 31, 2022 under our finance sub-leases was 56.8 years.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2022, we have the authority to issue 1,400,000,000 shares of stock, consisting of 1,350,000,000 shares of common stock, $0.01 par value per share, and 50,000,000 shares of preferred stock, $0.01 par value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Follow-on Offerings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2021 Offering</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14, 2021, we completed a primary follow-on offering of 115,000,000 shares of common stock consisting of (i) 65,000,000 shares of common stock (including 15,000,000 shares sold pursuant to the exercise in full of the underwriters’ option to purchase additional common stock) and (ii) 50,000,000 shares of common stock that were subject to forward sale agreements (collectively, the “September 2021 Forward Sale Agreements”), which required settlement by September 9, 2022, in each case at a public offering price of $29.50 per share for an aggregate offering value of $3.4 billion, resulting in net proceeds, after deduction of the underwriting discount and expenses, of $1,859.0 million from the sale of the 65,000,000 shares (including 15,000,000 shares sold pursuant to the exercise in full of the underwriters’ option to purchase additional common</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 We did not initially receive any proceeds from the sale of the 50,000,000 shares subject to the September 2021 Forward Sale Agreements, which were sold to the underwriters by the forward purchasers or their respective affiliates and remained subject to settlement in accordance with the terms of the September 2021 Forward Sale Agreements.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18, 2022, we settled the September 2021 Forward Sale Agreements by delivering 50,000,000 shares of our common stock to the forward purchases, in exchange for total net proceeds of approximately $1,390.6 million, which were used to pay for a portion of the purchase price of the Venetian Acquisition. The physical settlement of the September 2021 Forward Sale Agreements were calculated based on the initial forward sale price per share of $28.62, as adjusted for a floating interest rate factor and other fixed amounts based on the passage of time, as specified in the September 2021 Forward Sale Agreements, resulting in a net forward sale price on the settlement date of $27.81 per share.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2021 Offering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4, 2021, we completed a primary follow-on offering of 69,000,000 shares of common stock (inclusive of 9,000,000 shares sold pursuant to the exercise in full of the underwriters’ option to purchase additional common stock) at a public offering price of $29.00 per share for an aggregate offering value of $2,001.0 million, all of which were subject to forward sale agreements (the “March 2021 Forward Sale Agreements”), which required settlement by March 4, 2022. We did not initially receive any proceeds from the sale of the shares of common stock in the offering, which were sold to the underwriters by the forward purchasers or their respective affiliates.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18, 2022, we settled the March 2021 Forward Sale Agreements by delivering 69,000,000 shares of our common stock to the forward purchases, in exchange for total net proceeds of approximately $1,828.6 million, which were used to pay for a portion of the purchase price of the Venetian Acquisition. The physical settlement of the March 2021 Forward Sale Agreements were calculated based on the initial forward sale price per share of $28.06, as adjusted for a floating interest rate factor and other fixed amounts based on the passage of time, as specified in the March 2021 Forward Sale Agreements, resulting in a net forward sale price on the settlement date of $26.50 per share.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Offering</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17, 2020, we completed a primary follow-on offering of 29,900,000 shares of common stock (inclusive of 3,900,000 shares sold pursuant to the exercise in full of the underwriters’ option to purchase additional common stock) at a public offering price of $22.15 per share for an aggregate offering value of $662.3 million, all of which were subject to a forward sale agreement (the “June 2020 Forward Sale Agreement”), which initially required settlement by September 17, 2020. On September 16, 2020, we amended the June 2020 Forward Sale Agreement to extend the maturity date from September 17, 2020 to June 17, 2021. We did not initially receive any proceeds from the sale of the shares of common stock in the offering, which were sold to the underwriters by the forward purchaser or its affiliates.</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28, 2020, we partially settled the June 2020 Forward Sale Agreement by delivering 3,000,000 shares of our common stock to the forward purchaser, in exchange for total net proceeds of approximately $63.0 million, which was calculated based on the net forward sale price on the settlement date of $21.04 per share. On September 9, 2021, we physically settled the remaining shares under the June 2020 Forward Sale Agreement by delivering 26,900,000 shares of our common stock to the forward purchaser in exchange for total net proceeds of approximately $526.9 million, which was calculated based on the net forward sale price on the settlement date of $19.59 per share. The physical settlements of the June 2020 Forward Sale Agreement were calculated based on the initial forward sale price per share of $21.37, as adjusted for a floating interest rate factor and other fixed amounts based on the passage of time, as specified in the June 2020 Forward Sale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2021, we entered into an equity distribution agreement (the “ATM Agreement”) pursuant to which we may sell, from time to time, up to an aggregate sales price of $1,000.0 million of our common stock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contracts. Actual sales under the ATM Program will depend on a variety of factors including market conditions, the trading price of our common stock, our capital needs, and our determination of the appropriate sources of funding to meet such needs. During the three months ended March 31, 2022 and 2021, we did not sell any shares under the ATM Program. We have no obligation to sell the remaining shares available for sale under the ATM Program.</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issuance of outstanding shares of common stock, including restricted common stock: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Common Stock Outstanding</w:t>
            </w: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January 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628,942,092</w:t>
            </w: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536,669,722</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upon physical settlement of forward sale agreements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119,000,000</w:t>
            </w:r>
          </w:p>
        </w:tc>
        <w:tc>
          <w:tcPr>
            <w:tcW w:w="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0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Issuance of restricted and unrestricted common stock under the stock incentive program, net of</w:t>
            </w: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471,219</w:t>
            </w:r>
          </w:p>
        </w:tc>
        <w:tc>
          <w:tcPr>
            <w:tcW w:w="80" w:type="dxa"/>
            <w:vAlign w:val="bottom"/>
            <w:shd w:val="clear" w:color="auto" w:fill="CCEEFF"/>
          </w:tcPr>
          <w:p>
            <w:pPr>
              <w:spacing w:after="0"/>
              <w:rPr>
                <w:sz w:val="15"/>
                <w:szCs w:val="15"/>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346,031</w:t>
            </w:r>
          </w:p>
        </w:tc>
        <w:tc>
          <w:tcPr>
            <w:tcW w:w="0" w:type="dxa"/>
            <w:vAlign w:val="bottom"/>
          </w:tcPr>
          <w:p>
            <w:pPr>
              <w:spacing w:after="0"/>
              <w:rPr>
                <w:sz w:val="1"/>
                <w:szCs w:val="1"/>
                <w:color w:val="auto"/>
              </w:rPr>
            </w:pPr>
          </w:p>
        </w:tc>
      </w:tr>
      <w:tr>
        <w:trPr>
          <w:trHeight w:val="234"/>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2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6"/>
                <w:szCs w:val="16"/>
                <w:b w:val="1"/>
                <w:bCs w:val="1"/>
                <w:color w:val="auto"/>
              </w:rPr>
              <w:t>Ending Balance March 31,</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748,413,311</w:t>
            </w:r>
          </w:p>
        </w:tc>
        <w:tc>
          <w:tcPr>
            <w:tcW w:w="8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537,015,753</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(on a per share basis) during the three months ended March 31, 2022 and 2021 were as follows: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Three Months Ended March 31,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Borders>
              <w:top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Declaration Date</w:t>
            </w:r>
          </w:p>
        </w:tc>
        <w:tc>
          <w:tcPr>
            <w:tcW w:w="20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3"/>
              </w:rPr>
              <w:t>Record Date</w:t>
            </w:r>
          </w:p>
        </w:tc>
        <w:tc>
          <w:tcPr>
            <w:tcW w:w="1920" w:type="dxa"/>
            <w:vAlign w:val="bottom"/>
            <w:tcBorders>
              <w:top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Payment Date</w:t>
            </w:r>
          </w:p>
        </w:tc>
        <w:tc>
          <w:tcPr>
            <w:tcW w:w="34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19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March 10, 2022</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24, 2022</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April 7, 2022</w:t>
            </w:r>
          </w:p>
        </w:tc>
        <w:tc>
          <w:tcPr>
            <w:tcW w:w="1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2022 - March 31, 2022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0.3600</w:t>
            </w:r>
          </w:p>
        </w:tc>
      </w:tr>
      <w:tr>
        <w:trPr>
          <w:trHeight w:val="321"/>
        </w:trPr>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Three Months Ended March 31, 2021</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10"/>
        </w:trPr>
        <w:tc>
          <w:tcPr>
            <w:tcW w:w="2000" w:type="dxa"/>
            <w:vAlign w:val="bottom"/>
            <w:gridSpan w:val="2"/>
          </w:tcPr>
          <w:p>
            <w:pPr>
              <w:ind w:left="360"/>
              <w:spacing w:after="0"/>
              <w:rPr>
                <w:sz w:val="20"/>
                <w:szCs w:val="20"/>
                <w:color w:val="auto"/>
              </w:rPr>
            </w:pPr>
            <w:r>
              <w:rPr>
                <w:rFonts w:ascii="Arial" w:cs="Arial" w:eastAsia="Arial" w:hAnsi="Arial"/>
                <w:sz w:val="16"/>
                <w:szCs w:val="16"/>
                <w:b w:val="1"/>
                <w:bCs w:val="1"/>
                <w:color w:val="auto"/>
              </w:rPr>
              <w:t>Declaration Date</w:t>
            </w: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Record Date</w:t>
            </w:r>
          </w:p>
        </w:tc>
        <w:tc>
          <w:tcPr>
            <w:tcW w:w="1920" w:type="dxa"/>
            <w:vAlign w:val="bottom"/>
            <w:gridSpan w:val="2"/>
          </w:tcPr>
          <w:p>
            <w:pPr>
              <w:ind w:left="420"/>
              <w:spacing w:after="0"/>
              <w:rPr>
                <w:sz w:val="20"/>
                <w:szCs w:val="20"/>
                <w:color w:val="auto"/>
              </w:rPr>
            </w:pPr>
            <w:r>
              <w:rPr>
                <w:rFonts w:ascii="Arial" w:cs="Arial" w:eastAsia="Arial" w:hAnsi="Arial"/>
                <w:sz w:val="16"/>
                <w:szCs w:val="16"/>
                <w:b w:val="1"/>
                <w:bCs w:val="1"/>
                <w:color w:val="auto"/>
              </w:rPr>
              <w:t>Payment Date</w:t>
            </w:r>
          </w:p>
        </w:tc>
        <w:tc>
          <w:tcPr>
            <w:tcW w:w="3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60" w:type="dxa"/>
            <w:vAlign w:val="bottom"/>
          </w:tcPr>
          <w:p>
            <w:pPr>
              <w:spacing w:after="0"/>
              <w:rPr>
                <w:sz w:val="18"/>
                <w:szCs w:val="18"/>
                <w:color w:val="auto"/>
              </w:rPr>
            </w:pPr>
          </w:p>
        </w:tc>
        <w:tc>
          <w:tcPr>
            <w:tcW w:w="1460" w:type="dxa"/>
            <w:vAlign w:val="bottom"/>
          </w:tcPr>
          <w:p>
            <w:pPr>
              <w:jc w:val="right"/>
              <w:ind w:right="515"/>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19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March 11, 2021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25, 2021</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April 8, 2021</w:t>
            </w:r>
          </w:p>
        </w:tc>
        <w:tc>
          <w:tcPr>
            <w:tcW w:w="1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2021 - March 31, 2021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0.3300</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Earnings Per Share and Earnings Per Unit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75"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Basic earnings per share is computed by dividing net income attributable to common stockholders by the weighted-average number of shares of common stock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issued upon settlement of any outstanding forward sale agreements, as described in </w:t>
      </w:r>
      <w:hyperlink w:anchor="page45">
        <w:r>
          <w:rPr>
            <w:rFonts w:ascii="Arial" w:cs="Arial" w:eastAsia="Arial" w:hAnsi="Arial"/>
            <w:sz w:val="17"/>
            <w:szCs w:val="17"/>
            <w:u w:val="single" w:color="auto"/>
            <w:color w:val="0000FF"/>
          </w:rPr>
          <w:t>Note 11 - Stockholders' Equity</w:t>
        </w:r>
      </w:hyperlink>
      <w:r>
        <w:rPr>
          <w:rFonts w:ascii="Arial" w:cs="Arial" w:eastAsia="Arial" w:hAnsi="Arial"/>
          <w:sz w:val="17"/>
          <w:szCs w:val="17"/>
          <w:color w:val="auto"/>
        </w:rPr>
        <w:t>,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 Upon settlement of the outstanding forward sale agreements, the delivery of shares of common stock resulted in an increase in the number of shares outstanding and dilution to earnings per share.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weighted-average shares of common stock outstanding used in the calculation of basic earnings per share to the weighted-average shares of common stock outstanding used in the calculation of diluted earnings per share:</w:t>
      </w:r>
    </w:p>
    <w:p>
      <w:pPr>
        <w:spacing w:after="0" w:line="157"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852"/>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852"/>
              <w:spacing w:after="0" w:line="175"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Determination of shares:</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760" w:type="dxa"/>
            <w:vAlign w:val="bottom"/>
            <w:gridSpan w:val="3"/>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684,341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536,481</w:t>
            </w: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Assumed conversion of restricted stock</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29"/>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Assumed settlement of forward sale agreements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weighted-average shares of common stock outstanding</w:t>
            </w:r>
          </w:p>
        </w:tc>
        <w:tc>
          <w:tcPr>
            <w:tcW w:w="5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687,915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4"/>
          </w:tcPr>
          <w:p>
            <w:pPr>
              <w:jc w:val="right"/>
              <w:ind w:right="1032"/>
              <w:spacing w:after="0"/>
              <w:rPr>
                <w:sz w:val="20"/>
                <w:szCs w:val="20"/>
                <w:color w:val="auto"/>
              </w:rPr>
            </w:pPr>
            <w:r>
              <w:rPr>
                <w:rFonts w:ascii="Arial" w:cs="Arial" w:eastAsia="Arial" w:hAnsi="Arial"/>
                <w:sz w:val="16"/>
                <w:szCs w:val="16"/>
                <w:b w:val="1"/>
                <w:bCs w:val="1"/>
                <w:color w:val="auto"/>
              </w:rPr>
              <w:t>Three Months Ended March 31,</w:t>
            </w:r>
          </w:p>
        </w:tc>
      </w:tr>
      <w:tr>
        <w:trPr>
          <w:trHeight w:val="172"/>
        </w:trPr>
        <w:tc>
          <w:tcPr>
            <w:tcW w:w="20" w:type="dxa"/>
            <w:vAlign w:val="bottom"/>
          </w:tcPr>
          <w:p>
            <w:pPr>
              <w:spacing w:after="0"/>
              <w:rPr>
                <w:sz w:val="14"/>
                <w:szCs w:val="14"/>
                <w:color w:val="auto"/>
              </w:rPr>
            </w:pPr>
          </w:p>
        </w:tc>
        <w:tc>
          <w:tcPr>
            <w:tcW w:w="6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520" w:type="dxa"/>
            <w:vAlign w:val="bottom"/>
          </w:tcPr>
          <w:p>
            <w:pPr>
              <w:spacing w:after="0"/>
              <w:rPr>
                <w:sz w:val="14"/>
                <w:szCs w:val="14"/>
                <w:color w:val="auto"/>
              </w:rPr>
            </w:pPr>
          </w:p>
        </w:tc>
        <w:tc>
          <w:tcPr>
            <w:tcW w:w="1660" w:type="dxa"/>
            <w:vAlign w:val="bottom"/>
          </w:tcPr>
          <w:p>
            <w:pPr>
              <w:jc w:val="right"/>
              <w:ind w:right="852"/>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jc w:val="right"/>
              <w:ind w:right="852"/>
              <w:spacing w:after="0" w:line="172"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760" w:type="dxa"/>
            <w:vAlign w:val="bottom"/>
            <w:gridSpan w:val="3"/>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240,383</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269,801</w:t>
            </w: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684,341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536,481</w:t>
            </w:r>
          </w:p>
        </w:tc>
      </w:tr>
      <w:tr>
        <w:trPr>
          <w:trHeight w:val="223"/>
        </w:trPr>
        <w:tc>
          <w:tcPr>
            <w:tcW w:w="20" w:type="dxa"/>
            <w:vAlign w:val="bottom"/>
          </w:tcPr>
          <w:p>
            <w:pPr>
              <w:spacing w:after="0"/>
              <w:rPr>
                <w:sz w:val="19"/>
                <w:szCs w:val="19"/>
                <w:color w:val="auto"/>
              </w:rPr>
            </w:pPr>
          </w:p>
        </w:tc>
        <w:tc>
          <w:tcPr>
            <w:tcW w:w="6760" w:type="dxa"/>
            <w:vAlign w:val="bottom"/>
            <w:gridSpan w:val="3"/>
          </w:tcPr>
          <w:p>
            <w:pPr>
              <w:ind w:left="200"/>
              <w:spacing w:after="0"/>
              <w:rPr>
                <w:sz w:val="20"/>
                <w:szCs w:val="20"/>
                <w:color w:val="auto"/>
              </w:rPr>
            </w:pPr>
            <w:r>
              <w:rPr>
                <w:rFonts w:ascii="Arial" w:cs="Arial" w:eastAsia="Arial" w:hAnsi="Arial"/>
                <w:sz w:val="18"/>
                <w:szCs w:val="18"/>
                <w:color w:val="auto"/>
              </w:rPr>
              <w:t>Basic EPS</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Diluted:</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269,801</w:t>
            </w:r>
          </w:p>
        </w:tc>
      </w:tr>
      <w:tr>
        <w:trPr>
          <w:trHeight w:val="229"/>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Diluted weighted-average shares of common stock outstanding</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687,915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544,802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EPS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Basic earnings per unit is computed by dividing net income attributable to partners’ capital by the weighted-average number of units outstanding during the period. In accordance with the VICI LP partnership agreement, for each share of common stock issued at VICI, a corresponding unit is issued by VICI LP. Accordingly, diluted earnings per unit reflects the additional dilution for all potentially dilutive units resulting from potentially dilutive VICI stock issuances, such as options, unvested restricted stock awards, unvested performance-based restricted stock awards and the units to be issued by us upon settlement of any outstanding forward sale agreements of VICI for the period such dilutive security is outstanding. The units issuable upon settlement of any outstanding forward sale agreements of VICI are reflected in the diluted earnings per unit calculations using the treasury stock method for the period outstanding prior to settlement. Under this method, the number of units used in calculating diluted earnings per unit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agreements, the delivery of shares of VICI common stock resulted in an increase in the number of Partnership units outstanding and resulting dilution to earnings per unit.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3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weighted-average units outstanding used in the calculation of basic earnings per share to the weighted-average units outstanding used in the calculation of diluted earnings per unit:</w:t>
      </w:r>
    </w:p>
    <w:p>
      <w:pPr>
        <w:spacing w:after="0" w:line="157"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852"/>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852"/>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Determination of units:</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760" w:type="dxa"/>
            <w:vAlign w:val="bottom"/>
            <w:gridSpan w:val="3"/>
          </w:tcPr>
          <w:p>
            <w:pPr>
              <w:ind w:left="200"/>
              <w:spacing w:after="0"/>
              <w:rPr>
                <w:sz w:val="20"/>
                <w:szCs w:val="20"/>
                <w:color w:val="auto"/>
              </w:rPr>
            </w:pPr>
            <w:r>
              <w:rPr>
                <w:rFonts w:ascii="Arial" w:cs="Arial" w:eastAsia="Arial" w:hAnsi="Arial"/>
                <w:sz w:val="18"/>
                <w:szCs w:val="18"/>
                <w:color w:val="auto"/>
              </w:rPr>
              <w:t>Weighted-average units outstanding</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684,341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536,481</w:t>
            </w:r>
          </w:p>
        </w:tc>
      </w:tr>
      <w:tr>
        <w:trPr>
          <w:trHeight w:val="229"/>
        </w:trPr>
        <w:tc>
          <w:tcPr>
            <w:tcW w:w="20" w:type="dxa"/>
            <w:vAlign w:val="bottom"/>
            <w:shd w:val="clear" w:color="auto" w:fill="CCEEFF"/>
          </w:tcPr>
          <w:p>
            <w:pPr>
              <w:spacing w:after="0"/>
              <w:rPr>
                <w:sz w:val="19"/>
                <w:szCs w:val="19"/>
                <w:color w:val="auto"/>
              </w:rPr>
            </w:pP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Assumed conversion of VICI restricted stock</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30"/>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Assumed settlement of VICI forward sale agreements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weighted-average units outstanding</w:t>
            </w:r>
          </w:p>
        </w:tc>
        <w:tc>
          <w:tcPr>
            <w:tcW w:w="5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687,915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4"/>
          </w:tcPr>
          <w:p>
            <w:pPr>
              <w:jc w:val="right"/>
              <w:ind w:right="1032"/>
              <w:spacing w:after="0"/>
              <w:rPr>
                <w:sz w:val="20"/>
                <w:szCs w:val="20"/>
                <w:color w:val="auto"/>
              </w:rPr>
            </w:pPr>
            <w:r>
              <w:rPr>
                <w:rFonts w:ascii="Arial" w:cs="Arial" w:eastAsia="Arial" w:hAnsi="Arial"/>
                <w:sz w:val="16"/>
                <w:szCs w:val="16"/>
                <w:b w:val="1"/>
                <w:bCs w:val="1"/>
                <w:color w:val="auto"/>
              </w:rPr>
              <w:t>Three Months Ended March 31,</w:t>
            </w:r>
          </w:p>
        </w:tc>
      </w:tr>
      <w:tr>
        <w:trPr>
          <w:trHeight w:val="172"/>
        </w:trPr>
        <w:tc>
          <w:tcPr>
            <w:tcW w:w="20" w:type="dxa"/>
            <w:vAlign w:val="bottom"/>
          </w:tcPr>
          <w:p>
            <w:pPr>
              <w:spacing w:after="0"/>
              <w:rPr>
                <w:sz w:val="14"/>
                <w:szCs w:val="14"/>
                <w:color w:val="auto"/>
              </w:rPr>
            </w:pPr>
          </w:p>
        </w:tc>
        <w:tc>
          <w:tcPr>
            <w:tcW w:w="6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520" w:type="dxa"/>
            <w:vAlign w:val="bottom"/>
          </w:tcPr>
          <w:p>
            <w:pPr>
              <w:spacing w:after="0"/>
              <w:rPr>
                <w:sz w:val="14"/>
                <w:szCs w:val="14"/>
                <w:color w:val="auto"/>
              </w:rPr>
            </w:pPr>
          </w:p>
        </w:tc>
        <w:tc>
          <w:tcPr>
            <w:tcW w:w="1660" w:type="dxa"/>
            <w:vAlign w:val="bottom"/>
          </w:tcPr>
          <w:p>
            <w:pPr>
              <w:jc w:val="right"/>
              <w:ind w:right="852"/>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jc w:val="right"/>
              <w:ind w:right="852"/>
              <w:spacing w:after="0" w:line="172"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760" w:type="dxa"/>
            <w:vAlign w:val="bottom"/>
            <w:gridSpan w:val="3"/>
          </w:tcPr>
          <w:p>
            <w:pPr>
              <w:ind w:left="200"/>
              <w:spacing w:after="0"/>
              <w:rPr>
                <w:sz w:val="20"/>
                <w:szCs w:val="20"/>
                <w:color w:val="auto"/>
              </w:rPr>
            </w:pPr>
            <w:r>
              <w:rPr>
                <w:rFonts w:ascii="Arial" w:cs="Arial" w:eastAsia="Arial" w:hAnsi="Arial"/>
                <w:sz w:val="18"/>
                <w:szCs w:val="18"/>
                <w:color w:val="auto"/>
              </w:rPr>
              <w:t>Net income attributable to partners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238,347</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268,593</w:t>
            </w:r>
          </w:p>
        </w:tc>
      </w:tr>
      <w:tr>
        <w:trPr>
          <w:trHeight w:val="229"/>
        </w:trPr>
        <w:tc>
          <w:tcPr>
            <w:tcW w:w="20" w:type="dxa"/>
            <w:vAlign w:val="bottom"/>
            <w:shd w:val="clear" w:color="auto" w:fill="CCEEFF"/>
          </w:tcPr>
          <w:p>
            <w:pPr>
              <w:spacing w:after="0"/>
              <w:rPr>
                <w:sz w:val="19"/>
                <w:szCs w:val="19"/>
                <w:color w:val="auto"/>
              </w:rPr>
            </w:pP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Weighted-average units outstanding</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684,341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536,481</w:t>
            </w:r>
          </w:p>
        </w:tc>
      </w:tr>
      <w:tr>
        <w:trPr>
          <w:trHeight w:val="223"/>
        </w:trPr>
        <w:tc>
          <w:tcPr>
            <w:tcW w:w="20" w:type="dxa"/>
            <w:vAlign w:val="bottom"/>
          </w:tcPr>
          <w:p>
            <w:pPr>
              <w:spacing w:after="0"/>
              <w:rPr>
                <w:sz w:val="19"/>
                <w:szCs w:val="19"/>
                <w:color w:val="auto"/>
              </w:rPr>
            </w:pPr>
          </w:p>
        </w:tc>
        <w:tc>
          <w:tcPr>
            <w:tcW w:w="6760" w:type="dxa"/>
            <w:vAlign w:val="bottom"/>
            <w:gridSpan w:val="3"/>
          </w:tcPr>
          <w:p>
            <w:pPr>
              <w:ind w:left="200"/>
              <w:spacing w:after="0"/>
              <w:rPr>
                <w:sz w:val="20"/>
                <w:szCs w:val="20"/>
                <w:color w:val="auto"/>
              </w:rPr>
            </w:pPr>
            <w:r>
              <w:rPr>
                <w:rFonts w:ascii="Arial" w:cs="Arial" w:eastAsia="Arial" w:hAnsi="Arial"/>
                <w:sz w:val="18"/>
                <w:szCs w:val="18"/>
                <w:color w:val="auto"/>
              </w:rPr>
              <w:t>Basic EPU</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Diluted:</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income attributable to partners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268,593</w:t>
            </w:r>
          </w:p>
        </w:tc>
      </w:tr>
      <w:tr>
        <w:trPr>
          <w:trHeight w:val="230"/>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Weighted-average units outstanding</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687,915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544,802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EPU</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Stock-Based Compensation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March 31, 2022, 11.0 million shares of common stock remained available for issuance by us as equity awards under the Plan.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stock-based compensation expense recorded as General and administrative expense in the Statement of Operations:</w:t>
      </w:r>
    </w:p>
    <w:p>
      <w:pPr>
        <w:spacing w:after="0" w:line="224"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7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855"/>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855"/>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7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r>
      <w:tr>
        <w:trPr>
          <w:trHeight w:val="90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20" w:type="dxa"/>
            <w:vAlign w:val="bottom"/>
          </w:tcPr>
          <w:p>
            <w:pPr>
              <w:jc w:val="right"/>
              <w:ind w:right="970"/>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480"/>
        <w:spacing w:after="0" w:line="241" w:lineRule="auto"/>
        <w:rPr>
          <w:sz w:val="20"/>
          <w:szCs w:val="20"/>
          <w:color w:val="auto"/>
        </w:rPr>
      </w:pPr>
      <w:r>
        <w:rPr>
          <w:rFonts w:ascii="Arial" w:cs="Arial" w:eastAsia="Arial" w:hAnsi="Arial"/>
          <w:sz w:val="20"/>
          <w:szCs w:val="20"/>
          <w:b w:val="1"/>
          <w:bCs w:val="1"/>
          <w:color w:val="auto"/>
        </w:rPr>
        <w:t>VICI PROPERTIES INC. AND VICI PROPERTIES L.P.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time-based restricted stock and performance-based restricted stock units: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96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 March 31, 2022</w:t>
            </w:r>
          </w:p>
        </w:tc>
        <w:tc>
          <w:tcPr>
            <w:tcW w:w="3860" w:type="dxa"/>
            <w:vAlign w:val="bottom"/>
            <w:gridSpan w:val="4"/>
          </w:tcPr>
          <w:p>
            <w:pPr>
              <w:ind w:left="640"/>
              <w:spacing w:after="0"/>
              <w:rPr>
                <w:sz w:val="20"/>
                <w:szCs w:val="20"/>
                <w:color w:val="auto"/>
              </w:rPr>
            </w:pPr>
            <w:r>
              <w:rPr>
                <w:rFonts w:ascii="Arial" w:cs="Arial" w:eastAsia="Arial" w:hAnsi="Arial"/>
                <w:sz w:val="16"/>
                <w:szCs w:val="16"/>
                <w:b w:val="1"/>
                <w:bCs w:val="1"/>
                <w:color w:val="auto"/>
              </w:rPr>
              <w:t>Three Months Ended March 31, 2021</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40" w:type="dxa"/>
            <w:vAlign w:val="bottom"/>
            <w:tcBorders>
              <w:top w:val="single" w:sz="8" w:color="auto"/>
            </w:tcBorders>
            <w:gridSpan w:val="2"/>
            <w:vMerge w:val="restart"/>
          </w:tcPr>
          <w:p>
            <w:pPr>
              <w:ind w:left="64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center"/>
              <w:ind w:right="32"/>
              <w:spacing w:after="0" w:line="158" w:lineRule="exact"/>
              <w:rPr>
                <w:sz w:val="20"/>
                <w:szCs w:val="20"/>
                <w:color w:val="auto"/>
              </w:rPr>
            </w:pPr>
            <w:r>
              <w:rPr>
                <w:rFonts w:ascii="Arial" w:cs="Arial" w:eastAsia="Arial" w:hAnsi="Arial"/>
                <w:sz w:val="16"/>
                <w:szCs w:val="16"/>
                <w:b w:val="1"/>
                <w:bCs w:val="1"/>
                <w:color w:val="auto"/>
                <w:w w:val="93"/>
              </w:rPr>
              <w:t>Weighted Average Grant</w:t>
            </w:r>
          </w:p>
        </w:tc>
        <w:tc>
          <w:tcPr>
            <w:tcW w:w="100" w:type="dxa"/>
            <w:vAlign w:val="bottom"/>
          </w:tcPr>
          <w:p>
            <w:pPr>
              <w:spacing w:after="0"/>
              <w:rPr>
                <w:sz w:val="13"/>
                <w:szCs w:val="13"/>
                <w:color w:val="auto"/>
              </w:rPr>
            </w:pPr>
          </w:p>
        </w:tc>
        <w:tc>
          <w:tcPr>
            <w:tcW w:w="1840" w:type="dxa"/>
            <w:vAlign w:val="bottom"/>
            <w:tcBorders>
              <w:top w:val="single" w:sz="8" w:color="auto"/>
            </w:tcBorders>
            <w:gridSpan w:val="2"/>
            <w:vMerge w:val="restart"/>
          </w:tcPr>
          <w:p>
            <w:pPr>
              <w:ind w:left="64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right"/>
              <w:ind w:right="52"/>
              <w:spacing w:after="0" w:line="158" w:lineRule="exact"/>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5"/>
              </w:rPr>
              <w:t>Date Fair Value</w:t>
            </w:r>
          </w:p>
        </w:tc>
        <w:tc>
          <w:tcPr>
            <w:tcW w:w="1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ind w:right="372"/>
              <w:spacing w:after="0" w:line="175" w:lineRule="exact"/>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30"/>
        </w:trPr>
        <w:tc>
          <w:tcPr>
            <w:tcW w:w="3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29"/>
        </w:trPr>
        <w:tc>
          <w:tcPr>
            <w:tcW w:w="3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Outstanding at end of period</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there was $23.5 million of unrecognized compensation cost related to non-vested stock-based compensation arrangements under the Plan. This cost is expected to be recognized over a weighted average period of 2.4 years.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Segment Information</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real property business and our golf course business represent two reportable segments. The real property business segment consists of leased real property and our real estate lending activities and represents the substantial majority of our business. The golf course business segment, which is wholly owned by VICI, consists of four golf courses, with each being operating segments that are aggregated into one reportable segment.</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each reportable segment presented below are consistent with the way our management assesses these results and allocates resources. The following table presents certain information with respect to our segments: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3"/>
              </w:rPr>
              <w:t>Three Months Ended March 31, 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4"/>
              </w:rPr>
              <w:t>Three Months Ended March 31, 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VICI Consolidated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VICI Consolidated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84"/>
              </w:rPr>
              <w:t>Business</w:t>
            </w:r>
          </w:p>
        </w:tc>
        <w:tc>
          <w:tcPr>
            <w:tcW w:w="200" w:type="dxa"/>
            <w:vAlign w:val="bottom"/>
          </w:tcPr>
          <w:p>
            <w:pPr>
              <w:spacing w:after="0"/>
              <w:rPr>
                <w:sz w:val="15"/>
                <w:szCs w:val="15"/>
                <w:color w:val="auto"/>
              </w:rPr>
            </w:pPr>
          </w:p>
        </w:tc>
        <w:tc>
          <w:tcPr>
            <w:tcW w:w="126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84"/>
              </w:rPr>
              <w:t>Business</w:t>
            </w:r>
          </w:p>
        </w:tc>
        <w:tc>
          <w:tcPr>
            <w:tcW w:w="1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81"/>
              </w:rPr>
              <w:t>Business</w:t>
            </w:r>
          </w:p>
        </w:tc>
        <w:tc>
          <w:tcPr>
            <w:tcW w:w="1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(77,048)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(77,048)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21,643,338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16,994,473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17,085,001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6,239,551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17,984</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6,257,535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7,468,648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16,661</w:t>
            </w:r>
          </w:p>
        </w:tc>
        <w:tc>
          <w:tcPr>
            <w:tcW w:w="10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7,485,309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70"/>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65" w:lineRule="exact"/>
        <w:rPr>
          <w:sz w:val="20"/>
          <w:szCs w:val="20"/>
          <w:color w:val="auto"/>
        </w:rPr>
      </w:pPr>
    </w:p>
    <w:p>
      <w:pPr>
        <w:jc w:val="both"/>
        <w:spacing w:after="0" w:line="273"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of the financial position and operating results of VICI Properties Inc. and VICI Properties L.P. for the three months ended March 31, 2022 should be read in conjunction with the Financial Statements and related notes thereto and other financial information contained elsewhere in this Quarterly Report on Form 10-Q and the audited consolidated financial statements and related notes for the year ended December 31, 2021, which, in the case of VICI Properties Inc., were included in our </w:t>
      </w:r>
      <w:hyperlink r:id="rId71">
        <w:r>
          <w:rPr>
            <w:rFonts w:ascii="Arial" w:cs="Arial" w:eastAsia="Arial" w:hAnsi="Arial"/>
            <w:sz w:val="17"/>
            <w:szCs w:val="17"/>
            <w:i w:val="1"/>
            <w:iCs w:val="1"/>
            <w:u w:val="single" w:color="auto"/>
            <w:color w:val="0000FF"/>
          </w:rPr>
          <w:t>Annual Report on Form 10-K for the year ended December 31, 2021</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 xml:space="preserve">and in the case of VICI Properties L.P. were included as an </w:t>
      </w:r>
      <w:hyperlink r:id="rId28">
        <w:r>
          <w:rPr>
            <w:rFonts w:ascii="Arial" w:cs="Arial" w:eastAsia="Arial" w:hAnsi="Arial"/>
            <w:sz w:val="17"/>
            <w:szCs w:val="17"/>
            <w:i w:val="1"/>
            <w:iCs w:val="1"/>
            <w:u w:val="single" w:color="auto"/>
            <w:color w:val="0000FF"/>
          </w:rPr>
          <w:t>exhibit to Form 8-K filed on April 18, 2022</w:t>
        </w:r>
      </w:hyperlink>
      <w:r>
        <w:rPr>
          <w:rFonts w:ascii="Arial" w:cs="Arial" w:eastAsia="Arial" w:hAnsi="Arial"/>
          <w:sz w:val="17"/>
          <w:szCs w:val="17"/>
          <w:i w:val="1"/>
          <w:iCs w:val="1"/>
          <w:color w:val="auto"/>
        </w:rPr>
        <w:t xml:space="preserve">. All defined terms included herein have the same meaning as those set forth in the </w:t>
      </w:r>
      <w:hyperlink w:anchor="page14">
        <w:r>
          <w:rPr>
            <w:rFonts w:ascii="Arial" w:cs="Arial" w:eastAsia="Arial" w:hAnsi="Arial"/>
            <w:sz w:val="17"/>
            <w:szCs w:val="17"/>
            <w:i w:val="1"/>
            <w:iCs w:val="1"/>
            <w:u w:val="single" w:color="auto"/>
            <w:color w:val="0000FF"/>
          </w:rPr>
          <w:t>Notes to the Consolidated Financial Statements</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contained within this Quarterly Report on Form 10-Q.</w:t>
      </w:r>
    </w:p>
    <w:p>
      <w:pPr>
        <w:spacing w:after="0" w:line="169" w:lineRule="exact"/>
        <w:rPr>
          <w:rFonts w:ascii="Arial" w:cs="Arial" w:eastAsia="Arial" w:hAnsi="Arial"/>
          <w:sz w:val="17"/>
          <w:szCs w:val="17"/>
          <w:i w:val="1"/>
          <w:iCs w:val="1"/>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4" w:lineRule="exact"/>
        <w:rPr>
          <w:rFonts w:ascii="Arial" w:cs="Arial" w:eastAsia="Arial" w:hAnsi="Arial"/>
          <w:sz w:val="17"/>
          <w:szCs w:val="17"/>
          <w:i w:val="1"/>
          <w:iCs w:val="1"/>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Quarterly Report on Form 10-Q, including statements such as “anticipate,” “believe,” “estimate,” “expect,” “intend,” “plan,” “project,” “target,” “can,” “could,” “may,” “should,” “will,” “would” or similar expressions, which constitute “forward-looking statements” within the meaning of federal securities law. Forward-looking statements are based on our current plans, expectations and projections about future events. We therefore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24" w:lineRule="exact"/>
        <w:rPr>
          <w:rFonts w:ascii="Arial" w:cs="Arial" w:eastAsia="Arial" w:hAnsi="Arial"/>
          <w:sz w:val="17"/>
          <w:szCs w:val="17"/>
          <w:i w:val="1"/>
          <w:iCs w:val="1"/>
          <w:color w:val="auto"/>
        </w:rPr>
      </w:pPr>
    </w:p>
    <w:p>
      <w:pPr>
        <w:jc w:val="both"/>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Currently, one of the most significant factors that could cause actual outcomes to differ materially from our forward-looking statements is the impact of the COVID-19 pandemic on our and our tenants’ financial condition, results of operations, cash flows and performance. The extent to which the COVID-19 pandemic continues to adversely affect our tenants, and ultimately impacts our business and financial condition, depends on future developments which cannot be predicted with confidence, including the impact of the actions taken to contain the pandemic or mitigate its impact, including the availability, distribution, public acceptance and efficacy of approved vaccines, new or mutated variants of COVID-19 (including vaccine-resistant variants) or a similar virus, the direct and indirect economic effects of the pandemic and containment measures on our tenants, the ability of our tenants to successfully operate their businesses, including the costs of complying with regulatory requirements necessary to keep their respective facilities open, such as reduced capacity requirements, the need to close any of the facilities as a result of the COVID-19 pandemic, and the effects of the negotiated capital expenditure reductions and other amendments to the Lease Agreements that we agreed to with certain tenants in response to the COVID-19 pandemic. Each of the foregoing could have a material adverse effect on our tenants’ ability to satisfy their obligations under their Lease Agreements with us, including their continued ability to pay rent in a timely manner, or at all, and/or to fund capital expenditures or make other payments required under their leases. Investors are cautioned to interpret many of the risks identified under the section entitled “Risk Factors” in our </w:t>
      </w:r>
      <w:hyperlink r:id="rId71">
        <w:r>
          <w:rPr>
            <w:rFonts w:ascii="Arial" w:cs="Arial" w:eastAsia="Arial" w:hAnsi="Arial"/>
            <w:sz w:val="17"/>
            <w:szCs w:val="17"/>
            <w:u w:val="single" w:color="auto"/>
            <w:color w:val="0000FF"/>
          </w:rPr>
          <w:t>Annual Report on Form 10-K for the year ended December 31, 2021</w:t>
        </w:r>
      </w:hyperlink>
      <w:r>
        <w:rPr>
          <w:rFonts w:ascii="Arial" w:cs="Arial" w:eastAsia="Arial" w:hAnsi="Arial"/>
          <w:sz w:val="17"/>
          <w:szCs w:val="17"/>
          <w:color w:val="auto"/>
        </w:rPr>
        <w:t>, our Quarterly Reports on Form 10-Q and Current Reports on Form 8-K as being heightened as a result of the ongoing and numerous adverse impacts of the COVID-19 pandemic.</w:t>
      </w:r>
    </w:p>
    <w:p>
      <w:pPr>
        <w:spacing w:after="0" w:line="130" w:lineRule="exact"/>
        <w:rPr>
          <w:rFonts w:ascii="Arial" w:cs="Arial" w:eastAsia="Arial" w:hAnsi="Arial"/>
          <w:sz w:val="17"/>
          <w:szCs w:val="17"/>
          <w:i w:val="1"/>
          <w:iCs w:val="1"/>
          <w:color w:val="auto"/>
        </w:rPr>
      </w:pPr>
    </w:p>
    <w:p>
      <w:pPr>
        <w:jc w:val="both"/>
        <w:spacing w:after="0" w:line="268" w:lineRule="auto"/>
        <w:rPr>
          <w:sz w:val="20"/>
          <w:szCs w:val="20"/>
          <w:color w:val="auto"/>
        </w:rPr>
      </w:pPr>
      <w:r>
        <w:rPr>
          <w:rFonts w:ascii="Arial" w:cs="Arial" w:eastAsia="Arial" w:hAnsi="Arial"/>
          <w:sz w:val="17"/>
          <w:szCs w:val="17"/>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risks associated with the MGP Transactions, including our ability or failure to realize the anticipated benefits of the MGP Transactions; the impact of changes in general economic conditions and market developments, including rising inflation, consumer confidence, supply chain disruptions, unemployment levels and depressed real estate prices resulting from the severity and duration of any downturn in the U.S. or global economy; our dependence on our tenants as tenants of our properties and their guarantors as guarantors of the lease payments and the negative consequences any material adverse effect on their respective businesses could have on us; the anticipated benefits of the Partner Property Growth Fund; our borrowers’ ability to repay their outstanding loan obligations to us; our dependence on the gaming industry; 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entity-level U.S. federal income taxes; our inability to maintain our</w:t>
      </w:r>
    </w:p>
    <w:p>
      <w:pPr>
        <w:spacing w:after="0" w:line="200" w:lineRule="exact"/>
        <w:rPr>
          <w:rFonts w:ascii="Arial" w:cs="Arial" w:eastAsia="Arial" w:hAnsi="Arial"/>
          <w:sz w:val="17"/>
          <w:szCs w:val="17"/>
          <w:i w:val="1"/>
          <w:iCs w:val="1"/>
          <w:color w:val="auto"/>
        </w:rPr>
      </w:pPr>
    </w:p>
    <w:p>
      <w:pPr>
        <w:spacing w:after="0" w:line="362" w:lineRule="exact"/>
        <w:rPr>
          <w:rFonts w:ascii="Arial" w:cs="Arial" w:eastAsia="Arial" w:hAnsi="Arial"/>
          <w:sz w:val="17"/>
          <w:szCs w:val="17"/>
          <w:i w:val="1"/>
          <w:iCs w:val="1"/>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qualification for taxation as a REIT; the impact of extensive regulation from gaming and other regulatory authorities; the ability of our tenants to obtain and maintain regulatory approvals in connection with the operation of our properties, or the imposition of conditions to such regulatory approvals; the possibility that our tenants may choose not to renew the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including indebtedness assumed and incurred by us in connection with the completion of the MGP Transactions, and ability to service, refinance and otherwise fulfill our obligations under such indebtedness; our historical financial information may not be reliable indicators of our future results of operations, financial condition and cash flows; the impact of a rise in interest rates which have begun increasing from historic lows, on us; our inability to successfully pursue investments in, and acquisitions of, additional properties; the possibility that we identify significant environmental, tax, legal or other issues that materially and adversely impact the value of assets acquired or secured as collateral (or other benefits we expect to receive) in any of our recently completed transactions; the effects of our recently completed transactions on us, including the future impact on our financial condition, financial and operating results, cash flows, strategy and plans; the impact of changes to the U.S. federal income tax laws; the impact and outcome of previous and potential future litigation relating to the MGP Transactions; the possibility of adverse tax consequences as a result of our recently completed transactions; increased volatility in our stock price as a result of our recently completed transactions; the impact of climate change, natural disasters, war, political and public health conditions or uncertainty or civil unrest, violence or terrorist activities or threats on our properties and changes in economic conditions or heightened travel security and health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VICI’s reliance on distributions received from VICI LP to make distributions to our stockholders; the potential impact on the amount of our cash distributions if we were to sell any of our properties in the future; our ability to continue to make distributions to holders of our common stock or maintain anticipated levels of distributions over time;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Annual Report on Form 10-K, Quarterly Reports on Form 10-Q and Current Reports on Form 8-K.</w:t>
      </w:r>
    </w:p>
    <w:p>
      <w:pPr>
        <w:spacing w:after="0" w:line="34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owner and acquirer of experiential real estate assets across leading gaming, hospitality, entertainment and leisure destinations. Following the closing of the MGP Transactions on April 29, 2022, our national, geographically diverse portfolio currently consists of 43 market leading properties, including Caesars Palace Las Vegas, Harrah’s Las Vegas, the Venetian Resort, Mandalay Bay and MGM Grand, five of the most iconic entertainment facilities on the Las Vegas Strip. Our entertainment facilities are leased to leading brands that seek to drive consumer loyalty and value with guests through superior services, experiences, products and continuous innovation. Across over 122 million square feet, our well-maintained properties are currently located across urban, destination and drive-to markets in fifteen states, contain approximately 58,700 hotel rooms and feature over 450 restaurants, bars, nightclubs, and sportsbooks.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portfolio also includes four real estate debt investments that we have originated for strategic reasons in connection with transactions that may provide the potential to convert our investment into the ownership of certain of the underlying real estate in the future. In addition, we own approximately 34 acres of undeveloped or underdeveloped land on and adjacent to the Las Vegas Strip that is leased to Caesars, which we may look to monetize as appropriate. VICI also owns and operates four championship golf courses located near certain of our properties, two of which are in close proximity to the Las Vegas Strip.</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lease our properties to subsidiaries of, or entities managed by, Caesars, MGM, Apollo, Penn National, Seminole Hard Rock, Century Casinos, JACK Entertainment and EBCI, with Caesars and MGM being our largest tenants. We believe we have a mutually beneficial relationship with each of our tenants, all of which are leading owners and operators of gaming, entertainment and leisure properties. Our long-term triple-net Lease Agreements with our tenants provide us with a highly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long-term. Despite the ongoing uncertainty surrounding the COVID-19 pandemic, we continue to evaluate and opportunistically pursue accretive acquisitions or investments that arise in the market.</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as well as other investments, to augment growth as market conditions allow, with a focus on disciplined capital allocation.</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will enhance our ability to make distributions to our stockholders, providing investors with current income as well as long-term growth, subject to the macroeconomic impact of the COVID-19 pandemic and market conditions more broadly. We conduct our real property business through VICI OP and our golf course business through a taxable REIT subsidiary (a “TRS”), VICI Golf.</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included in this Quarterly Report on Form 10-Q is our consolidated results (including the real property business and the golf course business) for the three months ended March 31,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the emergence of the COVID-19 pandemic in early 2020, among the broader public health, societal and global impacts, the pandemic has resulted in governmental and/or regulatory actions imposing, among other things, temporary closures or restrictions from time to time on our tenants’ operations at our properties and our golf course operations. Although all of our leased properties and our golf courses are currently open and operating, without restriction in some jurisdictions, they remain subject to any current or future operating limitations, restrictions or closures imposed by governmental and/or regulatory authorities. While our tenants’ recent performance at many of our leased properties has been at or above pre-pandemic levels, our tenants may continue to face additional challenges and uncertainty due to the impact of the COVID-19 pandemic, such as complying with operational and capacity restrictions and ensuring sufficient employee staffing and service levels, and the sustainability of maintaining improved operating margins and financial performance. Due to prior closures, operating restrictions and other factors, our tenants’ operations, liquidity and financial performance have been adversely affected, and the ongoing nature of the pandemic, including emerging variants, may further adversely affect our tenants’ businesses and, accordingly, our business and financial performance could be adversely affected in the future.</w:t>
      </w:r>
    </w:p>
    <w:p>
      <w:pPr>
        <w:spacing w:after="0" w:line="131" w:lineRule="exact"/>
        <w:rPr>
          <w:sz w:val="20"/>
          <w:szCs w:val="20"/>
          <w:color w:val="auto"/>
        </w:rPr>
      </w:pPr>
    </w:p>
    <w:p>
      <w:pPr>
        <w:jc w:val="both"/>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All of our tenants have fulfilled their rent obligations through April 2022 and we regularly engage with our tenants in connection with their business performance, operations, liquidity and financial results. As a triple-net lessor, we believe we are generally in a strong creditor position and structurally insulated from operational and performance impacts of our tenants, both positive and negative. However, the full extent to which the COVID-19 pandemic continues to adversely affect our tenants, and ultimately impacts us, depends on future developments which cannot be predicted with confidence, including the actions taken to contain the pandemic or mitigate its impact, including the availability, distribution, public acceptance and efficacy of approved vaccines, new or mutated variants of COVID-19 (including vaccine-resistant variants) or a similar virus, the direct and indirect economic effects of the pandemic and containment measures on our tenants, our tenants’ financial performance and any future operating limitations or closures. For more information, refer to the section entitled “Risk Factors” in our </w:t>
      </w:r>
      <w:hyperlink r:id="rId71">
        <w:r>
          <w:rPr>
            <w:rFonts w:ascii="Arial" w:cs="Arial" w:eastAsia="Arial" w:hAnsi="Arial"/>
            <w:sz w:val="17"/>
            <w:szCs w:val="17"/>
            <w:u w:val="single" w:color="auto"/>
            <w:color w:val="0000FF"/>
          </w:rPr>
          <w:t>Annual Report on Form 10-K for the year ended December 31,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as updated from time to time in our other filings with the SEC.</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ACTIVITIES DURING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Investment Activity</w:t>
      </w:r>
    </w:p>
    <w:p>
      <w:pPr>
        <w:spacing w:after="0" w:line="171" w:lineRule="exact"/>
        <w:rPr>
          <w:sz w:val="20"/>
          <w:szCs w:val="20"/>
          <w:color w:val="auto"/>
        </w:rPr>
      </w:pPr>
    </w:p>
    <w:p>
      <w:pPr>
        <w:jc w:val="both"/>
        <w:ind w:left="660" w:hanging="328"/>
        <w:spacing w:after="0" w:line="269" w:lineRule="auto"/>
        <w:tabs>
          <w:tab w:leader="none" w:pos="655"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MGP Transactions. </w:t>
      </w:r>
      <w:r>
        <w:rPr>
          <w:rFonts w:ascii="Arial" w:cs="Arial" w:eastAsia="Arial" w:hAnsi="Arial"/>
          <w:sz w:val="17"/>
          <w:szCs w:val="17"/>
          <w:color w:val="auto"/>
        </w:rPr>
        <w:t>On April 29, 2022, we closed on the previously announced MGP Transactions governed by the MGP Master Transaction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pursuant to which we acquired MGP for total consideration of $17.2 billion, inclusive of the assumption of approximately $5.7 billion of debt. Upon closing, the MGP Transactions added $1,012.2 million of annualized rent to our portfolio from 15 Class A entertainment casino resort properties spread across nine regions and comprising 36,000 hotel rooms, 3.6 million square feet of meeting and convention space and hundreds of food, beverage and entertainment venues. Under the terms of the MGP Master Transaction Agreement, holders of MGP Common Shares received 1.366 shares of our newly issued common stock in exchange for each Class A common share of MGP. The fixed Exchange Ratio represented an agreed upon price of $43.00 per share of MGP Class A common shares based on VICI’s trailing 5-day volume weighted average price of $31.47 as of July 30, 2021. MGM received $43.00 per unit in cash for the redemption of the majority of its MGP OP units that it holds for total cash consideration of approximately $4.404 billion and also retained approximately 12.2 million units in VICI OP. The MGP Class B share that was held by MGM was cancelled and ceased to exist.</w:t>
      </w:r>
    </w:p>
    <w:p>
      <w:pPr>
        <w:spacing w:after="0" w:line="131" w:lineRule="exact"/>
        <w:rPr>
          <w:rFonts w:ascii="Arial" w:cs="Arial" w:eastAsia="Arial" w:hAnsi="Arial"/>
          <w:sz w:val="17"/>
          <w:szCs w:val="17"/>
          <w:b w:val="1"/>
          <w:bCs w:val="1"/>
          <w:i w:val="1"/>
          <w:iCs w:val="1"/>
          <w:color w:val="auto"/>
        </w:rPr>
      </w:pPr>
    </w:p>
    <w:p>
      <w:pPr>
        <w:jc w:val="both"/>
        <w:ind w:left="660"/>
        <w:spacing w:after="0" w:line="269" w:lineRule="auto"/>
        <w:rPr>
          <w:rFonts w:ascii="Arial" w:cs="Arial" w:eastAsia="Arial" w:hAnsi="Arial"/>
          <w:sz w:val="17"/>
          <w:szCs w:val="17"/>
          <w:b w:val="1"/>
          <w:bCs w:val="1"/>
          <w:i w:val="1"/>
          <w:iCs w:val="1"/>
          <w:color w:val="auto"/>
        </w:rPr>
      </w:pPr>
      <w:r>
        <w:rPr>
          <w:rFonts w:ascii="Arial" w:cs="Arial" w:eastAsia="Arial" w:hAnsi="Arial"/>
          <w:sz w:val="17"/>
          <w:szCs w:val="17"/>
          <w:color w:val="auto"/>
        </w:rPr>
        <w:t>Simultaneous with the closing of the Mergers on April 29, 2022, we entered into the MGM Master Lease. The MGM Master Lease has an initial term of 25 years, with three 10-year tenant renewal options and has an initial total annual rent of $860.0 million. Rent under the MGM Master Lease escalates at a rate of 2.0% per annum for the first 10 years and thereafter at the greater of 2.0% per annum or the increase in the consumer price index (“CPI”), subject to a 3.0% cap. The initial total annual rent under the MGM Master Lease will be reduced by $90.0 million to $770.0 million, upon the close of MGM’s pending sale of the operations of the Mirage to Hard Rock and entrance into the Mirage Lease, as further described below. Additionally, we retained MGP’s existing 50.1% ownership stake in the BREIT JV, which owns the real estate assets of MGM Grand Las Vegas and Mandalay Bay. The BREIT JV Lease remained unchanged and provides for current total annual base rent of approximately $303.8 million, of which approximately $152.2 million is attributable to MGP’s investment in the BREIT JV, and an initial term of thirty years with two 10-year tenant renewal options. Rent under the BREIT JV Lease escalates at a rate of 2.0% per annum for the first fifteen years and thereafter at the greater of 2.0% per annum or CPI, subject to a 3.0% cap. The tenant’s obligations under the MGM Master Lease and the BREIT JV Lease continue to be guaranteed by MGM.</w:t>
      </w:r>
    </w:p>
    <w:p>
      <w:pPr>
        <w:spacing w:after="0" w:line="127" w:lineRule="exact"/>
        <w:rPr>
          <w:rFonts w:ascii="Arial" w:cs="Arial" w:eastAsia="Arial" w:hAnsi="Arial"/>
          <w:sz w:val="17"/>
          <w:szCs w:val="17"/>
          <w:b w:val="1"/>
          <w:bCs w:val="1"/>
          <w:i w:val="1"/>
          <w:iCs w:val="1"/>
          <w:color w:val="auto"/>
        </w:rPr>
      </w:pPr>
    </w:p>
    <w:p>
      <w:pPr>
        <w:jc w:val="both"/>
        <w:ind w:left="660" w:hanging="328"/>
        <w:spacing w:after="0" w:line="288" w:lineRule="auto"/>
        <w:tabs>
          <w:tab w:leader="none" w:pos="655" w:val="left"/>
        </w:tabs>
        <w:numPr>
          <w:ilvl w:val="0"/>
          <w:numId w:val="2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BigShots Loan. </w:t>
      </w:r>
      <w:r>
        <w:rPr>
          <w:rFonts w:ascii="Arial" w:cs="Arial" w:eastAsia="Arial" w:hAnsi="Arial"/>
          <w:sz w:val="16"/>
          <w:szCs w:val="16"/>
          <w:color w:val="auto"/>
        </w:rPr>
        <w:t>Subsequent to quarter end, on April 7, 2022, we entered into the BigShots Loan with BigShots Golf, a subsidiary of ClubCorp,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Apollo fund portfolio company, under which we agreed to provide up to $80.0 million of mortgage financing (“BigShots Loan”) for the construction of certain new BigShots Golf facilities throughout the United States. The BigShots Loan bears interest at a rate of 10.0% per annum and has an initial term of five years with two successive 12-month extension options, subject to certain conditions. Our commitment to fund the loan will be subject to customary terms and conditions and disbursement of funds to the borrower will be based upon construction of the applicable BigShots Golf facilities. In addition, we entered into a right of first offer and call right agreement, pursuant to which (i) we have a call right to acquire the real estate assets associated with any BigShots Golf facility financed by us, which transaction will be structured as a sale leaseback, and (ii) for so long as the BigShots Loan remains outstanding and we continue to hold a majority interest therein, subject to additional terms and conditions, we will have a right of first offer on any multi-site mortgage, mezzanine, preferred equity, or other similar financing that is treated as debt to be obtained by BigShots Golf (or any of its affiliates) in connection with the development of BigShots Golf facilities.</w:t>
      </w:r>
    </w:p>
    <w:p>
      <w:pPr>
        <w:spacing w:after="0" w:line="114" w:lineRule="exact"/>
        <w:rPr>
          <w:rFonts w:ascii="Arial" w:cs="Arial" w:eastAsia="Arial" w:hAnsi="Arial"/>
          <w:sz w:val="16"/>
          <w:szCs w:val="16"/>
          <w:b w:val="1"/>
          <w:bCs w:val="1"/>
          <w:i w:val="1"/>
          <w:iCs w:val="1"/>
          <w:color w:val="auto"/>
        </w:rPr>
      </w:pPr>
    </w:p>
    <w:p>
      <w:pPr>
        <w:jc w:val="both"/>
        <w:ind w:left="660" w:hanging="328"/>
        <w:spacing w:after="0" w:line="269"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Venetian Acquisition. </w:t>
      </w:r>
      <w:r>
        <w:rPr>
          <w:rFonts w:ascii="Arial" w:cs="Arial" w:eastAsia="Arial" w:hAnsi="Arial"/>
          <w:sz w:val="17"/>
          <w:szCs w:val="17"/>
          <w:color w:val="auto"/>
        </w:rPr>
        <w:t>On February 23, 2022, we closed on the previously announced transaction to acquire all of the land and real estate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the Venetian Resort from LVS for $4.0 billion in cash, and the Venetian Tenant acquired the operating assets of the Venetian Resort for $2.25 billion, of which $1.2 billion is in the form of a secured term loan from LVS and the remainder was paid in cash. We funded the Venetian Acquisition with (i) $3.2 billion in net proceeds from the physical settlement of the March 2021 Forward Sale Agreements and the September 2021 Forward Sale Agreements, (ii) an initial draw on the Revolving Credit Facility of $600.0 million, and (iii) cash on hand. Simultaneous with the closing of the Venetian Acquisition, we entered into the Venetian Lease with the Venetian Tenant. The Venetian Lease has an initial total annual rent of $250.0 million and an initial term of 30 years, with two ten-year tenant renewal options. The annual rent is subject to escalation equal to the greater of 2.0% and the increase in the CPI,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In connection with the Venetian Acquisition, we entered into the Venetian PGFA with the Venetian Tenant. Under the Venetian PGFA, we agreed to provide up to $1.0 billion for various development and construction projects affecting the Venetian Resort to be identified by the Venetian Tenant and that satisfy certain criteria more particularly set forth in the Venetian PGFA, in consideration of additional incremental rent to be paid by the Venetian Tenant under the Venetian Lease and calculated in accordance with a formula set forth in the Venetian PGFA.</w:t>
      </w:r>
    </w:p>
    <w:p>
      <w:pPr>
        <w:spacing w:after="0" w:line="103"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In addition, LVS agreed with the Venetian Tenant pursuant to the Contingent Lease Support Agreement entered into simultaneously with the closing of the Venetian Acquisition to provide lease payment support designed to guarantee the Venetian Tenant’s rent obligations under the Venetian Lease through 2023, subject to early termination if EBITDAR (as defined in such agreement) generated by the Venetian Resort in 2022 equals or exceeds $550.0 million, or a tenant change of control occurs. We are a third-party beneficiary of the Contingent Lease Support Agreement and have certain enforcement rights pursuant thereto. The Contingent Lease Support Agreement is limited to coverage of the Venetian Tenant’s rent obligations and does not cover any environmental expenses, litigation claims, or any cure or enforcement costs. The obligations of the Venetian Tenant under the Venetian Lease are not guaranteed by Apollo or any of its affiliates. After the termination of the Contingent Lease Support Agreement, the Venetian Tenant will be required to provide a letter of credit to secure seven and one-half months of the rent, real estate taxes and assessments and insurance obligations of the Venetian Tenant if the operating results from the Venetian Resort do not exceed certain thresholds.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Capital Markets Activity</w:t>
      </w:r>
    </w:p>
    <w:p>
      <w:pPr>
        <w:spacing w:after="0" w:line="117" w:lineRule="exact"/>
        <w:rPr>
          <w:sz w:val="20"/>
          <w:szCs w:val="20"/>
          <w:color w:val="auto"/>
        </w:rPr>
      </w:pPr>
    </w:p>
    <w:p>
      <w:pPr>
        <w:jc w:val="both"/>
        <w:ind w:left="660" w:hanging="328"/>
        <w:spacing w:after="0" w:line="293"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Issuance of Exchange Notes. </w:t>
      </w:r>
      <w:r>
        <w:rPr>
          <w:rFonts w:ascii="Arial" w:cs="Arial" w:eastAsia="Arial" w:hAnsi="Arial"/>
          <w:sz w:val="16"/>
          <w:szCs w:val="16"/>
          <w:color w:val="auto"/>
        </w:rPr>
        <w:t>Subsequent to quarter-end, in connection with the closing of the MGP Transactions on April 29, 2022, the VICI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Issuers issued $4,110.0 million in aggregate principal amount of Exchange Notes in exchange for the validly tendered and not validly withdrawn MGP OP Notes pursuant to the settlement of the Exchange Offers and Consent Solicitations (each, as defined in </w:t>
      </w:r>
      <w:hyperlink w:anchor="page23">
        <w:r>
          <w:rPr>
            <w:rFonts w:ascii="Arial" w:cs="Arial" w:eastAsia="Arial" w:hAnsi="Arial"/>
            <w:sz w:val="16"/>
            <w:szCs w:val="16"/>
            <w:u w:val="single" w:color="auto"/>
            <w:color w:val="0000FF"/>
          </w:rPr>
          <w:t>Note 3 - Property Transactions</w:t>
        </w:r>
      </w:hyperlink>
      <w:r>
        <w:rPr>
          <w:rFonts w:ascii="Arial" w:cs="Arial" w:eastAsia="Arial" w:hAnsi="Arial"/>
          <w:sz w:val="16"/>
          <w:szCs w:val="16"/>
          <w:color w:val="auto"/>
        </w:rPr>
        <w:t xml:space="preserve">). The Exchange Notes were issued with the same interest rate, maturity date and redemption terms as the corresponding series of MGP OP Notes. Following the issuance of the Exchange Notes pursuant to the settlement of the Exchange Offers and Consent Solicitations, $90.0 million in aggregate principal amount of MGP OP Notes remained outstanding. See </w:t>
      </w:r>
      <w:hyperlink w:anchor="page34">
        <w:r>
          <w:rPr>
            <w:rFonts w:ascii="Arial" w:cs="Arial" w:eastAsia="Arial" w:hAnsi="Arial"/>
            <w:sz w:val="16"/>
            <w:szCs w:val="16"/>
            <w:u w:val="single" w:color="auto"/>
            <w:color w:val="0000FF"/>
          </w:rPr>
          <w:t>Note 7 - Debt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56" w:lineRule="exact"/>
        <w:rPr>
          <w:rFonts w:ascii="Arial" w:cs="Arial" w:eastAsia="Arial" w:hAnsi="Arial"/>
          <w:sz w:val="16"/>
          <w:szCs w:val="16"/>
          <w:color w:val="auto"/>
        </w:rPr>
      </w:pPr>
    </w:p>
    <w:p>
      <w:pPr>
        <w:jc w:val="both"/>
        <w:ind w:left="660" w:hanging="328"/>
        <w:spacing w:after="0" w:line="25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Issuance of April 2022 Notes. </w:t>
      </w:r>
      <w:r>
        <w:rPr>
          <w:rFonts w:ascii="Arial" w:cs="Arial" w:eastAsia="Arial" w:hAnsi="Arial"/>
          <w:sz w:val="18"/>
          <w:szCs w:val="18"/>
          <w:color w:val="auto"/>
        </w:rPr>
        <w:t>Subsequent to quarter-end, in connection with the closing of the MGP Transactions on April 29, 2022, VICI 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issued (i) $500.0 million in aggregate principal amount of 4.375% 2025 Notes, (ii) $1,250.0 million in aggregate principal amount of 4.750% 2028 Notes, (iii) $1,000.0 million in aggregate principal amount of 4.950% 2030 Notes, (iv) $1,500.0 million in aggregate principal amount of 5.125% 2032 Notes, and (v) $750.0 million in aggregate principal amount of 5.625% 2052 Notes, in each case under a supplemental indenture dated as of April 29, 2022, between VICI LP and the Trustee (as defined in </w:t>
      </w:r>
      <w:hyperlink w:anchor="page34">
        <w:r>
          <w:rPr>
            <w:rFonts w:ascii="Arial" w:cs="Arial" w:eastAsia="Arial" w:hAnsi="Arial"/>
            <w:sz w:val="18"/>
            <w:szCs w:val="18"/>
            <w:u w:val="single" w:color="auto"/>
            <w:color w:val="0000FF"/>
          </w:rPr>
          <w:t>Note 7 - Debt</w:t>
        </w:r>
      </w:hyperlink>
      <w:r>
        <w:rPr>
          <w:rFonts w:ascii="Arial" w:cs="Arial" w:eastAsia="Arial" w:hAnsi="Arial"/>
          <w:sz w:val="18"/>
          <w:szCs w:val="18"/>
          <w:color w:val="auto"/>
        </w:rPr>
        <w:t>). We used the net proceeds of the offering to (i) fund the consideration for the redemption of a majority of the VICI OP Units received by MGM in the Partnership Merger for $4,404.0 million in cash in connection with the closing of the MGP Transactions on April 29, 2022, and (ii) pay down the outstanding $600.0 million balance on our Revolving Credit Facility. The weighted average interest rate for the senior notes issued in the April 2022 Notes Offering is 5.00%, and the adjusted weighted average interest rate, after taking into account the impact of the forward starting interest rate swaps and treasury locks, is 4.51%.</w:t>
      </w:r>
    </w:p>
    <w:p>
      <w:pPr>
        <w:spacing w:after="0" w:line="8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Settlement of September 2021 Forward Sale Agreements and March 2021 Forward Sale Agreements. </w:t>
      </w:r>
      <w:r>
        <w:rPr>
          <w:rFonts w:ascii="Arial" w:cs="Arial" w:eastAsia="Arial" w:hAnsi="Arial"/>
          <w:sz w:val="17"/>
          <w:szCs w:val="17"/>
          <w:color w:val="auto"/>
        </w:rPr>
        <w:t>On February 18, 2022, we physically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settled the September 2021 Forward Sale Agreements and the March 2021 Forward Sale Agreements in exchange for total net proceeds of approximately $3.2 billion, which were used to pay for a portion of the purchase price of the Venetian Acquisition.</w:t>
      </w:r>
    </w:p>
    <w:p>
      <w:pPr>
        <w:spacing w:after="0" w:line="57" w:lineRule="exact"/>
        <w:rPr>
          <w:rFonts w:ascii="Arial" w:cs="Arial" w:eastAsia="Arial" w:hAnsi="Arial"/>
          <w:sz w:val="17"/>
          <w:szCs w:val="17"/>
          <w:b w:val="1"/>
          <w:bCs w:val="1"/>
          <w:i w:val="1"/>
          <w:iCs w:val="1"/>
          <w:color w:val="auto"/>
        </w:rPr>
      </w:pPr>
    </w:p>
    <w:p>
      <w:pPr>
        <w:jc w:val="both"/>
        <w:ind w:left="660" w:hanging="328"/>
        <w:spacing w:after="0" w:line="288"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Entry into New Unsecured Credit Agreement. </w:t>
      </w:r>
      <w:r>
        <w:rPr>
          <w:rFonts w:ascii="Arial" w:cs="Arial" w:eastAsia="Arial" w:hAnsi="Arial"/>
          <w:sz w:val="16"/>
          <w:szCs w:val="16"/>
          <w:color w:val="auto"/>
        </w:rPr>
        <w:t>On February 8, 2022, we entered into the Credit Facilities pursuant to the Credit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comprised of (i) the Revolving Credit Facility in the amount of $2.5 billion scheduled to mature on March 31, 2026 and (ii) the Delayed Draw Term Loan in the amount of $1.0 billion scheduled to mature on March 31, 2025. Concurrently, we terminated our Secured Revolving Credit Facility (including the first priority lien on substantially all of VICI PropCo’s and its existing and subsequently acquired wholly owned material domestic restricted subsidiaries’ material assets) and 2017 Credit Agreement (as defined in </w:t>
      </w:r>
      <w:hyperlink w:anchor="page34">
        <w:r>
          <w:rPr>
            <w:rFonts w:ascii="Arial" w:cs="Arial" w:eastAsia="Arial" w:hAnsi="Arial"/>
            <w:sz w:val="16"/>
            <w:szCs w:val="16"/>
            <w:u w:val="single" w:color="auto"/>
            <w:color w:val="0000FF"/>
          </w:rPr>
          <w:t>Note 7 - Debt</w:t>
        </w:r>
      </w:hyperlink>
      <w:r>
        <w:rPr>
          <w:rFonts w:ascii="Arial" w:cs="Arial" w:eastAsia="Arial" w:hAnsi="Arial"/>
          <w:sz w:val="16"/>
          <w:szCs w:val="16"/>
          <w:color w:val="auto"/>
        </w:rPr>
        <w:t>). The Credit Facilities include the option to increase the revolving loan commitments by up to $1.0 billion in the aggregate and increase the delayed draw term loan commitments or add one or more new tranches of term loans by up to $1.0 billion in the aggregate, in each case, to the extent that any one or more lenders (from the syndicate or otherwise) agree to provide such additional credit extensions. Borrowings under the Credit Facilities will bear interest, at VICI LP’s option, (i) with respect to the Revolving Credit Facility, at a rate based on SOFR (including a credit spread adjustment) plus a margin ranging from 0.775% to 1.325% or a base rate plus a margin ranging from 0.00% to 0.325%, in each case, with</w:t>
      </w:r>
    </w:p>
    <w:p>
      <w:pPr>
        <w:spacing w:after="0" w:line="200" w:lineRule="exact"/>
        <w:rPr>
          <w:rFonts w:ascii="Arial" w:cs="Arial" w:eastAsia="Arial" w:hAnsi="Arial"/>
          <w:sz w:val="18"/>
          <w:szCs w:val="18"/>
          <w:b w:val="1"/>
          <w:bCs w:val="1"/>
          <w:i w:val="1"/>
          <w:iCs w:val="1"/>
          <w:color w:val="auto"/>
        </w:rPr>
      </w:pPr>
    </w:p>
    <w:p>
      <w:pPr>
        <w:spacing w:after="0" w:line="346" w:lineRule="exact"/>
        <w:rPr>
          <w:rFonts w:ascii="Arial" w:cs="Arial" w:eastAsia="Arial" w:hAnsi="Arial"/>
          <w:sz w:val="18"/>
          <w:szCs w:val="18"/>
          <w:b w:val="1"/>
          <w:bCs w:val="1"/>
          <w:i w:val="1"/>
          <w:iCs w:val="1"/>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the actual margin determined according to VICI LP’s debt ratings, and (ii) with respect to the Delayed Draw Term Loan, at a rate based on SOFR (including a credit spread adjustment) plus a margin ranging from 0.85% to 1.60% or a base rate plus a margin ranging from 0.00% to 0.60%, in each case, with the actual margin determined according to VICI LP’s debt ratings. On February 18, 2022, we drew on the Revolving Credit Facility in the amount of $600.0 million to fund a portion of the purchase price of the Venetian Acquisition. On April 29, 2022 we repaid the outstanding balance of the Revolving Credit Facility using the proceeds from the April 2022 Notes and cash on hand.</w:t>
      </w:r>
    </w:p>
    <w:p>
      <w:pPr>
        <w:spacing w:after="0" w:line="122" w:lineRule="exact"/>
        <w:rPr>
          <w:sz w:val="20"/>
          <w:szCs w:val="20"/>
          <w:color w:val="auto"/>
        </w:rPr>
      </w:pPr>
    </w:p>
    <w:p>
      <w:pPr>
        <w:jc w:val="both"/>
        <w:ind w:left="660" w:hanging="328"/>
        <w:spacing w:after="0" w:line="270" w:lineRule="auto"/>
        <w:tabs>
          <w:tab w:leader="none" w:pos="628"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Entry into Forward-Starting Interest Rate Swap Agreements and U.S. Treasury Rate Locks. </w:t>
      </w:r>
      <w:r>
        <w:rPr>
          <w:rFonts w:ascii="Arial" w:cs="Arial" w:eastAsia="Arial" w:hAnsi="Arial"/>
          <w:sz w:val="17"/>
          <w:szCs w:val="17"/>
          <w:color w:val="auto"/>
        </w:rPr>
        <w:t>From December 2021 through March 2022,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entered into five forward-starting interest rate swap agreements with third-party financial institution having an aggregate notional amount of $2,500.0 million. Additionally, in April 2022, we entered into two U.S. Treasury Rate Lock agreements with a notional amount of $500.0 million. The interest rate swap agreements and treasury locks were intended to reduce the variability in the forecasted interest expense related to the fixed-rate debt we expected to incur in connection with closing the MGP Transactions. Subsequent to quarter-end, in connection with the April 2022 Notes offering we settled the outstanding forward-starting interest rate swaps and treasury locks for net proceeds of $206.8 million. Since the forward-starting swaps and treasury locks were hedging the interest rate risk on the April 2022 Notes, the unrealized gain in Accumulated other comprehensive income will be amortized over the term of the respective derivative instruments, which matches that of the underlying note, as a reduction in interest expense.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PENDING ACTIVITY</w:t>
      </w:r>
    </w:p>
    <w:p>
      <w:pPr>
        <w:spacing w:after="0" w:line="170" w:lineRule="exact"/>
        <w:rPr>
          <w:sz w:val="20"/>
          <w:szCs w:val="20"/>
          <w:color w:val="auto"/>
        </w:rPr>
      </w:pPr>
    </w:p>
    <w:p>
      <w:pPr>
        <w:jc w:val="both"/>
        <w:ind w:left="660" w:hanging="328"/>
        <w:spacing w:after="0" w:line="269"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Mirage Severance Lease. </w:t>
      </w:r>
      <w:r>
        <w:rPr>
          <w:rFonts w:ascii="Arial" w:cs="Arial" w:eastAsia="Arial" w:hAnsi="Arial"/>
          <w:sz w:val="17"/>
          <w:szCs w:val="17"/>
          <w:color w:val="auto"/>
        </w:rPr>
        <w:t>On December 13, 2021, in connection with MGM’s agreement to sell the operations of the Mirage Hotel &amp; Casino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Hard Rock, we agreed to enter into the Mirage Lease, and enter into an amendment to the MGM Master Lease relating to the sale of the Mirage. The Mirage Lease will have initial annual base rent of $90.0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Upon the closing of the sale of the Mirage, the MGM Master Lease will be amended to account for MGM’s divestiture of the Mirage operations and will result in a reduction of the initial annual base rent under the MGM Master Lease by $90.0 million. We expect these transactions to be completed in the second half of 2022, and they remain subject to customary closing conditions and regulatory approvals. Additionally, subject to certain conditions, we may fund up to $1.5 billion of Hard Rock’s redevelopment plan for the Mirage through our Partner Property Growth Fund if Hard Rock elects to seek third-party financing for such redevelopment. Specific terms of the redevelopment and related funding remain under discussion and subject to final documentation.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discussion of VICI and VICI LP are presented combined as there are no material differences between the two reporting entities.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Further, Golf revenues and Golf expenses, which are wholly attributable to VICI, are shown as separate line items in the Statement of Operations of VICI.</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real property business and our golf course business represent our two reportable segments. The real property business segment consists of leased real property and loan investments and represents the substantial majority of our business. The golf course business segment, which is a wholly-owned subsidiary of VICI, consists of four golf courses, with each being operating segments that are aggregated into one reportable segment. The results of each reportable segment presented below are consistent with the way our management assesses these results and allocates resources.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80" w:type="dxa"/>
            <w:vAlign w:val="bottom"/>
            <w:gridSpan w:val="2"/>
          </w:tcPr>
          <w:p>
            <w:pPr>
              <w:spacing w:after="0" w:line="175" w:lineRule="exact"/>
              <w:rPr>
                <w:sz w:val="20"/>
                <w:szCs w:val="20"/>
                <w:color w:val="auto"/>
              </w:rPr>
            </w:pPr>
            <w:r>
              <w:rPr>
                <w:rFonts w:ascii="Arial" w:cs="Arial" w:eastAsia="Arial" w:hAnsi="Arial"/>
                <w:sz w:val="16"/>
                <w:szCs w:val="16"/>
                <w:b w:val="1"/>
                <w:bCs w:val="1"/>
                <w:i w:val="1"/>
                <w:iCs w:val="1"/>
                <w:color w:val="auto"/>
              </w:rPr>
              <w:t>(In thousands)</w:t>
            </w:r>
          </w:p>
        </w:tc>
        <w:tc>
          <w:tcPr>
            <w:tcW w:w="17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71"/>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0"/>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330"/>
              <w:spacing w:after="0" w:line="175" w:lineRule="exact"/>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2"/>
          </w:tcPr>
          <w:p>
            <w:pPr>
              <w:ind w:left="220"/>
              <w:spacing w:after="0"/>
              <w:rPr>
                <w:sz w:val="20"/>
                <w:szCs w:val="20"/>
                <w:color w:val="auto"/>
              </w:rPr>
            </w:pPr>
            <w:r>
              <w:rPr>
                <w:rFonts w:ascii="Arial" w:cs="Arial" w:eastAsia="Arial" w:hAnsi="Arial"/>
                <w:sz w:val="18"/>
                <w:szCs w:val="18"/>
                <w:color w:val="auto"/>
              </w:rPr>
              <w:t>Income from sales-type leases</w:t>
            </w:r>
          </w:p>
        </w:tc>
        <w:tc>
          <w:tcPr>
            <w:tcW w:w="20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326,735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290,146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36,589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2"/>
          </w:tcPr>
          <w:p>
            <w:pPr>
              <w:ind w:left="220"/>
              <w:spacing w:after="0"/>
              <w:rPr>
                <w:sz w:val="20"/>
                <w:szCs w:val="20"/>
                <w:color w:val="auto"/>
              </w:rPr>
            </w:pPr>
            <w:r>
              <w:rPr>
                <w:rFonts w:ascii="Arial" w:cs="Arial" w:eastAsia="Arial" w:hAnsi="Arial"/>
                <w:sz w:val="18"/>
                <w:szCs w:val="18"/>
                <w:color w:val="auto"/>
              </w:rPr>
              <w:t>Other income</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Golf revenues</w:t>
            </w:r>
          </w:p>
        </w:tc>
        <w:tc>
          <w:tcPr>
            <w:tcW w:w="17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revenues</w:t>
            </w:r>
          </w:p>
        </w:tc>
        <w:tc>
          <w:tcPr>
            <w:tcW w:w="1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374,310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42,315</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expenses</w:t>
            </w: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Golf expenses</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allowance for credit losses</w:t>
            </w: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Transaction and acquisition expenses</w:t>
            </w:r>
          </w:p>
        </w:tc>
        <w:tc>
          <w:tcPr>
            <w:tcW w:w="1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7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Interest income</w:t>
            </w:r>
          </w:p>
        </w:tc>
        <w:tc>
          <w:tcPr>
            <w:tcW w:w="1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Income tax expense</w:t>
            </w:r>
          </w:p>
        </w:tc>
        <w:tc>
          <w:tcPr>
            <w:tcW w:w="1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Less: Net income attributable to non-controlling interest</w:t>
            </w:r>
          </w:p>
        </w:tc>
        <w:tc>
          <w:tcPr>
            <w:tcW w:w="1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ind w:right="830"/>
              <w:spacing w:after="0"/>
              <w:rPr>
                <w:sz w:val="20"/>
                <w:szCs w:val="20"/>
                <w:color w:val="auto"/>
              </w:rPr>
            </w:pPr>
            <w:r>
              <w:rPr>
                <w:rFonts w:ascii="Arial" w:cs="Arial" w:eastAsia="Arial" w:hAnsi="Arial"/>
                <w:sz w:val="18"/>
                <w:szCs w:val="18"/>
                <w:color w:val="auto"/>
              </w:rPr>
              <w:t>57</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2022 and 2021, our revenue was comprised of the following items: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73"/>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2"/>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332"/>
              <w:spacing w:after="0" w:line="175" w:lineRule="exact"/>
              <w:rPr>
                <w:sz w:val="20"/>
                <w:szCs w:val="20"/>
                <w:color w:val="auto"/>
              </w:rPr>
            </w:pPr>
            <w:r>
              <w:rPr>
                <w:rFonts w:ascii="Arial" w:cs="Arial" w:eastAsia="Arial" w:hAnsi="Arial"/>
                <w:sz w:val="16"/>
                <w:szCs w:val="16"/>
                <w:b w:val="1"/>
                <w:bCs w:val="1"/>
                <w:color w:val="auto"/>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Leasing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39,716</w:t>
            </w:r>
          </w:p>
        </w:tc>
      </w:tr>
      <w:tr>
        <w:trPr>
          <w:trHeight w:val="229"/>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Income from loans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10,485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2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230"/>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Golf revenues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374,310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sales-type and financing receivables leases: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73"/>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2"/>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332"/>
              <w:spacing w:after="0" w:line="175" w:lineRule="exact"/>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sales-type leases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36,589</w:t>
            </w:r>
          </w:p>
        </w:tc>
      </w:tr>
      <w:tr>
        <w:trPr>
          <w:trHeight w:val="229"/>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w:t>
            </w:r>
          </w:p>
        </w:tc>
      </w:tr>
      <w:tr>
        <w:trPr>
          <w:trHeight w:val="223"/>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leasing revenue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39,716</w:t>
            </w:r>
          </w:p>
        </w:tc>
      </w:tr>
      <w:tr>
        <w:trPr>
          <w:trHeight w:val="229"/>
        </w:trPr>
        <w:tc>
          <w:tcPr>
            <w:tcW w:w="2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leasing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322,161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jc w:val="both"/>
        <w:ind w:firstLine="8"/>
        <w:spacing w:after="0" w:line="241" w:lineRule="auto"/>
        <w:tabs>
          <w:tab w:leader="none" w:pos="211"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Harrah’s Original Call Properties and the JACK Cleveland/Thistledown Lease, both of which were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55" w:lineRule="auto"/>
        <w:tabs>
          <w:tab w:leader="none" w:pos="211"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sales-type leases and lease financing receivables in order to recognize income on an effective interest basis at a constant rate of return over the term of the leases.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Leasing revenue is generated from rent from our Lease Agreements. Total leasing revenue increased $39.7 million during the three months ended March 31, 2022, compared to the three months ended March 31, 2021. Total contractual leasing revenue increased $32.0 million during the three months ended March 31, 2022, compared to the three months ended March 31, 2021. The increase was primarily driven by the addition of the Venetian Lease to our portfolio in February of 2022 as well as the annual escalators from our Leases.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Loans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from loans decreased $0.6 million during the three months ended March 31, 2022, compared to the three months ended March 31, 2021. The decrease was driven by repayment of the $70.0 million ROV term loan with JACK Entertainment in October 2021, partially offset by the addition of the Great Wolf Mezzanine Loan to our real estate investment portfolio in June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income increased $1.4 million during the three months ended March 31, 2022 compared to the three months ended March 31, 2021, driven primarily by the additional income and offsetting expense as a result of the assumption of certain sub-leases in connection with the Venetian Acquisition. The Lease Agreements require the tenants to pay all costs associated with such ground and use sub-leases and provide for their direct payment to the landlord.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Revenues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from VICI’s golf operations increased $1.8 million during the three months ended March 31, 2022, compared to the three months ended March 31, 2021. The change was primarily driven by an increase in rounds played at the golf courses and an increase in the contractual fees paid to us by Caesars for the use of our golf courses, pursuant to a golf course use agreement.</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2022 and 2021, our operating expenses were comprised of the following items: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6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92"/>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71"/>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51"/>
              <w:spacing w:after="0" w:line="175" w:lineRule="exact"/>
              <w:rPr>
                <w:sz w:val="20"/>
                <w:szCs w:val="20"/>
                <w:color w:val="auto"/>
              </w:rPr>
            </w:pPr>
            <w:r>
              <w:rPr>
                <w:rFonts w:ascii="Arial" w:cs="Arial" w:eastAsia="Arial" w:hAnsi="Arial"/>
                <w:sz w:val="16"/>
                <w:szCs w:val="16"/>
                <w:b w:val="1"/>
                <w:bCs w:val="1"/>
                <w:color w:val="auto"/>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29"/>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230"/>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Golf expenses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allowance for credit losses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85,200</w:t>
            </w:r>
          </w:p>
        </w:tc>
      </w:tr>
      <w:tr>
        <w:trPr>
          <w:trHeight w:val="230"/>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increased $1.4 million for the three months ended March 31, 2022, as compared to the three months ended March 31, 2021. The increase was primarily driven by an increase in compensation, including stock-based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expenses increased $1.4 million during the three months ended March 31, 2022 compared to the three months ended March 31, 2021, driven primarily by the additional income and offsetting expense as a result of the assumption of certain sub-leases in connection with the Venetian Acquisition. The Lease Agreements require the tenants to pay all costs associated with such ground and use sub-leases and provide for their direct payment to the landlord.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from golf operations for VICI increased $0.8 million during the three months ended March 31, 2022, compared to the three months ended March 31, 2021. The change was primarily driven by an increase in rounds of golf played across our golf courses.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Allowance for Credit Losses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Under ASU No. 2016-13 -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we are required to record an estimated credit loss for our (i) Investments in leases - sales-type, (ii) Investments in leases - financing receivables and (iii) Investments in loans. During the three months ended March 31, 2022, we recognized a $80.8 million increase in our allowance for credit losses primarily driven by (i) the initial CECL allowance in relation to (a) the Venetian Acquisition and classification of the Venetian Lease as a sales-type lease, (b) the estimated future funding commitments under the Venetian PGFA and (c) the sales-type sub-lease agreements we assumed in connection with the Venetian Acquisition and are required to present gross and (ii) the increase in the reasonable and supportable period, or R&amp;S Period, probability of default, or PD, of our tenants and their parent guarantors as a result of market volatility during the first quarter of 2022. This was partially offset by a decrease in the Long-Term Period PD as a result of a standard annual update made to the Long-Term PD default study we utilize to estimate our CECL allowance.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we recognized a $4.4 million decrease in our allowance for credit losses primarily driven by the decrease in the R&amp;S Period PD of our tenants and their parent guarantors as a result of an improvement in their economic outlook due to the reopening of a majority of their gaming operations and relative performance of such operations during the first quarter of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 and acquisition expenses decreased $8.0 million during the three months ended March 31, 2022 compared to the three months ended March 31, 2021. Changes in transaction and acquisition expenses are related to fluctuations in (i) costs incurred for investments during the period that are not capitalizable under GAAP and (ii) costs incurred for investments that we are no longer pursuing.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Income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2022 and 2021, our non-operating income and expenses were comprised of the following items: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6"/>
                <w:szCs w:val="16"/>
                <w:color w:val="auto"/>
              </w:rPr>
            </w:pPr>
          </w:p>
        </w:tc>
        <w:tc>
          <w:tcPr>
            <w:tcW w:w="1360" w:type="dxa"/>
            <w:vAlign w:val="bottom"/>
          </w:tcPr>
          <w:p>
            <w:pPr>
              <w:jc w:val="right"/>
              <w:ind w:right="63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3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jc w:val="right"/>
              <w:ind w:right="513"/>
              <w:spacing w:after="0"/>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r>
      <w:tr>
        <w:trPr>
          <w:trHeight w:val="230"/>
        </w:trPr>
        <w:tc>
          <w:tcPr>
            <w:tcW w:w="20" w:type="dxa"/>
            <w:vAlign w:val="bottom"/>
          </w:tcPr>
          <w:p>
            <w:pPr>
              <w:spacing w:after="0"/>
              <w:rPr>
                <w:sz w:val="20"/>
                <w:szCs w:val="20"/>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expense decreased $8.9 million during the three months ended March 31, 2022, as compared to the three months ended March 31, 2021. The decrease during the three months ended March 31, 2022 was primarily related to the full repayment of the Term Loan B Facility and termination of interest rate swap agreements in September 2021, partially offset by (i) the amortization of the commitment fees associated with the Venetian Acquisition Bridge Facility and the MGP Transactions Bridge Facility (ii) the commitment fees on the Revolving Credit Facility and Delayed Draw Term Loan and (iii) additional interest on the $600.0 million draw on the Revolving Credit Facility.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weighted average annualized interest rate of our debt decreased to 3.97% during the three months ended March 31, 2022, from 4.05% during the three months ended March 31, 2021, as a result of a lower effective interest rate on the $600.0 million outstanding under the Revolving Credit Facility for a portion of time during the three months ended March 31, 2022 compared to the $600.0 million unhedged portion of the Term Loan B Facility outstanding during the three months ended March 31,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spacing w:after="0" w:line="1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non-recurring non-cash transactions and non-cash adjustments attributable to non-controlling interest with respect to certain of the foregoing.</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calculate VICI’s Adjusted EBITDA by adding or subtracting from AFFO contractual interest expense and interest income (collectively, interest expense, net) and income tax expense.</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VICI’s Net Income to FFO, FFO per Share, AFFO, AFFO per Share and Adjusted EBITDA</w:t>
      </w:r>
    </w:p>
    <w:p>
      <w:pPr>
        <w:spacing w:after="0" w:line="216" w:lineRule="exact"/>
        <w:rPr>
          <w:sz w:val="20"/>
          <w:szCs w:val="20"/>
          <w:color w:val="auto"/>
        </w:rPr>
      </w:pPr>
    </w:p>
    <w:p>
      <w:pPr>
        <w:ind w:left="804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17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ind w:right="790"/>
              <w:spacing w:after="0" w:line="175"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0"/>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7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240,383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269,801</w:t>
            </w:r>
          </w:p>
        </w:tc>
      </w:tr>
      <w:tr>
        <w:trPr>
          <w:trHeight w:val="229"/>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Real estate depreciation</w:t>
            </w:r>
          </w:p>
        </w:tc>
        <w:tc>
          <w:tcPr>
            <w:tcW w:w="1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FFO</w:t>
            </w:r>
          </w:p>
        </w:tc>
        <w:tc>
          <w:tcPr>
            <w:tcW w:w="17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240,383</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269,801</w:t>
            </w:r>
          </w:p>
        </w:tc>
      </w:tr>
      <w:tr>
        <w:trPr>
          <w:trHeight w:val="229"/>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Non-cash leasing and financing adjustments</w:t>
            </w:r>
          </w:p>
        </w:tc>
        <w:tc>
          <w:tcPr>
            <w:tcW w:w="1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(35,564)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(27,852)</w:t>
            </w:r>
          </w:p>
        </w:tc>
      </w:tr>
      <w:tr>
        <w:trPr>
          <w:trHeight w:val="230"/>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change in allowance for credit losses</w:t>
            </w:r>
          </w:p>
        </w:tc>
        <w:tc>
          <w:tcPr>
            <w:tcW w:w="1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r>
      <w:tr>
        <w:trPr>
          <w:trHeight w:val="229"/>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Non-cash stock-based compensation</w:t>
            </w:r>
          </w:p>
        </w:tc>
        <w:tc>
          <w:tcPr>
            <w:tcW w:w="1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2,630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2,277</w:t>
            </w:r>
          </w:p>
        </w:tc>
      </w:tr>
      <w:tr>
        <w:trPr>
          <w:trHeight w:val="230"/>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and acquisition expenses</w:t>
            </w:r>
          </w:p>
        </w:tc>
        <w:tc>
          <w:tcPr>
            <w:tcW w:w="1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w:t>
            </w:r>
          </w:p>
        </w:tc>
      </w:tr>
      <w:tr>
        <w:trPr>
          <w:trHeight w:val="229"/>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Amortization of debt issuance costs and original issue discount</w:t>
            </w:r>
          </w:p>
        </w:tc>
        <w:tc>
          <w:tcPr>
            <w:tcW w:w="1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15,977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6,691</w:t>
            </w:r>
          </w:p>
        </w:tc>
      </w:tr>
      <w:tr>
        <w:trPr>
          <w:trHeight w:val="229"/>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depreciation</w:t>
            </w:r>
          </w:p>
        </w:tc>
        <w:tc>
          <w:tcPr>
            <w:tcW w:w="1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30"/>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(1,233)</w:t>
            </w:r>
          </w:p>
        </w:tc>
      </w:tr>
      <w:tr>
        <w:trPr>
          <w:trHeight w:val="229"/>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adjustments attributable to non-controlling interest</w:t>
            </w:r>
          </w:p>
        </w:tc>
        <w:tc>
          <w:tcPr>
            <w:tcW w:w="17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AFFO</w:t>
            </w:r>
          </w:p>
        </w:tc>
        <w:tc>
          <w:tcPr>
            <w:tcW w:w="1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305,495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255,012</w:t>
            </w:r>
          </w:p>
        </w:tc>
      </w:tr>
      <w:tr>
        <w:trPr>
          <w:trHeight w:val="229"/>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70,338</w:t>
            </w:r>
          </w:p>
        </w:tc>
      </w:tr>
      <w:tr>
        <w:trPr>
          <w:trHeight w:val="229"/>
        </w:trPr>
        <w:tc>
          <w:tcPr>
            <w:tcW w:w="20" w:type="dxa"/>
            <w:vAlign w:val="bottom"/>
            <w:tcBorders>
              <w:bottom w:val="single" w:sz="8" w:color="CCEEFF"/>
            </w:tcBorders>
          </w:tcPr>
          <w:p>
            <w:pPr>
              <w:spacing w:after="0"/>
              <w:rPr>
                <w:sz w:val="19"/>
                <w:szCs w:val="19"/>
                <w:color w:val="auto"/>
              </w:rPr>
            </w:pPr>
          </w:p>
        </w:tc>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17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7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357,967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325,834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1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22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FFO per common share</w:t>
            </w:r>
          </w:p>
        </w:tc>
        <w:tc>
          <w:tcPr>
            <w:tcW w:w="1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20" w:type="dxa"/>
            <w:vAlign w:val="bottom"/>
          </w:tcPr>
          <w:p>
            <w:pPr>
              <w:spacing w:after="0"/>
              <w:rPr>
                <w:sz w:val="19"/>
                <w:szCs w:val="19"/>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2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AFFO per common share</w:t>
            </w:r>
          </w:p>
        </w:tc>
        <w:tc>
          <w:tcPr>
            <w:tcW w:w="1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22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0.45</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29"/>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30"/>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w w:val="91"/>
              </w:rPr>
              <w:t>Weighted average number of shares of common stock outstanding</w:t>
            </w:r>
          </w:p>
        </w:tc>
        <w:tc>
          <w:tcPr>
            <w:tcW w:w="1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684,341,045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536,480,505</w:t>
            </w:r>
          </w:p>
        </w:tc>
      </w:tr>
      <w:tr>
        <w:trPr>
          <w:trHeight w:val="230"/>
        </w:trPr>
        <w:tc>
          <w:tcPr>
            <w:tcW w:w="20" w:type="dxa"/>
            <w:vAlign w:val="bottom"/>
          </w:tcPr>
          <w:p>
            <w:pPr>
              <w:spacing w:after="0"/>
              <w:rPr>
                <w:sz w:val="20"/>
                <w:szCs w:val="20"/>
                <w:color w:val="auto"/>
              </w:rPr>
            </w:pPr>
          </w:p>
        </w:tc>
        <w:tc>
          <w:tcPr>
            <w:tcW w:w="528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687,914,683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544,801,802</w:t>
            </w:r>
          </w:p>
        </w:tc>
      </w:tr>
      <w:tr>
        <w:trPr>
          <w:trHeight w:val="904"/>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40" w:type="dxa"/>
            <w:vAlign w:val="bottom"/>
          </w:tcPr>
          <w:p>
            <w:pPr>
              <w:jc w:val="right"/>
              <w:ind w:right="1230"/>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2022, our available cash balances, capacity under our Revolving Credit Facility and Delayed Draw Term Loan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2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560" w:type="dxa"/>
            <w:vAlign w:val="bottom"/>
          </w:tcPr>
          <w:p>
            <w:pPr>
              <w:spacing w:after="0"/>
              <w:rPr>
                <w:sz w:val="16"/>
                <w:szCs w:val="16"/>
                <w:color w:val="auto"/>
              </w:rPr>
            </w:pPr>
          </w:p>
        </w:tc>
        <w:tc>
          <w:tcPr>
            <w:tcW w:w="2460" w:type="dxa"/>
            <w:vAlign w:val="bottom"/>
          </w:tcPr>
          <w:p>
            <w:pPr>
              <w:jc w:val="right"/>
              <w:ind w:right="913"/>
              <w:spacing w:after="0"/>
              <w:rPr>
                <w:sz w:val="20"/>
                <w:szCs w:val="20"/>
                <w:color w:val="auto"/>
              </w:rPr>
            </w:pPr>
            <w:r>
              <w:rPr>
                <w:rFonts w:ascii="Arial" w:cs="Arial" w:eastAsia="Arial" w:hAnsi="Arial"/>
                <w:sz w:val="15"/>
                <w:szCs w:val="15"/>
                <w:b w:val="1"/>
                <w:bCs w:val="1"/>
                <w:color w:val="auto"/>
              </w:rPr>
              <w:t>March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568,702</w:t>
            </w:r>
          </w:p>
        </w:tc>
      </w:tr>
      <w:tr>
        <w:trPr>
          <w:trHeight w:val="229"/>
        </w:trPr>
        <w:tc>
          <w:tcPr>
            <w:tcW w:w="20" w:type="dxa"/>
            <w:vAlign w:val="bottom"/>
          </w:tcPr>
          <w:p>
            <w:pPr>
              <w:spacing w:after="0"/>
              <w:rPr>
                <w:sz w:val="19"/>
                <w:szCs w:val="19"/>
                <w:color w:val="auto"/>
              </w:rPr>
            </w:pPr>
          </w:p>
        </w:tc>
        <w:tc>
          <w:tcPr>
            <w:tcW w:w="82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Capacity under Revolving Credit Facility </w:t>
            </w:r>
            <w:r>
              <w:rPr>
                <w:rFonts w:ascii="Arial" w:cs="Arial" w:eastAsia="Arial" w:hAnsi="Arial"/>
                <w:sz w:val="23"/>
                <w:szCs w:val="23"/>
                <w:i w:val="1"/>
                <w:iCs w:val="1"/>
                <w:color w:val="auto"/>
                <w:vertAlign w:val="superscript"/>
              </w:rPr>
              <w:t>(1)</w:t>
            </w:r>
          </w:p>
        </w:tc>
        <w:tc>
          <w:tcPr>
            <w:tcW w:w="5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1,900,000</w:t>
            </w:r>
          </w:p>
        </w:tc>
      </w:tr>
      <w:tr>
        <w:trPr>
          <w:trHeight w:val="257"/>
        </w:trPr>
        <w:tc>
          <w:tcPr>
            <w:tcW w:w="20" w:type="dxa"/>
            <w:vAlign w:val="bottom"/>
            <w:shd w:val="clear" w:color="auto" w:fill="CCEEFF"/>
          </w:tcPr>
          <w:p>
            <w:pPr>
              <w:spacing w:after="0"/>
              <w:rPr>
                <w:sz w:val="22"/>
                <w:szCs w:val="22"/>
                <w:color w:val="auto"/>
              </w:rPr>
            </w:pPr>
          </w:p>
        </w:tc>
        <w:tc>
          <w:tcPr>
            <w:tcW w:w="8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Capacity under Delayed Draw Term Loan </w:t>
            </w:r>
            <w:r>
              <w:rPr>
                <w:rFonts w:ascii="Arial" w:cs="Arial" w:eastAsia="Arial" w:hAnsi="Arial"/>
                <w:sz w:val="23"/>
                <w:szCs w:val="23"/>
                <w:i w:val="1"/>
                <w:iCs w:val="1"/>
                <w:color w:val="auto"/>
                <w:vertAlign w:val="superscript"/>
              </w:rPr>
              <w:t>(1)</w:t>
            </w:r>
          </w:p>
        </w:tc>
        <w:tc>
          <w:tcPr>
            <w:tcW w:w="560" w:type="dxa"/>
            <w:vAlign w:val="bottom"/>
            <w:tcBorders>
              <w:bottom w:val="single" w:sz="8" w:color="auto"/>
            </w:tcBorders>
            <w:shd w:val="clear" w:color="auto" w:fill="CCEEFF"/>
          </w:tcPr>
          <w:p>
            <w:pPr>
              <w:spacing w:after="0"/>
              <w:rPr>
                <w:sz w:val="22"/>
                <w:szCs w:val="22"/>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23"/>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3,468,702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57" w:lineRule="auto"/>
        <w:tabs>
          <w:tab w:leader="none" w:pos="332"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the Credit Facilities include the option to increase the revolving loan commitments by up to $1.0 billion and increase the Delayed Draw Term Loan commitments or add one or more new tranches of term loans by up to $1.0 billion in the aggregate, in each case, to the extent that any one or more lenders (from the syndicate or otherwise) agree to provide such additional credit extensions.</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have sufficient liquidity to meet our material cash requirements, including our contractual obligations and commitments as well as our additional funding requirements, primarily through currently available cash and cash equivalents, cash received under our Lease Agreements, existing borrowings from banks, including our Delayed Draw Term Loan and undrawn capacity under our Revolving Credit Facility, and proceeds from future issuances of debt and equity securities (including issuances under our ATM Agreement) for the next 12 months and in future periods.</w:t>
      </w:r>
    </w:p>
    <w:p>
      <w:pPr>
        <w:spacing w:after="0" w:line="117"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All of the Lease Agreements call for an initial term of between fifteen and thirty years with additional tenant renewal options and are designed to provide us with a reliable and predictable long-term revenue stream. However, the COVID-19 pandemic has adversely impacted our tenants and their financial condition, and may continue to do so, due to the impact of operating restrictions and limitations imposed from time to time, as well as potential property reclosures. In the event our tenants are unable to make all of their contractual rent payments as provided by the Lease Agreements, we believe we have sufficient liquidity from the other sources discussed above to meet all of our contractual obligations for a significant period of time. Additionally, we do not have any debt maturities until 2025. For more information, refer to the risk factors incorporated by reference into </w:t>
      </w:r>
      <w:hyperlink w:anchor="page69">
        <w:r>
          <w:rPr>
            <w:rFonts w:ascii="Arial" w:cs="Arial" w:eastAsia="Arial" w:hAnsi="Arial"/>
            <w:sz w:val="17"/>
            <w:szCs w:val="17"/>
            <w:u w:val="single" w:color="auto"/>
            <w:color w:val="0000FF"/>
          </w:rPr>
          <w:t>Part II. Item 1A. Risk Factors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herein from our </w:t>
      </w:r>
      <w:hyperlink r:id="rId71">
        <w:r>
          <w:rPr>
            <w:rFonts w:ascii="Arial" w:cs="Arial" w:eastAsia="Arial" w:hAnsi="Arial"/>
            <w:sz w:val="17"/>
            <w:szCs w:val="17"/>
            <w:u w:val="single" w:color="auto"/>
            <w:color w:val="0000FF"/>
          </w:rPr>
          <w:t>Annual Report on Form 10-K for the year ended December 31, 2021</w:t>
        </w:r>
      </w:hyperlink>
      <w:r>
        <w:rPr>
          <w:rFonts w:ascii="Arial" w:cs="Arial" w:eastAsia="Arial" w:hAnsi="Arial"/>
          <w:sz w:val="17"/>
          <w:szCs w:val="17"/>
          <w:color w:val="auto"/>
        </w:rPr>
        <w:t>.</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cash flows from operations and our ability to access capital resources could be adversely affected due to uncertain economic factors and volatility in the financial and credit markets, including as a result of the COVID-19 pandemic. In particular, in connection with the COVID-19 pandemic and its impact on our tenants’ operations and financial performance, we can provide no assurances that our tenants will not default on their leases or fail to make full rental payments if their businesses become challenged due to, among other things, current or future adverse economic conditions. In addition, any such tenant default or failure to make full rental payments could impact our operating performance and result in us not satisfying the financial covenants applicable to our outstanding indebtedness, which could result in us not being able to incur additional debt, or result in a default. Further, current or future economic conditions could impact our tenants’ ability to meet capital improvement requirements or other obligations required in our Lease Agreements that could result in a decrease in the value of our properties.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raise funds through the issuance of debt and equity securities and access to other third-party sources of capital in the future will be dependent on, among other things, uncertainties related to COVID-19 and the impact of our response and our tenants’ responses to COVID-19,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jc w:val="both"/>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Our short-term obligations consist primarily of regular interest payments on our debt obligations, dividends to our common stockholders, normal recurring operating expenses, recurring expenditures for corporate and administrative needs, certain lease and other contractual commitments related to our golf </w:t>
      </w:r>
      <w:hyperlink w:anchor="page42">
        <w:r>
          <w:rPr>
            <w:rFonts w:ascii="Arial" w:cs="Arial" w:eastAsia="Arial" w:hAnsi="Arial"/>
            <w:sz w:val="18"/>
            <w:szCs w:val="18"/>
            <w:color w:val="auto"/>
          </w:rPr>
          <w:t xml:space="preserve">operations and certain non-recurring expenditures. For more information on our material contractual commitments refer to </w:t>
        </w:r>
        <w:r>
          <w:rPr>
            <w:rFonts w:ascii="Arial" w:cs="Arial" w:eastAsia="Arial" w:hAnsi="Arial"/>
            <w:sz w:val="18"/>
            <w:szCs w:val="18"/>
            <w:u w:val="single" w:color="auto"/>
            <w:color w:val="0000FF"/>
          </w:rPr>
          <w:t>Note 10 - Commitments and</w:t>
        </w:r>
      </w:hyperlink>
      <w:r>
        <w:rPr>
          <w:rFonts w:ascii="Arial" w:cs="Arial" w:eastAsia="Arial" w:hAnsi="Arial"/>
          <w:sz w:val="18"/>
          <w:szCs w:val="18"/>
          <w:color w:val="auto"/>
        </w:rPr>
        <w:t xml:space="preserve"> </w:t>
      </w:r>
      <w:hyperlink w:anchor="page42">
        <w:r>
          <w:rPr>
            <w:rFonts w:ascii="Arial" w:cs="Arial" w:eastAsia="Arial" w:hAnsi="Arial"/>
            <w:sz w:val="18"/>
            <w:szCs w:val="18"/>
            <w:u w:val="single" w:color="auto"/>
            <w:color w:val="0000FF"/>
          </w:rPr>
          <w:t>Contingent Liabilities</w:t>
        </w:r>
        <w:r>
          <w:rPr>
            <w:rFonts w:ascii="Arial" w:cs="Arial" w:eastAsia="Arial" w:hAnsi="Arial"/>
            <w:sz w:val="18"/>
            <w:szCs w:val="18"/>
            <w:color w:val="000000"/>
          </w:rPr>
          <w:t>.</w:t>
        </w:r>
      </w:hyperlink>
    </w:p>
    <w:p>
      <w:pPr>
        <w:spacing w:after="0" w:line="133"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Our long-term obligations consist primarily of principal payments on our outstanding debt obligations and future funding commitments under our lease and loan agreements. As of March 31, 2022, we have $5.4 billion of debt obligations outstanding, none of which are maturing in the next twelve months. For a summary of principal debt balances and their maturity dates and principal terms, refer to </w:t>
      </w:r>
      <w:hyperlink w:anchor="page34">
        <w:r>
          <w:rPr>
            <w:rFonts w:ascii="Arial" w:cs="Arial" w:eastAsia="Arial" w:hAnsi="Arial"/>
            <w:sz w:val="18"/>
            <w:szCs w:val="18"/>
            <w:u w:val="single" w:color="auto"/>
            <w:color w:val="0000FF"/>
          </w:rPr>
          <w:t>Note 7 - Debt</w:t>
        </w:r>
      </w:hyperlink>
      <w:r>
        <w:rPr>
          <w:rFonts w:ascii="Arial" w:cs="Arial" w:eastAsia="Arial" w:hAnsi="Arial"/>
          <w:sz w:val="18"/>
          <w:szCs w:val="18"/>
          <w:color w:val="auto"/>
        </w:rPr>
        <w:t xml:space="preserve">. For a summary of our future funding commitments under our loan portfolio, refer to </w:t>
      </w:r>
      <w:hyperlink w:anchor="page27">
        <w:r>
          <w:rPr>
            <w:rFonts w:ascii="Arial" w:cs="Arial" w:eastAsia="Arial" w:hAnsi="Arial"/>
            <w:sz w:val="18"/>
            <w:szCs w:val="18"/>
            <w:u w:val="single" w:color="auto"/>
            <w:color w:val="0000FF"/>
          </w:rPr>
          <w:t>Note 4 - Real Estate Portfolio</w:t>
        </w:r>
      </w:hyperlink>
      <w:r>
        <w:rPr>
          <w:rFonts w:ascii="Arial" w:cs="Arial" w:eastAsia="Arial" w:hAnsi="Arial"/>
          <w:sz w:val="18"/>
          <w:szCs w:val="18"/>
          <w:color w:val="auto"/>
        </w:rPr>
        <w:t>.</w:t>
      </w:r>
    </w:p>
    <w:p>
      <w:pPr>
        <w:spacing w:after="0" w:line="133"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described in our leases, capital expenditures for properties under the Lease Agreements are the responsibility of the tenants. Minimum capital expenditure spending requirements of the tenants pursuant to the Lease Agreements are described in </w:t>
      </w:r>
      <w:hyperlink w:anchor="page27">
        <w:r>
          <w:rPr>
            <w:rFonts w:ascii="Arial" w:cs="Arial" w:eastAsia="Arial" w:hAnsi="Arial"/>
            <w:sz w:val="18"/>
            <w:szCs w:val="18"/>
            <w:u w:val="single" w:color="auto"/>
            <w:color w:val="0000FF"/>
          </w:rPr>
          <w:t>Note 4 - Real Estate Portfolio</w:t>
        </w:r>
      </w:hyperlink>
      <w:r>
        <w:rPr>
          <w:rFonts w:ascii="Arial" w:cs="Arial" w:eastAsia="Arial" w:hAnsi="Arial"/>
          <w:sz w:val="18"/>
          <w:szCs w:val="18"/>
          <w:color w:val="auto"/>
        </w:rPr>
        <w: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concerning our material contractual obligations and commitments to make future payments under contracts such as our indebtedness and future minimum lease commitments under operating leases is included in the following table as of March 31, 2022. Amounts in this table omit, among other things, non-contractual commitments and items such as dividends and recurring or non-recurring operating expenses and other expenditures, including acquisitions and other investments.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Payments Due By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8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13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2022 (remaining)</w:t>
            </w:r>
          </w:p>
        </w:tc>
        <w:tc>
          <w:tcPr>
            <w:tcW w:w="280" w:type="dxa"/>
            <w:vAlign w:val="bottom"/>
          </w:tcPr>
          <w:p>
            <w:pPr>
              <w:spacing w:after="0"/>
              <w:rPr>
                <w:sz w:val="13"/>
                <w:szCs w:val="13"/>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31"/>
              <w:spacing w:after="0" w:line="158" w:lineRule="exact"/>
              <w:rPr>
                <w:sz w:val="20"/>
                <w:szCs w:val="20"/>
                <w:color w:val="auto"/>
              </w:rPr>
            </w:pPr>
            <w:r>
              <w:rPr>
                <w:rFonts w:ascii="Arial" w:cs="Arial" w:eastAsia="Arial" w:hAnsi="Arial"/>
                <w:sz w:val="16"/>
                <w:szCs w:val="16"/>
                <w:b w:val="1"/>
                <w:bCs w:val="1"/>
                <w:color w:val="auto"/>
              </w:rPr>
              <w:t>2026 and</w:t>
            </w:r>
          </w:p>
        </w:tc>
        <w:tc>
          <w:tcPr>
            <w:tcW w:w="0" w:type="dxa"/>
            <w:vAlign w:val="bottom"/>
          </w:tcPr>
          <w:p>
            <w:pPr>
              <w:spacing w:after="0"/>
              <w:rPr>
                <w:sz w:val="1"/>
                <w:szCs w:val="1"/>
                <w:color w:val="auto"/>
              </w:rPr>
            </w:pPr>
          </w:p>
        </w:tc>
      </w:tr>
      <w:tr>
        <w:trPr>
          <w:trHeight w:val="213"/>
        </w:trPr>
        <w:tc>
          <w:tcPr>
            <w:tcW w:w="3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2"/>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principal</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November 2019 Notes</w:t>
            </w:r>
            <w:r>
              <w:rPr>
                <w:rFonts w:ascii="Arial" w:cs="Arial" w:eastAsia="Arial" w:hAnsi="Arial"/>
                <w:sz w:val="23"/>
                <w:szCs w:val="23"/>
                <w:i w:val="1"/>
                <w:iCs w:val="1"/>
                <w:color w:val="auto"/>
                <w:vertAlign w:val="superscript"/>
              </w:rPr>
              <w:t>(1)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2026 Maturity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30"/>
        </w:trPr>
        <w:tc>
          <w:tcPr>
            <w:tcW w:w="3240" w:type="dxa"/>
            <w:vAlign w:val="bottom"/>
          </w:tcPr>
          <w:p>
            <w:pPr>
              <w:ind w:left="320"/>
              <w:spacing w:after="0"/>
              <w:rPr>
                <w:sz w:val="20"/>
                <w:szCs w:val="20"/>
                <w:color w:val="auto"/>
              </w:rPr>
            </w:pPr>
            <w:r>
              <w:rPr>
                <w:rFonts w:ascii="Arial" w:cs="Arial" w:eastAsia="Arial" w:hAnsi="Arial"/>
                <w:sz w:val="18"/>
                <w:szCs w:val="18"/>
                <w:color w:val="auto"/>
              </w:rPr>
              <w:t>2029 Maturity</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February 2020 Notes</w:t>
            </w:r>
            <w:r>
              <w:rPr>
                <w:rFonts w:ascii="Arial" w:cs="Arial" w:eastAsia="Arial" w:hAnsi="Arial"/>
                <w:sz w:val="23"/>
                <w:szCs w:val="23"/>
                <w:i w:val="1"/>
                <w:iCs w:val="1"/>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320"/>
              <w:spacing w:after="0"/>
              <w:rPr>
                <w:sz w:val="20"/>
                <w:szCs w:val="20"/>
                <w:color w:val="auto"/>
              </w:rPr>
            </w:pPr>
            <w:r>
              <w:rPr>
                <w:rFonts w:ascii="Arial" w:cs="Arial" w:eastAsia="Arial" w:hAnsi="Arial"/>
                <w:sz w:val="18"/>
                <w:szCs w:val="18"/>
                <w:color w:val="auto"/>
              </w:rPr>
              <w:t>2025 Maturity</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2027 Maturity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30"/>
        </w:trPr>
        <w:tc>
          <w:tcPr>
            <w:tcW w:w="3240" w:type="dxa"/>
            <w:vAlign w:val="bottom"/>
          </w:tcPr>
          <w:p>
            <w:pPr>
              <w:ind w:left="320"/>
              <w:spacing w:after="0"/>
              <w:rPr>
                <w:sz w:val="20"/>
                <w:szCs w:val="20"/>
                <w:color w:val="auto"/>
              </w:rPr>
            </w:pPr>
            <w:r>
              <w:rPr>
                <w:rFonts w:ascii="Arial" w:cs="Arial" w:eastAsia="Arial" w:hAnsi="Arial"/>
                <w:sz w:val="18"/>
                <w:szCs w:val="18"/>
                <w:color w:val="auto"/>
              </w:rPr>
              <w:t>2030 Maturity</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Scheduled interest payments </w:t>
            </w:r>
            <w:r>
              <w:rPr>
                <w:rFonts w:ascii="Arial" w:cs="Arial" w:eastAsia="Arial" w:hAnsi="Arial"/>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1,324,114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516,570</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contractual obligations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6,674,114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955,889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5,116,570</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 and contracts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line="176" w:lineRule="exact"/>
              <w:rPr>
                <w:sz w:val="20"/>
                <w:szCs w:val="20"/>
                <w:color w:val="auto"/>
              </w:rPr>
            </w:pPr>
            <w:r>
              <w:rPr>
                <w:rFonts w:ascii="Arial" w:cs="Arial" w:eastAsia="Arial" w:hAnsi="Arial"/>
                <w:sz w:val="18"/>
                <w:szCs w:val="18"/>
                <w:color w:val="auto"/>
              </w:rPr>
              <w:t>Future funding commitments – loan</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45,327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30,327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investments and lease agreements</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5"/>
              </w:rPr>
              <w:t>Operating lease for Cascata Golf Course</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18,579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14,895</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100"/>
              <w:spacing w:after="0" w:line="176" w:lineRule="exact"/>
              <w:rPr>
                <w:sz w:val="20"/>
                <w:szCs w:val="20"/>
                <w:color w:val="auto"/>
              </w:rPr>
            </w:pPr>
            <w:r>
              <w:rPr>
                <w:rFonts w:ascii="Arial" w:cs="Arial" w:eastAsia="Arial" w:hAnsi="Arial"/>
                <w:sz w:val="18"/>
                <w:szCs w:val="18"/>
                <w:color w:val="auto"/>
                <w:w w:val="96"/>
              </w:rPr>
              <w:t>Golf maintenance contract for Rio Secco</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6,043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2,590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rPr>
                <w:sz w:val="20"/>
                <w:szCs w:val="20"/>
                <w:color w:val="auto"/>
              </w:rPr>
            </w:pPr>
            <w:r>
              <w:rPr>
                <w:rFonts w:ascii="Arial" w:cs="Arial" w:eastAsia="Arial" w:hAnsi="Arial"/>
                <w:sz w:val="18"/>
                <w:szCs w:val="18"/>
                <w:color w:val="auto"/>
              </w:rPr>
              <w:t>and Cascata Golf Course</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Office leases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leases and contract obligations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34,075</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contractual commitments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6,751,552</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198,149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957,797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5,150,645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7"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 The 2025 Notes, 2026 Notes, 2027 Notes, 2029 Notes and 2030 Notes will mature on February 15, 2025, December 1, 2026, February 15, 2027, December 1, 2029 and August 15, 2030,</w:t>
      </w:r>
      <w:r>
        <w:rPr>
          <w:rFonts w:ascii="Arial" w:cs="Arial" w:eastAsia="Arial" w:hAnsi="Arial"/>
          <w:sz w:val="14"/>
          <w:szCs w:val="14"/>
          <w:color w:val="auto"/>
        </w:rPr>
        <w:t xml:space="preserve"> </w:t>
      </w:r>
      <w:r>
        <w:rPr>
          <w:rFonts w:ascii="Arial" w:cs="Arial" w:eastAsia="Arial" w:hAnsi="Arial"/>
          <w:sz w:val="14"/>
          <w:szCs w:val="14"/>
          <w:i w:val="1"/>
          <w:iCs w:val="1"/>
          <w:color w:val="auto"/>
        </w:rPr>
        <w:t>respectively.</w:t>
      </w:r>
    </w:p>
    <w:p>
      <w:pPr>
        <w:spacing w:after="0" w:line="1" w:lineRule="exact"/>
        <w:rPr>
          <w:sz w:val="20"/>
          <w:szCs w:val="20"/>
          <w:color w:val="auto"/>
        </w:rPr>
      </w:pPr>
    </w:p>
    <w:p>
      <w:pPr>
        <w:jc w:val="both"/>
        <w:ind w:firstLine="8"/>
        <w:spacing w:after="0" w:line="241" w:lineRule="auto"/>
        <w:tabs>
          <w:tab w:leader="none" w:pos="205"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On February 8, 2022, we entered into the Credit Agreement providing for the Credit Facilities, comprised of the Revolving Credit Facility in the amount of $2.5 billion and the Delayed Draw Term Loan in the amount of $1.0 billion, and concurrently terminated our Secured Revolving Credit Facility (including the first priority lien on substantially all of VICI PropCo’s and its existing and subsequently acquired wholly owned material domestic restricted subsidiaries’ material assets) and 2017 Credit Agreement. Refer to </w:t>
      </w:r>
      <w:hyperlink w:anchor="page34">
        <w:r>
          <w:rPr>
            <w:rFonts w:ascii="Arial" w:cs="Arial" w:eastAsia="Arial" w:hAnsi="Arial"/>
            <w:sz w:val="14"/>
            <w:szCs w:val="14"/>
            <w:i w:val="1"/>
            <w:iCs w:val="1"/>
            <w:u w:val="single" w:color="auto"/>
            <w:color w:val="0000FF"/>
          </w:rPr>
          <w:t>Note 7 - Debt</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i w:val="1"/>
          <w:iCs w:val="1"/>
          <w:color w:val="auto"/>
        </w:rPr>
        <w:t>for further information regarding the Credit Agreement.</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07"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Subsequent to quarter end, on April 29, 2022, in connection with the closing of the MGP Transactions, we issued the April 2022 Notes, the Exchange Notes and assumed the MGP OP Notes, each as further described in </w:t>
      </w:r>
      <w:hyperlink w:anchor="page34">
        <w:r>
          <w:rPr>
            <w:rFonts w:ascii="Arial" w:cs="Arial" w:eastAsia="Arial" w:hAnsi="Arial"/>
            <w:sz w:val="14"/>
            <w:szCs w:val="14"/>
            <w:i w:val="1"/>
            <w:iCs w:val="1"/>
            <w:u w:val="single" w:color="auto"/>
            <w:color w:val="0000FF"/>
          </w:rPr>
          <w:t>Note 7 - Debt</w:t>
        </w:r>
      </w:hyperlink>
      <w:r>
        <w:rPr>
          <w:rFonts w:ascii="Arial" w:cs="Arial" w:eastAsia="Arial" w:hAnsi="Arial"/>
          <w:sz w:val="14"/>
          <w:szCs w:val="14"/>
          <w:i w:val="1"/>
          <w:iCs w:val="1"/>
          <w:color w:val="auto"/>
        </w:rPr>
        <w:t>. The April 2022 Notes, Exchange Notes and MGP OP Notes all provide for fixed interest rates and will add approximately $456.3 million in annual interest expense.</w:t>
      </w:r>
    </w:p>
    <w:p>
      <w:pPr>
        <w:spacing w:after="0" w:line="1" w:lineRule="exact"/>
        <w:rPr>
          <w:rFonts w:ascii="Arial" w:cs="Arial" w:eastAsia="Arial" w:hAnsi="Arial"/>
          <w:sz w:val="14"/>
          <w:szCs w:val="14"/>
          <w:i w:val="1"/>
          <w:iCs w:val="1"/>
          <w:color w:val="auto"/>
        </w:rPr>
      </w:pPr>
    </w:p>
    <w:p>
      <w:pPr>
        <w:ind w:firstLine="8"/>
        <w:spacing w:after="0" w:line="255" w:lineRule="auto"/>
        <w:tabs>
          <w:tab w:leader="none" w:pos="213"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The allocation of our future funding commitments is based on the construction draw schedule, commitment funding date or expiration date, as applicable, however we may be obligated to fund these commitments earlier than such date.</w:t>
      </w:r>
    </w:p>
    <w:p>
      <w:pPr>
        <w:spacing w:after="0" w:line="190" w:lineRule="exact"/>
        <w:rPr>
          <w:rFonts w:ascii="Arial" w:cs="Arial" w:eastAsia="Arial" w:hAnsi="Arial"/>
          <w:sz w:val="14"/>
          <w:szCs w:val="14"/>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Additional Funding Requirements</w:t>
      </w:r>
    </w:p>
    <w:p>
      <w:pPr>
        <w:spacing w:after="0" w:line="171" w:lineRule="exact"/>
        <w:rPr>
          <w:rFonts w:ascii="Arial" w:cs="Arial" w:eastAsia="Arial" w:hAnsi="Arial"/>
          <w:sz w:val="14"/>
          <w:szCs w:val="14"/>
          <w:i w:val="1"/>
          <w:iCs w:val="1"/>
          <w:color w:val="auto"/>
        </w:rPr>
      </w:pPr>
    </w:p>
    <w:p>
      <w:pPr>
        <w:jc w:val="both"/>
        <w:spacing w:after="0" w:line="263" w:lineRule="auto"/>
        <w:rPr>
          <w:sz w:val="20"/>
          <w:szCs w:val="20"/>
          <w:color w:val="auto"/>
        </w:rPr>
      </w:pPr>
      <w:r>
        <w:rPr>
          <w:rFonts w:ascii="Arial" w:cs="Arial" w:eastAsia="Arial" w:hAnsi="Arial"/>
          <w:sz w:val="18"/>
          <w:szCs w:val="18"/>
          <w:color w:val="auto"/>
        </w:rPr>
        <w:t>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put-call agreements and Partner Property Growth Fund.</w:t>
      </w:r>
    </w:p>
    <w:p>
      <w:pPr>
        <w:spacing w:after="0" w:line="121" w:lineRule="exact"/>
        <w:rPr>
          <w:rFonts w:ascii="Arial" w:cs="Arial" w:eastAsia="Arial" w:hAnsi="Arial"/>
          <w:sz w:val="14"/>
          <w:szCs w:val="14"/>
          <w:i w:val="1"/>
          <w:iCs w:val="1"/>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rFonts w:ascii="Arial" w:cs="Arial" w:eastAsia="Arial" w:hAnsi="Arial"/>
          <w:sz w:val="14"/>
          <w:szCs w:val="14"/>
          <w:i w:val="1"/>
          <w:iCs w:val="1"/>
          <w:color w:val="auto"/>
        </w:rPr>
      </w:pPr>
    </w:p>
    <w:p>
      <w:pPr>
        <w:spacing w:after="0"/>
        <w:rPr>
          <w:sz w:val="20"/>
          <w:szCs w:val="20"/>
          <w:color w:val="auto"/>
        </w:rPr>
      </w:pPr>
      <w:r>
        <w:rPr>
          <w:rFonts w:ascii="Arial" w:cs="Arial" w:eastAsia="Arial" w:hAnsi="Arial"/>
          <w:sz w:val="18"/>
          <w:szCs w:val="18"/>
          <w:color w:val="auto"/>
        </w:rPr>
        <w:t>The table below summarizes our cash flows for the three months ended March 31, 2022 and 2021:</w:t>
      </w:r>
    </w:p>
    <w:p>
      <w:pPr>
        <w:spacing w:after="0" w:line="212" w:lineRule="exact"/>
        <w:rPr>
          <w:rFonts w:ascii="Arial" w:cs="Arial" w:eastAsia="Arial" w:hAnsi="Arial"/>
          <w:sz w:val="14"/>
          <w:szCs w:val="14"/>
          <w:i w:val="1"/>
          <w:iCs w:val="1"/>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 March 31,</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2"/>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31"/>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471"/>
              <w:spacing w:after="0" w:line="175" w:lineRule="exact"/>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Arial" w:cs="Arial" w:eastAsia="Arial" w:hAnsi="Arial"/>
                <w:sz w:val="18"/>
                <w:szCs w:val="18"/>
                <w:color w:val="auto"/>
              </w:rPr>
              <w:t>Provided by 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298,173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155,726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142,447</w:t>
            </w:r>
          </w:p>
        </w:tc>
      </w:tr>
      <w:tr>
        <w:trPr>
          <w:trHeight w:val="22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(Used in) provided by investing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(4,028,245)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(4,060,654)</w:t>
            </w:r>
          </w:p>
        </w:tc>
      </w:tr>
      <w:tr>
        <w:trPr>
          <w:trHeight w:val="230"/>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Provided by (used in) financing activities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3,559,160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3,740,758</w:t>
            </w:r>
          </w:p>
        </w:tc>
      </w:tr>
      <w:tr>
        <w:trPr>
          <w:trHeight w:val="223"/>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(177,449)</w:t>
            </w:r>
          </w:p>
        </w:tc>
      </w:tr>
      <w:tr>
        <w:trPr>
          <w:trHeight w:val="230"/>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Cash, cash equivalents and restricted cash, beginning of period</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Cash, cash equivalents and restricted cash,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rFonts w:ascii="Arial" w:cs="Arial" w:eastAsia="Arial" w:hAnsi="Arial"/>
          <w:sz w:val="14"/>
          <w:szCs w:val="14"/>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rFonts w:ascii="Arial" w:cs="Arial" w:eastAsia="Arial" w:hAnsi="Arial"/>
          <w:sz w:val="14"/>
          <w:szCs w:val="14"/>
          <w:i w:val="1"/>
          <w:iCs w:val="1"/>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increased $142.4 million for the three months ended March 31, 2022 compared with the three months ended March 31, 2021. The increase is primarily driven by an increase in cash rental from the addition of the Venetian Lease to our real estate portfolio in February 2022 and the annual escalators on our Lease Agreements.</w:t>
      </w:r>
    </w:p>
    <w:p>
      <w:pPr>
        <w:spacing w:after="0" w:line="130" w:lineRule="exact"/>
        <w:rPr>
          <w:rFonts w:ascii="Arial" w:cs="Arial" w:eastAsia="Arial" w:hAnsi="Arial"/>
          <w:sz w:val="14"/>
          <w:szCs w:val="14"/>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rFonts w:ascii="Arial" w:cs="Arial" w:eastAsia="Arial" w:hAnsi="Arial"/>
          <w:sz w:val="14"/>
          <w:szCs w:val="14"/>
          <w:i w:val="1"/>
          <w:iCs w:val="1"/>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increased $4,060.7 million for the three months ended March 31, 2022 compared with the three months ended March 31, 2021.</w:t>
      </w:r>
    </w:p>
    <w:p>
      <w:pPr>
        <w:spacing w:after="0" w:line="116" w:lineRule="exact"/>
        <w:rPr>
          <w:rFonts w:ascii="Arial" w:cs="Arial" w:eastAsia="Arial" w:hAnsi="Arial"/>
          <w:sz w:val="14"/>
          <w:szCs w:val="14"/>
          <w:i w:val="1"/>
          <w:iCs w:val="1"/>
          <w:color w:val="auto"/>
        </w:rPr>
      </w:pPr>
    </w:p>
    <w:p>
      <w:pPr>
        <w:spacing w:after="0"/>
        <w:rPr>
          <w:sz w:val="20"/>
          <w:szCs w:val="20"/>
          <w:color w:val="auto"/>
        </w:rPr>
      </w:pPr>
      <w:r>
        <w:rPr>
          <w:rFonts w:ascii="Arial" w:cs="Arial" w:eastAsia="Arial" w:hAnsi="Arial"/>
          <w:sz w:val="18"/>
          <w:szCs w:val="18"/>
          <w:color w:val="auto"/>
        </w:rPr>
        <w:t>During the three months ended March 31, 2022, the primary sources and uses of cash from investing activities included:</w:t>
      </w:r>
    </w:p>
    <w:p>
      <w:pPr>
        <w:spacing w:after="0" w:line="117" w:lineRule="exact"/>
        <w:rPr>
          <w:rFonts w:ascii="Arial" w:cs="Arial" w:eastAsia="Arial" w:hAnsi="Arial"/>
          <w:sz w:val="14"/>
          <w:szCs w:val="14"/>
          <w:i w:val="1"/>
          <w:iCs w:val="1"/>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Payments for the Venetian Acquisition for a total cost of $4,012.1 million, including acquisition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Payments to fund a portion of the Great Wolf Mezzanine Loan in the amount of $15.6 million; and</w:t>
      </w:r>
    </w:p>
    <w:p>
      <w:pPr>
        <w:spacing w:after="0" w:line="117" w:lineRule="exact"/>
        <w:rPr>
          <w:rFonts w:ascii="Arial" w:cs="Arial" w:eastAsia="Arial" w:hAnsi="Arial"/>
          <w:sz w:val="14"/>
          <w:szCs w:val="14"/>
          <w:i w:val="1"/>
          <w:iCs w:val="1"/>
          <w:color w:val="auto"/>
        </w:rPr>
      </w:pPr>
    </w:p>
    <w:p>
      <w:pPr>
        <w:spacing w:after="0"/>
        <w:rPr>
          <w:sz w:val="20"/>
          <w:szCs w:val="20"/>
          <w:color w:val="auto"/>
        </w:rPr>
      </w:pPr>
      <w:r>
        <w:rPr>
          <w:rFonts w:ascii="Arial" w:cs="Arial" w:eastAsia="Arial" w:hAnsi="Arial"/>
          <w:sz w:val="18"/>
          <w:szCs w:val="18"/>
          <w:color w:val="auto"/>
        </w:rPr>
        <w:t>During the three months ended March 31, 2021, the primary sources and uses of cash from investing activities include:</w:t>
      </w:r>
    </w:p>
    <w:p>
      <w:pPr>
        <w:spacing w:after="0" w:line="117" w:lineRule="exact"/>
        <w:rPr>
          <w:rFonts w:ascii="Arial" w:cs="Arial" w:eastAsia="Arial" w:hAnsi="Arial"/>
          <w:sz w:val="14"/>
          <w:szCs w:val="14"/>
          <w:i w:val="1"/>
          <w:iCs w:val="1"/>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Proceeds from net maturities of short-term investments of $20.0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Proceeds from partial repayment of the Amended and Restated ROV loan of $20.0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Final payment of the funding of a new gaming patio amenity at JACK Thistledown Racino of $6.0 million.</w:t>
      </w:r>
    </w:p>
    <w:p>
      <w:pPr>
        <w:spacing w:after="0" w:line="200" w:lineRule="exact"/>
        <w:rPr>
          <w:rFonts w:ascii="Arial" w:cs="Arial" w:eastAsia="Arial" w:hAnsi="Arial"/>
          <w:sz w:val="14"/>
          <w:szCs w:val="14"/>
          <w:i w:val="1"/>
          <w:iCs w:val="1"/>
          <w:color w:val="auto"/>
        </w:rPr>
      </w:pPr>
    </w:p>
    <w:p>
      <w:pPr>
        <w:spacing w:after="0" w:line="200" w:lineRule="exact"/>
        <w:rPr>
          <w:rFonts w:ascii="Arial" w:cs="Arial" w:eastAsia="Arial" w:hAnsi="Arial"/>
          <w:sz w:val="14"/>
          <w:szCs w:val="14"/>
          <w:i w:val="1"/>
          <w:iCs w:val="1"/>
          <w:color w:val="auto"/>
        </w:rPr>
      </w:pPr>
    </w:p>
    <w:p>
      <w:pPr>
        <w:spacing w:after="0" w:line="203" w:lineRule="exact"/>
        <w:rPr>
          <w:rFonts w:ascii="Arial" w:cs="Arial" w:eastAsia="Arial" w:hAnsi="Arial"/>
          <w:sz w:val="14"/>
          <w:szCs w:val="14"/>
          <w:i w:val="1"/>
          <w:iCs w:val="1"/>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provided by financing activities increased $3,740.8 million for the three months ended March 31, 2022, compared with the three months ended March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the primary sources and uses of cash in financing activities included:</w:t>
      </w:r>
    </w:p>
    <w:p>
      <w:pPr>
        <w:spacing w:after="0" w:line="117" w:lineRule="exact"/>
        <w:rPr>
          <w:sz w:val="20"/>
          <w:szCs w:val="20"/>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proceeds from the sale of an aggregate of $3,219.1 million of our common stock pursuant to the full physical settlement of the September 2021 Forward Sale Agreements and March 2021 Forward Sale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Initial draw of $600.0 million on our Revolving Credit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Dividend payments of $227.9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issuance costs of $27.3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Repurchase of stock for tax withholding in connection with the vesting of employee stock compensation of $2.7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Distributions of $2.1 million to non-controlling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the primary sources and uses of cash from financing activities included:</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Dividend payments of $178.0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Distributions of $2.1 million to non-controlling interest;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Repurchase of stock for tax withholding in connection with the vesting of employee stock compensation of $1.5 million.</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 summary of our debt obligations as of March 31, 2022, refer to </w:t>
      </w:r>
      <w:hyperlink w:anchor="page34">
        <w:r>
          <w:rPr>
            <w:rFonts w:ascii="Arial" w:cs="Arial" w:eastAsia="Arial" w:hAnsi="Arial"/>
            <w:sz w:val="18"/>
            <w:szCs w:val="18"/>
            <w:u w:val="single" w:color="auto"/>
            <w:color w:val="0000FF"/>
          </w:rPr>
          <w:t>Note 7 - Debt</w:t>
        </w:r>
      </w:hyperlink>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March 31, 2022, we were in compliance with all debt-related covenants.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 Policy</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intend to make regular quarterly distributions to holders of shares of our common stock. Dividends declared (on a per share basis) during the three months ended March 31, 2022 and 2021 were as follows: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Three Months Ended March 31,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Declaration Date</w:t>
            </w:r>
          </w:p>
        </w:tc>
        <w:tc>
          <w:tcPr>
            <w:tcW w:w="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Record Date</w:t>
            </w:r>
          </w:p>
        </w:tc>
        <w:tc>
          <w:tcPr>
            <w:tcW w:w="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Payment Date</w:t>
            </w:r>
          </w:p>
        </w:tc>
        <w:tc>
          <w:tcPr>
            <w:tcW w:w="2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2"/>
              </w:rPr>
              <w:t>Period</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10, 2022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24, 2022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April 7, 2022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2022 - March 31, 2022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0.3600</w:t>
            </w:r>
          </w:p>
        </w:tc>
      </w:tr>
      <w:tr>
        <w:trPr>
          <w:trHeight w:val="497"/>
        </w:trPr>
        <w:tc>
          <w:tcPr>
            <w:tcW w:w="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7"/>
          </w:tcPr>
          <w:p>
            <w:pPr>
              <w:ind w:left="300"/>
              <w:spacing w:after="0"/>
              <w:rPr>
                <w:sz w:val="20"/>
                <w:szCs w:val="20"/>
                <w:color w:val="auto"/>
              </w:rPr>
            </w:pPr>
            <w:r>
              <w:rPr>
                <w:rFonts w:ascii="Arial" w:cs="Arial" w:eastAsia="Arial" w:hAnsi="Arial"/>
                <w:sz w:val="16"/>
                <w:szCs w:val="16"/>
                <w:b w:val="1"/>
                <w:bCs w:val="1"/>
                <w:color w:val="auto"/>
              </w:rPr>
              <w:t>Three Months Ended March 31, 2021</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Declaration Date</w:t>
            </w:r>
          </w:p>
        </w:tc>
        <w:tc>
          <w:tcPr>
            <w:tcW w:w="20" w:type="dxa"/>
            <w:vAlign w:val="bottom"/>
          </w:tcPr>
          <w:p>
            <w:pPr>
              <w:spacing w:after="0"/>
              <w:rPr>
                <w:sz w:val="18"/>
                <w:szCs w:val="18"/>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20" w:type="dxa"/>
            <w:vAlign w:val="bottom"/>
          </w:tcPr>
          <w:p>
            <w:pPr>
              <w:spacing w:after="0"/>
              <w:rPr>
                <w:sz w:val="18"/>
                <w:szCs w:val="18"/>
                <w:color w:val="auto"/>
              </w:rPr>
            </w:pPr>
          </w:p>
        </w:tc>
        <w:tc>
          <w:tcPr>
            <w:tcW w:w="1900" w:type="dxa"/>
            <w:vAlign w:val="bottom"/>
            <w:gridSpan w:val="3"/>
          </w:tcPr>
          <w:p>
            <w:pPr>
              <w:ind w:left="400"/>
              <w:spacing w:after="0"/>
              <w:rPr>
                <w:sz w:val="20"/>
                <w:szCs w:val="20"/>
                <w:color w:val="auto"/>
              </w:rPr>
            </w:pPr>
            <w:r>
              <w:rPr>
                <w:rFonts w:ascii="Arial" w:cs="Arial" w:eastAsia="Arial" w:hAnsi="Arial"/>
                <w:sz w:val="16"/>
                <w:szCs w:val="16"/>
                <w:b w:val="1"/>
                <w:bCs w:val="1"/>
                <w:color w:val="auto"/>
              </w:rPr>
              <w:t>Payment Date</w:t>
            </w:r>
          </w:p>
        </w:tc>
        <w:tc>
          <w:tcPr>
            <w:tcW w:w="20" w:type="dxa"/>
            <w:vAlign w:val="bottom"/>
          </w:tcPr>
          <w:p>
            <w:pPr>
              <w:spacing w:after="0"/>
              <w:rPr>
                <w:sz w:val="18"/>
                <w:szCs w:val="18"/>
                <w:color w:val="auto"/>
              </w:rPr>
            </w:pPr>
          </w:p>
        </w:tc>
        <w:tc>
          <w:tcPr>
            <w:tcW w:w="3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ind w:right="495"/>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20" w:type="dxa"/>
            <w:vAlign w:val="bottom"/>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11, 2021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25, 2021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April 8, 2021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January 1, 2021 - March 31, 2021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0.3300</w:t>
            </w:r>
          </w:p>
        </w:tc>
      </w:tr>
    </w:tbl>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70" w:lineRule="exact"/>
        <w:rPr>
          <w:sz w:val="20"/>
          <w:szCs w:val="20"/>
          <w:color w:val="auto"/>
        </w:rPr>
      </w:pPr>
    </w:p>
    <w:p>
      <w:pPr>
        <w:jc w:val="both"/>
        <w:spacing w:after="0" w:line="259" w:lineRule="auto"/>
        <w:rPr>
          <w:rFonts w:ascii="Arial" w:cs="Arial" w:eastAsia="Arial" w:hAnsi="Arial"/>
          <w:sz w:val="18"/>
          <w:szCs w:val="18"/>
          <w:color w:val="0000FF"/>
        </w:rPr>
      </w:pPr>
      <w:hyperlink r:id="rId71">
        <w:r>
          <w:rPr>
            <w:rFonts w:ascii="Arial" w:cs="Arial" w:eastAsia="Arial" w:hAnsi="Arial"/>
            <w:sz w:val="18"/>
            <w:szCs w:val="18"/>
            <w:color w:val="auto"/>
          </w:rPr>
          <w:t xml:space="preserve">A complete discussion of our critical accounting policies and estimates is included in our </w:t>
        </w:r>
        <w:r>
          <w:rPr>
            <w:rFonts w:ascii="Arial" w:cs="Arial" w:eastAsia="Arial" w:hAnsi="Arial"/>
            <w:sz w:val="18"/>
            <w:szCs w:val="18"/>
            <w:u w:val="single" w:color="auto"/>
            <w:color w:val="0000FF"/>
          </w:rPr>
          <w:t>Annual Report on Form 10-K for the year ended December 31,</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FF"/>
          </w:rPr>
          <w:t>2021</w:t>
        </w:r>
        <w:r>
          <w:rPr>
            <w:rFonts w:ascii="Arial" w:cs="Arial" w:eastAsia="Arial" w:hAnsi="Arial"/>
            <w:sz w:val="18"/>
            <w:szCs w:val="18"/>
            <w:color w:val="0000FF"/>
          </w:rPr>
          <w:t xml:space="preserve"> </w:t>
        </w:r>
        <w:r>
          <w:rPr>
            <w:rFonts w:ascii="Arial" w:cs="Arial" w:eastAsia="Arial" w:hAnsi="Arial"/>
            <w:sz w:val="18"/>
            <w:szCs w:val="18"/>
            <w:color w:val="000000"/>
          </w:rPr>
          <w:t>and VICI LP’s Management’s Discussion and Analysis of Financial Condition and Results of Operations included as an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exhibit to the Current Report</w:t>
        </w:r>
      </w:hyperlink>
      <w:r>
        <w:rPr>
          <w:rFonts w:ascii="Arial" w:cs="Arial" w:eastAsia="Arial" w:hAnsi="Arial"/>
          <w:sz w:val="18"/>
          <w:szCs w:val="18"/>
          <w:color w:val="0000FF"/>
        </w:rPr>
        <w:t xml:space="preserve"> </w:t>
      </w:r>
      <w:hyperlink r:id="rId28">
        <w:r>
          <w:rPr>
            <w:rFonts w:ascii="Arial" w:cs="Arial" w:eastAsia="Arial" w:hAnsi="Arial"/>
            <w:sz w:val="18"/>
            <w:szCs w:val="18"/>
            <w:u w:val="single" w:color="auto"/>
            <w:color w:val="0000FF"/>
          </w:rPr>
          <w:t>on Form 8-K filed on April 18, 2022</w:t>
        </w:r>
        <w:r>
          <w:rPr>
            <w:rFonts w:ascii="Arial" w:cs="Arial" w:eastAsia="Arial" w:hAnsi="Arial"/>
            <w:sz w:val="18"/>
            <w:szCs w:val="18"/>
            <w:color w:val="000000"/>
          </w:rPr>
          <w:t>. There have been no significant changes in our critical policies and estimates for the three months ended March 31,</w:t>
        </w:r>
      </w:hyperlink>
      <w:r>
        <w:rPr>
          <w:rFonts w:ascii="Arial" w:cs="Arial" w:eastAsia="Arial" w:hAnsi="Arial"/>
          <w:sz w:val="18"/>
          <w:szCs w:val="18"/>
          <w:color w:val="0000FF"/>
        </w:rPr>
        <w:t xml:space="preserve"> </w:t>
      </w:r>
      <w:r>
        <w:rPr>
          <w:rFonts w:ascii="Arial" w:cs="Arial" w:eastAsia="Arial" w:hAnsi="Arial"/>
          <w:sz w:val="18"/>
          <w:szCs w:val="18"/>
          <w:color w:val="000000"/>
        </w:rPr>
        <w:t>2022.</w:t>
      </w:r>
    </w:p>
    <w:p>
      <w:pPr>
        <w:spacing w:after="0" w:line="187"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6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rFonts w:ascii="Arial" w:cs="Arial" w:eastAsia="Arial" w:hAnsi="Arial"/>
          <w:sz w:val="18"/>
          <w:szCs w:val="18"/>
          <w:color w:val="auto"/>
        </w:rPr>
      </w:pPr>
    </w:p>
    <w:p>
      <w:pPr>
        <w:jc w:val="both"/>
        <w:spacing w:after="0" w:line="263" w:lineRule="auto"/>
        <w:rPr>
          <w:sz w:val="20"/>
          <w:szCs w:val="20"/>
          <w:color w:val="auto"/>
        </w:rPr>
      </w:pPr>
      <w:r>
        <w:rPr>
          <w:rFonts w:ascii="Arial" w:cs="Arial" w:eastAsia="Arial" w:hAnsi="Arial"/>
          <w:sz w:val="18"/>
          <w:szCs w:val="18"/>
          <w:color w:val="auto"/>
        </w:rPr>
        <w:t>Our interest rate risk management objective is to limit the impact of future interest rate changes on our earnings and cash flows. To achieve this objective, our consolidated subsidiaries primarily borrow on a fixed-rate basis for longer-term debt issuances. As of March 31, 2022, we had $5,350.0 million aggregate principal amount of outstanding indebtedness, of which $4,750.0 million has fixed rate interest.</w:t>
      </w:r>
    </w:p>
    <w:p>
      <w:pPr>
        <w:spacing w:after="0" w:line="130" w:lineRule="exact"/>
        <w:rPr>
          <w:rFonts w:ascii="Arial" w:cs="Arial" w:eastAsia="Arial" w:hAnsi="Arial"/>
          <w:sz w:val="18"/>
          <w:szCs w:val="18"/>
          <w:color w:val="auto"/>
        </w:rPr>
      </w:pPr>
    </w:p>
    <w:p>
      <w:pPr>
        <w:jc w:val="both"/>
        <w:spacing w:after="0" w:line="279" w:lineRule="auto"/>
        <w:rPr>
          <w:sz w:val="20"/>
          <w:szCs w:val="20"/>
          <w:color w:val="auto"/>
        </w:rPr>
      </w:pPr>
      <w:r>
        <w:rPr>
          <w:rFonts w:ascii="Arial" w:cs="Arial" w:eastAsia="Arial" w:hAnsi="Arial"/>
          <w:sz w:val="17"/>
          <w:szCs w:val="17"/>
          <w:color w:val="auto"/>
        </w:rPr>
        <w:t>Additionally, we are exposed to interest rate risk between the time we enter into a transaction and the time we finance the related transaction with long-term fixed-rate debt. In addition, when that long-term debt matures, we may have to refinance the real estate at a higher interest rate. In a rising interest rate environment, we have from time to time and may in the future seek to mitigate that risk by utilizing forward-starting interest rate swap agreements, treasury locks and other derivative instruments. Market interest rates are sensitive to many factors that are beyond our control.</w:t>
      </w:r>
    </w:p>
    <w:p>
      <w:pPr>
        <w:spacing w:after="0" w:line="11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Capital Markets Risks</w:t>
      </w:r>
    </w:p>
    <w:p>
      <w:pPr>
        <w:spacing w:after="0" w:line="175" w:lineRule="exact"/>
        <w:rPr>
          <w:rFonts w:ascii="Arial" w:cs="Arial" w:eastAsia="Arial" w:hAnsi="Arial"/>
          <w:sz w:val="18"/>
          <w:szCs w:val="18"/>
          <w:color w:val="auto"/>
        </w:rPr>
      </w:pPr>
    </w:p>
    <w:p>
      <w:pPr>
        <w:jc w:val="both"/>
        <w:spacing w:after="0" w:line="255" w:lineRule="auto"/>
        <w:rPr>
          <w:sz w:val="20"/>
          <w:szCs w:val="20"/>
          <w:color w:val="auto"/>
        </w:rPr>
      </w:pPr>
      <w:r>
        <w:rPr>
          <w:rFonts w:ascii="Arial" w:cs="Arial" w:eastAsia="Arial" w:hAnsi="Arial"/>
          <w:sz w:val="18"/>
          <w:szCs w:val="18"/>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193"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16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VICI Properties Inc.</w:t>
      </w:r>
    </w:p>
    <w:p>
      <w:pPr>
        <w:spacing w:after="0" w:line="17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rFonts w:ascii="Arial" w:cs="Arial" w:eastAsia="Arial" w:hAnsi="Arial"/>
          <w:sz w:val="18"/>
          <w:szCs w:val="18"/>
          <w:color w:val="auto"/>
        </w:rPr>
      </w:pPr>
    </w:p>
    <w:p>
      <w:pPr>
        <w:jc w:val="both"/>
        <w:spacing w:after="0" w:line="301" w:lineRule="auto"/>
        <w:rPr>
          <w:sz w:val="20"/>
          <w:szCs w:val="20"/>
          <w:color w:val="auto"/>
        </w:rPr>
      </w:pPr>
      <w:r>
        <w:rPr>
          <w:rFonts w:ascii="Arial" w:cs="Arial" w:eastAsia="Arial" w:hAnsi="Arial"/>
          <w:sz w:val="16"/>
          <w:szCs w:val="16"/>
          <w:color w:val="auto"/>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spacing w:after="0" w:line="103" w:lineRule="exact"/>
        <w:rPr>
          <w:rFonts w:ascii="Arial" w:cs="Arial" w:eastAsia="Arial" w:hAnsi="Arial"/>
          <w:sz w:val="18"/>
          <w:szCs w:val="18"/>
          <w:color w:val="auto"/>
        </w:rPr>
      </w:pPr>
    </w:p>
    <w:p>
      <w:pPr>
        <w:jc w:val="both"/>
        <w:spacing w:after="0" w:line="259" w:lineRule="auto"/>
        <w:rPr>
          <w:sz w:val="20"/>
          <w:szCs w:val="20"/>
          <w:color w:val="auto"/>
        </w:rPr>
      </w:pPr>
      <w:r>
        <w:rPr>
          <w:rFonts w:ascii="Arial" w:cs="Arial" w:eastAsia="Arial" w:hAnsi="Arial"/>
          <w:sz w:val="18"/>
          <w:szCs w:val="18"/>
          <w:color w:val="auto"/>
        </w:rPr>
        <w:t>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VICI’s internal control over financial reporting (as defined in Rules 13a-15(f) and 15d-15(f) under the Exchange Act) that occurred during the three months ended March 31, 2022, that have materially affected, or are reasonably likely to materially affect, VICI’s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VICI Properties L.P.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VICI LP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VICI LP’s management has evaluated, under the supervision and with the participation of VICI LP’s principal executive officer and principal financial officer, the effectiveness of VIC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VICI LP’s internal control over financial reporting (as defined in Rules 13a-15(f) and 15d-15(f) under the Exchange Act) that occurred during the three months ended March 31, 2022, that have materially affected, or are reasonably likely to materially affect, VICI LP’s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PART II.</w:t>
        <w:tab/>
        <w:t>OTHER INFORMATION</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33" w:lineRule="exact"/>
        <w:rPr>
          <w:sz w:val="20"/>
          <w:szCs w:val="20"/>
          <w:color w:val="auto"/>
        </w:rPr>
      </w:pPr>
    </w:p>
    <w:p>
      <w:pPr>
        <w:ind w:right="300"/>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The information contained under the heading “Litigation” in </w:t>
      </w:r>
      <w:hyperlink w:anchor="page42">
        <w:r>
          <w:rPr>
            <w:rFonts w:ascii="Arial" w:cs="Arial" w:eastAsia="Arial" w:hAnsi="Arial"/>
            <w:sz w:val="18"/>
            <w:szCs w:val="18"/>
            <w:u w:val="single" w:color="auto"/>
            <w:color w:val="0000FF"/>
          </w:rPr>
          <w:t>Note 10 - Commitments and Contingent Liabilities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Financial Statements included in this report is incorporated by reference into this Item 1.</w:t>
      </w:r>
    </w:p>
    <w:p>
      <w:pPr>
        <w:spacing w:after="0" w:line="184"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5" w:lineRule="exact"/>
        <w:rPr>
          <w:sz w:val="20"/>
          <w:szCs w:val="20"/>
          <w:color w:val="auto"/>
        </w:rPr>
      </w:pPr>
    </w:p>
    <w:p>
      <w:pPr>
        <w:jc w:val="both"/>
        <w:spacing w:after="0" w:line="277" w:lineRule="auto"/>
        <w:rPr>
          <w:rFonts w:ascii="Arial" w:cs="Arial" w:eastAsia="Arial" w:hAnsi="Arial"/>
          <w:sz w:val="18"/>
          <w:szCs w:val="18"/>
          <w:color w:val="0000FF"/>
        </w:rPr>
      </w:pPr>
      <w:hyperlink r:id="rId71">
        <w:r>
          <w:rPr>
            <w:rFonts w:ascii="Arial" w:cs="Arial" w:eastAsia="Arial" w:hAnsi="Arial"/>
            <w:sz w:val="18"/>
            <w:szCs w:val="18"/>
            <w:color w:val="auto"/>
          </w:rPr>
          <w:t xml:space="preserve">A description of certain factors that may affect our future results and risk factors is set forth in our </w:t>
        </w:r>
        <w:r>
          <w:rPr>
            <w:rFonts w:ascii="Arial" w:cs="Arial" w:eastAsia="Arial" w:hAnsi="Arial"/>
            <w:sz w:val="18"/>
            <w:szCs w:val="18"/>
            <w:u w:val="single" w:color="auto"/>
            <w:color w:val="0000FF"/>
          </w:rPr>
          <w:t>Annual Report on Form 10-K for the year ended</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FF"/>
          </w:rPr>
          <w:t>December 31, 2021</w:t>
        </w:r>
        <w:r>
          <w:rPr>
            <w:rFonts w:ascii="Arial" w:cs="Arial" w:eastAsia="Arial" w:hAnsi="Arial"/>
            <w:sz w:val="18"/>
            <w:szCs w:val="18"/>
            <w:color w:val="000000"/>
          </w:rPr>
          <w:t>. There have been no material changes to those factors for the three months ended March 31, 2022.</w:t>
        </w:r>
      </w:hyperlink>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VICI Properties Inc.</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2022, certain employees surrendered shares of common stock owned by them to VICI to satisfy their statutory minimum federal and state income tax obligations associated with the vesting of shares of restricted common stock issued under our stock incentive plan. The following table summarizes such common stock repurchases during the three months ended March 31,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Total Number Of</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Shares Purchased</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Of Shares That</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Average Price Paid</w:t>
            </w:r>
          </w:p>
        </w:tc>
        <w:tc>
          <w:tcPr>
            <w:tcW w:w="18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As Part Of</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May Yet Be Purchased</w:t>
            </w:r>
          </w:p>
        </w:tc>
        <w:tc>
          <w:tcPr>
            <w:tcW w:w="0" w:type="dxa"/>
            <w:vAlign w:val="bottom"/>
          </w:tcPr>
          <w:p>
            <w:pPr>
              <w:spacing w:after="0"/>
              <w:rPr>
                <w:sz w:val="1"/>
                <w:szCs w:val="1"/>
                <w:color w:val="auto"/>
              </w:rPr>
            </w:pPr>
          </w:p>
        </w:tc>
      </w:tr>
      <w:tr>
        <w:trPr>
          <w:trHeight w:val="162"/>
        </w:trPr>
        <w:tc>
          <w:tcPr>
            <w:tcW w:w="4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Under The Plans Or</w:t>
            </w:r>
          </w:p>
        </w:tc>
        <w:tc>
          <w:tcPr>
            <w:tcW w:w="0" w:type="dxa"/>
            <w:vAlign w:val="bottom"/>
          </w:tcPr>
          <w:p>
            <w:pPr>
              <w:spacing w:after="0"/>
              <w:rPr>
                <w:sz w:val="1"/>
                <w:szCs w:val="1"/>
                <w:color w:val="auto"/>
              </w:rPr>
            </w:pPr>
          </w:p>
        </w:tc>
      </w:tr>
      <w:tr>
        <w:trPr>
          <w:trHeight w:val="216"/>
        </w:trPr>
        <w:tc>
          <w:tcPr>
            <w:tcW w:w="4060" w:type="dxa"/>
            <w:vAlign w:val="bottom"/>
            <w:gridSpan w:val="2"/>
            <w:vMerge w:val="continue"/>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line="216" w:lineRule="exact"/>
              <w:rPr>
                <w:sz w:val="20"/>
                <w:szCs w:val="20"/>
                <w:color w:val="auto"/>
              </w:rPr>
            </w:pPr>
            <w:r>
              <w:rPr>
                <w:rFonts w:ascii="Arial" w:cs="Arial" w:eastAsia="Arial" w:hAnsi="Arial"/>
                <w:sz w:val="16"/>
                <w:szCs w:val="16"/>
                <w:b w:val="1"/>
                <w:bCs w:val="1"/>
                <w:color w:val="auto"/>
                <w:w w:val="88"/>
              </w:rPr>
              <w:t xml:space="preserve">per Share </w:t>
            </w:r>
            <w:r>
              <w:rPr>
                <w:rFonts w:ascii="Arial" w:cs="Arial" w:eastAsia="Arial" w:hAnsi="Arial"/>
                <w:sz w:val="21"/>
                <w:szCs w:val="21"/>
                <w:b w:val="1"/>
                <w:bCs w:val="1"/>
                <w:i w:val="1"/>
                <w:iCs w:val="1"/>
                <w:color w:val="auto"/>
                <w:w w:val="88"/>
                <w:vertAlign w:val="superscript"/>
              </w:rPr>
              <w:t>(1)</w:t>
            </w:r>
          </w:p>
        </w:tc>
        <w:tc>
          <w:tcPr>
            <w:tcW w:w="1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Plans Or Programs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2022 through January 31, 2022</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February 1, 2022 through February 28, 2022</w:t>
            </w:r>
          </w:p>
        </w:tc>
        <w:tc>
          <w:tcPr>
            <w:tcW w:w="1620" w:type="dxa"/>
            <w:vAlign w:val="bottom"/>
          </w:tcPr>
          <w:p>
            <w:pPr>
              <w:jc w:val="right"/>
              <w:spacing w:after="0"/>
              <w:rPr>
                <w:sz w:val="20"/>
                <w:szCs w:val="20"/>
                <w:color w:val="auto"/>
              </w:rPr>
            </w:pPr>
            <w:r>
              <w:rPr>
                <w:rFonts w:ascii="Arial" w:cs="Arial" w:eastAsia="Arial" w:hAnsi="Arial"/>
                <w:sz w:val="18"/>
                <w:szCs w:val="18"/>
                <w:color w:val="auto"/>
              </w:rPr>
              <w:t>92,473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9"/>
                <w:szCs w:val="19"/>
                <w:color w:val="auto"/>
              </w:rPr>
            </w:pPr>
          </w:p>
        </w:tc>
        <w:tc>
          <w:tcPr>
            <w:tcW w:w="18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900" w:type="dxa"/>
            <w:vAlign w:val="bottom"/>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2022 through March 31, 2022</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0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94,243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28.77</w:t>
            </w:r>
          </w:p>
        </w:tc>
        <w:tc>
          <w:tcPr>
            <w:tcW w:w="100" w:type="dxa"/>
            <w:vAlign w:val="bottom"/>
          </w:tcPr>
          <w:p>
            <w:pPr>
              <w:spacing w:after="0"/>
              <w:rPr>
                <w:sz w:val="19"/>
                <w:szCs w:val="19"/>
                <w:color w:val="auto"/>
              </w:rPr>
            </w:pPr>
          </w:p>
        </w:tc>
        <w:tc>
          <w:tcPr>
            <w:tcW w:w="178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900" w:type="dxa"/>
            <w:vAlign w:val="bottom"/>
            <w:tcBorders>
              <w:top w:val="single" w:sz="8" w:color="auto"/>
            </w:tcBorders>
          </w:tcPr>
          <w:p>
            <w:pPr>
              <w:ind w:left="16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VICI Properties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2022, VICI LP did not repurchase any equity securities registered pursuant to Section 12 of the Exchange Act.</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120" w:type="dxa"/>
            <w:vAlign w:val="bottom"/>
            <w:gridSpan w:val="4"/>
          </w:tcPr>
          <w:p>
            <w:pPr>
              <w:spacing w:after="0"/>
              <w:rPr>
                <w:sz w:val="20"/>
                <w:szCs w:val="20"/>
                <w:color w:val="auto"/>
              </w:rPr>
            </w:pPr>
            <w:r>
              <w:rPr>
                <w:rFonts w:ascii="Arial" w:cs="Arial" w:eastAsia="Arial" w:hAnsi="Arial"/>
                <w:sz w:val="22"/>
                <w:szCs w:val="22"/>
                <w:b w:val="1"/>
                <w:bCs w:val="1"/>
                <w:color w:val="auto"/>
              </w:rPr>
              <w:t>Item 5.</w:t>
            </w:r>
          </w:p>
        </w:tc>
        <w:tc>
          <w:tcPr>
            <w:tcW w:w="20" w:type="dxa"/>
            <w:vAlign w:val="bottom"/>
          </w:tcPr>
          <w:p>
            <w:pPr>
              <w:spacing w:after="0"/>
              <w:rPr>
                <w:sz w:val="24"/>
                <w:szCs w:val="24"/>
                <w:color w:val="auto"/>
              </w:rPr>
            </w:pPr>
          </w:p>
        </w:tc>
        <w:tc>
          <w:tcPr>
            <w:tcW w:w="5640" w:type="dxa"/>
            <w:vAlign w:val="bottom"/>
            <w:gridSpan w:val="9"/>
          </w:tcPr>
          <w:p>
            <w:pPr>
              <w:ind w:left="160"/>
              <w:spacing w:after="0"/>
              <w:rPr>
                <w:sz w:val="20"/>
                <w:szCs w:val="20"/>
                <w:color w:val="auto"/>
              </w:rPr>
            </w:pPr>
            <w:r>
              <w:rPr>
                <w:rFonts w:ascii="Arial" w:cs="Arial" w:eastAsia="Arial" w:hAnsi="Arial"/>
                <w:sz w:val="22"/>
                <w:szCs w:val="22"/>
                <w:b w:val="1"/>
                <w:bCs w:val="1"/>
                <w:color w:val="auto"/>
              </w:rPr>
              <w:t>Other Information</w:t>
            </w:r>
          </w:p>
        </w:tc>
        <w:tc>
          <w:tcPr>
            <w:tcW w:w="0" w:type="dxa"/>
            <w:vAlign w:val="bottom"/>
          </w:tcPr>
          <w:p>
            <w:pPr>
              <w:spacing w:after="0"/>
              <w:rPr>
                <w:sz w:val="1"/>
                <w:szCs w:val="1"/>
                <w:color w:val="auto"/>
              </w:rPr>
            </w:pPr>
          </w:p>
        </w:tc>
      </w:tr>
      <w:tr>
        <w:trPr>
          <w:trHeight w:val="368"/>
        </w:trPr>
        <w:tc>
          <w:tcPr>
            <w:tcW w:w="1120" w:type="dxa"/>
            <w:vAlign w:val="bottom"/>
            <w:gridSpan w:val="4"/>
          </w:tcPr>
          <w:p>
            <w:pPr>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120" w:type="dxa"/>
            <w:vAlign w:val="bottom"/>
            <w:gridSpan w:val="4"/>
          </w:tcPr>
          <w:p>
            <w:pPr>
              <w:spacing w:after="0"/>
              <w:rPr>
                <w:sz w:val="20"/>
                <w:szCs w:val="20"/>
                <w:color w:val="auto"/>
              </w:rPr>
            </w:pPr>
            <w:r>
              <w:rPr>
                <w:rFonts w:ascii="Arial" w:cs="Arial" w:eastAsia="Arial" w:hAnsi="Arial"/>
                <w:sz w:val="22"/>
                <w:szCs w:val="22"/>
                <w:b w:val="1"/>
                <w:bCs w:val="1"/>
                <w:color w:val="auto"/>
              </w:rPr>
              <w:t>Item 6.</w:t>
            </w:r>
          </w:p>
        </w:tc>
        <w:tc>
          <w:tcPr>
            <w:tcW w:w="20" w:type="dxa"/>
            <w:vAlign w:val="bottom"/>
          </w:tcPr>
          <w:p>
            <w:pPr>
              <w:spacing w:after="0"/>
              <w:rPr>
                <w:sz w:val="24"/>
                <w:szCs w:val="24"/>
                <w:color w:val="auto"/>
              </w:rPr>
            </w:pPr>
          </w:p>
        </w:tc>
        <w:tc>
          <w:tcPr>
            <w:tcW w:w="5640" w:type="dxa"/>
            <w:vAlign w:val="bottom"/>
            <w:gridSpan w:val="9"/>
          </w:tcPr>
          <w:p>
            <w:pPr>
              <w:ind w:left="160"/>
              <w:spacing w:after="0"/>
              <w:rPr>
                <w:sz w:val="20"/>
                <w:szCs w:val="20"/>
                <w:color w:val="auto"/>
              </w:rPr>
            </w:pPr>
            <w:r>
              <w:rPr>
                <w:rFonts w:ascii="Arial" w:cs="Arial" w:eastAsia="Arial" w:hAnsi="Arial"/>
                <w:sz w:val="22"/>
                <w:szCs w:val="22"/>
                <w:b w:val="1"/>
                <w:bCs w:val="1"/>
                <w:color w:val="auto"/>
              </w:rPr>
              <w:t>Exhibits</w:t>
            </w:r>
          </w:p>
        </w:tc>
        <w:tc>
          <w:tcPr>
            <w:tcW w:w="0" w:type="dxa"/>
            <w:vAlign w:val="bottom"/>
          </w:tcPr>
          <w:p>
            <w:pPr>
              <w:spacing w:after="0"/>
              <w:rPr>
                <w:sz w:val="1"/>
                <w:szCs w:val="1"/>
                <w:color w:val="auto"/>
              </w:rPr>
            </w:pPr>
          </w:p>
        </w:tc>
      </w:tr>
      <w:tr>
        <w:trPr>
          <w:trHeight w:val="449"/>
        </w:trPr>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24"/>
                <w:szCs w:val="24"/>
                <w:color w:val="auto"/>
              </w:rPr>
            </w:pPr>
          </w:p>
        </w:tc>
        <w:tc>
          <w:tcPr>
            <w:tcW w:w="5640" w:type="dxa"/>
            <w:vAlign w:val="bottom"/>
            <w:gridSpan w:val="9"/>
            <w:vMerge w:val="restart"/>
          </w:tcPr>
          <w:p>
            <w:pPr>
              <w:ind w:left="22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564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tcBorders>
              <w:top w:val="single" w:sz="8" w:color="auto"/>
            </w:tcBorders>
            <w:gridSpan w:val="3"/>
          </w:tcPr>
          <w:p>
            <w:pPr>
              <w:jc w:val="center"/>
              <w:spacing w:after="0" w:line="184" w:lineRule="exact"/>
              <w:rPr>
                <w:rFonts w:ascii="Arial" w:cs="Arial" w:eastAsia="Arial" w:hAnsi="Arial"/>
                <w:sz w:val="18"/>
                <w:szCs w:val="18"/>
                <w:color w:val="0000FF"/>
                <w:w w:val="85"/>
              </w:rPr>
            </w:pPr>
            <w:hyperlink r:id="rId9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40" w:type="dxa"/>
            <w:vAlign w:val="bottom"/>
            <w:tcBorders>
              <w:top w:val="single" w:sz="8" w:color="auto"/>
            </w:tcBorders>
            <w:gridSpan w:val="9"/>
          </w:tcPr>
          <w:p>
            <w:pPr>
              <w:spacing w:after="0" w:line="184" w:lineRule="exact"/>
              <w:rPr>
                <w:rFonts w:ascii="Arial" w:cs="Arial" w:eastAsia="Arial" w:hAnsi="Arial"/>
                <w:sz w:val="18"/>
                <w:szCs w:val="18"/>
                <w:color w:val="0000FF"/>
              </w:rPr>
            </w:pPr>
            <w:hyperlink r:id="rId94">
              <w:r>
                <w:rPr>
                  <w:rFonts w:ascii="Arial" w:cs="Arial" w:eastAsia="Arial" w:hAnsi="Arial"/>
                  <w:sz w:val="18"/>
                  <w:szCs w:val="18"/>
                  <w:color w:val="0000FF"/>
                </w:rPr>
                <w:t>Credit Agreement, dated as of February 8, 2022, by and among VICI</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640" w:type="dxa"/>
            <w:vAlign w:val="bottom"/>
            <w:gridSpan w:val="9"/>
          </w:tcPr>
          <w:p>
            <w:pPr>
              <w:spacing w:after="0" w:line="15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Properties L.P., as Borrower, the financial institutions party thereto as lenders,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and JPMorgan Chase Bank, N.A., as Administrative Agent.</w:t>
              </w:r>
            </w:hyperlink>
          </w:p>
        </w:tc>
        <w:tc>
          <w:tcPr>
            <w:tcW w:w="132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gridSpan w:val="3"/>
          </w:tcPr>
          <w:p>
            <w:pPr>
              <w:jc w:val="center"/>
              <w:spacing w:after="0"/>
              <w:rPr>
                <w:rFonts w:ascii="Arial" w:cs="Arial" w:eastAsia="Arial" w:hAnsi="Arial"/>
                <w:sz w:val="18"/>
                <w:szCs w:val="18"/>
                <w:color w:val="0000FF"/>
                <w:w w:val="85"/>
              </w:rPr>
            </w:pPr>
            <w:hyperlink w:anchor="page7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40" w:type="dxa"/>
            <w:vAlign w:val="bottom"/>
            <w:gridSpan w:val="9"/>
          </w:tcPr>
          <w:p>
            <w:pPr>
              <w:spacing w:after="0"/>
              <w:rPr>
                <w:rFonts w:ascii="Arial" w:cs="Arial" w:eastAsia="Arial" w:hAnsi="Arial"/>
                <w:sz w:val="18"/>
                <w:szCs w:val="18"/>
                <w:color w:val="0000FF"/>
                <w:w w:val="95"/>
              </w:rPr>
            </w:pPr>
            <w:hyperlink w:anchor="page72">
              <w:r>
                <w:rPr>
                  <w:rFonts w:ascii="Arial" w:cs="Arial" w:eastAsia="Arial" w:hAnsi="Arial"/>
                  <w:sz w:val="18"/>
                  <w:szCs w:val="18"/>
                  <w:color w:val="0000FF"/>
                  <w:w w:val="95"/>
                </w:rPr>
                <w:t>VICI Properties Inc. Certification of Principal Executive Officer Pursuant to</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72">
              <w:r>
                <w:rPr>
                  <w:rFonts w:ascii="Arial" w:cs="Arial" w:eastAsia="Arial" w:hAnsi="Arial"/>
                  <w:sz w:val="18"/>
                  <w:szCs w:val="18"/>
                  <w:color w:val="0000FF"/>
                  <w:w w:val="90"/>
                </w:rPr>
                <w:t>Section 302 of the Sarbanes-Oxley Act of 2002.</w:t>
              </w:r>
            </w:hyperlink>
          </w:p>
        </w:tc>
        <w:tc>
          <w:tcPr>
            <w:tcW w:w="20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00" w:type="dxa"/>
            <w:vAlign w:val="bottom"/>
            <w:gridSpan w:val="3"/>
          </w:tcPr>
          <w:p>
            <w:pPr>
              <w:jc w:val="center"/>
              <w:spacing w:after="0"/>
              <w:rPr>
                <w:rFonts w:ascii="Arial" w:cs="Arial" w:eastAsia="Arial" w:hAnsi="Arial"/>
                <w:sz w:val="18"/>
                <w:szCs w:val="18"/>
                <w:color w:val="0000FF"/>
                <w:w w:val="85"/>
              </w:rPr>
            </w:pPr>
            <w:hyperlink w:anchor="page7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40" w:type="dxa"/>
            <w:vAlign w:val="bottom"/>
            <w:gridSpan w:val="9"/>
          </w:tcPr>
          <w:p>
            <w:pPr>
              <w:spacing w:after="0"/>
              <w:rPr>
                <w:rFonts w:ascii="Arial" w:cs="Arial" w:eastAsia="Arial" w:hAnsi="Arial"/>
                <w:sz w:val="18"/>
                <w:szCs w:val="18"/>
                <w:color w:val="0000FF"/>
                <w:w w:val="96"/>
              </w:rPr>
            </w:pPr>
            <w:hyperlink w:anchor="page73">
              <w:r>
                <w:rPr>
                  <w:rFonts w:ascii="Arial" w:cs="Arial" w:eastAsia="Arial" w:hAnsi="Arial"/>
                  <w:sz w:val="18"/>
                  <w:szCs w:val="18"/>
                  <w:color w:val="0000FF"/>
                  <w:w w:val="96"/>
                </w:rPr>
                <w:t>VICI Properties Inc. Certification of Principal Financial Officer Pursuant 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73">
              <w:r>
                <w:rPr>
                  <w:rFonts w:ascii="Arial" w:cs="Arial" w:eastAsia="Arial" w:hAnsi="Arial"/>
                  <w:sz w:val="18"/>
                  <w:szCs w:val="18"/>
                  <w:color w:val="0000FF"/>
                  <w:w w:val="90"/>
                </w:rPr>
                <w:t>Section 302 of the Sarbanes-Oxley Act of 2002.</w:t>
              </w:r>
            </w:hyperlink>
          </w:p>
        </w:tc>
        <w:tc>
          <w:tcPr>
            <w:tcW w:w="19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gridSpan w:val="3"/>
          </w:tcPr>
          <w:p>
            <w:pPr>
              <w:jc w:val="center"/>
              <w:spacing w:after="0"/>
              <w:rPr>
                <w:rFonts w:ascii="Arial" w:cs="Arial" w:eastAsia="Arial" w:hAnsi="Arial"/>
                <w:sz w:val="18"/>
                <w:szCs w:val="18"/>
                <w:color w:val="0000FF"/>
                <w:w w:val="85"/>
              </w:rPr>
            </w:pPr>
            <w:hyperlink w:anchor="page7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3</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40" w:type="dxa"/>
            <w:vAlign w:val="bottom"/>
            <w:gridSpan w:val="9"/>
          </w:tcPr>
          <w:p>
            <w:pPr>
              <w:spacing w:after="0"/>
              <w:rPr>
                <w:rFonts w:ascii="Arial" w:cs="Arial" w:eastAsia="Arial" w:hAnsi="Arial"/>
                <w:sz w:val="18"/>
                <w:szCs w:val="18"/>
                <w:color w:val="0000FF"/>
                <w:w w:val="95"/>
              </w:rPr>
            </w:pPr>
            <w:hyperlink w:anchor="page74">
              <w:r>
                <w:rPr>
                  <w:rFonts w:ascii="Arial" w:cs="Arial" w:eastAsia="Arial" w:hAnsi="Arial"/>
                  <w:sz w:val="18"/>
                  <w:szCs w:val="18"/>
                  <w:color w:val="0000FF"/>
                  <w:w w:val="95"/>
                </w:rPr>
                <w:t>VICI Properties L.P. Certification of Principal Executive Officer Pursuant 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74">
              <w:r>
                <w:rPr>
                  <w:rFonts w:ascii="Arial" w:cs="Arial" w:eastAsia="Arial" w:hAnsi="Arial"/>
                  <w:sz w:val="18"/>
                  <w:szCs w:val="18"/>
                  <w:color w:val="0000FF"/>
                  <w:w w:val="90"/>
                </w:rPr>
                <w:t>Section 302 of the Sarbanes-Oxley Act of 2002.</w:t>
              </w:r>
            </w:hyperlink>
          </w:p>
        </w:tc>
        <w:tc>
          <w:tcPr>
            <w:tcW w:w="2040" w:type="dxa"/>
            <w:vAlign w:val="bottom"/>
            <w:tcBorders>
              <w:top w:val="single" w:sz="8" w:color="0000FF"/>
            </w:tcBorders>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00" w:type="dxa"/>
            <w:vAlign w:val="bottom"/>
            <w:gridSpan w:val="3"/>
          </w:tcPr>
          <w:p>
            <w:pPr>
              <w:jc w:val="center"/>
              <w:spacing w:after="0"/>
              <w:rPr>
                <w:rFonts w:ascii="Arial" w:cs="Arial" w:eastAsia="Arial" w:hAnsi="Arial"/>
                <w:sz w:val="18"/>
                <w:szCs w:val="18"/>
                <w:color w:val="0000FF"/>
                <w:w w:val="85"/>
              </w:rPr>
            </w:pPr>
            <w:hyperlink w:anchor="page7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4</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40" w:type="dxa"/>
            <w:vAlign w:val="bottom"/>
            <w:gridSpan w:val="9"/>
          </w:tcPr>
          <w:p>
            <w:pPr>
              <w:spacing w:after="0"/>
              <w:rPr>
                <w:rFonts w:ascii="Arial" w:cs="Arial" w:eastAsia="Arial" w:hAnsi="Arial"/>
                <w:sz w:val="18"/>
                <w:szCs w:val="18"/>
                <w:color w:val="0000FF"/>
                <w:w w:val="96"/>
              </w:rPr>
            </w:pPr>
            <w:hyperlink w:anchor="page75">
              <w:r>
                <w:rPr>
                  <w:rFonts w:ascii="Arial" w:cs="Arial" w:eastAsia="Arial" w:hAnsi="Arial"/>
                  <w:sz w:val="18"/>
                  <w:szCs w:val="18"/>
                  <w:color w:val="0000FF"/>
                  <w:w w:val="96"/>
                </w:rPr>
                <w:t>VICI Properties L.P. Certification of Principal Financial Officer Pursuant to</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75">
              <w:r>
                <w:rPr>
                  <w:rFonts w:ascii="Arial" w:cs="Arial" w:eastAsia="Arial" w:hAnsi="Arial"/>
                  <w:sz w:val="18"/>
                  <w:szCs w:val="18"/>
                  <w:color w:val="0000FF"/>
                  <w:w w:val="90"/>
                </w:rPr>
                <w:t>Section 302 of the Sarbanes-Oxley Act of 2002.</w:t>
              </w:r>
            </w:hyperlink>
          </w:p>
        </w:tc>
        <w:tc>
          <w:tcPr>
            <w:tcW w:w="2000" w:type="dxa"/>
            <w:vAlign w:val="bottom"/>
            <w:tcBorders>
              <w:top w:val="single" w:sz="8" w:color="0000FF"/>
            </w:tcBorders>
            <w:gridSpan w:val="4"/>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00" w:type="dxa"/>
            <w:vAlign w:val="bottom"/>
            <w:gridSpan w:val="3"/>
          </w:tcPr>
          <w:p>
            <w:pPr>
              <w:jc w:val="center"/>
              <w:spacing w:after="0"/>
              <w:rPr>
                <w:rFonts w:ascii="Arial" w:cs="Arial" w:eastAsia="Arial" w:hAnsi="Arial"/>
                <w:sz w:val="18"/>
                <w:szCs w:val="18"/>
                <w:color w:val="0000FF"/>
                <w:w w:val="85"/>
              </w:rPr>
            </w:pPr>
            <w:hyperlink w:anchor="page76">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40" w:type="dxa"/>
            <w:vAlign w:val="bottom"/>
            <w:gridSpan w:val="9"/>
          </w:tcPr>
          <w:p>
            <w:pPr>
              <w:spacing w:after="0"/>
              <w:rPr>
                <w:rFonts w:ascii="Arial" w:cs="Arial" w:eastAsia="Arial" w:hAnsi="Arial"/>
                <w:sz w:val="18"/>
                <w:szCs w:val="18"/>
                <w:color w:val="0000FF"/>
                <w:w w:val="95"/>
              </w:rPr>
            </w:pPr>
            <w:hyperlink w:anchor="page76">
              <w:r>
                <w:rPr>
                  <w:rFonts w:ascii="Arial" w:cs="Arial" w:eastAsia="Arial" w:hAnsi="Arial"/>
                  <w:sz w:val="18"/>
                  <w:szCs w:val="18"/>
                  <w:color w:val="0000FF"/>
                  <w:w w:val="95"/>
                </w:rPr>
                <w:t>VICI Properties Inc. Certification of Principal Executive Officer Pursuant 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76">
              <w:r>
                <w:rPr>
                  <w:rFonts w:ascii="Arial" w:cs="Arial" w:eastAsia="Arial" w:hAnsi="Arial"/>
                  <w:sz w:val="18"/>
                  <w:szCs w:val="18"/>
                  <w:color w:val="0000FF"/>
                  <w:w w:val="90"/>
                </w:rPr>
                <w:t>Section 906 of the Sarbanes-Oxley Act of 2002.</w:t>
              </w:r>
            </w:hyperlink>
          </w:p>
        </w:tc>
        <w:tc>
          <w:tcPr>
            <w:tcW w:w="2020" w:type="dxa"/>
            <w:vAlign w:val="bottom"/>
            <w:tcBorders>
              <w:top w:val="single" w:sz="8" w:color="0000FF"/>
            </w:tcBorders>
            <w:gridSpan w:val="5"/>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gridSpan w:val="3"/>
          </w:tcPr>
          <w:p>
            <w:pPr>
              <w:jc w:val="center"/>
              <w:spacing w:after="0"/>
              <w:rPr>
                <w:rFonts w:ascii="Arial" w:cs="Arial" w:eastAsia="Arial" w:hAnsi="Arial"/>
                <w:sz w:val="18"/>
                <w:szCs w:val="18"/>
                <w:color w:val="0000FF"/>
                <w:w w:val="85"/>
              </w:rPr>
            </w:pPr>
            <w:hyperlink w:anchor="page77">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40" w:type="dxa"/>
            <w:vAlign w:val="bottom"/>
            <w:gridSpan w:val="9"/>
          </w:tcPr>
          <w:p>
            <w:pPr>
              <w:spacing w:after="0"/>
              <w:rPr>
                <w:rFonts w:ascii="Arial" w:cs="Arial" w:eastAsia="Arial" w:hAnsi="Arial"/>
                <w:sz w:val="18"/>
                <w:szCs w:val="18"/>
                <w:color w:val="0000FF"/>
                <w:w w:val="96"/>
              </w:rPr>
            </w:pPr>
            <w:hyperlink w:anchor="page77">
              <w:r>
                <w:rPr>
                  <w:rFonts w:ascii="Arial" w:cs="Arial" w:eastAsia="Arial" w:hAnsi="Arial"/>
                  <w:sz w:val="18"/>
                  <w:szCs w:val="18"/>
                  <w:color w:val="0000FF"/>
                  <w:w w:val="96"/>
                </w:rPr>
                <w:t>VICI Properties Inc. Certification of Principal Financial Officer Pursuant 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77">
              <w:r>
                <w:rPr>
                  <w:rFonts w:ascii="Arial" w:cs="Arial" w:eastAsia="Arial" w:hAnsi="Arial"/>
                  <w:sz w:val="18"/>
                  <w:szCs w:val="18"/>
                  <w:color w:val="0000FF"/>
                  <w:w w:val="90"/>
                </w:rPr>
                <w:t>Section 906 of the Sarbanes-Oxley Act of 2002.</w:t>
              </w:r>
            </w:hyperlink>
          </w:p>
        </w:tc>
        <w:tc>
          <w:tcPr>
            <w:tcW w:w="1980" w:type="dxa"/>
            <w:vAlign w:val="bottom"/>
            <w:tcBorders>
              <w:top w:val="single" w:sz="8" w:color="0000FF"/>
            </w:tcBorders>
            <w:gridSpan w:val="3"/>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00" w:type="dxa"/>
            <w:vAlign w:val="bottom"/>
            <w:gridSpan w:val="3"/>
          </w:tcPr>
          <w:p>
            <w:pPr>
              <w:jc w:val="center"/>
              <w:spacing w:after="0"/>
              <w:rPr>
                <w:rFonts w:ascii="Arial" w:cs="Arial" w:eastAsia="Arial" w:hAnsi="Arial"/>
                <w:sz w:val="18"/>
                <w:szCs w:val="18"/>
                <w:color w:val="0000FF"/>
                <w:w w:val="85"/>
              </w:rPr>
            </w:pPr>
            <w:hyperlink w:anchor="page78">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3</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40" w:type="dxa"/>
            <w:vAlign w:val="bottom"/>
            <w:gridSpan w:val="9"/>
          </w:tcPr>
          <w:p>
            <w:pPr>
              <w:spacing w:after="0"/>
              <w:rPr>
                <w:rFonts w:ascii="Arial" w:cs="Arial" w:eastAsia="Arial" w:hAnsi="Arial"/>
                <w:sz w:val="18"/>
                <w:szCs w:val="18"/>
                <w:color w:val="0000FF"/>
                <w:w w:val="95"/>
              </w:rPr>
            </w:pPr>
            <w:hyperlink w:anchor="page78">
              <w:r>
                <w:rPr>
                  <w:rFonts w:ascii="Arial" w:cs="Arial" w:eastAsia="Arial" w:hAnsi="Arial"/>
                  <w:sz w:val="18"/>
                  <w:szCs w:val="18"/>
                  <w:color w:val="0000FF"/>
                  <w:w w:val="95"/>
                </w:rPr>
                <w:t>VICI Properties L.P. Certification of Principal Executive Officer Pursuant to</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78">
              <w:r>
                <w:rPr>
                  <w:rFonts w:ascii="Arial" w:cs="Arial" w:eastAsia="Arial" w:hAnsi="Arial"/>
                  <w:sz w:val="18"/>
                  <w:szCs w:val="18"/>
                  <w:color w:val="0000FF"/>
                  <w:w w:val="90"/>
                </w:rPr>
                <w:t>Section 906 of the Sarbanes-Oxley Act of 2002.</w:t>
              </w:r>
            </w:hyperlink>
          </w:p>
        </w:tc>
        <w:tc>
          <w:tcPr>
            <w:tcW w:w="2040" w:type="dxa"/>
            <w:vAlign w:val="bottom"/>
            <w:tcBorders>
              <w:top w:val="single" w:sz="8" w:color="0000FF"/>
            </w:tcBorders>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gridSpan w:val="3"/>
          </w:tcPr>
          <w:p>
            <w:pPr>
              <w:jc w:val="center"/>
              <w:spacing w:after="0"/>
              <w:rPr>
                <w:rFonts w:ascii="Arial" w:cs="Arial" w:eastAsia="Arial" w:hAnsi="Arial"/>
                <w:sz w:val="18"/>
                <w:szCs w:val="18"/>
                <w:color w:val="0000FF"/>
                <w:w w:val="85"/>
              </w:rPr>
            </w:pPr>
            <w:hyperlink w:anchor="page7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4</w:t>
              </w:r>
            </w:hyperlink>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40" w:type="dxa"/>
            <w:vAlign w:val="bottom"/>
            <w:gridSpan w:val="9"/>
          </w:tcPr>
          <w:p>
            <w:pPr>
              <w:spacing w:after="0"/>
              <w:rPr>
                <w:rFonts w:ascii="Arial" w:cs="Arial" w:eastAsia="Arial" w:hAnsi="Arial"/>
                <w:sz w:val="18"/>
                <w:szCs w:val="18"/>
                <w:color w:val="0000FF"/>
                <w:w w:val="96"/>
              </w:rPr>
            </w:pPr>
            <w:hyperlink w:anchor="page79">
              <w:r>
                <w:rPr>
                  <w:rFonts w:ascii="Arial" w:cs="Arial" w:eastAsia="Arial" w:hAnsi="Arial"/>
                  <w:sz w:val="18"/>
                  <w:szCs w:val="18"/>
                  <w:color w:val="0000FF"/>
                  <w:w w:val="96"/>
                </w:rPr>
                <w:t>VICI Properties L.P. Certification of Principal Financial Officer Pursuant 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79">
              <w:r>
                <w:rPr>
                  <w:rFonts w:ascii="Arial" w:cs="Arial" w:eastAsia="Arial" w:hAnsi="Arial"/>
                  <w:sz w:val="18"/>
                  <w:szCs w:val="18"/>
                  <w:color w:val="0000FF"/>
                  <w:w w:val="90"/>
                </w:rPr>
                <w:t>Section 906 of the Sarbanes-Oxley Act of 2002.</w:t>
              </w:r>
            </w:hyperlink>
          </w:p>
        </w:tc>
        <w:tc>
          <w:tcPr>
            <w:tcW w:w="2000" w:type="dxa"/>
            <w:vAlign w:val="bottom"/>
            <w:tcBorders>
              <w:top w:val="single" w:sz="8" w:color="0000FF"/>
            </w:tcBorders>
            <w:gridSpan w:val="4"/>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2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1"/>
                <w:szCs w:val="21"/>
                <w:color w:val="auto"/>
              </w:rPr>
            </w:pPr>
          </w:p>
        </w:tc>
        <w:tc>
          <w:tcPr>
            <w:tcW w:w="5640" w:type="dxa"/>
            <w:vAlign w:val="bottom"/>
            <w:gridSpan w:val="9"/>
          </w:tcPr>
          <w:p>
            <w:pPr>
              <w:spacing w:after="0"/>
              <w:rPr>
                <w:sz w:val="20"/>
                <w:szCs w:val="20"/>
                <w:color w:val="auto"/>
              </w:rPr>
            </w:pPr>
            <w:r>
              <w:rPr>
                <w:rFonts w:ascii="Arial" w:cs="Arial" w:eastAsia="Arial" w:hAnsi="Arial"/>
                <w:sz w:val="18"/>
                <w:szCs w:val="18"/>
                <w:color w:val="auto"/>
                <w:w w:val="95"/>
              </w:rPr>
              <w:t>XBRL Instance Document - the instance document does not appear in the</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gridSpan w:val="9"/>
          </w:tcPr>
          <w:p>
            <w:pPr>
              <w:spacing w:after="0" w:line="176" w:lineRule="exact"/>
              <w:rPr>
                <w:sz w:val="20"/>
                <w:szCs w:val="20"/>
                <w:color w:val="auto"/>
              </w:rPr>
            </w:pPr>
            <w:r>
              <w:rPr>
                <w:rFonts w:ascii="Arial" w:cs="Arial" w:eastAsia="Arial" w:hAnsi="Arial"/>
                <w:sz w:val="18"/>
                <w:szCs w:val="18"/>
                <w:color w:val="auto"/>
                <w:w w:val="94"/>
              </w:rPr>
              <w:t>Interactive Data File because its XBRL tags are embedded within the Inline</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40" w:type="dxa"/>
            <w:vAlign w:val="bottom"/>
            <w:gridSpan w:val="9"/>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283"/>
        </w:trPr>
        <w:tc>
          <w:tcPr>
            <w:tcW w:w="112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56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4"/>
        </w:trPr>
        <w:tc>
          <w:tcPr>
            <w:tcW w:w="112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24"/>
                <w:szCs w:val="24"/>
                <w:color w:val="auto"/>
              </w:rPr>
            </w:pPr>
          </w:p>
        </w:tc>
        <w:tc>
          <w:tcPr>
            <w:tcW w:w="56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12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56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120" w:type="dxa"/>
            <w:vAlign w:val="bottom"/>
            <w:gridSpan w:val="4"/>
          </w:tcPr>
          <w:p>
            <w:pPr>
              <w:jc w:val="center"/>
              <w:ind w:right="10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24"/>
                <w:szCs w:val="24"/>
                <w:color w:val="auto"/>
              </w:rPr>
            </w:pPr>
          </w:p>
        </w:tc>
        <w:tc>
          <w:tcPr>
            <w:tcW w:w="56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112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56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40" w:right="60" w:hanging="768"/>
        <w:spacing w:after="0" w:line="235"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8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21"/>
        </w:trPr>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4"/>
                <w:szCs w:val="14"/>
                <w:b w:val="1"/>
                <w:bCs w:val="1"/>
                <w:color w:val="auto"/>
                <w:w w:val="97"/>
              </w:rPr>
              <w:t>Filed</w:t>
            </w:r>
          </w:p>
        </w:tc>
        <w:tc>
          <w:tcPr>
            <w:tcW w:w="760" w:type="dxa"/>
            <w:vAlign w:val="bottom"/>
            <w:vMerge w:val="restart"/>
          </w:tcPr>
          <w:p>
            <w:pPr>
              <w:jc w:val="center"/>
              <w:ind w:left="179"/>
              <w:spacing w:after="0"/>
              <w:rPr>
                <w:sz w:val="20"/>
                <w:szCs w:val="20"/>
                <w:color w:val="auto"/>
              </w:rPr>
            </w:pPr>
            <w:r>
              <w:rPr>
                <w:rFonts w:ascii="Arial" w:cs="Arial" w:eastAsia="Arial" w:hAnsi="Arial"/>
                <w:sz w:val="14"/>
                <w:szCs w:val="14"/>
                <w:b w:val="1"/>
                <w:bCs w:val="1"/>
                <w:color w:val="auto"/>
                <w:w w:val="97"/>
              </w:rPr>
              <w:t>Form</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vMerge w:val="restart"/>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8"/>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0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59"/>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right"/>
              <w:ind w:right="268"/>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00" w:type="dxa"/>
            <w:vAlign w:val="bottom"/>
          </w:tcPr>
          <w:p>
            <w:pPr>
              <w:jc w:val="right"/>
              <w:ind w:right="159"/>
              <w:spacing w:after="0"/>
              <w:rPr>
                <w:sz w:val="20"/>
                <w:szCs w:val="20"/>
                <w:color w:val="auto"/>
              </w:rPr>
            </w:pPr>
            <w:r>
              <w:rPr>
                <w:rFonts w:ascii="Arial" w:cs="Arial" w:eastAsia="Arial" w:hAnsi="Arial"/>
                <w:sz w:val="18"/>
                <w:szCs w:val="18"/>
                <w:color w:val="auto"/>
              </w:rPr>
              <w:t>2/9/2022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34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780" w:space="120"/>
            <w:col w:w="4340"/>
          </w:cols>
          <w:pgMar w:left="320" w:top="368"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66"/>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May 4,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4"/>
              </w:rPr>
              <w:t>Edward B. Pitoniak</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May 4,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Kieske</w:t>
            </w:r>
          </w:p>
        </w:tc>
        <w:tc>
          <w:tcPr>
            <w:tcW w:w="12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May 4,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Gabriel F. Wasserman</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200" w:type="dxa"/>
            <w:vAlign w:val="bottom"/>
          </w:tcPr>
          <w:p>
            <w:pPr>
              <w:spacing w:after="0"/>
              <w:rPr>
                <w:sz w:val="19"/>
                <w:szCs w:val="19"/>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L.P.</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66"/>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May 4,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4"/>
              </w:rPr>
              <w:t>Edward B. Pitoniak</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May 4,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Kieske</w:t>
            </w:r>
          </w:p>
        </w:tc>
        <w:tc>
          <w:tcPr>
            <w:tcW w:w="12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May 4,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Gabriel F. Wasserman</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2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530"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29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4, 2022</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29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Date:</w:t>
        <w:tab/>
        <w:t>May 4, 2022</w:t>
      </w:r>
    </w:p>
    <w:p>
      <w:pPr>
        <w:spacing w:after="0" w:line="23" w:lineRule="exact"/>
        <w:rPr>
          <w:sz w:val="20"/>
          <w:szCs w:val="20"/>
          <w:color w:val="auto"/>
        </w:rPr>
      </w:pPr>
    </w:p>
    <w:p>
      <w:pPr>
        <w:ind w:left="460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9344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11"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1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Exhibit 31.3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L.P.;</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29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4, 2022</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b w:val="1"/>
          <w:bCs w:val="1"/>
          <w:color w:val="auto"/>
        </w:rPr>
        <w:t>Exhibit 31.4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L.P.;</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29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Date:</w:t>
        <w:tab/>
        <w:t>May 4, 2022</w:t>
      </w:r>
    </w:p>
    <w:p>
      <w:pPr>
        <w:spacing w:after="0" w:line="23" w:lineRule="exact"/>
        <w:rPr>
          <w:sz w:val="20"/>
          <w:szCs w:val="20"/>
          <w:color w:val="auto"/>
        </w:rPr>
      </w:pPr>
    </w:p>
    <w:p>
      <w:pPr>
        <w:ind w:left="460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9344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11"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1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right="20" w:firstLine="413"/>
        <w:spacing w:after="0" w:line="277" w:lineRule="auto"/>
        <w:tabs>
          <w:tab w:leader="none" w:pos="64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2022 (the “Report”) fully complies with the requirements of Section 13(a) or Section 15(d), as applicable, of the Securities Exchange Act of 1934, as amended; and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Company.</w:t>
      </w:r>
    </w:p>
    <w:p>
      <w:pPr>
        <w:spacing w:after="0" w:line="23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4, 2022</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right="20" w:firstLine="413"/>
        <w:spacing w:after="0" w:line="277" w:lineRule="auto"/>
        <w:tabs>
          <w:tab w:leader="none" w:pos="64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2022 (the “Report”) fully complies with the requirements of Section 13(a) or Section 15(d), as applicable, of the Securities Exchange Act of 1934, as amended; and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Company.</w:t>
      </w:r>
    </w:p>
    <w:p>
      <w:pPr>
        <w:spacing w:after="0" w:line="23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4, 2022</w:t>
      </w:r>
    </w:p>
    <w:p>
      <w:pPr>
        <w:spacing w:after="0" w:line="23" w:lineRule="exact"/>
        <w:rPr>
          <w:sz w:val="20"/>
          <w:szCs w:val="20"/>
          <w:color w:val="auto"/>
        </w:rPr>
      </w:pPr>
    </w:p>
    <w:p>
      <w:pPr>
        <w:ind w:left="45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b w:val="1"/>
          <w:bCs w:val="1"/>
          <w:color w:val="auto"/>
        </w:rPr>
        <w:t>Exhibit 32.3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L.P. (the “Partnership”), hereby certifies, to such officer's knowledge, that:</w:t>
      </w:r>
    </w:p>
    <w:p>
      <w:pPr>
        <w:spacing w:after="0" w:line="116" w:lineRule="exact"/>
        <w:rPr>
          <w:sz w:val="20"/>
          <w:szCs w:val="20"/>
          <w:color w:val="auto"/>
        </w:rPr>
      </w:pPr>
    </w:p>
    <w:p>
      <w:pPr>
        <w:ind w:right="20" w:firstLine="413"/>
        <w:spacing w:after="0" w:line="308" w:lineRule="auto"/>
        <w:tabs>
          <w:tab w:leader="none" w:pos="642"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Partnership for the quarterly period ended March 31, 2022 (the “Report”) fully complies with the requirements of Section 13(a) or Section 15(d), as applicable, of the Securities Exchange Act of 1934, as amended; and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Partnership.</w:t>
      </w:r>
    </w:p>
    <w:p>
      <w:pPr>
        <w:spacing w:after="0" w:line="23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4, 2022</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t>Exhibit 32.4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L.P. (the “Partnership”), hereby certifies, to such officer's knowledge, that:</w:t>
      </w:r>
    </w:p>
    <w:p>
      <w:pPr>
        <w:spacing w:after="0" w:line="116" w:lineRule="exact"/>
        <w:rPr>
          <w:sz w:val="20"/>
          <w:szCs w:val="20"/>
          <w:color w:val="auto"/>
        </w:rPr>
      </w:pPr>
    </w:p>
    <w:p>
      <w:pPr>
        <w:ind w:right="20" w:firstLine="413"/>
        <w:spacing w:after="0" w:line="308" w:lineRule="auto"/>
        <w:tabs>
          <w:tab w:leader="none" w:pos="64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Partnership for the quarterly period ended March 31, 2022 (the “Report”) fully complies with the requirements of Section 13(a) or Section 15(d), as applicable, of the Securities Exchange Act of 1934, as amended; and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Partnership.</w:t>
      </w:r>
    </w:p>
    <w:p>
      <w:pPr>
        <w:spacing w:after="0" w:line="23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4, 2022</w:t>
      </w:r>
    </w:p>
    <w:p>
      <w:pPr>
        <w:spacing w:after="0" w:line="23" w:lineRule="exact"/>
        <w:rPr>
          <w:sz w:val="20"/>
          <w:szCs w:val="20"/>
          <w:color w:val="auto"/>
        </w:rPr>
      </w:pPr>
    </w:p>
    <w:p>
      <w:pPr>
        <w:ind w:left="45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lowerRoman"/>
      <w:start w:val="3"/>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gt;"/>
      <w:numFmt w:val="bullet"/>
      <w:start w:val="1"/>
    </w:lvl>
  </w:abstractNum>
  <w:abstractNum w:abstractNumId="14">
    <w:nsid w:val="8138641"/>
    <w:multiLevelType w:val="hybridMultilevel"/>
    <w:lvl w:ilvl="0">
      <w:lvlJc w:val="left"/>
      <w:lvlText w:val="%1:"/>
      <w:numFmt w:val="decimal"/>
      <w:start w:val="1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lowerRoman"/>
      <w:start w:val="4"/>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2"/>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lvl w:ilvl="1">
      <w:lvlJc w:val="left"/>
      <w:lvlText w:val="%2"/>
      <w:numFmt w:val="decimal"/>
      <w:start w:val="104"/>
    </w:lvl>
  </w:abstractNum>
  <w:abstractNum w:abstractNumId="37">
    <w:nsid w:val="3855585C"/>
    <w:multiLevelType w:val="hybridMultilevel"/>
    <w:lvl w:ilvl="0">
      <w:lvlJc w:val="left"/>
      <w:lvlText w:val="%1."/>
      <w:numFmt w:val="decimal"/>
      <w:start w:val="1"/>
    </w:lvl>
    <w:lvl w:ilvl="1">
      <w:lvlJc w:val="left"/>
      <w:lvlText w:val="%2."/>
      <w:numFmt w:val="lowerLetter"/>
      <w:start w:val="1"/>
    </w:lvl>
  </w:abstractNum>
  <w:abstractNum w:abstractNumId="38">
    <w:nsid w:val="70A64E2A"/>
    <w:multiLevelType w:val="hybridMultilevel"/>
    <w:lvl w:ilvl="0">
      <w:lvlJc w:val="left"/>
      <w:lvlText w:val="%1."/>
      <w:numFmt w:val="decimal"/>
      <w:start w:val="1"/>
    </w:lvl>
    <w:lvl w:ilvl="1">
      <w:lvlJc w:val="left"/>
      <w:lvlText w:val="%2."/>
      <w:numFmt w:val="lowerLetter"/>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1)"/>
      <w:numFmt w:val="lowerRoman"/>
      <w:start w:val="1"/>
    </w:lvl>
  </w:abstractNum>
  <w:abstractNum w:abstractNumId="42">
    <w:nsid w:val="725A06FB"/>
    <w:multiLevelType w:val="hybridMultilevel"/>
    <w:lvl w:ilvl="0">
      <w:lvlJc w:val="left"/>
      <w:lvlText w:val="(%1)"/>
      <w:numFmt w:val="lowerRoman"/>
      <w:start w:val="1"/>
    </w:lvl>
  </w:abstractNum>
  <w:abstractNum w:abstractNumId="43">
    <w:nsid w:val="2CD89A32"/>
    <w:multiLevelType w:val="hybridMultilevel"/>
    <w:lvl w:ilvl="0">
      <w:lvlJc w:val="left"/>
      <w:lvlText w:val="(%1)"/>
      <w:numFmt w:val="lowerRoman"/>
      <w:start w:val="1"/>
    </w:lvl>
  </w:abstractNum>
  <w:abstractNum w:abstractNumId="44">
    <w:nsid w:val="57E4CCA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28" Type="http://schemas.openxmlformats.org/officeDocument/2006/relationships/hyperlink" Target="http://www.sec.gov/Archives/edgar/data/0001705696/000119312522107429/d271785dex993.htm" TargetMode="External"/><Relationship Id="rId71" Type="http://schemas.openxmlformats.org/officeDocument/2006/relationships/hyperlink" Target="https://www.sec.gov/ix?doc=/Archives/edgar/data/1705696/000170569622000046/vici-20211231.htm" TargetMode="External"/><Relationship Id="rId94" Type="http://schemas.openxmlformats.org/officeDocument/2006/relationships/hyperlink" Target="http://www.sec.gov/Archives/edgar/data/1705696/000170569622000019/vici-creditagreementconfo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2022-05-04T15:46:59Z</dcterms:created>
  <dcterms:modified xsi:type="dcterms:W3CDTF">2022-05-04T15:46:59Z</dcterms:modified>
</cp:coreProperties>
</file>