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Cantor Diana F</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VICI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VICI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VICI PROPERTIES INC.</w:t>
            </w:r>
          </w:p>
        </w:tc>
        <w:tc>
          <w:tcPr>
            <w:tcW w:w="136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535 MADISON AVENUE, 28TH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66,144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28, 2026, the Reporting Person was granted 7,546 shares of common stock under the VICI Properties Inc. 2017 Stock Incentive Plan, consisting of shares issuable in respect of such Reporting Person's annual board retainer.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as attorney-in-fact for Diana F. 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0814" TargetMode="External"/><Relationship Id="rId14" Type="http://schemas.openxmlformats.org/officeDocument/2006/relationships/hyperlink" Target="http://www.sec.gov/cgi-bin/browse-edgar?action=getcompany&amp;CIK=0001705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2026-04-28T16:53:20Z</dcterms:created>
  <dcterms:modified xsi:type="dcterms:W3CDTF">2026-04-28T16:53:20Z</dcterms:modified>
</cp:coreProperties>
</file>