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001-38372 (VICI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333-264352-01 (VICI Properties L.P.)</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VICI Properties Inc.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VICI Properties 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8"/>
              </w:rPr>
              <w:t>VICI Properties L.P.  Yes  </w:t>
            </w:r>
            <w:r>
              <w:rPr>
                <w:color w:val="000000"/>
              </w:rPr>
              <w:t>☒    </w:t>
            </w:r>
            <w:r>
              <w:rPr>
                <w:rFonts w:ascii="Times New Roman;serif" w:hAnsi="Times New Roman;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8"/>
              </w:rPr>
              <w:t>VICI Properties L.P.  Yes  </w:t>
            </w:r>
            <w:r>
              <w:rPr>
                <w:color w:val="000000"/>
              </w:rPr>
              <w:t>☒    </w:t>
            </w:r>
            <w:r>
              <w:rPr>
                <w:rFonts w:ascii="Times New Roman;serif" w:hAnsi="Times New Roman;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VICI Properties L.P.  ☐ </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w:t>
      </w:r>
    </w:p>
    <w:tbl>
      <w:tblPr>
        <w:tblW w:w="6882" w:type="dxa"/>
        <w:jc w:val="left"/>
        <w:tblInd w:w="0" w:type="dxa"/>
        <w:tblLayout w:type="fixed"/>
        <w:tblCellMar>
          <w:top w:w="28" w:type="dxa"/>
          <w:left w:w="28" w:type="dxa"/>
          <w:bottom w:w="28" w:type="dxa"/>
          <w:right w:w="28" w:type="dxa"/>
        </w:tblCellMar>
      </w:tblPr>
      <w:tblGrid>
        <w:gridCol w:w="1184"/>
        <w:gridCol w:w="1042"/>
        <w:gridCol w:w="1044"/>
        <w:gridCol w:w="109"/>
        <w:gridCol w:w="109"/>
        <w:gridCol w:w="109"/>
        <w:gridCol w:w="961"/>
        <w:gridCol w:w="961"/>
        <w:gridCol w:w="1363"/>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erif" w:hAnsi="Times New Roman;serif"/>
                <w:b w:val="false"/>
                <w:color w:val="000000"/>
                <w:sz w:val="18"/>
              </w:rPr>
              <w:t>VICI Properties Inc. Yes   </w:t>
            </w:r>
            <w:r>
              <w:rPr>
                <w:color w:val="000000"/>
              </w:rPr>
              <w:t>☐   </w:t>
            </w:r>
            <w:r>
              <w:rPr>
                <w:rFonts w:ascii="Times New Roman;serif" w:hAnsi="Times New Roman;serif"/>
                <w:b w:val="false"/>
                <w:color w:val="000000"/>
                <w:sz w:val="18"/>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VICI Properties L.P.  Yes  ☐   No  ☒ </w:t>
            </w:r>
          </w:p>
        </w:tc>
      </w:tr>
    </w:tbl>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April 28, 2026, VICI Properties Inc. had 1,069,030,187 shares of common stock, $0.01 par value per share, outstanding. VICI Properties L.P. has no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three months ended March 31, 2026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are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is a real estate investment trust (“REIT”) that is the sole owner of VICI Properties GP LLC, the sole general partner of VICI LP. As of March 31, 2026, VICI owns 100% of the limited liability company interests of VICI Properties HoldCo LLC (“HoldCo”), which in turn owns approximately 98.9% of the limited liability company interest of VICI OP (such interests, “VICI OP Units”), our operating partnership, which in turn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diagram details VICI’s organizational structure as of March 31, 2026.</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bookmarkStart w:id="0" w:name="i-1"/>
      <w:bookmarkEnd w:id="0"/>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March 31, 2026,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Exhibits 31 and 32 certifications for each of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dbae37a7dc3f44028d7360bd42dcb966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0"/>
        <w:gridCol w:w="283"/>
        <w:gridCol w:w="283"/>
        <w:gridCol w:w="615"/>
        <w:gridCol w:w="615"/>
        <w:gridCol w:w="593"/>
        <w:gridCol w:w="2324"/>
        <w:gridCol w:w="2041"/>
        <w:gridCol w:w="1968"/>
        <w:gridCol w:w="337"/>
        <w:gridCol w:w="283"/>
        <w:gridCol w:w="433"/>
      </w:tblGrid>
      <w:tr>
        <w:trPr/>
        <w:tc>
          <w:tcPr>
            <w:tcW w:w="4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FOR THE QUARTER ENDED MARCH 31, 2026</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TABLE OF CONTENTS</w:t>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3">
              <w:r>
                <w:rPr>
                  <w:rStyle w:val="InternetLink"/>
                  <w:rFonts w:ascii="Times New Roman;serif" w:hAnsi="Times New Roman;serif"/>
                  <w:b/>
                  <w:color w:val="0000FF"/>
                  <w:sz w:val="20"/>
                  <w:u w:val="single"/>
                </w:rPr>
                <w:t>PART I.</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3">
              <w:r>
                <w:rPr>
                  <w:rStyle w:val="InternetLink"/>
                  <w:rFonts w:ascii="Times New Roman;serif" w:hAnsi="Times New Roman;serif"/>
                  <w:b/>
                  <w:color w:val="0000FF"/>
                  <w:sz w:val="20"/>
                  <w:u w:val="single"/>
                </w:rPr>
                <w:t>FINANCIAL INFORMATION</w:t>
              </w:r>
            </w:hyperlink>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3">
              <w:r>
                <w:rPr>
                  <w:rStyle w:val="InternetLink"/>
                  <w:rFonts w:ascii="Times New Roman;serif" w:hAnsi="Times New Roman;serif"/>
                  <w:b w:val="false"/>
                  <w:color w:val="0000FF"/>
                  <w:sz w:val="20"/>
                  <w:u w:val="single"/>
                </w:rPr>
                <w:t>Item 1.</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3">
              <w:r>
                <w:rPr>
                  <w:rStyle w:val="InternetLink"/>
                  <w:rFonts w:ascii="Times New Roman;serif" w:hAnsi="Times New Roman;serif"/>
                  <w:b w:val="false"/>
                  <w:color w:val="0000FF"/>
                  <w:sz w:val="20"/>
                  <w:u w:val="single"/>
                </w:rPr>
                <w:t>Financial Statements of VICI Properties Inc. (Unaudited)</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3">
              <w:r>
                <w:rPr>
                  <w:rStyle w:val="InternetLink"/>
                  <w:rFonts w:ascii="Times New Roman;serif" w:hAnsi="Times New Roman;serif"/>
                  <w:b w:val="false"/>
                  <w:color w:val="0000FF"/>
                  <w:sz w:val="20"/>
                  <w:u w:val="singl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9">
              <w:r>
                <w:rPr>
                  <w:rStyle w:val="InternetLink"/>
                  <w:rFonts w:ascii="Times New Roman;serif" w:hAnsi="Times New Roman;serif"/>
                  <w:b w:val="false"/>
                  <w:color w:val="0000FF"/>
                  <w:sz w:val="20"/>
                  <w:u w:val="single"/>
                </w:rPr>
                <w:t>Consolidated Balance Sheets as of March 31, 2026 and December 31,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9">
              <w:r>
                <w:rPr>
                  <w:rStyle w:val="InternetLink"/>
                  <w:rFonts w:ascii="Times New Roman;serif" w:hAnsi="Times New Roman;serif"/>
                  <w:b w:val="false"/>
                  <w:color w:val="0000FF"/>
                  <w:sz w:val="20"/>
                  <w:u w:val="singl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22">
              <w:r>
                <w:rPr>
                  <w:rStyle w:val="InternetLink"/>
                  <w:rFonts w:ascii="Times New Roman;serif" w:hAnsi="Times New Roman;serif"/>
                  <w:b w:val="false"/>
                  <w:color w:val="0000FF"/>
                  <w:sz w:val="20"/>
                  <w:u w:val="single"/>
                </w:rPr>
                <w:t>Consolidated Statements of Operations and Comprehensive Income for the Three Months Ended March 31, 2026 and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22">
              <w:r>
                <w:rPr>
                  <w:rStyle w:val="InternetLink"/>
                  <w:rFonts w:ascii="Times New Roman;serif" w:hAnsi="Times New Roman;serif"/>
                  <w:b w:val="false"/>
                  <w:color w:val="0000FF"/>
                  <w:sz w:val="20"/>
                  <w:u w:val="single"/>
                </w:rPr>
                <w:t>6</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25">
              <w:r>
                <w:rPr>
                  <w:rStyle w:val="InternetLink"/>
                  <w:rFonts w:ascii="Times New Roman;serif" w:hAnsi="Times New Roman;serif"/>
                  <w:b w:val="false"/>
                  <w:color w:val="0000FF"/>
                  <w:sz w:val="20"/>
                  <w:u w:val="single"/>
                </w:rPr>
                <w:t>Consolidated Statements of Stockholders’ Equity for the Three Months Ended March 31, 2026 and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25">
              <w:r>
                <w:rPr>
                  <w:rStyle w:val="InternetLink"/>
                  <w:rFonts w:ascii="Times New Roman;serif" w:hAnsi="Times New Roman;serif"/>
                  <w:b w:val="false"/>
                  <w:color w:val="0000FF"/>
                  <w:sz w:val="20"/>
                  <w:u w:val="single"/>
                </w:rPr>
                <w:t>7</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28">
              <w:r>
                <w:rPr>
                  <w:rStyle w:val="InternetLink"/>
                  <w:rFonts w:ascii="Times New Roman;serif" w:hAnsi="Times New Roman;serif"/>
                  <w:b w:val="false"/>
                  <w:color w:val="0000FF"/>
                  <w:sz w:val="20"/>
                  <w:u w:val="single"/>
                </w:rPr>
                <w:t>Consolidated Statements of Cash Flows for the Three Months Ended March 31, 2026 and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28">
              <w:r>
                <w:rPr>
                  <w:rStyle w:val="InternetLink"/>
                  <w:rFonts w:ascii="Times New Roman;serif" w:hAnsi="Times New Roman;serif"/>
                  <w:b w:val="false"/>
                  <w:color w:val="0000FF"/>
                  <w:sz w:val="20"/>
                  <w:u w:val="single"/>
                </w:rPr>
                <w:t>8</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31">
              <w:r>
                <w:rPr>
                  <w:rStyle w:val="InternetLink"/>
                  <w:rFonts w:ascii="Times New Roman;serif" w:hAnsi="Times New Roman;serif"/>
                  <w:b w:val="false"/>
                  <w:color w:val="0000FF"/>
                  <w:sz w:val="20"/>
                  <w:u w:val="single"/>
                </w:rPr>
                <w:t>Financial Statements of VICI Properties L.P. (Unaudited)</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31">
              <w:r>
                <w:rPr>
                  <w:rStyle w:val="InternetLink"/>
                  <w:rFonts w:ascii="Times New Roman;serif" w:hAnsi="Times New Roman;serif"/>
                  <w:b w:val="false"/>
                  <w:color w:val="0000FF"/>
                  <w:sz w:val="20"/>
                  <w:u w:val="single"/>
                </w:rPr>
                <w:t>10</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34">
              <w:r>
                <w:rPr>
                  <w:rStyle w:val="InternetLink"/>
                  <w:rFonts w:ascii="Times New Roman;serif" w:hAnsi="Times New Roman;serif"/>
                  <w:b w:val="false"/>
                  <w:color w:val="0000FF"/>
                  <w:sz w:val="20"/>
                  <w:u w:val="single"/>
                </w:rPr>
                <w:t>Consolidated Balance Sheets as of March 31, 2026 and December 31,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34">
              <w:r>
                <w:rPr>
                  <w:rStyle w:val="InternetLink"/>
                  <w:rFonts w:ascii="Times New Roman;serif" w:hAnsi="Times New Roman;serif"/>
                  <w:b w:val="false"/>
                  <w:color w:val="0000FF"/>
                  <w:sz w:val="20"/>
                  <w:u w:val="single"/>
                </w:rPr>
                <w:t>10</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37">
              <w:r>
                <w:rPr>
                  <w:rStyle w:val="InternetLink"/>
                  <w:rFonts w:ascii="Times New Roman;serif" w:hAnsi="Times New Roman;serif"/>
                  <w:b w:val="false"/>
                  <w:color w:val="0000FF"/>
                  <w:sz w:val="20"/>
                  <w:u w:val="single"/>
                </w:rPr>
                <w:t>Consolidated Statements of Operations and Comprehensive Income for the Three Months Ended March 31, 2026 and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37">
              <w:r>
                <w:rPr>
                  <w:rStyle w:val="InternetLink"/>
                  <w:rFonts w:ascii="Times New Roman;serif" w:hAnsi="Times New Roman;serif"/>
                  <w:b w:val="false"/>
                  <w:color w:val="0000FF"/>
                  <w:sz w:val="20"/>
                  <w:u w:val="single"/>
                </w:rPr>
                <w:t>11</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40">
              <w:r>
                <w:rPr>
                  <w:rStyle w:val="InternetLink"/>
                  <w:rFonts w:ascii="Times New Roman;serif" w:hAnsi="Times New Roman;serif"/>
                  <w:b w:val="false"/>
                  <w:color w:val="0000FF"/>
                  <w:sz w:val="20"/>
                  <w:u w:val="single"/>
                </w:rPr>
                <w:t>Consolidated Statements of Partners’ Capital for the Three Months Ended March 31, 2026 and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40">
              <w:r>
                <w:rPr>
                  <w:rStyle w:val="InternetLink"/>
                  <w:rFonts w:ascii="Times New Roman;serif" w:hAnsi="Times New Roman;serif"/>
                  <w:b w:val="false"/>
                  <w:color w:val="0000FF"/>
                  <w:sz w:val="20"/>
                  <w:u w:val="single"/>
                </w:rPr>
                <w:t>12</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43">
              <w:r>
                <w:rPr>
                  <w:rStyle w:val="InternetLink"/>
                  <w:rFonts w:ascii="Times New Roman;serif" w:hAnsi="Times New Roman;serif"/>
                  <w:b w:val="false"/>
                  <w:color w:val="0000FF"/>
                  <w:sz w:val="20"/>
                  <w:u w:val="single"/>
                </w:rPr>
                <w:t>Consolidated Statements of Cash Flows for the Three Months Ended March 31, 2026 and 2025</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43">
              <w:r>
                <w:rPr>
                  <w:rStyle w:val="InternetLink"/>
                  <w:rFonts w:ascii="Times New Roman;serif" w:hAnsi="Times New Roman;serif"/>
                  <w:b w:val="false"/>
                  <w:color w:val="0000FF"/>
                  <w:sz w:val="20"/>
                  <w:u w:val="single"/>
                </w:rPr>
                <w:t>13</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46">
              <w:r>
                <w:rPr>
                  <w:rStyle w:val="InternetLink"/>
                  <w:rFonts w:ascii="Times New Roman;serif" w:hAnsi="Times New Roman;serif"/>
                  <w:b w:val="false"/>
                  <w:color w:val="0000FF"/>
                  <w:sz w:val="20"/>
                  <w:u w:val="single"/>
                </w:rPr>
                <w:t>Notes to Consolidated Financial Statements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46">
              <w:r>
                <w:rPr>
                  <w:rStyle w:val="InternetLink"/>
                  <w:rFonts w:ascii="Times New Roman;serif" w:hAnsi="Times New Roman;serif"/>
                  <w:b w:val="false"/>
                  <w:color w:val="0000FF"/>
                  <w:sz w:val="20"/>
                  <w:u w:val="single"/>
                </w:rPr>
                <w:t>15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94">
              <w:r>
                <w:rPr>
                  <w:rStyle w:val="InternetLink"/>
                  <w:rFonts w:ascii="Times New Roman;serif" w:hAnsi="Times New Roman;serif"/>
                  <w:b w:val="false"/>
                  <w:color w:val="0000FF"/>
                  <w:sz w:val="20"/>
                  <w:u w:val="single"/>
                </w:rPr>
                <w:t>Item 2.</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94">
              <w:r>
                <w:rPr>
                  <w:rStyle w:val="InternetLink"/>
                  <w:rFonts w:ascii="Times New Roman;serif" w:hAnsi="Times New Roman;serif"/>
                  <w:b w:val="false"/>
                  <w:color w:val="0000FF"/>
                  <w:sz w:val="20"/>
                  <w:u w:val="single"/>
                </w:rPr>
                <w:t>43</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97">
              <w:r>
                <w:rPr>
                  <w:rStyle w:val="InternetLink"/>
                  <w:rFonts w:ascii="Times New Roman;serif" w:hAnsi="Times New Roman;serif"/>
                  <w:b w:val="false"/>
                  <w:color w:val="0000FF"/>
                  <w:sz w:val="20"/>
                  <w:u w:val="single"/>
                </w:rPr>
                <w:t>Item 3.</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97">
              <w:r>
                <w:rPr>
                  <w:rStyle w:val="InternetLink"/>
                  <w:rFonts w:ascii="Times New Roman;serif" w:hAnsi="Times New Roman;serif"/>
                  <w:b w:val="false"/>
                  <w:color w:val="0000FF"/>
                  <w:sz w:val="20"/>
                  <w:u w:val="single"/>
                </w:rPr>
                <w:t>Quantitative and Qualitative Disclosures About Market Risk</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97">
              <w:r>
                <w:rPr>
                  <w:rStyle w:val="InternetLink"/>
                  <w:rFonts w:ascii="Times New Roman;serif" w:hAnsi="Times New Roman;serif"/>
                  <w:b w:val="false"/>
                  <w:color w:val="0000FF"/>
                  <w:sz w:val="20"/>
                  <w:u w:val="single"/>
                </w:rPr>
                <w:t>55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0">
              <w:r>
                <w:rPr>
                  <w:rStyle w:val="InternetLink"/>
                  <w:rFonts w:ascii="Times New Roman;serif" w:hAnsi="Times New Roman;serif"/>
                  <w:b w:val="false"/>
                  <w:color w:val="0000FF"/>
                  <w:sz w:val="20"/>
                  <w:u w:val="single"/>
                </w:rPr>
                <w:t>Item 4.</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0">
              <w:r>
                <w:rPr>
                  <w:rStyle w:val="InternetLink"/>
                  <w:rFonts w:ascii="Times New Roman;serif" w:hAnsi="Times New Roman;serif"/>
                  <w:b w:val="false"/>
                  <w:color w:val="0000FF"/>
                  <w:sz w:val="20"/>
                  <w:u w:val="single"/>
                </w:rPr>
                <w:t>Controls and Procedures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00">
              <w:r>
                <w:rPr>
                  <w:rStyle w:val="InternetLink"/>
                  <w:rFonts w:ascii="Times New Roman;serif" w:hAnsi="Times New Roman;serif"/>
                  <w:b w:val="false"/>
                  <w:color w:val="0000FF"/>
                  <w:sz w:val="20"/>
                  <w:u w:val="single"/>
                </w:rPr>
                <w:t>56</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3">
              <w:r>
                <w:rPr>
                  <w:rStyle w:val="InternetLink"/>
                  <w:rFonts w:ascii="Times New Roman;serif" w:hAnsi="Times New Roman;serif"/>
                  <w:b/>
                  <w:color w:val="0000FF"/>
                  <w:sz w:val="20"/>
                  <w:u w:val="single"/>
                </w:rPr>
                <w:t>PART II.</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3">
              <w:r>
                <w:rPr>
                  <w:rStyle w:val="InternetLink"/>
                  <w:rFonts w:ascii="Times New Roman;serif" w:hAnsi="Times New Roman;serif"/>
                  <w:b/>
                  <w:color w:val="0000FF"/>
                  <w:sz w:val="20"/>
                  <w:u w:val="single"/>
                </w:rPr>
                <w:t>OTHER INFORMATION</w:t>
              </w:r>
            </w:hyperlink>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6">
              <w:r>
                <w:rPr>
                  <w:rStyle w:val="InternetLink"/>
                  <w:rFonts w:ascii="Times New Roman;serif" w:hAnsi="Times New Roman;serif"/>
                  <w:b w:val="false"/>
                  <w:color w:val="0000FF"/>
                  <w:sz w:val="20"/>
                  <w:u w:val="single"/>
                </w:rPr>
                <w:t>Item 1.</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6">
              <w:r>
                <w:rPr>
                  <w:rStyle w:val="InternetLink"/>
                  <w:rFonts w:ascii="Times New Roman;serif" w:hAnsi="Times New Roman;serif"/>
                  <w:b w:val="false"/>
                  <w:color w:val="0000FF"/>
                  <w:sz w:val="20"/>
                  <w:u w:val="single"/>
                </w:rPr>
                <w:t>Legal Proceedings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06">
              <w:r>
                <w:rPr>
                  <w:rStyle w:val="InternetLink"/>
                  <w:rFonts w:ascii="Times New Roman;serif" w:hAnsi="Times New Roman;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9">
              <w:r>
                <w:rPr>
                  <w:rStyle w:val="InternetLink"/>
                  <w:rFonts w:ascii="Times New Roman;serif" w:hAnsi="Times New Roman;serif"/>
                  <w:b w:val="false"/>
                  <w:color w:val="0000FF"/>
                  <w:sz w:val="20"/>
                  <w:u w:val="single"/>
                </w:rPr>
                <w:t>Item 1A.</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09">
              <w:r>
                <w:rPr>
                  <w:rStyle w:val="InternetLink"/>
                  <w:rFonts w:ascii="Times New Roman;serif" w:hAnsi="Times New Roman;serif"/>
                  <w:b w:val="false"/>
                  <w:color w:val="0000FF"/>
                  <w:sz w:val="20"/>
                  <w:u w:val="single"/>
                </w:rPr>
                <w:t>Risk Factors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09">
              <w:r>
                <w:rPr>
                  <w:rStyle w:val="InternetLink"/>
                  <w:rFonts w:ascii="Times New Roman;serif" w:hAnsi="Times New Roman;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12">
              <w:r>
                <w:rPr>
                  <w:rStyle w:val="InternetLink"/>
                  <w:rFonts w:ascii="Times New Roman;serif" w:hAnsi="Times New Roman;serif"/>
                  <w:b w:val="false"/>
                  <w:color w:val="0000FF"/>
                  <w:sz w:val="20"/>
                  <w:u w:val="single"/>
                </w:rPr>
                <w:t>Item 2.</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12">
              <w:r>
                <w:rPr>
                  <w:rStyle w:val="InternetLink"/>
                  <w:rFonts w:ascii="Times New Roman;serif" w:hAnsi="Times New Roman;serif"/>
                  <w:b w:val="false"/>
                  <w:color w:val="0000FF"/>
                  <w:sz w:val="20"/>
                  <w:u w:val="single"/>
                </w:rPr>
                <w:t>Unregistered Sales of Equity Securities and Use of Proceeds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12">
              <w:r>
                <w:rPr>
                  <w:rStyle w:val="InternetLink"/>
                  <w:rFonts w:ascii="Times New Roman;serif" w:hAnsi="Times New Roman;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15">
              <w:r>
                <w:rPr>
                  <w:rStyle w:val="InternetLink"/>
                  <w:rFonts w:ascii="Times New Roman;serif" w:hAnsi="Times New Roman;serif"/>
                  <w:b w:val="false"/>
                  <w:color w:val="0000FF"/>
                  <w:sz w:val="20"/>
                  <w:u w:val="single"/>
                </w:rPr>
                <w:t>Item 3.</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15">
              <w:r>
                <w:rPr>
                  <w:rStyle w:val="InternetLink"/>
                  <w:rFonts w:ascii="Times New Roman;serif" w:hAnsi="Times New Roman;serif"/>
                  <w:b w:val="false"/>
                  <w:color w:val="0000FF"/>
                  <w:sz w:val="20"/>
                  <w:u w:val="single"/>
                </w:rPr>
                <w:t>Defaults Upon Senior Securities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15">
              <w:r>
                <w:rPr>
                  <w:rStyle w:val="InternetLink"/>
                  <w:rFonts w:ascii="Times New Roman;serif" w:hAnsi="Times New Roman;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18">
              <w:r>
                <w:rPr>
                  <w:rStyle w:val="InternetLink"/>
                  <w:rFonts w:ascii="Times New Roman;serif" w:hAnsi="Times New Roman;serif"/>
                  <w:b w:val="false"/>
                  <w:color w:val="0000FF"/>
                  <w:sz w:val="20"/>
                  <w:u w:val="single"/>
                </w:rPr>
                <w:t>Item 4.</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18">
              <w:r>
                <w:rPr>
                  <w:rStyle w:val="InternetLink"/>
                  <w:rFonts w:ascii="Times New Roman;serif" w:hAnsi="Times New Roman;serif"/>
                  <w:b w:val="false"/>
                  <w:color w:val="0000FF"/>
                  <w:sz w:val="20"/>
                  <w:u w:val="single"/>
                </w:rPr>
                <w:t>Mine Safety Disclosures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18">
              <w:r>
                <w:rPr>
                  <w:rStyle w:val="InternetLink"/>
                  <w:rFonts w:ascii="Times New Roman;serif" w:hAnsi="Times New Roman;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21">
              <w:r>
                <w:rPr>
                  <w:rStyle w:val="InternetLink"/>
                  <w:rFonts w:ascii="Times New Roman;serif" w:hAnsi="Times New Roman;serif"/>
                  <w:b w:val="false"/>
                  <w:color w:val="0000FF"/>
                  <w:sz w:val="20"/>
                  <w:u w:val="single"/>
                </w:rPr>
                <w:t>Item 5</w:t>
              </w:r>
            </w:hyperlink>
            <w:r>
              <w:rPr>
                <w:rFonts w:ascii="Times New Roman;serif" w:hAnsi="Times New Roman;serif"/>
                <w:b w:val="false"/>
                <w:color w:val="000000"/>
                <w:sz w:val="20"/>
              </w:rPr>
              <w:t>.</w:t>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21">
              <w:r>
                <w:rPr>
                  <w:rStyle w:val="InternetLink"/>
                  <w:rFonts w:ascii="Times New Roman;serif" w:hAnsi="Times New Roman;serif"/>
                  <w:b w:val="false"/>
                  <w:color w:val="0000FF"/>
                  <w:sz w:val="20"/>
                  <w:u w:val="single"/>
                </w:rPr>
                <w:t>Other Information</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21">
              <w:r>
                <w:rPr>
                  <w:rStyle w:val="InternetLink"/>
                  <w:rFonts w:ascii="Times New Roman;serif" w:hAnsi="Times New Roman;serif"/>
                  <w:b w:val="false"/>
                  <w:color w:val="0000FF"/>
                  <w:sz w:val="20"/>
                  <w:u w:val="single"/>
                </w:rPr>
                <w:t>59</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24">
              <w:r>
                <w:rPr>
                  <w:rStyle w:val="InternetLink"/>
                  <w:rFonts w:ascii="Times New Roman;serif" w:hAnsi="Times New Roman;serif"/>
                  <w:b w:val="false"/>
                  <w:color w:val="0000FF"/>
                  <w:sz w:val="20"/>
                  <w:u w:val="single"/>
                </w:rPr>
                <w:t>Item 6.</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24">
              <w:r>
                <w:rPr>
                  <w:rStyle w:val="InternetLink"/>
                  <w:rFonts w:ascii="Times New Roman;serif" w:hAnsi="Times New Roman;serif"/>
                  <w:b w:val="false"/>
                  <w:color w:val="0000FF"/>
                  <w:sz w:val="20"/>
                  <w:u w:val="single"/>
                </w:rPr>
                <w:t>Exhibits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24">
              <w:r>
                <w:rPr>
                  <w:rStyle w:val="InternetLink"/>
                  <w:rFonts w:ascii="Times New Roman;serif" w:hAnsi="Times New Roman;serif"/>
                  <w:b w:val="false"/>
                  <w:color w:val="0000FF"/>
                  <w:sz w:val="20"/>
                  <w:u w:val="single"/>
                </w:rPr>
                <w:t>59</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bae37a7dc3f44028d7360bd42dcb966_127">
              <w:r>
                <w:rPr>
                  <w:rStyle w:val="InternetLink"/>
                  <w:rFonts w:ascii="Times New Roman;serif" w:hAnsi="Times New Roman;serif"/>
                  <w:b/>
                  <w:color w:val="0000FF"/>
                  <w:sz w:val="20"/>
                  <w:u w:val="single"/>
                </w:rPr>
                <w:t>Signatures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bae37a7dc3f44028d7360bd42dcb966_127">
              <w:r>
                <w:rPr>
                  <w:rStyle w:val="InternetLink"/>
                  <w:rFonts w:ascii="Times New Roman;serif" w:hAnsi="Times New Roman;serif"/>
                  <w:b w:val="false"/>
                  <w:color w:val="0000FF"/>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PART I        FINANCIAL INFORMATION</w:t>
      </w:r>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Item 1.        Financial Statements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46"/>
        <w:gridCol w:w="2097"/>
        <w:gridCol w:w="2130"/>
        <w:gridCol w:w="211"/>
        <w:gridCol w:w="1081"/>
        <w:gridCol w:w="109"/>
        <w:gridCol w:w="109"/>
        <w:gridCol w:w="109"/>
        <w:gridCol w:w="109"/>
        <w:gridCol w:w="219"/>
        <w:gridCol w:w="1123"/>
        <w:gridCol w:w="162"/>
      </w:tblGrid>
      <w:tr>
        <w:trPr/>
        <w:tc>
          <w:tcPr>
            <w:tcW w:w="274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47,089,674 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18,501,581 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1,350,000,000 shares authorized and 1,068,988,999 and 1,068,811,371 shares issued and outstanding at March 31, 2026 and December 31, 2025, respectively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$0.01 par value, 50,000,000 shares authorized and no shares outstanding at March 31, 2026 and December 31, 2025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24,898,868 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28,188,653 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27,797,640 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28,618,862 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28,222,587 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47,089,674 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March 31, 2026 and December 31, 2025, our Investments in leases - sales-type, Investments in leases - financing receivables, Investments in loans and securities, and Other assets (sales-type sub-leases) are net of allowance for credit losses of $787.1 million, $726.8 million, $93.3 million and $20.4 million, respectively, and $919.2 million, $769.9 million, $56.4 million and $23.9 million, respectively. Refer to </w:t>
      </w:r>
      <w:hyperlink w:anchor="idbae37a7dc3f44028d7360bd42dcb966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8992" w:type="dxa"/>
        <w:jc w:val="center"/>
        <w:tblInd w:w="0" w:type="dxa"/>
        <w:tblLayout w:type="fixed"/>
        <w:tblCellMar>
          <w:top w:w="28" w:type="dxa"/>
          <w:left w:w="28" w:type="dxa"/>
          <w:bottom w:w="28" w:type="dxa"/>
          <w:right w:w="28" w:type="dxa"/>
        </w:tblCellMar>
      </w:tblPr>
      <w:tblGrid>
        <w:gridCol w:w="1911"/>
        <w:gridCol w:w="1683"/>
        <w:gridCol w:w="1700"/>
        <w:gridCol w:w="271"/>
        <w:gridCol w:w="1065"/>
        <w:gridCol w:w="109"/>
        <w:gridCol w:w="109"/>
        <w:gridCol w:w="109"/>
        <w:gridCol w:w="109"/>
        <w:gridCol w:w="271"/>
        <w:gridCol w:w="1065"/>
        <w:gridCol w:w="109"/>
        <w:gridCol w:w="109"/>
        <w:gridCol w:w="109"/>
        <w:gridCol w:w="109"/>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Net income per common share </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1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1,068,527,584 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1,056,432,790 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stockholders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24,898,868 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27,797,640 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28,222,587 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($0.4500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118,852 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28,188,653 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28,618,862 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26,951,801 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declared ($0.4325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24,512,026 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132,452 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26,609,169 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413,496 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9564" w:type="dxa"/>
        <w:jc w:val="center"/>
        <w:tblInd w:w="0" w:type="dxa"/>
        <w:tblLayout w:type="fixed"/>
        <w:tblCellMar>
          <w:top w:w="28" w:type="dxa"/>
          <w:left w:w="28" w:type="dxa"/>
          <w:bottom w:w="28" w:type="dxa"/>
          <w:right w:w="28" w:type="dxa"/>
        </w:tblCellMar>
      </w:tblPr>
      <w:tblGrid>
        <w:gridCol w:w="2497"/>
        <w:gridCol w:w="2198"/>
        <w:gridCol w:w="2205"/>
        <w:gridCol w:w="211"/>
        <w:gridCol w:w="826"/>
        <w:gridCol w:w="109"/>
        <w:gridCol w:w="109"/>
        <w:gridCol w:w="109"/>
        <w:gridCol w:w="109"/>
        <w:gridCol w:w="211"/>
        <w:gridCol w:w="826"/>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payment-in-kind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securities and receipts of deferred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Effect of exchange rate changes on cash, cash equivalents and 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before="180" w:after="283"/>
        <w:jc w:val="both"/>
        <w:rPr/>
      </w:pPr>
      <w:r>
        <w:rPr/>
      </w:r>
    </w:p>
    <w:tbl>
      <w:tblPr>
        <w:tblW w:w="8034" w:type="dxa"/>
        <w:jc w:val="center"/>
        <w:tblInd w:w="0" w:type="dxa"/>
        <w:tblLayout w:type="fixed"/>
        <w:tblCellMar>
          <w:top w:w="28" w:type="dxa"/>
          <w:left w:w="28" w:type="dxa"/>
          <w:bottom w:w="28" w:type="dxa"/>
          <w:right w:w="28" w:type="dxa"/>
        </w:tblCellMar>
      </w:tblPr>
      <w:tblGrid>
        <w:gridCol w:w="1945"/>
        <w:gridCol w:w="1708"/>
        <w:gridCol w:w="1717"/>
        <w:gridCol w:w="211"/>
        <w:gridCol w:w="826"/>
        <w:gridCol w:w="109"/>
        <w:gridCol w:w="109"/>
        <w:gridCol w:w="109"/>
        <w:gridCol w:w="109"/>
        <w:gridCol w:w="211"/>
        <w:gridCol w:w="826"/>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and distributions declared, not paid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11"/>
        <w:gridCol w:w="2109"/>
        <w:gridCol w:w="2142"/>
        <w:gridCol w:w="211"/>
        <w:gridCol w:w="1081"/>
        <w:gridCol w:w="109"/>
        <w:gridCol w:w="109"/>
        <w:gridCol w:w="109"/>
        <w:gridCol w:w="109"/>
        <w:gridCol w:w="220"/>
        <w:gridCol w:w="1131"/>
        <w:gridCol w:w="164"/>
      </w:tblGrid>
      <w:tr>
        <w:trPr/>
        <w:tc>
          <w:tcPr>
            <w:tcW w:w="271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46,999,453 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46,636,278 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18,486,100 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contingent liabilities (Note 10)</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Partners’ Capital</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Partners’ capital, 1,081,220,372 and 1,081,042,744 operating partnership units issued and outstanding as of March 31,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27,923,645 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LP’s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28,436,276 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28,043,735 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capital attributable to partners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28,150,178 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46,999,453 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46,636,278 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Note: As of March 31, 2026 and December 31, 2025, our Investments in leases - sales-type, Investments in leases - financing receivables, Investments in loans and securities, and Other assets (sales-type sub-leases) are net of allowance for credit losses of $787.1 million, $726.8 million, $93.3 million and $20.4 million, respectively, and $919.2 million, $769.9 million, $56.4 million and $23.9 million, respectively. Refer to </w:t>
      </w:r>
      <w:hyperlink w:anchor="idbae37a7dc3f44028d7360bd42dcb966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8598" w:type="dxa"/>
        <w:jc w:val="left"/>
        <w:tblInd w:w="0" w:type="dxa"/>
        <w:tblLayout w:type="fixed"/>
        <w:tblCellMar>
          <w:top w:w="28" w:type="dxa"/>
          <w:left w:w="28" w:type="dxa"/>
          <w:bottom w:w="28" w:type="dxa"/>
          <w:right w:w="28" w:type="dxa"/>
        </w:tblCellMar>
      </w:tblPr>
      <w:tblGrid>
        <w:gridCol w:w="1824"/>
        <w:gridCol w:w="1607"/>
        <w:gridCol w:w="1623"/>
        <w:gridCol w:w="271"/>
        <w:gridCol w:w="1065"/>
        <w:gridCol w:w="109"/>
        <w:gridCol w:w="109"/>
        <w:gridCol w:w="109"/>
        <w:gridCol w:w="109"/>
        <w:gridCol w:w="237"/>
        <w:gridCol w:w="930"/>
        <w:gridCol w:w="124"/>
        <w:gridCol w:w="109"/>
        <w:gridCol w:w="109"/>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547,232 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550,217 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547,827 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income per Partnership unit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Partnership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1,080,630,800 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1,068,243,787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1,080,758,957 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1,068,664,163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partners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535,568 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PARTNERS’ CAPITAL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56"/>
        <w:gridCol w:w="786"/>
        <w:gridCol w:w="789"/>
        <w:gridCol w:w="205"/>
        <w:gridCol w:w="1007"/>
        <w:gridCol w:w="113"/>
        <w:gridCol w:w="109"/>
        <w:gridCol w:w="109"/>
        <w:gridCol w:w="109"/>
        <w:gridCol w:w="430"/>
        <w:gridCol w:w="1624"/>
        <w:gridCol w:w="243"/>
        <w:gridCol w:w="109"/>
        <w:gridCol w:w="109"/>
        <w:gridCol w:w="109"/>
        <w:gridCol w:w="310"/>
        <w:gridCol w:w="1170"/>
        <w:gridCol w:w="174"/>
        <w:gridCol w:w="109"/>
        <w:gridCol w:w="109"/>
        <w:gridCol w:w="109"/>
        <w:gridCol w:w="196"/>
        <w:gridCol w:w="961"/>
        <w:gridCol w:w="160"/>
      </w:tblGrid>
      <w:tr>
        <w:trPr/>
        <w:tc>
          <w:tcPr>
            <w:tcW w:w="10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27,923,645 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28,150,178 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28,318,390 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117,886 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28,543,583 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26,634,873 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143,899 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26,884,888 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26,716,498 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131,640 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105,809 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26,953,947 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9564" w:type="dxa"/>
        <w:jc w:val="left"/>
        <w:tblInd w:w="0" w:type="dxa"/>
        <w:tblLayout w:type="fixed"/>
        <w:tblCellMar>
          <w:top w:w="28" w:type="dxa"/>
          <w:left w:w="28" w:type="dxa"/>
          <w:bottom w:w="28" w:type="dxa"/>
          <w:right w:w="28" w:type="dxa"/>
        </w:tblCellMar>
      </w:tblPr>
      <w:tblGrid>
        <w:gridCol w:w="2497"/>
        <w:gridCol w:w="2198"/>
        <w:gridCol w:w="2205"/>
        <w:gridCol w:w="211"/>
        <w:gridCol w:w="826"/>
        <w:gridCol w:w="109"/>
        <w:gridCol w:w="109"/>
        <w:gridCol w:w="109"/>
        <w:gridCol w:w="109"/>
        <w:gridCol w:w="211"/>
        <w:gridCol w:w="826"/>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flows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leasing and financing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payment-in-kind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settlement of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loans and securities and receipts of deferred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for tax withholding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8034" w:type="dxa"/>
        <w:jc w:val="left"/>
        <w:tblInd w:w="0" w:type="dxa"/>
        <w:tblLayout w:type="fixed"/>
        <w:tblCellMar>
          <w:top w:w="28" w:type="dxa"/>
          <w:left w:w="28" w:type="dxa"/>
          <w:bottom w:w="28" w:type="dxa"/>
          <w:right w:w="28" w:type="dxa"/>
        </w:tblCellMar>
      </w:tblPr>
      <w:tblGrid>
        <w:gridCol w:w="1945"/>
        <w:gridCol w:w="1708"/>
        <w:gridCol w:w="1717"/>
        <w:gridCol w:w="211"/>
        <w:gridCol w:w="826"/>
        <w:gridCol w:w="109"/>
        <w:gridCol w:w="109"/>
        <w:gridCol w:w="109"/>
        <w:gridCol w:w="109"/>
        <w:gridCol w:w="211"/>
        <w:gridCol w:w="826"/>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Investments in leases - financing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 — Business and Organization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Business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primarily engaged in the business of owning and acquiring gaming, hospitality, wellness, entertainment and leisure destinations, subject to long-term triple-net leases. As of March 31, 2026,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VICI Properties Inc.,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substantially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2 — Summary of Significant Accounting Policies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erif" w:hAnsi="Times New Roman;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erif" w:hAnsi="Times New Roman;serif"/>
            <w:b w:val="false"/>
            <w:color w:val="0000FF"/>
            <w:sz w:val="20"/>
            <w:u w:val="single"/>
          </w:rPr>
          <w:t>Annual Report on Form 10-K</w:t>
        </w:r>
      </w:hyperlink>
      <w:r>
        <w:rPr>
          <w:rFonts w:ascii="Times New Roman;serif" w:hAnsi="Times New Roman;serif"/>
          <w:b w:val="false"/>
          <w:color w:val="000000"/>
          <w:sz w:val="20"/>
        </w:rPr>
        <w:t>, as updated from time to time in our other filings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adjustments considered necessary for a fair statement of results for the interim period have been included and are of a normal and recurring nature. Certain prior period amounts have been reclassified to conform to the current period presentation.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Operating results for the three months ended March 31, 2026 are not necessarily indicative of the results that may be expected for the year ending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Principles of Consolidation and Non-controlling Interest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include our accounts and the accounts of VICI LP, and the subsidiaries in which we or VICI LP has a controlling interest. The operating partnership, VICI OP, is a variable interest entity (“VIE”) of which we are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Substantially all of our assets and liabilities relate to VICI LP, whose limited partnership interest is 100% owned by VICI OP. Therefore, we consolidate the accounts of VICI LP and reflect the third-party ownership in VICI OP as a non-controlling interest on the Consolidated Balance Sheets. All intercompany account balances and transactions have been eliminated in consolidation.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present non-controlling interests and classify such interests as a component of consolidated stockholders’ equity or partners’ capital, separate from VICI stockholders’ equity and VICI LP partners’ capital. As of March 31, 2026, VICI’s non-controlling interests were comprised of (i) an approximately 1.1% third-party ownership of VICI OP in the form of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“Joliet Lease”) and (iii) a third-party minority equity interest, in the form of Class A Units, of VICI Bowl HoldCo LLC (“Lucky Strike OP Units”), the entity that (a) owns the portfolio of bowling entertainment centers leased to Lucky Strike Entertainment Corporation (“Lucky Strike Entertainment”) and (b) is the lessor under the related Lucky Strike Entertainment master lease agreement, which interest entitles the non-controlling interest holder to a preferred return that currently approximates 4.0% of the entity’s cash flows.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non-controlling interests are the third-party ownership interests in Harrah’s Joliet LandCo LLC and VICI Bowl HoldCo LLC referenced above.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consist of real estate investment activities, which represent substantially all of our business. The operating results are regularly reviewed, on a consolidated basis, by the Chief Operating Decision Maker (“CODM”) and are considered to be one operating segment. Accordingly, all operations have been considered to represent one reportable segment.</w:t>
      </w:r>
    </w:p>
    <w:p>
      <w:pPr>
        <w:pStyle w:val="TextBody"/>
        <w:bidi w:val="0"/>
        <w:spacing w:lineRule="auto" w:line="288" w:before="180" w:after="283"/>
        <w:jc w:val="both"/>
        <w:rPr/>
      </w:pPr>
      <w:r>
        <w:rPr>
          <w:rFonts w:ascii="Times New Roman;serif" w:hAnsi="Times New Roman;serif"/>
          <w:b w:val="false"/>
          <w:color w:val="000000"/>
          <w:sz w:val="20"/>
        </w:rPr>
        <w:t xml:space="preserve">Refer to </w:t>
      </w:r>
      <w:hyperlink w:anchor="idbae37a7dc3f44028d7360bd42dcb966_91">
        <w:r>
          <w:rPr>
            <w:rStyle w:val="InternetLink"/>
            <w:rFonts w:ascii="Times New Roman;serif" w:hAnsi="Times New Roman;serif"/>
            <w:b w:val="false"/>
            <w:color w:val="0000FF"/>
            <w:sz w:val="20"/>
            <w:u w:val="single"/>
          </w:rPr>
          <w:t>Note 14 - Segment Information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March 31, 2026 and December 31, 2025, we did not have any restricted cash.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$44.5 million of short-term investments as of December 31, 2025. We did not have any short-term investments as of March 31, 2026.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Purchase Accounting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remaining interest of the joint venture that holds the real estate assets of MGM Grand Las Vegas and Mandalay Bay,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Sales-type,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net of allowance for credit losses.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accordingly, no profit or loss is recognized. In addition,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Leases - Financing Receivables,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Lease Term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842, at the inception of a lease or upon a lease modification, we assess the noncancelable lease term,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gaming assets and certain other irreplaceable real estate, upon lease inception or modification, we have generally concluded that the lease term includes all of the periods covered by extension options as it was reasonably certain at such time that our tenants would renew the lease agreements. At such time, we believed our tenants were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Leases and Lease Financing Receivables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recognize the related income from our sales-type leases and lease financing receivables on an effective interest basis at a constant rate of return over the terms of the applicable leases based on the future minimum lease payments.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Contingent rent, which is generally comprised of amounts in excess of specified floors or the variable rent portion of our leases, is recognized as income in the period in which the changes in facts and circumstances giving rise to such contingent rent or variable lease payments occur.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Initial direct costs incurred in connection with entering into investments classified as sales-type leases are included in the balance of the net investment in the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Origination fees and costs incurred in connection with entering into investments classified as lease financing receivables are included in the balance of the net investment and such amounts will be recognized as an adjustment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Loans and Securities,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of our investments in loans contain provisions for paid-in-kind (“PIK”) interest, whereby contractual interest is added to the outstanding principal balance of the investment instead of being paid in cash when due. We recognize PIK interest as income in the period earned, with a corresponding increase to the carrying value of the related investment.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our loans on an individual basis to determine whether a loan should be placed on nonaccrual. We place loans on nonaccrual (i) if there is a significant deterioration in credit quality or (ii) once reasonable doubt exists about the collectability of the principal and interest due.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or financial investment.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Unfunded Commitments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three months ended March 31, 2026 and 2025.</w:t>
      </w:r>
    </w:p>
    <w:p>
      <w:pPr>
        <w:pStyle w:val="TextBody"/>
        <w:bidi w:val="0"/>
        <w:spacing w:lineRule="auto" w:line="288" w:before="160" w:after="283"/>
        <w:jc w:val="both"/>
        <w:rPr/>
      </w:pPr>
      <w:r>
        <w:rPr>
          <w:rFonts w:ascii="Times New Roman;serif" w:hAnsi="Times New Roman;serif"/>
          <w:b w:val="false"/>
          <w:color w:val="000000"/>
          <w:sz w:val="20"/>
        </w:rPr>
        <w:t xml:space="preserve">Refer to </w:t>
      </w:r>
      <w:hyperlink w:anchor="idbae37a7dc3f44028d7360bd42dcb966_64">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Foreign Currency Translation and Remeasurement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and certain of our consolidated subsidiaries have intercompany and third-party debt that is denominated in foreign currencies, which are neither our nor our consolidated subsidiaries’ functional currency of USD. When the debt and related operating receivables and/or payables are remeasured to the functional currency of the entity, a gain or loss can result. The resulting adjustment is reflected in Other gains (losses), net in the Statement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Income and Other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primarily represents sub-lease income related to certain ground and use leases. Under our lease agreements, the tenants are required to pay all costs associated with such ground and use leases and provides for their direct payment to the landlord. This income and the related expenses are recorded on a gross basis in our Statement of Operations as we are the primary obligor under the ground and use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60" w:after="283"/>
        <w:jc w:val="both"/>
        <w:rPr/>
      </w:pPr>
      <w:r>
        <w:rPr>
          <w:rFonts w:ascii="Times New Roman;serif" w:hAnsi="Times New Roman;serif"/>
          <w:b w:val="false"/>
          <w:color w:val="000000"/>
          <w:sz w:val="20"/>
        </w:rPr>
        <w:t xml:space="preserve">Refer to </w:t>
      </w:r>
      <w:hyperlink w:anchor="idbae37a7dc3f44028d7360bd42dcb966_76">
        <w:r>
          <w:rPr>
            <w:rStyle w:val="InternetLink"/>
            <w:rFonts w:ascii="Times New Roman;serif" w:hAnsi="Times New Roman;serif"/>
            <w:b w:val="false"/>
            <w:color w:val="0000FF"/>
            <w:sz w:val="20"/>
            <w:u w:val="single"/>
          </w:rPr>
          <w:t>Note 9 - Fair Value</w:t>
        </w:r>
      </w:hyperlink>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Derivative Financial Instruments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is recognized in earnings when the hedged transactions affect earnings. Changes in the fair value of our derivative instruments that qualify as hedges are reported as a component of Accumulated other comprehensive income in our Balance Sheet with a corresponding change in Unrealized gain (loss) on cash flows hedges within Other comprehensive income on our Statement of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MGM Resorts International (together with, as the context requires, its subsidiaries, “MGM”) and Caesars are the guarantors of all of the lease payment obligations of the tenants under the applicable leases of the properties that they each respectively lease from us. Revenue from our lease agreements with MGM represented 38% of our lease revenues for each of the three months ended March 31, 2026 and 2025. Contractual rent from our lease agreements with MGM represented 36% of our total contractual rent for each of the three months ended March 31, 2026 and 2025. Revenue from our lease agreements with Caesars represented 36% of our lease revenues for each of the three months ended March 31, 2026 and 2025. Contractual rent from our lease agreements with Caesars represented 37% of our total contractual rent for each of the three months ended March 31, 2026 and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our properties on the Las Vegas Strip generated approximately 49% of our lease revenues for each of the three months ended March 31, 2026 and 2025. Other than having two tenants from which we derive and will continue to derive a substantial portion of our revenue and our concentration in the Las Vegas market, we do not believe there are any other significant concentrations of credit risk.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both"/>
        <w:rPr/>
      </w:pPr>
      <w:r>
        <w:rPr>
          <w:rFonts w:ascii="Times New Roman;serif" w:hAnsi="Times New Roman;serif"/>
          <w:b w:val="false"/>
          <w:color w:val="000000"/>
          <w:sz w:val="20"/>
        </w:rPr>
        <w:t>In November 2024, the Financial Accounting Standards Board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 (“ASU 2024-03”)</w:t>
      </w:r>
      <w:r>
        <w:rPr>
          <w:color w:val="000000"/>
        </w:rPr>
        <w:t xml:space="preserve"> </w:t>
      </w:r>
      <w:r>
        <w:rPr>
          <w:rFonts w:ascii="Times New Roman;serif" w:hAnsi="Times New Roman;serif"/>
          <w:b w:val="false"/>
          <w:color w:val="000000"/>
          <w:sz w:val="20"/>
        </w:rPr>
        <w:t xml:space="preserve">which requires disclosure of disaggregated information about certain income statement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line items in the notes to the financial statements on an interim and annual basis. ASU 2024-03 will be effective for the fiscal year ending December 31, 2027, with early adoption permitted. We have elected not to early adopt and are currently evaluating the potential impact of ASU 2024-03 on our financial statements and disclosures.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Recent Tax Legislation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(“OECD”) has proposed a global minimum tax of 15% of reported profits (“Pillar Two”) that various jurisdictions around the world have adopted or proposed to adopt in domestic legislation. The OECD has published further guidance that modifies key aspects of the Pillar Two Global Minimum Tax (“GMT”) framework on a prospective basis. The new guidance includes a comprehensive “side-by-side package” that provides a safe harbor for U.S.-parented Multinational Enterprises (“MNEs”). The side-by-side package provides that taxes imposed under the Qualified Domestic Minimum Top-up Tax element of the GMT framework continue to apply to foreign operations of U.S.-parented MNEs. The changes agreed to in the side-by-side package will not be effective until jurisdictions that have implemented the GMT adopt the side-by-side package.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evaluated Pillar Two (including the GMT framework) and, although the current status of the safe harbor for 2026 pursuant to the side-by-side package remains unclear, we do not expect it to have a material impact on our Financial Statements. However, there also remains some uncertainty as to the final Pillar Two rules, including their adoption in each jurisdiction’s law. We will continue to monitor the United States and global legislative actions related to Pillar Two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3 — Real Estate Transactions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2026 Activity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Acquisitions and Investments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Gamehost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30, 2026, we announced an agreement to acquire the real estate assets of Deerfoot Inn &amp; Casino, Great Northern Casino and two limited-service hotels that are adjacent to Great Northern Casino (collectively, the “Gamehost Portfolio”) located in Alberta, Canada (the “Gamehost Transaction”), in connection with Pure Casino Entertainment Limited Partnership’s (“PURE”) pending take-private acquisition (the “PURE Gamehost Acquisition”) of Gamehost Inc. (GH.TO) (“Gamehost”), for an aggregate purchase price of C$200.6 million (approximately US$144.4 million based on the exchange rate at the time of the announcement).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Simultaneous with the closing of the PURE Gamehost Acquisition, the Gamehost Portfolio will be added to the existing triple-net master lease agreement between us and PURE (the “PURE Master Lease”) and annual rent will increase by C$16.1 million (US$11.6 million based on the exchange rate at the time of the announcement). The Gamehost Portfolio rent will escalate at 1.0% on February 1 following the first full 12 months post-closing (in line with the timing of the PURE Master Lease escalation), and escalation will conform to the PURE Master Lease thereafter at the greater of 1.5% or the change in Canadian CPI (capped at 2.5%). Additionally, the term of the PURE Master Lease will be extended such that, upon closing of the PURE Gamehost Acquisition, the PURE Master Lease will have a full 25 years remaining in the initial lease term, with four 5-year tenant renewal options. The tenant’s obligations under the PURE Master Lease will continue to be guaranteed by Indigenous Gaming Partners Inc.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transaction is subject to customary regulatory approvals and closing conditions and is expected to close in mid-2026.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Leasing</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Northfield Park Severance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we entered into a new triple-net lease agreement (the “Northfield Park Lease”) with an affiliate of funds managed by Clairvest Group Inc. (“Clairvest”) with respect to the real property of MGM Northfield Park, located in Northfield, Ohio (“Northfield Park”), in connection with MGM’s previously announced agreement to sell the operations of Northfield Park, to an affiliate of Clairvest. In connection with the closing, we entered into an amendment to the existing MGM Master Lease in order to account for MGM’s divestiture of the operations of Northfield Park and to reduce the annual base rent under the MGM Master Lease by the initial base rent under the Northfield Park Lease. The Northfield Park Lease has an initial annual base 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of $53.0 million. The Northfield Park Lease has a 25-year lease term with three 10-year tenant renewal options, with other economic terms substantially similar to the MGM Master Lease, including escalation of 2.0% per annum on May 1st each year, which for the avoidance of doubt, commences on May 1, 2026 (with escalation equal to the greater of 2.0% and the change in CPI (capped at 3.0%) beginning at the same time as the MGM Master Lease in 2032) and a minimum capital expenditure requirement equal to 1.0% of annual net revenue. The Northfield Park Lease is guaranteed by an affiliate of funds managed by Clairvest that owns the operations of Northfield Park, with additional credit support provided by financial covenants within the lease.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Real Estate Debt Investments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real estate debt investment activity during the three months ended March 31, 2026: </w:t>
      </w:r>
    </w:p>
    <w:tbl>
      <w:tblPr>
        <w:tblW w:w="10205" w:type="dxa"/>
        <w:jc w:val="left"/>
        <w:tblInd w:w="0" w:type="dxa"/>
        <w:tblLayout w:type="fixed"/>
        <w:tblCellMar>
          <w:top w:w="28" w:type="dxa"/>
          <w:left w:w="28" w:type="dxa"/>
          <w:bottom w:w="28" w:type="dxa"/>
          <w:right w:w="28" w:type="dxa"/>
        </w:tblCellMar>
      </w:tblPr>
      <w:tblGrid>
        <w:gridCol w:w="734"/>
        <w:gridCol w:w="626"/>
        <w:gridCol w:w="607"/>
        <w:gridCol w:w="109"/>
        <w:gridCol w:w="109"/>
        <w:gridCol w:w="109"/>
        <w:gridCol w:w="311"/>
        <w:gridCol w:w="1444"/>
        <w:gridCol w:w="160"/>
        <w:gridCol w:w="109"/>
        <w:gridCol w:w="109"/>
        <w:gridCol w:w="109"/>
        <w:gridCol w:w="109"/>
        <w:gridCol w:w="109"/>
        <w:gridCol w:w="499"/>
        <w:gridCol w:w="487"/>
        <w:gridCol w:w="489"/>
        <w:gridCol w:w="109"/>
        <w:gridCol w:w="109"/>
        <w:gridCol w:w="109"/>
        <w:gridCol w:w="1064"/>
        <w:gridCol w:w="1064"/>
        <w:gridCol w:w="1521"/>
      </w:tblGrid>
      <w:tr>
        <w:trPr/>
        <w:tc>
          <w:tcPr>
            <w:tcW w:w="73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Stamford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Stamford, Connecticut</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Jersey City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Jersey City, New Jersey</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1,516,000 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One Beverly Hills Mezzanine Loan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23, 2026, we provided a $1.5 billion mezzanine loan that is subordinate to a $2.8 billion senior loan commitment led by J.P. Morgan as part of the construction financing for One Beverly Hills, a landmark 17.5-acre luxury experiential lifestyle hub in Beverly Hills, California (“One Beverly Hills”). The mezzanine loan represents a $1.05 billion incremental commitment beyond our previous $450.0 million investment in the project, which was repaid in connection with the refinancing. One Beverly Hills is being developed by Cain and will be anchored by Aman Beverly Hills, featuring an Aman Hotel and Aman-branded residences, and includes a full-scale refurbishment of The Beverly Hilton, additional retail, food and beverage offerings, and 10 acres of botanical gardens and open space. Construction of the development has commenced and is expected to be completed in 2028.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mezzanine loan has an initial term of 4 years with one 12-month extension option, subject to certain conditions, and will be deployed over the course of the initial term. Upon the closing of the transaction, we deployed an initial funding of $650.0 million.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Pending Transactions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Golden Entertainment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6, 2025, we entered into an agreement to acquire 100% of the land, real property and improvements of seven casino properties (the “Golden Portfolio”) from Golden Entertainment, Inc. (“Golden Entertainment”) for $1.16 billion and to enter into a triple-net master lease (the “Golden Entertainment Master Lease”) with a newly formed entity owned and controlled by Blake L. Sartini, current chairman and chief executive officer of Golden Entertainment (“Golden OpCo”), that will acquire the operating business of Golden Entertainment in connection with the closing of the transaction.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Entertainment Master Lease will have an initial total annual rent of $87.0 million and an initial term of 30 years, with four 5-year tenant renewal options. Rent under the Golden Entertainment Master Lease will escalate annually at 2.0% beginning in Lease Year 3. The obligations of Golden OpCo under the Golden Entertainment Master Lease will be guaranteed by a holding company that is owned and controlled by Mr. Sartini and owns all of the gaming and operating assets formerly owned by Golden Entertainment, with additional credit support provided by financial covenants within the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master transaction agreement governing the transaction, Golden Entertainment shareholders will receive approximately 24.3 million shares of newly issued VICI stock in exchange for the outstanding shares of Golden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Entertainment stock upon closing, which represents an agreed-upon exchange ratio of 0.902 shares of VICI’s common stock per share of Golden Entertainment’s common stock based on VICI’s 10-day volume weighted average price as of November 5, 2025, as well as cash consideration that is payable by an affiliate of the Golden OpCo. In connection with the transaction, we will assume and immediately retire Golden Entertainment’s outstanding $426.0 million of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23, 2026, we announced that all gaming regulatory and shareholder approvals have been met and the transaction is expected to close on or around April 30, 2026, subject to the satisfaction of remaining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4"/>
        </w:rPr>
      </w:pPr>
      <w:r>
        <w:rPr>
          <w:rFonts w:ascii="Times New Roman;serif" w:hAnsi="Times New Roman;serif"/>
          <w:b/>
          <w:color w:val="000000"/>
          <w:sz w:val="24"/>
        </w:rPr>
        <w:t xml:space="preserve">Note 4 — Real Estate Portfolio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sales-type, representing our investment in 26 casino assets leased on a triple-net basis to our tenants under nine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Investments in loans and securities, representing our 21 debt investments in senior secured and mezzanine loans, preferred equity and the senior secured notes;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balances of our real estate portfolio as of March 31, 2026 and December 31, 2025:</w:t>
      </w:r>
    </w:p>
    <w:tbl>
      <w:tblPr>
        <w:tblW w:w="7637" w:type="dxa"/>
        <w:jc w:val="left"/>
        <w:tblInd w:w="0" w:type="dxa"/>
        <w:tblLayout w:type="fixed"/>
        <w:tblCellMar>
          <w:top w:w="28" w:type="dxa"/>
          <w:left w:w="28" w:type="dxa"/>
          <w:bottom w:w="28" w:type="dxa"/>
          <w:right w:w="28" w:type="dxa"/>
        </w:tblCellMar>
      </w:tblPr>
      <w:tblGrid>
        <w:gridCol w:w="1565"/>
        <w:gridCol w:w="1375"/>
        <w:gridCol w:w="1379"/>
        <w:gridCol w:w="211"/>
        <w:gridCol w:w="1081"/>
        <w:gridCol w:w="109"/>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sales-type, net </w:t>
            </w:r>
            <w:r>
              <w:rPr>
                <w:rFonts w:ascii="Times New Roman;serif" w:hAnsi="Times New Roman;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net </w:t>
            </w:r>
            <w:r>
              <w:rPr>
                <w:rFonts w:ascii="Times New Roman;serif" w:hAnsi="Times New Roman;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leases,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42,403,696 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portfolio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45,562,092 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45,077,155 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estimated residual values of the leased property (not guaranteed) under the respective lease agreements, which has a material impact on the determination of the rate implicit in the lease and the lease classification.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in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leases and lease financing receivables:</w:t>
      </w:r>
    </w:p>
    <w:tbl>
      <w:tblPr>
        <w:tblW w:w="8140" w:type="dxa"/>
        <w:jc w:val="left"/>
        <w:tblInd w:w="0" w:type="dxa"/>
        <w:tblLayout w:type="fixed"/>
        <w:tblCellMar>
          <w:top w:w="28" w:type="dxa"/>
          <w:left w:w="28" w:type="dxa"/>
          <w:bottom w:w="28" w:type="dxa"/>
          <w:right w:w="28" w:type="dxa"/>
        </w:tblCellMar>
      </w:tblPr>
      <w:tblGrid>
        <w:gridCol w:w="1825"/>
        <w:gridCol w:w="1605"/>
        <w:gridCol w:w="1610"/>
        <w:gridCol w:w="211"/>
        <w:gridCol w:w="826"/>
        <w:gridCol w:w="109"/>
        <w:gridCol w:w="109"/>
        <w:gridCol w:w="109"/>
        <w:gridCol w:w="109"/>
        <w:gridCol w:w="211"/>
        <w:gridCol w:w="826"/>
        <w:gridCol w:w="109"/>
        <w:gridCol w:w="109"/>
        <w:gridCol w:w="109"/>
        <w:gridCol w:w="109"/>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sales-type leases – contingent rent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lease financing receivables – contingent rent</w:t>
            </w:r>
            <w:r>
              <w:rPr>
                <w:color w:val="000000"/>
              </w:rPr>
              <w:t xml:space="preserve">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March 31, 2026, minimum lease payments owed to us for each of the five succeeding years and thereafter under sales-type leases and our leases accounted for as financing receivables, are as follows:</w:t>
      </w:r>
    </w:p>
    <w:tbl>
      <w:tblPr>
        <w:tblW w:w="9206" w:type="dxa"/>
        <w:jc w:val="left"/>
        <w:tblInd w:w="0" w:type="dxa"/>
        <w:tblLayout w:type="fixed"/>
        <w:tblCellMar>
          <w:top w:w="28" w:type="dxa"/>
          <w:left w:w="28" w:type="dxa"/>
          <w:bottom w:w="28" w:type="dxa"/>
          <w:right w:w="28" w:type="dxa"/>
        </w:tblCellMar>
      </w:tblPr>
      <w:tblGrid>
        <w:gridCol w:w="1217"/>
        <w:gridCol w:w="1071"/>
        <w:gridCol w:w="107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08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Minimum Lease Payments </w:t>
            </w:r>
            <w:r>
              <w:rPr>
                <w:rFonts w:ascii="Times New Roman;serif" w:hAnsi="Times New Roman;serif"/>
                <w:b/>
                <w:i/>
                <w:color w:val="000000"/>
                <w:sz w:val="12"/>
              </w:rPr>
              <w:t>(1) (2)</w:t>
            </w:r>
          </w:p>
        </w:tc>
        <w:tc>
          <w:tcPr>
            <w:tcW w:w="1773"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1,351,605 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1,377,124 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87,062,759 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165,378,264 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87,184,632 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93,381,664 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180,566,296 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initial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Present value of lease payments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(62,542,146)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(73,896,741)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(136,438,887)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18,806,242 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42,704,069 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minimum lease payments include the non-cancelable lease term and any tenant renewal options that we determined were reasonably assured, consistent with our conclusions under ASC 842 and ASC 310.</w:t>
      </w:r>
    </w:p>
    <w:p>
      <w:pPr>
        <w:pStyle w:val="TextBody"/>
        <w:bidi w:val="0"/>
        <w:spacing w:lineRule="auto" w:line="288" w:before="0" w:after="0"/>
        <w:jc w:val="both"/>
        <w:rPr/>
      </w:pPr>
      <w:r>
        <w:rPr>
          <w:rFonts w:ascii="Times New Roman;serif" w:hAnsi="Times New Roman;serif"/>
          <w:b w:val="false"/>
          <w:i/>
          <w:color w:val="000000"/>
          <w:sz w:val="16"/>
        </w:rPr>
        <w:t>(3) The present value of lease payments includes the unguaranteed residual value of $16.4 billion</w:t>
      </w:r>
      <w:r>
        <w:rPr>
          <w:rFonts w:ascii="Times New Roman;serif" w:hAnsi="Times New Roman;serif"/>
          <w:b w:val="false"/>
          <w:color w:val="000000"/>
          <w:sz w:val="16"/>
        </w:rPr>
        <w: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 Provisions</w:t>
      </w:r>
    </w:p>
    <w:p>
      <w:pPr>
        <w:pStyle w:val="TextBody"/>
        <w:bidi w:val="0"/>
        <w:spacing w:lineRule="auto" w:line="288" w:before="180" w:after="283"/>
        <w:jc w:val="both"/>
        <w:rPr/>
      </w:pPr>
      <w:r>
        <w:rPr>
          <w:rFonts w:ascii="Times New Roman;serif" w:hAnsi="Times New Roman;serif"/>
          <w:b w:val="false"/>
          <w:color w:val="000000"/>
          <w:sz w:val="20"/>
        </w:rPr>
        <w:t>As of March 31, 2026, we owned 93 assets leased under 17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As of March 31, 2026, our lease agreements had a</w:t>
      </w:r>
      <w:r>
        <w:rPr>
          <w:color w:val="000000"/>
          <w:shd w:fill="FFFFFF" w:val="clear"/>
        </w:rPr>
        <w:t xml:space="preserve"> </w:t>
      </w:r>
      <w:r>
        <w:rPr>
          <w:rFonts w:ascii="Times New Roman;serif" w:hAnsi="Times New Roman;serif"/>
          <w:b w:val="false"/>
          <w:color w:val="000000"/>
          <w:sz w:val="20"/>
          <w:shd w:fill="FFFFFF" w:val="clear"/>
        </w:rPr>
        <w:t>weighted average lease term based on contractual rent, including extension options, of approximately 39.5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38"/>
        <w:gridCol w:w="416"/>
        <w:gridCol w:w="417"/>
        <w:gridCol w:w="109"/>
        <w:gridCol w:w="109"/>
        <w:gridCol w:w="109"/>
        <w:gridCol w:w="744"/>
        <w:gridCol w:w="555"/>
        <w:gridCol w:w="558"/>
        <w:gridCol w:w="109"/>
        <w:gridCol w:w="109"/>
        <w:gridCol w:w="109"/>
        <w:gridCol w:w="593"/>
        <w:gridCol w:w="511"/>
        <w:gridCol w:w="512"/>
        <w:gridCol w:w="109"/>
        <w:gridCol w:w="109"/>
        <w:gridCol w:w="109"/>
        <w:gridCol w:w="625"/>
        <w:gridCol w:w="495"/>
        <w:gridCol w:w="497"/>
        <w:gridCol w:w="109"/>
        <w:gridCol w:w="109"/>
        <w:gridCol w:w="109"/>
        <w:gridCol w:w="109"/>
        <w:gridCol w:w="109"/>
        <w:gridCol w:w="109"/>
        <w:gridCol w:w="109"/>
        <w:gridCol w:w="553"/>
        <w:gridCol w:w="553"/>
        <w:gridCol w:w="794"/>
      </w:tblGrid>
      <w:tr>
        <w:trPr/>
        <w:tc>
          <w:tcPr>
            <w:tcW w:w="6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MGM Grand/</w:t>
              <w:br/>
              <w:t>Mandalay Bay Lease</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2/28/2050</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ten-year terms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5/1/25 - 4/30/26 </w:t>
              <w:br/>
              <w:t>(Lease Year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11/1/25 - 10/31/26</w:t>
              <w:br/>
              <w:t>(Lease Year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11/1/25 - 10/31/26 </w:t>
              <w:br/>
              <w:t>(Lease Year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3/1/26 - 2/28/27 (Lease Year 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$774,682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$740,548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$505,678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$328,839 </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Annual escalator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2-10 - 2%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Lease years 11-end of term - &gt; 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2-15 - 2%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years 16-end of term – &gt;2% / change in CPI (capped at 3%)</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rent adjustment </w:t>
            </w:r>
            <w:r>
              <w:rPr>
                <w:rFonts w:ascii="Times New Roman;serif" w:hAnsi="Times New Roman;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Years 11 &amp; 16</w:t>
            </w:r>
            <w:r>
              <w:rPr>
                <w:rFonts w:ascii="Times New Roman;serif" w:hAnsi="Times New Roman;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4% of revenue increase/decrease:</w:t>
            </w:r>
          </w:p>
          <w:p>
            <w:pPr>
              <w:pStyle w:val="TableContents"/>
              <w:bidi w:val="0"/>
              <w:spacing w:lineRule="auto" w:line="240" w:before="0" w:after="0"/>
              <w:jc w:val="left"/>
              <w:rPr/>
            </w:pPr>
            <w:r>
              <w:rPr>
                <w:rFonts w:ascii="Times New Roman;serif" w:hAnsi="Times New Roman;serif"/>
                <w:b/>
                <w:color w:val="000000"/>
                <w:sz w:val="20"/>
              </w:rPr>
              <w:t>Year 11</w:t>
            </w:r>
            <w:r>
              <w:rPr>
                <w:rFonts w:ascii="Times New Roman;serif" w:hAnsi="Times New Roman;serif"/>
                <w:b w:val="false"/>
                <w:color w:val="000000"/>
                <w:sz w:val="20"/>
              </w:rPr>
              <w:t>: Avg. of years 8-10 less avg. of years 5-7</w:t>
            </w:r>
          </w:p>
          <w:p>
            <w:pPr>
              <w:pStyle w:val="TableContents"/>
              <w:bidi w:val="0"/>
              <w:spacing w:lineRule="auto" w:line="240" w:before="0" w:after="0"/>
              <w:jc w:val="left"/>
              <w:rPr/>
            </w:pPr>
            <w:r>
              <w:rPr>
                <w:rFonts w:ascii="Times New Roman;serif" w:hAnsi="Times New Roman;serif"/>
                <w:b/>
                <w:color w:val="000000"/>
                <w:sz w:val="20"/>
              </w:rPr>
              <w:t>Year 16</w:t>
            </w:r>
            <w:r>
              <w:rPr>
                <w:rFonts w:ascii="Times New Roman;serif" w:hAnsi="Times New Roman;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(1) On April 21, 2026, we entered into an amendment to the existing MGM Master Lease in order to account for MGM’s divestiture of the operations of Northfield Park and to reduce the annual base rent under the MGM Master Lease by the initial base rent under the Northfield Park Lease of $53.0 million.</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$730.9 million. </w:t>
      </w:r>
    </w:p>
    <w:p>
      <w:pPr>
        <w:pStyle w:val="TextBody"/>
        <w:bidi w:val="0"/>
        <w:spacing w:lineRule="auto" w:line="256" w:before="0" w:after="0"/>
        <w:jc w:val="both"/>
        <w:rPr>
          <w:rFonts w:ascii="Times New Roman;serif" w:hAnsi="Times New Roman;serif"/>
          <w:b w:val="false"/>
          <w:i/>
          <w:color w:val="000000"/>
          <w:sz w:val="16"/>
        </w:rPr>
      </w:pPr>
      <w:r>
        <w:rPr>
          <w:rFonts w:ascii="Times New Roman;serif" w:hAnsi="Times New Roman;serif"/>
          <w:b w:val="false"/>
          <w:i/>
          <w:color w:val="000000"/>
          <w:sz w:val="16"/>
        </w:rPr>
        <w:t>(3) Any amounts representing rents in excess of the CPI floors specified above are considered contingent rent in accordance with GAAP.</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Variable rent is not subject to the annual escalator.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Expenditure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494"/>
        <w:gridCol w:w="434"/>
        <w:gridCol w:w="439"/>
        <w:gridCol w:w="109"/>
        <w:gridCol w:w="109"/>
        <w:gridCol w:w="109"/>
        <w:gridCol w:w="503"/>
        <w:gridCol w:w="503"/>
        <w:gridCol w:w="505"/>
        <w:gridCol w:w="109"/>
        <w:gridCol w:w="109"/>
        <w:gridCol w:w="109"/>
        <w:gridCol w:w="431"/>
        <w:gridCol w:w="394"/>
        <w:gridCol w:w="396"/>
        <w:gridCol w:w="109"/>
        <w:gridCol w:w="109"/>
        <w:gridCol w:w="109"/>
        <w:gridCol w:w="662"/>
        <w:gridCol w:w="577"/>
        <w:gridCol w:w="580"/>
        <w:gridCol w:w="109"/>
        <w:gridCol w:w="109"/>
        <w:gridCol w:w="109"/>
        <w:gridCol w:w="109"/>
        <w:gridCol w:w="109"/>
        <w:gridCol w:w="555"/>
        <w:gridCol w:w="507"/>
        <w:gridCol w:w="509"/>
        <w:gridCol w:w="364"/>
        <w:gridCol w:w="339"/>
        <w:gridCol w:w="4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Venetian Lease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All Other Gaming Leases </w:t>
            </w:r>
            <w:r>
              <w:rPr>
                <w:rFonts w:ascii="Times New Roman;serif" w:hAnsi="Times New Roman;serif"/>
                <w:b/>
                <w:i/>
                <w:color w:val="000000"/>
                <w:sz w:val="13"/>
              </w:rPr>
              <w:t>(1)</w:t>
            </w:r>
          </w:p>
        </w:tc>
      </w:tr>
      <w:tr>
        <w:trPr/>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 of net revenues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of net revenues based on rolling three-year basis</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of net revenues</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Rolling three-year minimum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$286 million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$84 million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the tenants under our other gaming lease agreements not specifically outlined in the table, as specified in the respective lease agreements.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spend a minimum of $531.9 million on capital expenditures (including gaming equipment) across certain of its affiliates and other assets, together with the $380.3 million requirement.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Investments in Loans and Securities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in loans and securities as of March 31, 2026 and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590"/>
        <w:gridCol w:w="463"/>
        <w:gridCol w:w="453"/>
        <w:gridCol w:w="109"/>
        <w:gridCol w:w="109"/>
        <w:gridCol w:w="109"/>
        <w:gridCol w:w="216"/>
        <w:gridCol w:w="1000"/>
        <w:gridCol w:w="111"/>
        <w:gridCol w:w="109"/>
        <w:gridCol w:w="109"/>
        <w:gridCol w:w="109"/>
        <w:gridCol w:w="218"/>
        <w:gridCol w:w="1010"/>
        <w:gridCol w:w="112"/>
        <w:gridCol w:w="109"/>
        <w:gridCol w:w="109"/>
        <w:gridCol w:w="109"/>
        <w:gridCol w:w="260"/>
        <w:gridCol w:w="1206"/>
        <w:gridCol w:w="134"/>
        <w:gridCol w:w="109"/>
        <w:gridCol w:w="109"/>
        <w:gridCol w:w="109"/>
        <w:gridCol w:w="388"/>
        <w:gridCol w:w="281"/>
        <w:gridCol w:w="704"/>
        <w:gridCol w:w="109"/>
        <w:gridCol w:w="109"/>
        <w:gridCol w:w="109"/>
        <w:gridCol w:w="345"/>
        <w:gridCol w:w="345"/>
        <w:gridCol w:w="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9"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1,165,514 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1,576,563 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2,824,952 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1,420,024 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Future Funding Commitments </w:t>
            </w:r>
            <w:r>
              <w:rPr>
                <w:rFonts w:ascii="Times New Roman;serif" w:hAnsi="Times New Roman;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Interest Rate </w:t>
            </w:r>
            <w:r>
              <w:rPr>
                <w:rFonts w:ascii="Times New Roman;serif" w:hAnsi="Times New Roman;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Term </w:t>
            </w:r>
            <w:r>
              <w:rPr>
                <w:rFonts w:ascii="Times New Roman;serif" w:hAnsi="Times New Roman;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2,580,087 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623,495 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years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Carrying value includes unamortized loan origination fees and costs and are net of allowance for credit losses.</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The weighted average interest rate is based on current outstanding principal balance and SOFR, as applicable for floating rate loans, as of March 31, 2026 and December 31, 2025.</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(4) Assumes all extension options are exercised; however, our loans may be repaid, subject to certain conditions, prior to such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activity of our investments in loans and securities for the three months ended March 31, 2026 and 2025:</w:t>
      </w:r>
    </w:p>
    <w:tbl>
      <w:tblPr>
        <w:tblW w:w="5423" w:type="dxa"/>
        <w:jc w:val="left"/>
        <w:tblInd w:w="0" w:type="dxa"/>
        <w:tblLayout w:type="fixed"/>
        <w:tblCellMar>
          <w:top w:w="28" w:type="dxa"/>
          <w:left w:w="28" w:type="dxa"/>
          <w:bottom w:w="28" w:type="dxa"/>
          <w:right w:w="28" w:type="dxa"/>
        </w:tblCellMar>
      </w:tblPr>
      <w:tblGrid>
        <w:gridCol w:w="891"/>
        <w:gridCol w:w="783"/>
        <w:gridCol w:w="785"/>
        <w:gridCol w:w="211"/>
        <w:gridCol w:w="976"/>
        <w:gridCol w:w="109"/>
        <w:gridCol w:w="109"/>
        <w:gridCol w:w="109"/>
        <w:gridCol w:w="109"/>
        <w:gridCol w:w="211"/>
        <w:gridCol w:w="97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Beginning Balance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fundings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Payment-in-kind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CECL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Ending Balance March 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Note 5 — Allowance for Credit Losses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326, we are required to estimate and record a non-cash allowance for current expected credit losses, or CECL allowance,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allowance for credit losses as of March 31, 2026 and December 31, 2025:</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24,684,890 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47,883,959 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(1,627,575)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46,256,384 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Allowance </w:t>
            </w:r>
            <w:r>
              <w:rPr>
                <w:rFonts w:ascii="Times New Roman;serif" w:hAnsi="Times New Roman;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47,537,444 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45,768,089 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March 31, 2026 and December 31, 2025, such allowance is $28.5 million and $6.4 million, respectively, and is recorded in Other liabilities. </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The following chart reflects the roll-forward of the allowance for credit losses on our real estate portfolio for the three months ended March 31, 2026 and 2025:</w:t>
      </w:r>
    </w:p>
    <w:tbl>
      <w:tblPr>
        <w:tblW w:w="7837" w:type="dxa"/>
        <w:jc w:val="left"/>
        <w:tblInd w:w="0" w:type="dxa"/>
        <w:tblLayout w:type="fixed"/>
        <w:tblCellMar>
          <w:top w:w="28" w:type="dxa"/>
          <w:left w:w="28" w:type="dxa"/>
          <w:bottom w:w="28" w:type="dxa"/>
          <w:right w:w="28" w:type="dxa"/>
        </w:tblCellMar>
      </w:tblPr>
      <w:tblGrid>
        <w:gridCol w:w="1490"/>
        <w:gridCol w:w="1309"/>
        <w:gridCol w:w="1311"/>
        <w:gridCol w:w="109"/>
        <w:gridCol w:w="109"/>
        <w:gridCol w:w="109"/>
        <w:gridCol w:w="211"/>
        <w:gridCol w:w="976"/>
        <w:gridCol w:w="109"/>
        <w:gridCol w:w="109"/>
        <w:gridCol w:w="109"/>
        <w:gridCol w:w="109"/>
        <w:gridCol w:w="211"/>
        <w:gridCol w:w="976"/>
        <w:gridCol w:w="109"/>
        <w:gridCol w:w="109"/>
        <w:gridCol w:w="109"/>
        <w:gridCol w:w="109"/>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recognized a $118.8 million decrease in our allowance for credit losses primarily driven by positive changes in the macroeconomic forecast during the current quarter and the equity market performance of our tenants, both of which impact the reasonable and supportable period, or R&amp;S Period, probability of default, or PD, and standard annual updates to the CECL model used and certain related inputs, which decreased the estimate used for the Long-Term Period PD. The decrease was partially offset by recording an initial CECL allowance of $39.9 million on our $1.5 billion of debt investment activity and adjustments made to the inputs used in the CECL allowance calculation for certain of our loan investments.</w:t>
      </w:r>
    </w:p>
    <w:p>
      <w:pPr>
        <w:pStyle w:val="TextBody"/>
        <w:bidi w:val="0"/>
        <w:spacing w:lineRule="auto" w:line="288" w:before="180" w:after="283"/>
        <w:jc w:val="both"/>
        <w:rPr/>
      </w:pPr>
      <w:r>
        <w:rPr>
          <w:rFonts w:ascii="Times New Roman;serif" w:hAnsi="Times New Roman;serif"/>
          <w:b w:val="false"/>
          <w:color w:val="000000"/>
          <w:sz w:val="20"/>
          <w:shd w:fill="FFFFFF" w:val="clear"/>
        </w:rPr>
        <w:t>During the three months ended March 31, 2025, we recognized a $187.0 million</w:t>
      </w:r>
      <w:r>
        <w:rPr>
          <w:color w:val="000000"/>
        </w:rPr>
        <w:t xml:space="preserve"> </w:t>
      </w:r>
      <w:r>
        <w:rPr>
          <w:rFonts w:ascii="Times New Roman;serif" w:hAnsi="Times New Roman;serif"/>
          <w:b w:val="false"/>
          <w:color w:val="000000"/>
          <w:sz w:val="20"/>
        </w:rPr>
        <w:t xml:space="preserve">increase in our allowance for credit losses primarily driven by an increase in the R&amp;S Period PD as a result of the equity market performance of our tenants and their parent guarantors, as applicable, and negative changes in the macroeconomic forecast during the quarter. In addition,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recorded an initial CECL allowance of $3.5 million on our $300.0 million of debt investment activity during the period. The increase was partially offset by standard annual updates to the CECL model used and certain related inputs, which decreased the estimate used for the Long-Term Period PD.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have one fully funded senior secured loan collateralized by a luxury golf-resort development with an unpaid principal balance of $82.8 million on non-accrual status.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Quality Indicators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tables detail the amortized cost basis and year of origination of our </w:t>
      </w:r>
      <w:r>
        <w:rPr>
          <w:rFonts w:ascii="Times New Roman;serif" w:hAnsi="Times New Roman;serif"/>
          <w:b w:val="false"/>
          <w:color w:val="000000"/>
          <w:sz w:val="20"/>
        </w:rPr>
        <w:t xml:space="preserve">Investments in leases - sales-type and financing receivables, Investments in loans and securities and Other assets </w:t>
      </w:r>
      <w:r>
        <w:rPr>
          <w:rFonts w:ascii="Times New Roman;serif" w:hAnsi="Times New Roman;serif"/>
          <w:b w:val="false"/>
          <w:color w:val="000000"/>
          <w:sz w:val="20"/>
          <w:shd w:fill="FFFFFF" w:val="clear"/>
        </w:rPr>
        <w:t xml:space="preserve">by the credit quality indicator we assigned to each lease or loan guarantor as of March 31,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tbl>
      <w:tblPr>
        <w:tblW w:w="11770"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March 31, 2026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33,844,187 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21,553,314 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22,860,651 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47,883,959 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20"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Amortized Cost Basis by Year of Origination as of December 31, 2025 </w:t>
            </w:r>
            <w:r>
              <w:rPr>
                <w:rFonts w:ascii="Times New Roman;serif" w:hAnsi="Times New Roman;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18,458,589 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33,748,562 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 </w:t>
            </w:r>
            <w:r>
              <w:rPr>
                <w:rFonts w:ascii="Times New Roman;serif" w:hAnsi="Times New Roman;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47,537,444 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(2)We estimate the CECL allowance for our loan investments, and certain of our lease investments with similar credit characteristics,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6 — Other Assets and Other Liabilities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assets as of March 31, 2026 and December 31, 2025:</w:t>
      </w:r>
    </w:p>
    <w:tbl>
      <w:tblPr>
        <w:tblW w:w="7442" w:type="dxa"/>
        <w:jc w:val="left"/>
        <w:tblInd w:w="0" w:type="dxa"/>
        <w:tblLayout w:type="fixed"/>
        <w:tblCellMar>
          <w:top w:w="28" w:type="dxa"/>
          <w:left w:w="28" w:type="dxa"/>
          <w:bottom w:w="28" w:type="dxa"/>
          <w:right w:w="28" w:type="dxa"/>
        </w:tblCellMar>
      </w:tblPr>
      <w:tblGrid>
        <w:gridCol w:w="1533"/>
        <w:gridCol w:w="1347"/>
        <w:gridCol w:w="1350"/>
        <w:gridCol w:w="211"/>
        <w:gridCol w:w="976"/>
        <w:gridCol w:w="109"/>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Sales-type sub-leases, net </w:t>
            </w:r>
            <w:r>
              <w:rPr>
                <w:rFonts w:ascii="Times New Roman;serif" w:hAnsi="Times New Roman;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used in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and sub-lease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reimbursement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(1) As of March 31, 2026 and December 31, 2025, sales-type sub-leases are net of $20.4 million and $23.9 million of Allowance for credit losses, respectively. Refer to </w:t>
      </w:r>
      <w:hyperlink w:anchor="idbae37a7dc3f44028d7360bd42dcb966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other liabilities as of March 31, 2026 and December 31, 2025:</w:t>
      </w:r>
    </w:p>
    <w:tbl>
      <w:tblPr>
        <w:tblW w:w="6947" w:type="dxa"/>
        <w:jc w:val="left"/>
        <w:tblInd w:w="0" w:type="dxa"/>
        <w:tblLayout w:type="fixed"/>
        <w:tblCellMar>
          <w:top w:w="28" w:type="dxa"/>
          <w:left w:w="28" w:type="dxa"/>
          <w:bottom w:w="28" w:type="dxa"/>
          <w:right w:w="28" w:type="dxa"/>
        </w:tblCellMar>
      </w:tblPr>
      <w:tblGrid>
        <w:gridCol w:w="1354"/>
        <w:gridCol w:w="1189"/>
        <w:gridCol w:w="1192"/>
        <w:gridCol w:w="211"/>
        <w:gridCol w:w="976"/>
        <w:gridCol w:w="109"/>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sub-lease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sub-lease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allowance for unfunded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color w:val="000000"/>
          <w:sz w:val="24"/>
        </w:rPr>
      </w:pPr>
      <w:r>
        <w:rPr>
          <w:rFonts w:ascii="Times New Roman;serif" w:hAnsi="Times New Roman;serif"/>
          <w:b/>
          <w:color w:val="000000"/>
          <w:sz w:val="24"/>
        </w:rPr>
        <w:t xml:space="preserve">Note 7— Debt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our debt obligations as of March 31, 2026 and December 31, 2025:</w:t>
      </w:r>
    </w:p>
    <w:tbl>
      <w:tblPr>
        <w:tblW w:w="10205" w:type="dxa"/>
        <w:jc w:val="left"/>
        <w:tblInd w:w="0" w:type="dxa"/>
        <w:tblLayout w:type="fixed"/>
        <w:tblCellMar>
          <w:top w:w="28" w:type="dxa"/>
          <w:left w:w="28" w:type="dxa"/>
          <w:bottom w:w="28" w:type="dxa"/>
          <w:right w:w="28" w:type="dxa"/>
        </w:tblCellMar>
      </w:tblPr>
      <w:tblGrid>
        <w:gridCol w:w="1103"/>
        <w:gridCol w:w="936"/>
        <w:gridCol w:w="935"/>
        <w:gridCol w:w="109"/>
        <w:gridCol w:w="109"/>
        <w:gridCol w:w="109"/>
        <w:gridCol w:w="535"/>
        <w:gridCol w:w="508"/>
        <w:gridCol w:w="516"/>
        <w:gridCol w:w="109"/>
        <w:gridCol w:w="109"/>
        <w:gridCol w:w="109"/>
        <w:gridCol w:w="461"/>
        <w:gridCol w:w="446"/>
        <w:gridCol w:w="448"/>
        <w:gridCol w:w="109"/>
        <w:gridCol w:w="109"/>
        <w:gridCol w:w="109"/>
        <w:gridCol w:w="220"/>
        <w:gridCol w:w="1133"/>
        <w:gridCol w:w="113"/>
        <w:gridCol w:w="109"/>
        <w:gridCol w:w="109"/>
        <w:gridCol w:w="109"/>
        <w:gridCol w:w="223"/>
        <w:gridCol w:w="1149"/>
        <w:gridCol w:w="171"/>
      </w:tblGrid>
      <w:tr>
        <w:trPr/>
        <w:tc>
          <w:tcPr>
            <w:tcW w:w="110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CAD Borrowings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5.689%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5.601%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4.464%</w:t>
            </w:r>
            <w:r>
              <w:rPr>
                <w:color w:val="000000"/>
              </w:rPr>
              <w:t xml:space="preserve">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17,090,394 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16,787,100 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02"/>
        <w:gridCol w:w="935"/>
        <w:gridCol w:w="934"/>
        <w:gridCol w:w="109"/>
        <w:gridCol w:w="109"/>
        <w:gridCol w:w="109"/>
        <w:gridCol w:w="535"/>
        <w:gridCol w:w="508"/>
        <w:gridCol w:w="516"/>
        <w:gridCol w:w="109"/>
        <w:gridCol w:w="109"/>
        <w:gridCol w:w="109"/>
        <w:gridCol w:w="464"/>
        <w:gridCol w:w="446"/>
        <w:gridCol w:w="448"/>
        <w:gridCol w:w="109"/>
        <w:gridCol w:w="109"/>
        <w:gridCol w:w="109"/>
        <w:gridCol w:w="220"/>
        <w:gridCol w:w="1133"/>
        <w:gridCol w:w="113"/>
        <w:gridCol w:w="109"/>
        <w:gridCol w:w="109"/>
        <w:gridCol w:w="109"/>
        <w:gridCol w:w="223"/>
        <w:gridCol w:w="1149"/>
        <w:gridCol w:w="171"/>
      </w:tblGrid>
      <w:tr>
        <w:trPr/>
        <w:tc>
          <w:tcPr>
            <w:tcW w:w="110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val="false"/>
                <w:i/>
                <w:color w:val="000000"/>
                <w:sz w:val="13"/>
              </w:rPr>
              <w:t>(1)</w:t>
            </w:r>
          </w:p>
        </w:tc>
      </w:tr>
      <w:tr>
        <w:trPr/>
        <w:tc>
          <w:tcPr>
            <w:tcW w:w="2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USD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CAD Borrowings</w:t>
            </w:r>
            <w:r>
              <w:rPr>
                <w:color w:val="000000"/>
              </w:rPr>
              <w:t xml:space="preserve"> </w:t>
            </w:r>
            <w:r>
              <w:rPr>
                <w:rFonts w:ascii="Times New Roman;serif" w:hAnsi="Times New Roman;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4.516%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4.541% </w:t>
            </w:r>
            <w:r>
              <w:rPr>
                <w:rFonts w:ascii="Times New Roman;serif" w:hAnsi="Times New Roman;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rPr>
              <w:t xml:space="preserve">4.969%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3.980%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5.689%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5.601%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4.464%</w:t>
            </w:r>
            <w:r>
              <w:rPr>
                <w:color w:val="000000"/>
              </w:rPr>
              <w:t xml:space="preserve"> </w:t>
            </w:r>
            <w:r>
              <w:rPr>
                <w:rFonts w:ascii="Times New Roman;serif" w:hAnsi="Times New Roman;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17,092,453 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(2)Borrowings under the Revolving Credit Facility bear interest at a rate based on a credit rating-based pricing grid with a range of 0.70% to 1.40% margin plus SOFR (or Canadian Overnight Repo Rate Average (“CORRA”) or Sterling Overnight Index Average (“SONIA”), as applicable), depending on our credit ratings and total leverage ratio. Additionally, the commitment fees under the Revolving Credit Facility are calculated on a credit rating-based pricing grid with a range of 0.10% to 0.30%, depending on our credit ratings and total leverage ratio. For the three months ended March 31, 2026, the commitment fee for the Revolving Credit Facility averaged 0.20%.</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(3)Interest rates represent the contractual interest rates adjusted to account for the impact of the forward-starting interest rate swaps and treasury locks (as further described in </w:t>
      </w:r>
      <w:hyperlink w:anchor="idbae37a7dc3f44028d7360bd42dcb966_73">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xml:space="preserve">). The contractual interest rates on the April 2022 Notes (as defined below) maturing 2028, 2030 and 2032 are 4.750%, 4.950% and 5.125%, respectively, the contractual interest rate on the March 2024 Notes (as defined below) maturing 2034 is 5.750%,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contractual interest rate on the December 2024 Notes (as defined below) maturing 2031 is 5.125%, and the contractual interest rate on the April 2025 Notes (as defined below) maturing 2035 is 5.625%.</w:t>
      </w:r>
    </w:p>
    <w:p>
      <w:pPr>
        <w:pStyle w:val="TextBody"/>
        <w:bidi w:val="0"/>
        <w:spacing w:lineRule="auto" w:line="288" w:before="0" w:after="0"/>
        <w:ind w:left="0" w:right="0" w:hanging="360"/>
        <w:jc w:val="both"/>
        <w:rPr/>
      </w:pPr>
      <w:r>
        <w:rPr>
          <w:rFonts w:ascii="Times New Roman;serif" w:hAnsi="Times New Roman;serif"/>
          <w:b w:val="false"/>
          <w:i/>
          <w:color w:val="000000"/>
          <w:sz w:val="16"/>
        </w:rPr>
        <w:t xml:space="preserve">(4)The interest rate represents the weighted average interest rates of the Senior Unsecured Notes adjusted to account for the impact of the forward-starting interest rate swaps (as further described in </w:t>
      </w:r>
      <w:hyperlink w:anchor="idbae37a7dc3f44028d7360bd42dcb966_73">
        <w:r>
          <w:rPr>
            <w:rStyle w:val="InternetLink"/>
            <w:rFonts w:ascii="Times New Roman;serif" w:hAnsi="Times New Roman;serif"/>
            <w:b w:val="false"/>
            <w:i/>
            <w:color w:val="0000FF"/>
            <w:sz w:val="16"/>
            <w:u w:val="single"/>
          </w:rPr>
          <w:t>Note 8 – Derivatives</w:t>
        </w:r>
      </w:hyperlink>
      <w:r>
        <w:rPr>
          <w:rFonts w:ascii="Times New Roman;serif" w:hAnsi="Times New Roman;serif"/>
          <w:b w:val="false"/>
          <w:i/>
          <w:color w:val="000000"/>
          <w:sz w:val="16"/>
        </w:rPr>
        <w:t>), as applicable. The contractual weighted average interest rate as of March 31, 2026, which excludes the impact of the forward-starting interest rate swaps and treasury locks, was 4.62%.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schedule of future minimum principal payments of our debt obligations as of March 31, 2026:</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1,890,394 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17,090,394 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set forth in the above table, as of March 31, 2026, our outstanding senior unsecured notes consist of (i) $2.25 billion aggregate principal amount of Senior Notes issued on November 26, 2019 (the “November 2019 Notes”), (ii) $1.75 billion aggregate principal amount of Senior Notes issued on February 5, 2020 (the “February 2020 Notes”), (iii) $4.50 billion aggregate principal amount of Senior Notes issued on April 29, 2022 (the “April 2022 Notes”), (iv) approximately $2.3 billion aggregate principal amount of Senior Notes issued on April 29, 2022, in each case issued by VICI LP and VICI Note Co. Inc. (the “Exchange Notes”), (v) approximately $63.6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 (vi) $1.05 billion aggregate principal amount of Senior Notes issued on March 18, 2024 (the “March 2024 Notes”), (vii) $750.0 million aggregate principal amount of Senior Notes issued on December 19, 2024, (the “December 2024 Notes”), and (viii) $1.3 billion aggregate principal amount of Senior Notes issued on April 7, 2025 (the “April 2025 Notes”). The outstanding November 2019 Notes, February 2020 Notes, April 2022 Notes, Exchange Notes, MGP OP Notes, March 2024 Notes, December 2024 Notes and April 2025 Notes are collectively referred to as the “Senior Unsecured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of the applicable indentures (including supplemental indentures, collectively “indentures”), each series of Senior Unsecured Notes is redeemable at our option, in whole or in part, at any time for a specified period prior to the maturity date of such series at the redemption prices set forth in the applicable indenture. In addition, we may redeem some or all of such notes prior to such respective dates at a price equal to 100% of the principal amount thereof plus a “make-whole” premium or on such other terms as specified in the applicable indenture.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Guarantee and 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Senior Unsecured Notes are guaranteed by any subsidiaries of VICI LP. The Exchange Notes, the MGP OP Notes, the April 2022 Notes, the March 2024 Notes, the December 2024 Notes and the April 2025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currently are not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indentures governing each of the April 2022 Notes, March 2024 Notes, December 2024 Notes and April 2025 Notes contain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Unsecured Credit Facilities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w:t>
      </w:r>
    </w:p>
    <w:p>
      <w:pPr>
        <w:pStyle w:val="TextBody"/>
        <w:bidi w:val="0"/>
        <w:spacing w:lineRule="auto" w:line="288" w:before="180" w:after="283"/>
        <w:jc w:val="both"/>
        <w:rPr/>
      </w:pPr>
      <w:r>
        <w:rPr>
          <w:rFonts w:ascii="Times New Roman;serif" w:hAnsi="Times New Roman;serif"/>
          <w:b w:val="false"/>
          <w:color w:val="000000"/>
          <w:sz w:val="20"/>
        </w:rPr>
        <w:t xml:space="preserve">The Revolving Credit Facility includes two six-month maturity extension options </w:t>
      </w:r>
      <w:r>
        <w:rPr>
          <w:rFonts w:ascii="Times New Roman;serif" w:hAnsi="Times New Roman;serif"/>
          <w:b w:val="false"/>
          <w:color w:val="000000"/>
          <w:sz w:val="20"/>
          <w:shd w:fill="FFFFFF" w:val="clear"/>
        </w:rPr>
        <w:t>(or one twelve-month extension option)</w:t>
      </w:r>
      <w:r>
        <w:rPr>
          <w:rFonts w:ascii="Times New Roman;serif" w:hAnsi="Times New Roman;serif"/>
          <w:b w:val="false"/>
          <w:color w:val="000000"/>
          <w:sz w:val="20"/>
        </w:rPr>
        <w:t>, the exercise of which in each case is subject to customary conditions and the payment of an extension fee of (i) 0.0625% on the extended commitments</w:t>
      </w:r>
      <w:r>
        <w:rPr>
          <w:rFonts w:ascii="Times New Roman;serif" w:hAnsi="Times New Roman;serif"/>
          <w:b w:val="false"/>
          <w:color w:val="000000"/>
          <w:sz w:val="20"/>
          <w:shd w:fill="FFFFFF" w:val="clear"/>
        </w:rPr>
        <w:t>, in the case of each six-month extension of the Revolving Credit Facility, and (ii) 0.125% on the extended commitments, in the case of a twelve-month extension of the Revolving Credit Facility</w:t>
      </w:r>
      <w:r>
        <w:rPr>
          <w:rFonts w:ascii="Times New Roman;serif" w:hAnsi="Times New Roman;serif"/>
          <w:b w:val="false"/>
          <w:color w:val="000000"/>
          <w:sz w:val="20"/>
        </w:rPr>
        <w:t xml:space="preserve">. The Revolving Credit Facility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180" w:after="283"/>
        <w:jc w:val="both"/>
        <w:rPr/>
      </w:pPr>
      <w:r>
        <w:rPr>
          <w:rFonts w:ascii="Times New Roman;serif" w:hAnsi="Times New Roman;serif"/>
          <w:b w:val="false"/>
          <w:color w:val="000000"/>
          <w:sz w:val="20"/>
          <w:shd w:fill="FFFFFF" w:val="clear"/>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w:t>
      </w:r>
      <w:r>
        <w:rPr>
          <w:color w:val="000000"/>
        </w:rPr>
        <w:t xml:space="preserve"> </w:t>
      </w:r>
      <w:r>
        <w:rPr>
          <w:rFonts w:ascii="Times New Roman;serif" w:hAnsi="Times New Roman;serif"/>
          <w:b w:val="false"/>
          <w:color w:val="000000"/>
          <w:sz w:val="20"/>
          <w:shd w:fill="FFFFFF" w:val="clear"/>
        </w:rPr>
        <w:t>In addition to U.S. Dollar borrowings, borrowings under the Revolving Credit Facility are also available in certain specific foreign currencies, bearing interest based on rates customary for such foreign currencies and subject to the same applicable margins for U.S. Dollar borrowings.</w:t>
      </w:r>
      <w:r>
        <w:rPr>
          <w:color w:val="000000"/>
        </w:rPr>
        <w:t xml:space="preserve"> </w:t>
      </w:r>
      <w:r>
        <w:rPr>
          <w:rFonts w:ascii="Times New Roman;serif" w:hAnsi="Times New Roman;serif"/>
          <w:b w:val="false"/>
          <w:color w:val="000000"/>
          <w:sz w:val="20"/>
          <w:shd w:fill="FFFFFF" w:val="clear"/>
        </w:rPr>
        <w:t xml:space="preserve">In addition, the Revolving Credit Facility requires the payment of a facility fee ranging from 0.10% to 0.30% (depending on VICI LP’s debt ratings and total leverage ratio) of total commitments. The Revolving Credit Facility may be voluntarily prepaid in full or in part at any time, subject to customary breakage costs, if applicable. </w:t>
      </w:r>
    </w:p>
    <w:p>
      <w:pPr>
        <w:pStyle w:val="TextBody"/>
        <w:bidi w:val="0"/>
        <w:spacing w:lineRule="auto" w:line="288" w:before="180" w:after="283"/>
        <w:jc w:val="both"/>
        <w:rPr/>
      </w:pPr>
      <w:r>
        <w:rPr>
          <w:rFonts w:ascii="Times New Roman;serif" w:hAnsi="Times New Roman;serif"/>
          <w:b w:val="false"/>
          <w:color w:val="000000"/>
          <w:sz w:val="20"/>
          <w:shd w:fill="FFFFFF" w:val="clear"/>
        </w:rPr>
        <w:t>The Credit Agreement contains customary representations and warranties and affirmative, negative and financial covenants.</w:t>
      </w:r>
      <w:r>
        <w:rPr>
          <w:color w:val="000000"/>
        </w:rPr>
        <w:t xml:space="preserve"> </w:t>
      </w:r>
      <w:r>
        <w:rPr>
          <w:rFonts w:ascii="Times New Roman;serif" w:hAnsi="Times New Roman;serif"/>
          <w:b w:val="false"/>
          <w:color w:val="000000"/>
          <w:sz w:val="20"/>
          <w:shd w:fill="FFFFFF" w:val="clear"/>
        </w:rPr>
        <w:t xml:space="preserve">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w:t>
      </w:r>
      <w:r>
        <w:rPr>
          <w:rFonts w:ascii="Times New Roman;serif" w:hAnsi="Times New Roman;serif"/>
          <w:b w:val="false"/>
          <w:color w:val="000000"/>
          <w:sz w:val="20"/>
        </w:rPr>
        <w:t>The Credit Agreement is consistent with certain tax-related requirements related to security for our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C$165.0 million and £16.5 million outstanding on the Revolving Credit Facility in connection with the funding of a portion of our Canadian investments and our United Kingdom investments,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MGM Grand/Mandalay Bay CMBS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in the real estate assets of the MGM Grand and Mandalay Bay, through an entity that holds these assets (the “MGM Grand/Mandalay Bay PropCo”), is financed with CMBS debt (the “MGM Grand/Mandalay Bay CMBS Debt”) and is secured primarily by mortgages on our fee interest in the real estate assets of these two properties. The MGM Grand/Mandalay Bay CMBS Debt has a current outstanding principal balance of $3.0 billion, matures in March 2032 and bears interest at 3.558% per annum until March 2030, at which time the rate can change in accordance with the terms of the MGM Grand/Mandalay Bay CMBS loan agreement until maturity. The MGM Grand/Mandalay Bay CMBS loan agreement contains certain customary affirmative and negative covenants and events of default, including, among other things, restrictions on the ability of the MGM Grand/Mandalay Bay PropCo and certain of its affiliates to incur additional debt and transfer, pledge or assign certain equity interests or its assets, and covenants requiring certain affiliates of the MGM Grand/Mandalay Bay PropCo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Financial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March 31, 2026,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8 — Derivatives </w:t>
      </w:r>
    </w:p>
    <w:p>
      <w:pPr>
        <w:pStyle w:val="TextBody"/>
        <w:bidi w:val="0"/>
        <w:spacing w:lineRule="auto" w:line="288" w:before="180" w:after="283"/>
        <w:jc w:val="both"/>
        <w:rPr>
          <w:rFonts w:ascii="Times New Roman;serif" w:hAnsi="Times New Roman;serif"/>
          <w:b/>
          <w:i/>
          <w:color w:val="231F20"/>
          <w:sz w:val="20"/>
        </w:rPr>
      </w:pPr>
      <w:r>
        <w:rPr>
          <w:rFonts w:ascii="Times New Roman;serif" w:hAnsi="Times New Roman;serif"/>
          <w:b/>
          <w:i/>
          <w:color w:val="231F20"/>
          <w:sz w:val="20"/>
        </w:rPr>
        <w:t>Interest-Rate Derivatives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Outstanding Derivatives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our outstanding interest rate derivatives that were designated as cash flow hedges of interest rate risk as of March 31, 2026. There were no derivative instruments outstanding as of December 31, 2025.</w:t>
      </w:r>
    </w:p>
    <w:tbl>
      <w:tblPr>
        <w:tblW w:w="10205" w:type="dxa"/>
        <w:jc w:val="left"/>
        <w:tblInd w:w="0" w:type="dxa"/>
        <w:tblLayout w:type="fixed"/>
        <w:tblCellMar>
          <w:top w:w="28" w:type="dxa"/>
          <w:left w:w="28" w:type="dxa"/>
          <w:bottom w:w="28" w:type="dxa"/>
          <w:right w:w="28" w:type="dxa"/>
        </w:tblCellMar>
      </w:tblPr>
      <w:tblGrid>
        <w:gridCol w:w="986"/>
        <w:gridCol w:w="600"/>
        <w:gridCol w:w="589"/>
        <w:gridCol w:w="109"/>
        <w:gridCol w:w="109"/>
        <w:gridCol w:w="109"/>
        <w:gridCol w:w="495"/>
        <w:gridCol w:w="495"/>
        <w:gridCol w:w="496"/>
        <w:gridCol w:w="109"/>
        <w:gridCol w:w="109"/>
        <w:gridCol w:w="109"/>
        <w:gridCol w:w="309"/>
        <w:gridCol w:w="247"/>
        <w:gridCol w:w="240"/>
        <w:gridCol w:w="109"/>
        <w:gridCol w:w="109"/>
        <w:gridCol w:w="109"/>
        <w:gridCol w:w="211"/>
        <w:gridCol w:w="826"/>
        <w:gridCol w:w="109"/>
        <w:gridCol w:w="109"/>
        <w:gridCol w:w="109"/>
        <w:gridCol w:w="109"/>
        <w:gridCol w:w="610"/>
        <w:gridCol w:w="610"/>
        <w:gridCol w:w="615"/>
        <w:gridCol w:w="109"/>
        <w:gridCol w:w="109"/>
        <w:gridCol w:w="109"/>
        <w:gridCol w:w="329"/>
        <w:gridCol w:w="329"/>
        <w:gridCol w:w="474"/>
      </w:tblGrid>
      <w:tr>
        <w:trPr/>
        <w:tc>
          <w:tcPr>
            <w:tcW w:w="98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USD-SOFR-OIS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2036</w:t>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Settled Derivatives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tbl>
      <w:tblPr>
        <w:tblW w:w="10205" w:type="dxa"/>
        <w:jc w:val="left"/>
        <w:tblInd w:w="0" w:type="dxa"/>
        <w:tblLayout w:type="fixed"/>
        <w:tblCellMar>
          <w:top w:w="28" w:type="dxa"/>
          <w:left w:w="28" w:type="dxa"/>
          <w:bottom w:w="28" w:type="dxa"/>
          <w:right w:w="28" w:type="dxa"/>
        </w:tblCellMar>
      </w:tblPr>
      <w:tblGrid>
        <w:gridCol w:w="508"/>
        <w:gridCol w:w="388"/>
        <w:gridCol w:w="389"/>
        <w:gridCol w:w="109"/>
        <w:gridCol w:w="109"/>
        <w:gridCol w:w="109"/>
        <w:gridCol w:w="370"/>
        <w:gridCol w:w="370"/>
        <w:gridCol w:w="371"/>
        <w:gridCol w:w="109"/>
        <w:gridCol w:w="109"/>
        <w:gridCol w:w="109"/>
        <w:gridCol w:w="654"/>
        <w:gridCol w:w="654"/>
        <w:gridCol w:w="659"/>
        <w:gridCol w:w="109"/>
        <w:gridCol w:w="109"/>
        <w:gridCol w:w="109"/>
        <w:gridCol w:w="462"/>
        <w:gridCol w:w="462"/>
        <w:gridCol w:w="464"/>
        <w:gridCol w:w="109"/>
        <w:gridCol w:w="109"/>
        <w:gridCol w:w="109"/>
        <w:gridCol w:w="231"/>
        <w:gridCol w:w="907"/>
        <w:gridCol w:w="119"/>
        <w:gridCol w:w="109"/>
        <w:gridCol w:w="109"/>
        <w:gridCol w:w="109"/>
        <w:gridCol w:w="415"/>
        <w:gridCol w:w="854"/>
        <w:gridCol w:w="293"/>
      </w:tblGrid>
      <w:tr>
        <w:trPr/>
        <w:tc>
          <w:tcPr>
            <w:tcW w:w="5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Settlement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Net Proceeds/(Payments)</w:t>
            </w:r>
          </w:p>
        </w:tc>
      </w:tr>
      <w:tr>
        <w:trPr/>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202,289 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Rate Lock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2635"/>
        <w:gridCol w:w="2302"/>
        <w:gridCol w:w="2313"/>
        <w:gridCol w:w="230"/>
        <w:gridCol w:w="675"/>
        <w:gridCol w:w="118"/>
        <w:gridCol w:w="118"/>
        <w:gridCol w:w="118"/>
        <w:gridCol w:w="118"/>
        <w:gridCol w:w="230"/>
        <w:gridCol w:w="740"/>
        <w:gridCol w:w="118"/>
        <w:gridCol w:w="109"/>
        <w:gridCol w:w="109"/>
        <w:gridCol w:w="109"/>
        <w:gridCol w:w="163"/>
      </w:tblGrid>
      <w:tr>
        <w:trPr/>
        <w:tc>
          <w:tcPr>
            <w:tcW w:w="263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7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recorded in other comprehensive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interest expense related to the amortization of the forward-starting interest rate swaps and treasury locks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foreign transactions in Canada and the United Kingdom, we currently have C$165.0 million and £16.5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months ended March 31, 2026, we recognized $2.1 million in unrealized gains related to such net investment hedges, and for the three months ended March 31, 2025, we recognized $0.6 million in unrealized losses,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9 — Fair Value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assets and liabilities measured at fair value on a recurring basis as of March 31, 2026 and December 31, 2025.</w:t>
      </w:r>
    </w:p>
    <w:tbl>
      <w:tblPr>
        <w:tblW w:w="10103" w:type="dxa"/>
        <w:jc w:val="left"/>
        <w:tblInd w:w="0" w:type="dxa"/>
        <w:tblLayout w:type="fixed"/>
        <w:tblCellMar>
          <w:top w:w="28" w:type="dxa"/>
          <w:left w:w="28" w:type="dxa"/>
          <w:bottom w:w="28" w:type="dxa"/>
          <w:right w:w="28" w:type="dxa"/>
        </w:tblCellMar>
      </w:tblPr>
      <w:tblGrid>
        <w:gridCol w:w="1875"/>
        <w:gridCol w:w="1648"/>
        <w:gridCol w:w="1651"/>
        <w:gridCol w:w="338"/>
        <w:gridCol w:w="987"/>
        <w:gridCol w:w="174"/>
        <w:gridCol w:w="109"/>
        <w:gridCol w:w="109"/>
        <w:gridCol w:w="109"/>
        <w:gridCol w:w="213"/>
        <w:gridCol w:w="411"/>
        <w:gridCol w:w="110"/>
        <w:gridCol w:w="109"/>
        <w:gridCol w:w="109"/>
        <w:gridCol w:w="109"/>
        <w:gridCol w:w="211"/>
        <w:gridCol w:w="616"/>
        <w:gridCol w:w="109"/>
        <w:gridCol w:w="109"/>
        <w:gridCol w:w="109"/>
        <w:gridCol w:w="109"/>
        <w:gridCol w:w="213"/>
        <w:gridCol w:w="411"/>
        <w:gridCol w:w="155"/>
      </w:tblGrid>
      <w:tr>
        <w:trPr/>
        <w:tc>
          <w:tcPr>
            <w:tcW w:w="1875"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Derivative instruments – forward-starting interest rate swaps </w:t>
            </w:r>
            <w:r>
              <w:rPr>
                <w:rFonts w:ascii="Times New Roman;serif" w:hAnsi="Times New Roman;serif"/>
                <w:b w:val="false"/>
                <w:i/>
                <w:color w:val="000000"/>
                <w:sz w:val="13"/>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tbl>
      <w:tblPr>
        <w:tblW w:w="7240" w:type="dxa"/>
        <w:jc w:val="left"/>
        <w:tblInd w:w="0" w:type="dxa"/>
        <w:tblLayout w:type="fixed"/>
        <w:tblCellMar>
          <w:top w:w="28" w:type="dxa"/>
          <w:left w:w="28" w:type="dxa"/>
          <w:bottom w:w="28" w:type="dxa"/>
          <w:right w:w="28" w:type="dxa"/>
        </w:tblCellMar>
      </w:tblPr>
      <w:tblGrid>
        <w:gridCol w:w="799"/>
        <w:gridCol w:w="702"/>
        <w:gridCol w:w="704"/>
        <w:gridCol w:w="304"/>
        <w:gridCol w:w="1039"/>
        <w:gridCol w:w="157"/>
        <w:gridCol w:w="109"/>
        <w:gridCol w:w="109"/>
        <w:gridCol w:w="109"/>
        <w:gridCol w:w="213"/>
        <w:gridCol w:w="411"/>
        <w:gridCol w:w="110"/>
        <w:gridCol w:w="109"/>
        <w:gridCol w:w="109"/>
        <w:gridCol w:w="109"/>
        <w:gridCol w:w="211"/>
        <w:gridCol w:w="721"/>
        <w:gridCol w:w="109"/>
        <w:gridCol w:w="109"/>
        <w:gridCol w:w="109"/>
        <w:gridCol w:w="109"/>
        <w:gridCol w:w="213"/>
        <w:gridCol w:w="411"/>
        <w:gridCol w:w="155"/>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Short-term investments </w:t>
            </w:r>
            <w:r>
              <w:rPr>
                <w:rFonts w:ascii="Times New Roman;serif" w:hAnsi="Times New Roman;serif"/>
                <w:b w:val="false"/>
                <w:i/>
                <w:color w:val="000000"/>
                <w:sz w:val="13"/>
              </w:rPr>
              <w:t>(2)</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(2)The carrying value of these investments is equal to their fair value due to the short-term nature of the investments, as well as their credit quality.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our financial instruments as of March 31, 2026 and December 31, 2025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leases – financing receivables </w:t>
            </w:r>
            <w:r>
              <w:rPr>
                <w:rFonts w:ascii="Times New Roman;serif" w:hAnsi="Times New Roman;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18,806,242 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18,030,775 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loans and securities </w:t>
            </w:r>
            <w:r>
              <w:rPr>
                <w:rFonts w:ascii="Times New Roman;serif" w:hAnsi="Times New Roman;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Debt </w:t>
            </w:r>
            <w:r>
              <w:rPr>
                <w:rFonts w:ascii="Times New Roman;serif" w:hAnsi="Times New Roman;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2,827,515 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13,812,501 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13,803,273 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10 — Commitments and Contingent Liabilities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from time to time, we may be subject to legal claims and administrative proceedings. As of March 31, 2026,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Operating Lease Commitments. </w:t>
      </w:r>
      <w:r>
        <w:rPr>
          <w:rFonts w:ascii="Times New Roman;serif" w:hAnsi="Times New Roman;serif"/>
          <w:b w:val="false"/>
          <w:color w:val="000000"/>
          <w:sz w:val="20"/>
        </w:rPr>
        <w:t xml:space="preserve">We are liable under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Sub-Lease Commitments. </w:t>
      </w:r>
      <w:r>
        <w:rPr>
          <w:rFonts w:ascii="Times New Roman;serif" w:hAnsi="Times New Roman;serif"/>
          <w:b w:val="false"/>
          <w:color w:val="000000"/>
          <w:sz w:val="20"/>
        </w:rPr>
        <w:t>Certain of our acquisitions necessitate that we assume, as the lessee, ground and use leases that may be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determined we are the primary obligor of certain of such ground and use leases and, accordingly, have presented these leases on a gross basis on our Balance Sheet and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ground and use leases determined to be operating leases, we recorded sub-lease right-of-use assets in Other assets and sub-lease liabilities in Other liabilities. For ground and lease uses determined to be finance leases, we recorded a sales-type sub-lease in Other assets and finance sub-lease liability in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balance and location in our Balance Sheet of the ground and use sub-leases as of March 31, 2026 and December 31, 2025:</w:t>
      </w:r>
    </w:p>
    <w:tbl>
      <w:tblPr>
        <w:tblW w:w="8396" w:type="dxa"/>
        <w:jc w:val="left"/>
        <w:tblInd w:w="0" w:type="dxa"/>
        <w:tblLayout w:type="fixed"/>
        <w:tblCellMar>
          <w:top w:w="28" w:type="dxa"/>
          <w:left w:w="28" w:type="dxa"/>
          <w:bottom w:w="28" w:type="dxa"/>
          <w:right w:w="28" w:type="dxa"/>
        </w:tblCellMar>
      </w:tblPr>
      <w:tblGrid>
        <w:gridCol w:w="1880"/>
        <w:gridCol w:w="1652"/>
        <w:gridCol w:w="1657"/>
        <w:gridCol w:w="261"/>
        <w:gridCol w:w="894"/>
        <w:gridCol w:w="135"/>
        <w:gridCol w:w="109"/>
        <w:gridCol w:w="109"/>
        <w:gridCol w:w="109"/>
        <w:gridCol w:w="309"/>
        <w:gridCol w:w="1056"/>
        <w:gridCol w:w="225"/>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(operating lease and sub-leases right-of-use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(operating lease and sub-lease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(sales-type sub-leases, net) </w:t>
            </w:r>
            <w:r>
              <w:rPr>
                <w:rFonts w:ascii="Times New Roman;serif" w:hAnsi="Times New Roman;serif"/>
                <w:b w:val="false"/>
                <w:i/>
                <w:color w:val="000000"/>
                <w:sz w:val="13"/>
              </w:rPr>
              <w:t>(1)</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(finance sub-lease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60" w:after="283"/>
        <w:jc w:val="both"/>
        <w:rPr/>
      </w:pPr>
      <w:r>
        <w:rPr>
          <w:rFonts w:ascii="Times New Roman;serif" w:hAnsi="Times New Roman;serif"/>
          <w:b w:val="false"/>
          <w:i/>
          <w:color w:val="000000"/>
          <w:sz w:val="16"/>
        </w:rPr>
        <w:t xml:space="preserve">(1) As of March 31, 2026 and December 31, 2025, sales-type sub-leases are net of $20.4 million and $23.9 million of allowance for credit losses, respectively. Refer to </w:t>
      </w:r>
      <w:hyperlink w:anchor="idbae37a7dc3f44028d7360bd42dcb966_64">
        <w:r>
          <w:rPr>
            <w:rStyle w:val="InternetLink"/>
            <w:rFonts w:ascii="Times New Roman;serif" w:hAnsi="Times New Roman;serif"/>
            <w:b w:val="false"/>
            <w:i/>
            <w:color w:val="0000FF"/>
            <w:sz w:val="16"/>
            <w:u w:val="single"/>
          </w:rPr>
          <w:t>Note 5 – Allowance for Credit Losses</w:t>
        </w:r>
      </w:hyperlink>
      <w:r>
        <w:rPr>
          <w:color w:val="000000"/>
        </w:rPr>
        <w:t xml:space="preserve"> </w:t>
      </w:r>
      <w:r>
        <w:rPr>
          <w:rFonts w:ascii="Times New Roman;serif" w:hAnsi="Times New Roman;serif"/>
          <w:b w:val="false"/>
          <w:i/>
          <w:color w:val="000000"/>
          <w:sz w:val="16"/>
        </w:rPr>
        <w:t>for further details.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5623" w:type="dxa"/>
        <w:jc w:val="left"/>
        <w:tblInd w:w="0" w:type="dxa"/>
        <w:tblLayout w:type="fixed"/>
        <w:tblCellMar>
          <w:top w:w="28" w:type="dxa"/>
          <w:left w:w="28" w:type="dxa"/>
          <w:bottom w:w="28" w:type="dxa"/>
          <w:right w:w="28" w:type="dxa"/>
        </w:tblCellMar>
      </w:tblPr>
      <w:tblGrid>
        <w:gridCol w:w="930"/>
        <w:gridCol w:w="815"/>
        <w:gridCol w:w="819"/>
        <w:gridCol w:w="286"/>
        <w:gridCol w:w="633"/>
        <w:gridCol w:w="148"/>
        <w:gridCol w:w="148"/>
        <w:gridCol w:w="148"/>
        <w:gridCol w:w="148"/>
        <w:gridCol w:w="286"/>
        <w:gridCol w:w="633"/>
        <w:gridCol w:w="148"/>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expense </w:t>
            </w:r>
            <w:r>
              <w:rPr>
                <w:rFonts w:ascii="Times New Roman;serif" w:hAnsi="Times New Roman;serif"/>
                <w:b w:val="false"/>
                <w:i/>
                <w:color w:val="000000"/>
                <w:sz w:val="13"/>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sub-leases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sub-leases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Rental income and expense </w:t>
            </w:r>
            <w:r>
              <w:rPr>
                <w:rFonts w:ascii="Times New Roman;serif" w:hAnsi="Times New Roman;serif"/>
                <w:b w:val="false"/>
                <w:i/>
                <w:color w:val="000000"/>
                <w:sz w:val="13"/>
              </w:rPr>
              <w:t>(2)</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Total rental income and rental expense for operating and finance sub-lease commitments are presented gross and included in Other income and Other expenses in our Statement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minimum lease commitments relating to the base lease rent portion of noncancelable operating leases and ground and use sub-leases at March 31, 2026 are as follows: </w:t>
      </w:r>
    </w:p>
    <w:tbl>
      <w:tblPr>
        <w:tblW w:w="10205" w:type="dxa"/>
        <w:jc w:val="left"/>
        <w:tblInd w:w="0" w:type="dxa"/>
        <w:tblLayout w:type="fixed"/>
        <w:tblCellMar>
          <w:top w:w="28" w:type="dxa"/>
          <w:left w:w="28" w:type="dxa"/>
          <w:bottom w:w="28" w:type="dxa"/>
          <w:right w:w="28" w:type="dxa"/>
        </w:tblCellMar>
      </w:tblPr>
      <w:tblGrid>
        <w:gridCol w:w="967"/>
        <w:gridCol w:w="820"/>
        <w:gridCol w:w="774"/>
        <w:gridCol w:w="109"/>
        <w:gridCol w:w="109"/>
        <w:gridCol w:w="109"/>
        <w:gridCol w:w="412"/>
        <w:gridCol w:w="1409"/>
        <w:gridCol w:w="214"/>
        <w:gridCol w:w="109"/>
        <w:gridCol w:w="109"/>
        <w:gridCol w:w="109"/>
        <w:gridCol w:w="460"/>
        <w:gridCol w:w="1576"/>
        <w:gridCol w:w="240"/>
        <w:gridCol w:w="109"/>
        <w:gridCol w:w="109"/>
        <w:gridCol w:w="109"/>
        <w:gridCol w:w="369"/>
        <w:gridCol w:w="1708"/>
        <w:gridCol w:w="275"/>
      </w:tblGrid>
      <w:tr>
        <w:trPr/>
        <w:tc>
          <w:tcPr>
            <w:tcW w:w="9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Financing Sub-Lease Commitments</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2,561,851 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2,939,697 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2,076,991 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862,706 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Discount rates </w:t>
            </w:r>
            <w:r>
              <w:rPr>
                <w:rFonts w:ascii="Times New Roman;serif" w:hAnsi="Times New Roman;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5.3%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 – 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 – 8.3%</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years</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11 — Stockholders' Equity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Authorized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Public Offerings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There were no marketed public offerings of our common stock during the three months ended March 31, 2026 and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transactions under the ATM Program during the three months ended March 31, 2025, all of which were conducted subject to forward sale agreements, which we refer to as ATM forward sale agreements. There were no such transactions during the three months ended March 31, 2026.</w:t>
      </w:r>
    </w:p>
    <w:tbl>
      <w:tblPr>
        <w:tblW w:w="10205" w:type="dxa"/>
        <w:jc w:val="left"/>
        <w:tblInd w:w="0" w:type="dxa"/>
        <w:tblLayout w:type="fixed"/>
        <w:tblCellMar>
          <w:top w:w="28" w:type="dxa"/>
          <w:left w:w="28" w:type="dxa"/>
          <w:bottom w:w="28" w:type="dxa"/>
          <w:right w:w="28" w:type="dxa"/>
        </w:tblCellMar>
      </w:tblPr>
      <w:tblGrid>
        <w:gridCol w:w="800"/>
        <w:gridCol w:w="582"/>
        <w:gridCol w:w="586"/>
        <w:gridCol w:w="504"/>
        <w:gridCol w:w="482"/>
        <w:gridCol w:w="337"/>
        <w:gridCol w:w="109"/>
        <w:gridCol w:w="109"/>
        <w:gridCol w:w="109"/>
        <w:gridCol w:w="325"/>
        <w:gridCol w:w="951"/>
        <w:gridCol w:w="168"/>
        <w:gridCol w:w="109"/>
        <w:gridCol w:w="109"/>
        <w:gridCol w:w="109"/>
        <w:gridCol w:w="225"/>
        <w:gridCol w:w="883"/>
        <w:gridCol w:w="116"/>
        <w:gridCol w:w="109"/>
        <w:gridCol w:w="109"/>
        <w:gridCol w:w="109"/>
        <w:gridCol w:w="350"/>
        <w:gridCol w:w="1022"/>
        <w:gridCol w:w="180"/>
        <w:gridCol w:w="109"/>
        <w:gridCol w:w="109"/>
        <w:gridCol w:w="109"/>
        <w:gridCol w:w="244"/>
        <w:gridCol w:w="955"/>
        <w:gridCol w:w="187"/>
      </w:tblGrid>
      <w:tr>
        <w:trPr/>
        <w:tc>
          <w:tcPr>
            <w:tcW w:w="8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share and per share data)</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Net Value</w:t>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 ATM Forward Sale Agreements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7,835,973 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252,840 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6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approximately 7,750,000 forward shares remaining to be settled under our ATM Program. The net forward sales price per share of forward shares sold under the ATM Program was $31.17 and would result in us receiving approximately $241.6 million in net cash proceeds if we were to physically settle the shares. Alternatively, if we were to cash settle the shares under the ATM forward sale agreements, it would result in a cash inflow of $29.9 million, or, if we were to net share settle the shares under the ATM forward sale agreements, it would result in us receiving approximately 1,092,943 shares of common stock.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Forward Settlement Activity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settlement activity of the outstanding forward shares under our marketed public offerings or the ATM Program during the three months ended March 31, 2026 and 2025. Subsequent to quarter-end, on April 29, 2026, we physically settled the remaining 7,750,000 forward shares outstanding under the ATM Program in exchange for total net settlement proceeds of approximately $242.1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Outstanding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179"/>
        <w:gridCol w:w="1916"/>
        <w:gridCol w:w="1921"/>
        <w:gridCol w:w="109"/>
        <w:gridCol w:w="109"/>
        <w:gridCol w:w="109"/>
        <w:gridCol w:w="928"/>
        <w:gridCol w:w="408"/>
        <w:gridCol w:w="219"/>
        <w:gridCol w:w="219"/>
        <w:gridCol w:w="219"/>
        <w:gridCol w:w="219"/>
        <w:gridCol w:w="928"/>
        <w:gridCol w:w="408"/>
        <w:gridCol w:w="314"/>
      </w:tblGrid>
      <w:tr>
        <w:trPr/>
        <w:tc>
          <w:tcPr>
            <w:tcW w:w="217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1,068,811,371 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301,369 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1,068,988,999 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1,056,668,054 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Dividends declared (on a per share basis) during the three months ended March 31, 2026 and 2025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4"/>
        </w:rPr>
      </w:pPr>
      <w:r>
        <w:rPr>
          <w:rFonts w:ascii="Times New Roman;serif" w:hAnsi="Times New Roman;serif"/>
          <w:b/>
          <w:color w:val="000000"/>
          <w:sz w:val="24"/>
        </w:rPr>
        <w:t xml:space="preserve">Note 12 — Earnings Per Share and Earnings Per Unit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180" w:after="283"/>
        <w:jc w:val="both"/>
        <w:rPr/>
      </w:pPr>
      <w:r>
        <w:rPr>
          <w:rFonts w:ascii="Times New Roman;serif" w:hAnsi="Times New Roman;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dbae37a7dc3f44028d7360bd42dcb966_82">
        <w:r>
          <w:rPr>
            <w:rStyle w:val="InternetLink"/>
            <w:rFonts w:ascii="Times New Roman;serif" w:hAnsi="Times New Roman;serif"/>
            <w:b w:val="false"/>
            <w:color w:val="0000FF"/>
            <w:sz w:val="20"/>
            <w:u w:val="single"/>
          </w:rPr>
          <w:t>Note 11 – Stockholders' Equity</w:t>
        </w:r>
      </w:hyperlink>
      <w:r>
        <w:rPr>
          <w:rFonts w:ascii="Times New Roman;serif" w:hAnsi="Times New Roman;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9083" w:type="dxa"/>
        <w:jc w:val="left"/>
        <w:tblInd w:w="0" w:type="dxa"/>
        <w:tblLayout w:type="fixed"/>
        <w:tblCellMar>
          <w:top w:w="28" w:type="dxa"/>
          <w:left w:w="28" w:type="dxa"/>
          <w:bottom w:w="28" w:type="dxa"/>
          <w:right w:w="28" w:type="dxa"/>
        </w:tblCellMar>
      </w:tblPr>
      <w:tblGrid>
        <w:gridCol w:w="1889"/>
        <w:gridCol w:w="1662"/>
        <w:gridCol w:w="1669"/>
        <w:gridCol w:w="678"/>
        <w:gridCol w:w="298"/>
        <w:gridCol w:w="286"/>
        <w:gridCol w:w="286"/>
        <w:gridCol w:w="286"/>
        <w:gridCol w:w="286"/>
        <w:gridCol w:w="678"/>
        <w:gridCol w:w="298"/>
        <w:gridCol w:w="286"/>
        <w:gridCol w:w="109"/>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shares: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1,068,528 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1,056,433 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8320" w:type="dxa"/>
        <w:jc w:val="left"/>
        <w:tblInd w:w="0" w:type="dxa"/>
        <w:tblLayout w:type="fixed"/>
        <w:tblCellMar>
          <w:top w:w="28" w:type="dxa"/>
          <w:left w:w="28" w:type="dxa"/>
          <w:bottom w:w="28" w:type="dxa"/>
          <w:right w:w="28" w:type="dxa"/>
        </w:tblCellMar>
      </w:tblPr>
      <w:tblGrid>
        <w:gridCol w:w="1888"/>
        <w:gridCol w:w="1661"/>
        <w:gridCol w:w="1671"/>
        <w:gridCol w:w="211"/>
        <w:gridCol w:w="826"/>
        <w:gridCol w:w="109"/>
        <w:gridCol w:w="109"/>
        <w:gridCol w:w="109"/>
        <w:gridCol w:w="109"/>
        <w:gridCol w:w="211"/>
        <w:gridCol w:w="826"/>
        <w:gridCol w:w="109"/>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Earnings Per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weighted-average units outstanding used in the calculation of basic EPU to the weighted-average units outstanding used in the calculation of diluted EPU:</w:t>
      </w:r>
    </w:p>
    <w:tbl>
      <w:tblPr>
        <w:tblW w:w="8227" w:type="dxa"/>
        <w:jc w:val="left"/>
        <w:tblInd w:w="0" w:type="dxa"/>
        <w:tblLayout w:type="fixed"/>
        <w:tblCellMar>
          <w:top w:w="28" w:type="dxa"/>
          <w:left w:w="28" w:type="dxa"/>
          <w:bottom w:w="28" w:type="dxa"/>
          <w:right w:w="28" w:type="dxa"/>
        </w:tblCellMar>
      </w:tblPr>
      <w:tblGrid>
        <w:gridCol w:w="1580"/>
        <w:gridCol w:w="1389"/>
        <w:gridCol w:w="1395"/>
        <w:gridCol w:w="678"/>
        <w:gridCol w:w="298"/>
        <w:gridCol w:w="286"/>
        <w:gridCol w:w="286"/>
        <w:gridCol w:w="286"/>
        <w:gridCol w:w="286"/>
        <w:gridCol w:w="678"/>
        <w:gridCol w:w="298"/>
        <w:gridCol w:w="286"/>
        <w:gridCol w:w="109"/>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units: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1,080,759 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1,068,664 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6175" w:type="dxa"/>
        <w:jc w:val="left"/>
        <w:tblInd w:w="0" w:type="dxa"/>
        <w:tblLayout w:type="fixed"/>
        <w:tblCellMar>
          <w:top w:w="28" w:type="dxa"/>
          <w:left w:w="28" w:type="dxa"/>
          <w:bottom w:w="28" w:type="dxa"/>
          <w:right w:w="28" w:type="dxa"/>
        </w:tblCellMar>
      </w:tblPr>
      <w:tblGrid>
        <w:gridCol w:w="1112"/>
        <w:gridCol w:w="978"/>
        <w:gridCol w:w="985"/>
        <w:gridCol w:w="211"/>
        <w:gridCol w:w="826"/>
        <w:gridCol w:w="109"/>
        <w:gridCol w:w="109"/>
        <w:gridCol w:w="109"/>
        <w:gridCol w:w="109"/>
        <w:gridCol w:w="211"/>
        <w:gridCol w:w="826"/>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per unit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13 — Stock-Based Compensation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2026, approximately 8.7 million shares of common stock remained available for issuance by us as equity awards under the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stock-based compensation expense recorded as General and administrative expense in the Statement of Operations:</w:t>
      </w:r>
    </w:p>
    <w:tbl>
      <w:tblPr>
        <w:tblW w:w="6056" w:type="dxa"/>
        <w:jc w:val="left"/>
        <w:tblInd w:w="0" w:type="dxa"/>
        <w:tblLayout w:type="fixed"/>
        <w:tblCellMar>
          <w:top w:w="28" w:type="dxa"/>
          <w:left w:w="28" w:type="dxa"/>
          <w:bottom w:w="28" w:type="dxa"/>
          <w:right w:w="28" w:type="dxa"/>
        </w:tblCellMar>
      </w:tblPr>
      <w:tblGrid>
        <w:gridCol w:w="1085"/>
        <w:gridCol w:w="954"/>
        <w:gridCol w:w="961"/>
        <w:gridCol w:w="247"/>
        <w:gridCol w:w="723"/>
        <w:gridCol w:w="127"/>
        <w:gridCol w:w="127"/>
        <w:gridCol w:w="127"/>
        <w:gridCol w:w="127"/>
        <w:gridCol w:w="247"/>
        <w:gridCol w:w="723"/>
        <w:gridCol w:w="127"/>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916"/>
        <w:gridCol w:w="727"/>
        <w:gridCol w:w="733"/>
        <w:gridCol w:w="258"/>
        <w:gridCol w:w="260"/>
        <w:gridCol w:w="211"/>
        <w:gridCol w:w="141"/>
        <w:gridCol w:w="141"/>
        <w:gridCol w:w="141"/>
        <w:gridCol w:w="555"/>
        <w:gridCol w:w="1625"/>
        <w:gridCol w:w="286"/>
        <w:gridCol w:w="109"/>
        <w:gridCol w:w="109"/>
        <w:gridCol w:w="109"/>
        <w:gridCol w:w="325"/>
        <w:gridCol w:w="291"/>
        <w:gridCol w:w="186"/>
        <w:gridCol w:w="186"/>
        <w:gridCol w:w="186"/>
        <w:gridCol w:w="186"/>
        <w:gridCol w:w="540"/>
        <w:gridCol w:w="1579"/>
        <w:gridCol w:w="405"/>
      </w:tblGrid>
      <w:tr>
        <w:trPr/>
        <w:tc>
          <w:tcPr>
            <w:tcW w:w="91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r>
      <w:tr>
        <w:trPr/>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share/unit data)</w:t>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VICI PROPERTIES INC. AND VICI PROPERTIES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 (Continued)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923"/>
        <w:gridCol w:w="736"/>
        <w:gridCol w:w="742"/>
        <w:gridCol w:w="259"/>
        <w:gridCol w:w="260"/>
        <w:gridCol w:w="211"/>
        <w:gridCol w:w="142"/>
        <w:gridCol w:w="142"/>
        <w:gridCol w:w="142"/>
        <w:gridCol w:w="562"/>
        <w:gridCol w:w="1646"/>
        <w:gridCol w:w="290"/>
        <w:gridCol w:w="109"/>
        <w:gridCol w:w="109"/>
        <w:gridCol w:w="109"/>
        <w:gridCol w:w="274"/>
        <w:gridCol w:w="245"/>
        <w:gridCol w:w="187"/>
        <w:gridCol w:w="187"/>
        <w:gridCol w:w="187"/>
        <w:gridCol w:w="187"/>
        <w:gridCol w:w="547"/>
        <w:gridCol w:w="1599"/>
        <w:gridCol w:w="410"/>
      </w:tblGrid>
      <w:tr>
        <w:trPr/>
        <w:tc>
          <w:tcPr>
            <w:tcW w:w="9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 Restricted Stock Units</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share/unit data)</w:t>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$34.2 million of unrecognized compensation cost related to non-vested stock-based compensation arrangements under the Plan. This cost is expected to be recognized over a weighted 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Note 14 — Segment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consist of real estate investment activities, which represent substantially all of our business. Accordingly, all of our operations have been considered to represent one operating segment and one reportable segment. Our CODM is Edward B. Pitoniak, our CEO, who assesses the performance of our Company using consolidated Net income as reported on the Statement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to evaluate total general and administrative expenses against the Company’s approved budget. Significant segment expenses and other segment items are identical to what is reported on the face of the Statement of Operations. The CODM does not review assets at a different asset level or category than the amounts disclosed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erif" w:hAnsi="Times New Roman;serif"/>
          <w:b w:val="false"/>
          <w:i/>
          <w:color w:val="000000"/>
          <w:sz w:val="20"/>
        </w:rPr>
        <w:t xml:space="preserve">The following discussion and analysis of the financial position and operating results of VICI Properties Inc. and VICI Properties L.P. for the three months ended March 31, 2026 should be read in conjunction with the Financial Statements and related notes thereto and other financial information contained elsewhere in this Quarterly Report on Form 10-Q and the audited consolidated financial statements and related notes for the year ended December 31, 2025, which were included in our </w:t>
      </w:r>
      <w:hyperlink r:id="rId4">
        <w:r>
          <w:rPr>
            <w:rStyle w:val="InternetLink"/>
            <w:rFonts w:ascii="Times New Roman;serif" w:hAnsi="Times New Roman;serif"/>
            <w:b w:val="false"/>
            <w:i/>
            <w:color w:val="0000FF"/>
            <w:sz w:val="20"/>
            <w:u w:val="single"/>
          </w:rPr>
          <w:t>Annual Report on Form 10-K for the year ended December 31, 2025</w:t>
        </w:r>
      </w:hyperlink>
      <w:r>
        <w:rPr>
          <w:rFonts w:ascii="Times New Roman;serif" w:hAnsi="Times New Roman;serif"/>
          <w:b w:val="false"/>
          <w:i/>
          <w:color w:val="000000"/>
          <w:sz w:val="20"/>
        </w:rPr>
        <w:t xml:space="preserve">. All defined terms included herein have the same meaning as those set forth in the </w:t>
      </w:r>
      <w:hyperlink w:anchor="idbae37a7dc3f44028d7360bd42dcb966_46">
        <w:r>
          <w:rPr>
            <w:rStyle w:val="InternetLink"/>
            <w:rFonts w:ascii="Times New Roman;serif" w:hAnsi="Times New Roman;serif"/>
            <w:b w:val="false"/>
            <w:i/>
            <w:color w:val="0000FF"/>
            <w:sz w:val="20"/>
            <w:u w:val="single"/>
          </w:rPr>
          <w:t>Notes to the Consolidated Financial Statements</w:t>
        </w:r>
      </w:hyperlink>
      <w:r>
        <w:rPr>
          <w:color w:val="000000"/>
        </w:rPr>
        <w:t xml:space="preserve"> </w:t>
      </w:r>
      <w:r>
        <w:rPr>
          <w:rFonts w:ascii="Times New Roman;serif" w:hAnsi="Times New Roman;serif"/>
          <w:b w:val="false"/>
          <w:i/>
          <w:color w:val="000000"/>
          <w:sz w:val="20"/>
        </w:rPr>
        <w:t xml:space="preserve">contained within this Quarterly Report on Form 10-Q. </w:t>
      </w:r>
    </w:p>
    <w:p>
      <w:pPr>
        <w:pStyle w:val="TextBody"/>
        <w:bidi w:val="0"/>
        <w:spacing w:lineRule="auto" w:line="288" w:before="240" w:after="60"/>
        <w:jc w:val="center"/>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240" w:after="6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the financial condition and performance of our tenants, borrowers, and their affiliates, and our dependence on them for substantially all of our revenues (including our tenants’ renewal of the respective lease agreements following the initial or subsequent terms); the performance of the gaming and other experiential industries in which our tenants and borrowers operate, and our dependence on the gaming industry and Las Vegas in particular; our ability to successfully pursue and consummate acquisitions and investments, and realize the anticipated benefits thereof; the impact of extensive regulation from gaming and other regulatory authorities; our substantial indebtedness and ability to service, refinance and fulfill our obligations thereunder, and our ability to make distributions to stockholders; our ability to maintain our qualification for taxation as a REIT; and additional operational, legal and external risks. The foregoing list is intended to identify certain of the principal factors that could cause actual results to differ materially from those described in the forward-looking statements and is not intended to be exhaustive. For a more complete discussion of the risks and uncertainties that may affect our business, see "Risk Factors" in our most recent Annual Report on Form 10-K and subsequent filings with the SEC.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80" w:after="283"/>
        <w:jc w:val="both"/>
        <w:rPr/>
      </w:pPr>
      <w:r>
        <w:rPr>
          <w:rFonts w:ascii="Times New Roman;serif" w:hAnsi="Times New Roman;serif"/>
          <w:b w:val="false"/>
          <w:color w:val="000000"/>
          <w:sz w:val="20"/>
        </w:rPr>
        <w:t xml:space="preserve">We are primarily engaged in the business of owning and acquiring gaming, hospitality, wellness, entertainment and leisure destinations, subject to long-term triple-net leases. 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w:t>
      </w:r>
      <w:r>
        <w:rPr>
          <w:rFonts w:ascii="Times New Roman;serif" w:hAnsi="Times New Roman;serif"/>
          <w:b w:val="false"/>
          <w:color w:val="000000"/>
          <w:sz w:val="20"/>
          <w:shd w:fill="FFFFFF" w:val="clear"/>
        </w:rPr>
        <w:t xml:space="preserve">127 </w:t>
      </w:r>
      <w:r>
        <w:rPr>
          <w:rFonts w:ascii="Times New Roman;serif" w:hAnsi="Times New Roman;serif"/>
          <w:b w:val="false"/>
          <w:color w:val="000000"/>
          <w:sz w:val="20"/>
        </w:rPr>
        <w:t>million square feet, our well-maintained properties are curren</w:t>
      </w:r>
      <w:r>
        <w:rPr>
          <w:rFonts w:ascii="Times New Roman;serif" w:hAnsi="Times New Roman;serif"/>
          <w:b w:val="false"/>
          <w:color w:val="000000"/>
          <w:sz w:val="20"/>
          <w:shd w:fill="FFFFFF" w:val="clear"/>
        </w:rPr>
        <w:t xml:space="preserve">tly located across urban, destination and drive-to markets in twenty-six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shd w:fill="FFFFFF" w:val="clear"/>
        </w:rPr>
        <w:t>Canada, contain approximately 60,300 hotel rooms and feature over 500 restaurants, bars, nightclubs and sportsbooks.</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our properties are 100% leased with a weighted average lease term based on contractual rent, including extension options, of approximately 39.5 years.</w:t>
      </w:r>
    </w:p>
    <w:p>
      <w:pPr>
        <w:pStyle w:val="TextBody"/>
        <w:bidi w:val="0"/>
        <w:spacing w:lineRule="auto" w:line="288" w:before="180" w:after="283"/>
        <w:jc w:val="both"/>
        <w:rPr/>
      </w:pPr>
      <w:r>
        <w:rPr>
          <w:rFonts w:ascii="Times New Roman;serif" w:hAnsi="Times New Roman;serif"/>
          <w:b w:val="false"/>
          <w:color w:val="000000"/>
          <w:sz w:val="20"/>
        </w:rPr>
        <w:t xml:space="preserve">We also have a growing array of real estate and financing partnerships with leading developers and operators in other experiential sectors, including Cabot, Cain, Canyon Ranch, Chelsea Piers, Great Wolf Resorts, Homefield, Kalahari Resorts and Lucky Strike Entertainment. This portfolio includes certain real estate debt investments that were originated for strategic purposes, including (i) the potential to convert our investment into the ownership of the underlying real estate, (ii) the opportunity to develop relationships with owners and operators that may lead to other investments in experiential asset classes that fit within our investment criteria and objectives, and (iii) the ability to make investments in experiential asset classes outside of gaming with a goal of increasing our investment activity in these asset classes over time. In addition, we own approximately 33 acres of undeveloped or underdeveloped land on and adjacent to the Las Vegas Strip that is leased </w:t>
      </w:r>
      <w:r>
        <w:rPr>
          <w:rFonts w:ascii="Times New Roman;serif" w:hAnsi="Times New Roman;serif"/>
          <w:b w:val="false"/>
          <w:color w:val="000000"/>
          <w:sz w:val="20"/>
          <w:shd w:fill="FFFFFF" w:val="clear"/>
        </w:rPr>
        <w:t>to</w:t>
      </w:r>
      <w:r>
        <w:rPr>
          <w:color w:val="000000"/>
        </w:rPr>
        <w:t xml:space="preserve"> </w:t>
      </w:r>
      <w:r>
        <w:rPr>
          <w:rFonts w:ascii="Times New Roman;serif" w:hAnsi="Times New Roman;serif"/>
          <w:b w:val="false"/>
          <w:color w:val="000000"/>
          <w:sz w:val="20"/>
        </w:rPr>
        <w:t xml:space="preserve">Caesars, which we may look to monetize as appropriate. 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 our operations as a REIT for U.S. federal income tax purposes. We generally will not be subject to U.S. federal income taxes on our taxable income to the extent that we annually distribute substantially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TRS, VICI Golf.</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included in this Quarterly Report on Form 10-Q is our consolidated results (including the real property business and the golf course business) for the three months ended March 31, 2026.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Impact of Material Trends on Our Business </w:t>
      </w:r>
    </w:p>
    <w:p>
      <w:pPr>
        <w:pStyle w:val="TextBody"/>
        <w:bidi w:val="0"/>
        <w:spacing w:lineRule="auto" w:line="288" w:before="180" w:after="283"/>
        <w:jc w:val="both"/>
        <w:rPr/>
      </w:pPr>
      <w:r>
        <w:rPr>
          <w:rFonts w:ascii="Times New Roman;serif" w:hAnsi="Times New Roman;serif"/>
          <w:b w:val="false"/>
          <w:color w:val="000000"/>
          <w:sz w:val="20"/>
          <w:shd w:fill="FFFFFF" w:val="clear"/>
        </w:rPr>
        <w:t>The m</w:t>
      </w:r>
      <w:r>
        <w:rPr>
          <w:rFonts w:ascii="Times New Roman;serif" w:hAnsi="Times New Roman;serif"/>
          <w:b w:val="false"/>
          <w:color w:val="000000"/>
          <w:sz w:val="20"/>
        </w:rPr>
        <w:t>acroeconomic environment has introduced significant uncertainty and heightened risk for businesses, including us and our tenants, including the impact of changing interest rates, inflationary and recessionary threats, geopolitical and regulatory uncertainty, and increased cost of capital. Our tenants also face additional challenges, including potential changes in consumer confidence levels, behavior and spending, increasing competition from a variety of sources, and increased operational expenses, such as with respect to the impact of tariffs or trade barriers, labor, insurance or energy costs. As a triple-net lessor, increased operational expenses at our leased properties are borne by our tenants and do not directly impact their rent obligations (other than with respect to underlying inflation as applied to the CPI-based escalators described below) or other obligations under our lease agreements. Similarly, our borrowers are responsible for operating their businesses, subject to compliance with the terms of our loan agreements.</w:t>
      </w:r>
      <w:r>
        <w:rPr>
          <w:color w:val="000000"/>
          <w:shd w:fill="FFFFFF" w:val="clear"/>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ongoing portfolio and asset management function, we monitor our tenants' and borrowers' financial performance on an ongoing basis. Financial underperformance or operating challenges experienced by any of our tenants or borrowers, whether driven by competitive dynamics, strategic decisions, or broader industry or macroeconomic conditions, may adversely affect their ability to fulfill their contractual obligations under our lease and loan agreements. The full extent to which the trends described herein adversely affect our tenants and borrowers, the industries in which they operate, and/or ultimately impact our business depends on future developments that cannot be predicted with confidence, including our tenants' and borrowers' business strategy and financial performance, the direct and indirect effects of the trends discussed in this section and the impact of any future measures taken in response to such trends. </w:t>
      </w:r>
    </w:p>
    <w:p>
      <w:pPr>
        <w:pStyle w:val="TextBody"/>
        <w:bidi w:val="0"/>
        <w:spacing w:lineRule="auto" w:line="288" w:before="180" w:after="283"/>
        <w:jc w:val="both"/>
        <w:rPr/>
      </w:pPr>
      <w:r>
        <w:rPr>
          <w:rFonts w:ascii="Times New Roman;serif" w:hAnsi="Times New Roman;serif"/>
          <w:b w:val="false"/>
          <w:color w:val="000000"/>
          <w:sz w:val="20"/>
        </w:rPr>
        <w:t xml:space="preserve">For more information, refer to the sections entitled “Key Trends That May Affect Our Business” and “Risk Factors” in our </w:t>
      </w:r>
      <w:hyperlink r:id="rId5">
        <w:r>
          <w:rPr>
            <w:rStyle w:val="InternetLink"/>
            <w:rFonts w:ascii="Times New Roman;serif" w:hAnsi="Times New Roman;serif"/>
            <w:b w:val="false"/>
            <w:color w:val="0000FF"/>
            <w:sz w:val="20"/>
            <w:u w:val="single"/>
          </w:rPr>
          <w:t>Annual Report on Form 10-K for the year ended December 31, 2025</w:t>
        </w:r>
      </w:hyperlink>
      <w:r>
        <w:rPr>
          <w:color w:val="000000"/>
        </w:rPr>
        <w:t xml:space="preserve"> </w:t>
      </w:r>
      <w:r>
        <w:rPr>
          <w:rFonts w:ascii="Times New Roman;serif" w:hAnsi="Times New Roman;serif"/>
          <w:b w:val="false"/>
          <w:color w:val="000000"/>
          <w:sz w:val="20"/>
        </w:rPr>
        <w:t>and as updated from time to time in our other filings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SIGNIFICANT ACTIVITIES DURING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Acquisition and Leasing Activity</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Gamehost Transaction.</w:t>
      </w:r>
      <w:r>
        <w:rPr>
          <w:color w:val="000000"/>
        </w:rPr>
        <w:t xml:space="preserve"> </w:t>
      </w:r>
      <w:r>
        <w:rPr>
          <w:rFonts w:ascii="Times New Roman;serif" w:hAnsi="Times New Roman;serif"/>
          <w:b w:val="false"/>
          <w:color w:val="000000"/>
          <w:sz w:val="20"/>
        </w:rPr>
        <w:t>On March 30, 2026, we announced an agreement to acquire the real estate assets of the Gamehost Portfolio, comprised of Deerfoot Inn &amp; Casino, Great Northern Casino and two limited-service hotels that are adjacent to Great Northern Casino, located in Alberta, Canada, in connection with the pending PURE Gamehost Acquisition, for an aggregate purchase price of C$200.6 million (approximately US$144.4 million based on the exchange rate at the time of the announcement).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Simultaneous with the closing of the PURE Gamehost Acquisition, the Gamehost Portfolio will be added to the existing PURE Master Lease and annual rent will increase by C$16.1 million (US$11.6 million based on the exchange rate at the time of the announcement). The Gamehost Portfolio rent will escalate at 1.0% on February 1 following the first full 12 months post-closing (in line with the timing of the PURE Master Lease escalation), and escalation will conform to the PURE Master Lease thereafter at the greater of 1.5% or the change in Canadian CPI (capped at 2.5%). Additionally, the term of the PURE Master Lease will be extended such that, upon closing of the PURE Gamehost Acquisition, the PURE Master Lease will have a full 25 years remaining in the initial lease term, with four 5-year tenant renewal options. The tenant’s obligations under the PURE Master Lease will continue to be guaranteed by Indigenous Gaming Partners Inc.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is subject to customary regulatory approvals and closing conditions and is expected to close in mid-2026. </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Northfield Park Severance Lease</w:t>
      </w:r>
      <w:r>
        <w:rPr>
          <w:rFonts w:ascii="Times New Roman;serif" w:hAnsi="Times New Roman;serif"/>
          <w:b w:val="false"/>
          <w:i/>
          <w:color w:val="000000"/>
          <w:sz w:val="20"/>
        </w:rPr>
        <w:t xml:space="preserve">. </w:t>
      </w:r>
      <w:r>
        <w:rPr>
          <w:rFonts w:ascii="Times New Roman;serif" w:hAnsi="Times New Roman;serif"/>
          <w:b w:val="false"/>
          <w:color w:val="000000"/>
          <w:sz w:val="20"/>
        </w:rPr>
        <w:t>On April 21, 2026, we entered into the Northfield Park Lease with an affiliate of Clairvest with respect to Northfield Park, located in Northfield, Ohio, in connection with MGM’s previously announced agreement to sell the operations of Northfield Park to an affiliate of Clairvest. In connection with the closing, we entered into an amendment to the existing MGM Master Lease in order to account for MGM’s divestiture of the operations of Northfield Park and to reduce the annual base rent under the MGM Master Lease by the initial base rent under the Northfield Park Lease. The Northfield Park Lease has an initial annual base rent of $53.0 million. The Northfield Park Lease has a 25-year lease term with three 10-year tenant renewal options, with other economic terms substantially similar to the MGM Master Lease, including escalation of 2.0% per annum on May 1st each year, which for the avoidance of doubt, commences on May 1, 2026 (with escalation equal to the greater of 2.0% and the change in CPI (capped at 3.0%) beginning at the same time as the MGM Master Lease in 2032) and a minimum capital expenditure requirement equal to 1.0% of annual net revenue. The Northfield Park Lease is guaranteed by an affiliate of funds managed by Clairvest that owns the operations of Northfield Park with additional credit support provided by financial covenants within the lease.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Pending Transactions</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Golden Entertainment Transaction.</w:t>
      </w:r>
      <w:r>
        <w:rPr>
          <w:color w:val="000000"/>
        </w:rPr>
        <w:t xml:space="preserve"> </w:t>
      </w:r>
      <w:r>
        <w:rPr>
          <w:rFonts w:ascii="Times New Roman;serif" w:hAnsi="Times New Roman;serif"/>
          <w:b w:val="false"/>
          <w:color w:val="000000"/>
          <w:sz w:val="20"/>
        </w:rPr>
        <w:t>On November 6, 2025, we entered into an agreement to acquire 100% of the land, real property and improvements of the Golden Portfolio from Golden Entertainment for $1.16 billion and to enter into the triple-net Golden Entertainment Master Lease with Golden OpCo, a newly formed entity owned and controlled by Blake L. Sartini, current chairman and chief executive officer of Golden Entertainment, that will acquire the operating business of Golden Entertainment in connection with the closing of the transaction.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Entertainment Master Lease will have an initial total annual rent of $87.0 million and an initial term of 30 years, with four 5-year tenant renewal options. Rent under the Golden Entertainment Master Lease will escalate annually at 2.0% beginning in Lease Year 3. The obligations of Golden OpCo under the Golden Entertainment Master Lease will be guaranteed by a holding company that is owned and controlled by Mr. Sartini and owns all of the gaming and operating assets formerly owned by Golden Entertainment, with additional credit support provided by financial covenants within the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master transaction agreement governing the transaction, Golden Entertainment shareholders will receive approximately 24.3 million shares of newly issued VICI stock in exchange for the outstanding shares of Golden Entertainment stock upon closing, which represents an agreed-upon exchange ratio of 0.902 shares of VICI’s common stock per share of Golden Entertainment’s common stock based on VICI’s 10-day volume weighted average price as of November 5, 2025, as well as cash consideration that is payable by an affiliate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Golden OpCo. In connection with the transaction, we will assume and immediately retire Golden Entertainment’s outstanding $426.0 million of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23, 2026, we announced that all gaming regulatory and shareholder approvals have been met and the transaction is expected to close on or around April 30, 2026, subject to the satisfaction of remaining customary closing conditions.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Real Estate Debt Investment Activity</w:t>
      </w:r>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One Beverly Hills Mezzanine Loan.</w:t>
      </w:r>
      <w:r>
        <w:rPr>
          <w:color w:val="000000"/>
        </w:rPr>
        <w:t xml:space="preserve"> </w:t>
      </w:r>
      <w:r>
        <w:rPr>
          <w:rFonts w:ascii="Times New Roman;serif" w:hAnsi="Times New Roman;serif"/>
          <w:b w:val="false"/>
          <w:color w:val="000000"/>
          <w:sz w:val="20"/>
        </w:rPr>
        <w:t>On March 23, 2026, we provided a $1.5 billion mezzanine loan that is subordinate to a $2.8 billion senior loan commitment led by J.P. Morgan as part of the construction financing for One Beverly Hills, a landmark 17.5-acre luxury experiential lifestyle hub in Beverly Hills, California. The mezzanine loan represents a $1.05 billion incremental commitment beyond our previous $450.0 million investment in the project, which was repaid in connection with the refinancing. One Beverly Hills is being developed by Cain and will be anchored by Aman Beverly Hills, featuring an Aman Hotel and Aman-branded residences, and includes a full-scale refurbishment of The Beverly Hilton, additional retail, food and beverage offerings, and 10 acres of botanical gardens and open space. Construction of the development has commenced and is expected to be completed in 2028.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mezzanine loan has an initial term of 4 years with one 12-month extension option, subject to certain conditions, and will be deployed over the course of the initial term. Upon the closing of the transaction, we deployed an initial funding of $650.0 million. We have funded and intend to continue to fund the investment with cash on hand.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real estate debt investment activity (each as defined in the column titled “Real Estate Debt Investment”) for the three months ended March 31, 2026:</w:t>
      </w:r>
    </w:p>
    <w:tbl>
      <w:tblPr>
        <w:tblW w:w="10205" w:type="dxa"/>
        <w:jc w:val="left"/>
        <w:tblInd w:w="0" w:type="dxa"/>
        <w:tblLayout w:type="fixed"/>
        <w:tblCellMar>
          <w:top w:w="28" w:type="dxa"/>
          <w:left w:w="28" w:type="dxa"/>
          <w:bottom w:w="28" w:type="dxa"/>
          <w:right w:w="28" w:type="dxa"/>
        </w:tblCellMar>
      </w:tblPr>
      <w:tblGrid>
        <w:gridCol w:w="741"/>
        <w:gridCol w:w="653"/>
        <w:gridCol w:w="636"/>
        <w:gridCol w:w="109"/>
        <w:gridCol w:w="109"/>
        <w:gridCol w:w="109"/>
        <w:gridCol w:w="508"/>
        <w:gridCol w:w="497"/>
        <w:gridCol w:w="500"/>
        <w:gridCol w:w="109"/>
        <w:gridCol w:w="109"/>
        <w:gridCol w:w="109"/>
        <w:gridCol w:w="365"/>
        <w:gridCol w:w="1327"/>
        <w:gridCol w:w="188"/>
        <w:gridCol w:w="109"/>
        <w:gridCol w:w="109"/>
        <w:gridCol w:w="109"/>
        <w:gridCol w:w="1111"/>
        <w:gridCol w:w="1111"/>
        <w:gridCol w:w="1587"/>
      </w:tblGrid>
      <w:tr>
        <w:trPr/>
        <w:tc>
          <w:tcPr>
            <w:tcW w:w="7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Collateral</w:t>
            </w:r>
          </w:p>
        </w:tc>
      </w:tr>
      <w:tr>
        <w:trPr/>
        <w:tc>
          <w:tcPr>
            <w:tcW w:w="2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 experiential lifestyle hub in Beverly Hills, California</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Stamford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Stamford, Connecticut</w:t>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Jersey City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equipment of the fitness club in Jersey City, New Jersey</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1,516.0 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Financing and Capital Markets Activity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Forward-Starting Interest Rate Swaps. </w:t>
      </w:r>
      <w:r>
        <w:rPr>
          <w:rFonts w:ascii="Times New Roman;serif" w:hAnsi="Times New Roman;serif"/>
          <w:b w:val="false"/>
          <w:color w:val="000000"/>
          <w:sz w:val="20"/>
        </w:rPr>
        <w:t>During the three months ended March 31, 2026, we entered into nine forward-starting interest rate swap agreements for an aggregate notional amount of $450.0 million to hedge against changes in future cash flows resulting from changes in interest rates from the trade date through the forecasted issuance of senior unsecured notes expected to be issued in connection with the refinancing of our senior unsecured notes maturing in September and December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9845" w:type="dxa"/>
        <w:jc w:val="left"/>
        <w:tblInd w:w="0" w:type="dxa"/>
        <w:tblLayout w:type="fixed"/>
        <w:tblCellMar>
          <w:top w:w="28" w:type="dxa"/>
          <w:left w:w="28" w:type="dxa"/>
          <w:bottom w:w="28" w:type="dxa"/>
          <w:right w:w="28" w:type="dxa"/>
        </w:tblCellMar>
      </w:tblPr>
      <w:tblGrid>
        <w:gridCol w:w="1828"/>
        <w:gridCol w:w="1609"/>
        <w:gridCol w:w="161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 xml:space="preserve">Revenue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our revenue was comprised of the following items:</w:t>
      </w:r>
    </w:p>
    <w:tbl>
      <w:tblPr>
        <w:tblW w:w="7610" w:type="dxa"/>
        <w:jc w:val="left"/>
        <w:tblInd w:w="0" w:type="dxa"/>
        <w:tblLayout w:type="fixed"/>
        <w:tblCellMar>
          <w:top w:w="28" w:type="dxa"/>
          <w:left w:w="28" w:type="dxa"/>
          <w:bottom w:w="28" w:type="dxa"/>
          <w:right w:w="28" w:type="dxa"/>
        </w:tblCellMar>
      </w:tblPr>
      <w:tblGrid>
        <w:gridCol w:w="1006"/>
        <w:gridCol w:w="883"/>
        <w:gridCol w:w="885"/>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our income from sales-type and financing receivables leases:</w:t>
      </w:r>
    </w:p>
    <w:tbl>
      <w:tblPr>
        <w:tblW w:w="8270" w:type="dxa"/>
        <w:jc w:val="left"/>
        <w:tblInd w:w="0" w:type="dxa"/>
        <w:tblLayout w:type="fixed"/>
        <w:tblCellMar>
          <w:top w:w="28" w:type="dxa"/>
          <w:left w:w="28" w:type="dxa"/>
          <w:bottom w:w="28" w:type="dxa"/>
          <w:right w:w="28" w:type="dxa"/>
        </w:tblCellMar>
      </w:tblPr>
      <w:tblGrid>
        <w:gridCol w:w="1299"/>
        <w:gridCol w:w="1141"/>
        <w:gridCol w:w="11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w:t>
            </w:r>
            <w:r>
              <w:rPr>
                <w:rFonts w:ascii="Times New Roman;serif" w:hAnsi="Times New Roman;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adjustment </w:t>
            </w:r>
            <w:r>
              <w:rPr>
                <w:rFonts w:ascii="Times New Roman;serif" w:hAnsi="Times New Roman;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Leasing revenue is generated from rent from our lease agreements. Total leasing revenue increased $14.6 million during the three months ended March 31, 2026, compared to the three months ended March 31, 2025. Total contractual leasing revenue increased $16.6 million during the three months ended March 31, 2026, compared to the three months ended March 31, 2025. The increases were primarily driven by the annual rent escalators from certain of our lease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From Loans and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Income from loans and securities increased $19.0 million during the three months ended March 31, 2026, compared to the three months ended March 31, 2025. The increase was primarily driven by the origination and subsequent funding, as applicable, of our debt investments and the related interest income from the increased principal balances outstanding under such debt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our operating expenses were comprised of the following items:</w:t>
      </w:r>
    </w:p>
    <w:tbl>
      <w:tblPr>
        <w:tblW w:w="8000" w:type="dxa"/>
        <w:jc w:val="left"/>
        <w:tblInd w:w="0" w:type="dxa"/>
        <w:tblLayout w:type="fixed"/>
        <w:tblCellMar>
          <w:top w:w="28" w:type="dxa"/>
          <w:left w:w="28" w:type="dxa"/>
          <w:bottom w:w="28" w:type="dxa"/>
          <w:right w:w="28" w:type="dxa"/>
        </w:tblCellMar>
      </w:tblPr>
      <w:tblGrid>
        <w:gridCol w:w="1145"/>
        <w:gridCol w:w="1007"/>
        <w:gridCol w:w="1012"/>
        <w:gridCol w:w="211"/>
        <w:gridCol w:w="796"/>
        <w:gridCol w:w="109"/>
        <w:gridCol w:w="109"/>
        <w:gridCol w:w="109"/>
        <w:gridCol w:w="109"/>
        <w:gridCol w:w="211"/>
        <w:gridCol w:w="826"/>
        <w:gridCol w:w="109"/>
        <w:gridCol w:w="109"/>
        <w:gridCol w:w="109"/>
        <w:gridCol w:w="109"/>
        <w:gridCol w:w="211"/>
        <w:gridCol w:w="901"/>
        <w:gridCol w:w="109"/>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$1.1 million for the three months ended March 31, 2026, compared to the three months ended March 31, 2025. The increase was primarily driven by an increase in compensation, including stock-based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 in Allowance for Credit Losses</w:t>
      </w:r>
    </w:p>
    <w:p>
      <w:pPr>
        <w:pStyle w:val="TextBody"/>
        <w:bidi w:val="0"/>
        <w:spacing w:lineRule="auto" w:line="288" w:before="180" w:after="283"/>
        <w:jc w:val="both"/>
        <w:rPr/>
      </w:pPr>
      <w:r>
        <w:rPr>
          <w:rFonts w:ascii="Times New Roman;serif" w:hAnsi="Times New Roman;serif"/>
          <w:b w:val="false"/>
          <w:color w:val="000000"/>
          <w:sz w:val="20"/>
        </w:rPr>
        <w:t xml:space="preserve">Change in allowance for credit losses decreased $305.7 million during the three months ended March 31, 2026, compared to the three months ended March 31, 2025, primarily as a result of positive changes in the macroeconomic forecast and changes to the reasonable and supportable period, or R&amp;S Period, probability of default, or PD, and loss given default, or LGD, of our existing tenants and their parent guarantors (as applicable) due to market performance during the period, partially offset by a higher initial allowance on the debt investment activity. Refer to </w:t>
      </w:r>
      <w:hyperlink w:anchor="idbae37a7dc3f44028d7360bd42dcb966_64">
        <w:r>
          <w:rPr>
            <w:rStyle w:val="InternetLink"/>
            <w:rFonts w:ascii="Times New Roman;serif" w:hAnsi="Times New Roman;serif"/>
            <w:b w:val="false"/>
            <w:color w:val="0000FF"/>
            <w:sz w:val="20"/>
            <w:u w:val="single"/>
          </w:rPr>
          <w:t>Note 5 - Allowance for Credit Losses</w:t>
        </w:r>
      </w:hyperlink>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Other Income and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our other income and expenses were comprised of the following items:</w:t>
      </w:r>
    </w:p>
    <w:tbl>
      <w:tblPr>
        <w:tblW w:w="6081" w:type="dxa"/>
        <w:jc w:val="left"/>
        <w:tblInd w:w="0" w:type="dxa"/>
        <w:tblLayout w:type="fixed"/>
        <w:tblCellMar>
          <w:top w:w="28" w:type="dxa"/>
          <w:left w:w="28" w:type="dxa"/>
          <w:bottom w:w="28" w:type="dxa"/>
          <w:right w:w="28" w:type="dxa"/>
        </w:tblCellMar>
      </w:tblPr>
      <w:tblGrid>
        <w:gridCol w:w="516"/>
        <w:gridCol w:w="454"/>
        <w:gridCol w:w="455"/>
        <w:gridCol w:w="211"/>
        <w:gridCol w:w="901"/>
        <w:gridCol w:w="109"/>
        <w:gridCol w:w="109"/>
        <w:gridCol w:w="109"/>
        <w:gridCol w:w="109"/>
        <w:gridCol w:w="211"/>
        <w:gridCol w:w="901"/>
        <w:gridCol w:w="109"/>
        <w:gridCol w:w="109"/>
        <w:gridCol w:w="109"/>
        <w:gridCol w:w="109"/>
        <w:gridCol w:w="211"/>
        <w:gridCol w:w="541"/>
        <w:gridCol w:w="109"/>
        <w:gridCol w:w="109"/>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$0.1 million during the three months ended March 31, 2026, compared to the three months ended March 31, 2025. The increase was primarily driven by an increase in the weighted average annualized interest rate of our debt, net of the impact of the forward-starting interest rate swaps and treasury locks for the three months ended March 31, 2026 compared to the three months ended March 31, 2025, as a result of a higher effective interest rate on the April 2025 Notes as compared to the debt that was refinanced by such notes, partially offset by lower amortization of noncash original issue discount and lower average debt outstanding during the three months ended March 31, 2026 compared to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RECONCILIATION OF NON-GAAP MEASURES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interests with respect to certain of the foregoing.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Reconciliation of VICI’s Net Income to FFO, FFO per Share, AFFO, AFFO per Share and Adjusted EBITDA</w:t>
      </w:r>
    </w:p>
    <w:tbl>
      <w:tblPr>
        <w:tblW w:w="8932" w:type="dxa"/>
        <w:jc w:val="left"/>
        <w:tblInd w:w="0" w:type="dxa"/>
        <w:tblLayout w:type="fixed"/>
        <w:tblCellMar>
          <w:top w:w="28" w:type="dxa"/>
          <w:left w:w="28" w:type="dxa"/>
          <w:bottom w:w="28" w:type="dxa"/>
          <w:right w:w="28" w:type="dxa"/>
        </w:tblCellMar>
      </w:tblPr>
      <w:tblGrid>
        <w:gridCol w:w="1893"/>
        <w:gridCol w:w="1664"/>
        <w:gridCol w:w="1677"/>
        <w:gridCol w:w="267"/>
        <w:gridCol w:w="1069"/>
        <w:gridCol w:w="109"/>
        <w:gridCol w:w="109"/>
        <w:gridCol w:w="109"/>
        <w:gridCol w:w="109"/>
        <w:gridCol w:w="267"/>
        <w:gridCol w:w="1069"/>
        <w:gridCol w:w="109"/>
        <w:gridCol w:w="109"/>
        <w:gridCol w:w="109"/>
        <w:gridCol w:w="109"/>
        <w:gridCol w:w="154"/>
      </w:tblGrid>
      <w:tr>
        <w:trPr/>
        <w:tc>
          <w:tcPr>
            <w:tcW w:w="189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872,390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543,607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losses </w:t>
            </w:r>
            <w:r>
              <w:rPr>
                <w:rFonts w:ascii="Times New Roman;serif" w:hAnsi="Times New Roman;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650,907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attributable to common stockholders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838,226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802,136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698" w:type="dxa"/>
            <w:gridSpan w:val="13"/>
            <w:tcBorders/>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5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of common stock outstanding</w:t>
            </w:r>
          </w:p>
        </w:tc>
        <w:tc>
          <w:tcPr>
            <w:tcW w:w="481" w:type="dxa"/>
            <w:gridSpan w:val="4"/>
            <w:tcBorders/>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1,068,527,584 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1,056,432,790 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(1)Represents non-cash foreign currency remeasurement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Liquidity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our available cash and cash-equivalents balance, capacity under our Revolving Credit Facility and proceeds available from outstanding forward sale agreements were as follows:</w:t>
      </w:r>
    </w:p>
    <w:tbl>
      <w:tblPr>
        <w:tblW w:w="7131" w:type="dxa"/>
        <w:jc w:val="left"/>
        <w:tblInd w:w="0" w:type="dxa"/>
        <w:tblLayout w:type="fixed"/>
        <w:tblCellMar>
          <w:top w:w="28" w:type="dxa"/>
          <w:left w:w="28" w:type="dxa"/>
          <w:bottom w:w="28" w:type="dxa"/>
          <w:right w:w="28" w:type="dxa"/>
        </w:tblCellMar>
      </w:tblPr>
      <w:tblGrid>
        <w:gridCol w:w="2094"/>
        <w:gridCol w:w="1844"/>
        <w:gridCol w:w="1852"/>
        <w:gridCol w:w="211"/>
        <w:gridCol w:w="976"/>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Capacity under Revolving Credit Facility </w:t>
            </w:r>
            <w:r>
              <w:rPr>
                <w:rFonts w:ascii="Times New Roman;serif" w:hAnsi="Times New Roman;serif"/>
                <w:b w:val="false"/>
                <w:i/>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Net proceeds available from settlement of Forward Sale Agreements </w:t>
            </w:r>
            <w:r>
              <w:rPr>
                <w:rFonts w:ascii="Times New Roman;serif" w:hAnsi="Times New Roman;serif"/>
                <w:b w:val="false"/>
                <w:i/>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val="false"/>
          <w:i/>
          <w:color w:val="231F20"/>
          <w:sz w:val="16"/>
        </w:rPr>
        <w:t>(1)</w:t>
      </w:r>
      <w:r>
        <w:rPr>
          <w:rFonts w:ascii="Times New Roman;serif" w:hAnsi="Times New Roman;serif"/>
          <w:b w:val="false"/>
          <w:i/>
          <w:color w:val="000000"/>
          <w:sz w:val="16"/>
        </w:rPr>
        <w:t xml:space="preserve">In addition, the Credit Agreement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(2)Assumes the physical settlement of the 7,750,000 shares remaining to be settled as of March 31, 2026 under our ATM forward sale agreements at a forward sales price of $31.17, calculated as of March 31, 2026. Subsequent to quarter-end, on April 29, 2026, we physically settled the 7,750,000 shares outstanding under the ATM Program in exchange for total net settlement proceeds of approximately $242.1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any future issuances of debt and equity securities (including issuances under the ATM Program or any future “at-the-market” program) for the next 12 months and in future periods. </w:t>
      </w:r>
    </w:p>
    <w:p>
      <w:pPr>
        <w:pStyle w:val="TextBody"/>
        <w:bidi w:val="0"/>
        <w:spacing w:lineRule="auto" w:line="288" w:before="180" w:after="283"/>
        <w:jc w:val="both"/>
        <w:rPr/>
      </w:pPr>
      <w:r>
        <w:rPr>
          <w:rFonts w:ascii="Times New Roman;serif" w:hAnsi="Times New Roman;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dbae37a7dc3f44028d7360bd42dcb966_109">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herein from our </w:t>
      </w:r>
      <w:hyperlink r:id="rId6">
        <w:r>
          <w:rPr>
            <w:rStyle w:val="InternetLink"/>
            <w:rFonts w:ascii="Times New Roman;serif" w:hAnsi="Times New Roman;serif"/>
            <w:b w:val="false"/>
            <w:color w:val="0000FF"/>
            <w:sz w:val="20"/>
            <w:u w:val="single"/>
          </w:rPr>
          <w:t>Annual Report on Form 10-K for the year ended December 31, 2025</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the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80" w:after="283"/>
        <w:jc w:val="both"/>
        <w:rPr/>
      </w:pPr>
      <w:r>
        <w:rPr>
          <w:rFonts w:ascii="Times New Roman;serif" w:hAnsi="Times New Roman;serif"/>
          <w:b w:val="false"/>
          <w:color w:val="000000"/>
          <w:sz w:val="20"/>
        </w:rPr>
        <w:t xml:space="preserve">Our short-term obligations consist primarily of regular interest payments on our debt obligations, dividends to our common stockholders, distributions to the VICI OP Unit holders, Lucky Strike OP Units holders and to the 20% third-party owners of Harrah’s Joliet LandCo LLC,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dbae37a7dc3f44028d7360bd42dcb966_79">
        <w:r>
          <w:rPr>
            <w:rStyle w:val="InternetLink"/>
            <w:rFonts w:ascii="Times New Roman;serif" w:hAnsi="Times New Roman;serif"/>
            <w:b w:val="false"/>
            <w:color w:val="0000FF"/>
            <w:sz w:val="20"/>
            <w:u w:val="single"/>
          </w:rPr>
          <w:t>Note 10 - Commitments and Contingent Liabilities</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long-term obligations consist primarily of principal payments on our outstanding debt obligations and future funding commitments under our lease and loan agreements. As of March 31, 2026, we had $17.1 billion of debt obligations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 xml:space="preserve">of which $500.0 million matures on September 1, 2026, $1.25 billion matures on December 1, 2026, $750.0 million matures on February 1, 2027 and $750.0 million matures on February 15, 2027. For a summary of principal debt balances and their maturity dates and principal terms, refer to </w:t>
      </w:r>
      <w:hyperlink w:anchor="idbae37a7dc3f44028d7360bd42dcb966_70">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 xml:space="preserve">. For a summary of our future funding commitments under our loan portfolio, refer to </w:t>
      </w:r>
      <w:hyperlink w:anchor="idbae37a7dc3f44028d7360bd42dcb966_61">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w:t>
      </w:r>
    </w:p>
    <w:p>
      <w:pPr>
        <w:pStyle w:val="TextBody"/>
        <w:bidi w:val="0"/>
        <w:spacing w:lineRule="auto" w:line="288" w:before="180" w:after="283"/>
        <w:jc w:val="both"/>
        <w:rPr/>
      </w:pPr>
      <w:r>
        <w:rPr>
          <w:rFonts w:ascii="Times New Roman;serif" w:hAnsi="Times New Roman;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dbae37a7dc3f44028d7360bd42dcb966_61">
        <w:r>
          <w:rPr>
            <w:rStyle w:val="InternetLink"/>
            <w:rFonts w:ascii="Times New Roman;serif" w:hAnsi="Times New Roman;serif"/>
            <w:b w:val="false"/>
            <w:color w:val="0000FF"/>
            <w:sz w:val="20"/>
            <w:u w:val="single"/>
          </w:rPr>
          <w:t>Note 4 - Real Estate Portfolio</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our material contractual obligations and commitments to make future payments under contracts such as our indebtedness, future funding commitments under our loans, and future contractual operating commitments (such as future lease payments under our corporate lease) are included in the following table as of March 31, 2026.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Scheduled interest payments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22,163,118 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Future funding commitments, leases and contracts </w:t>
            </w:r>
            <w:r>
              <w:rPr>
                <w:rFonts w:ascii="Times New Roman;serif" w:hAnsi="Times New Roman;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Future funding commitments – loan investments </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funding commitments, leases and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Estimated interest payments on variable interest debt under our Revolving Credit Facility are based on the applicable CORRA and SONIA rates as of March 31, 2026.</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(2) Excludes ground and use leases which are paid directly by our tenants to the primary lease holder.</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(3) The allocation of our future funding commitments is based on construction draw schedules, commitment funding dates, expiration dates or other information, as applicable; however, we may be obligated to fund these commitments earlier than such applicable 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Additional Funding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strategy. As of March 31, 2026, we had $300.0 million of additional potential future funding commitments in connection with the Venetian Capital Investment entered into on May 1, 2024, pursuant to which the tenant has the option, but not the obligation, to draw such future funds, prior to November 1, 2026. The utilization of funding commitments under the Partner Property Growth Fund strategy, as well as the total funding ultimately provided under such arrangements, is at the discretion of the respective tenant and will be dependent upon independent decisions made by such tenant with respect to any capital improvement projects and the source of funds for such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cash flows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509"/>
        <w:gridCol w:w="446"/>
        <w:gridCol w:w="446"/>
        <w:gridCol w:w="1666"/>
        <w:gridCol w:w="1489"/>
        <w:gridCol w:w="1509"/>
        <w:gridCol w:w="211"/>
        <w:gridCol w:w="826"/>
        <w:gridCol w:w="109"/>
        <w:gridCol w:w="109"/>
        <w:gridCol w:w="109"/>
        <w:gridCol w:w="109"/>
        <w:gridCol w:w="211"/>
        <w:gridCol w:w="826"/>
        <w:gridCol w:w="109"/>
        <w:gridCol w:w="109"/>
        <w:gridCol w:w="109"/>
        <w:gridCol w:w="109"/>
        <w:gridCol w:w="211"/>
        <w:gridCol w:w="826"/>
        <w:gridCol w:w="157"/>
      </w:tblGrid>
      <w:tr>
        <w:trPr/>
        <w:tc>
          <w:tcPr>
            <w:tcW w:w="5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60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cash equivalents and 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$40.0 million for the three months ended March 31, 2026 compared with the three months ended March 31, 2025. The increase was primarily driven by the receipt of payment-in-kind interest, the annual rent escalators from our lease agreements and incremental interest income from additional loan fundings.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decreased $162.7 million for the three months ended March 31, 2026 compared with the three months ended March 31,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Disbursements to fund investments in our loan and securities portfolio in the amount of </w:t>
      </w:r>
      <w:r>
        <w:rPr>
          <w:rFonts w:ascii="Times New Roman;serif" w:hAnsi="Times New Roman;serif"/>
          <w:b w:val="false"/>
          <w:color w:val="000000"/>
          <w:sz w:val="20"/>
        </w:rPr>
        <w:t>$734.5 million;</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Principal repayments of loans and receipts of deferred fees in the amount of </w:t>
      </w:r>
      <w:r>
        <w:rPr>
          <w:rFonts w:ascii="Times New Roman;serif" w:hAnsi="Times New Roman;serif"/>
          <w:b w:val="false"/>
          <w:color w:val="000000"/>
          <w:sz w:val="20"/>
        </w:rPr>
        <w:t>$468.6 million; and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Maturities of short-term investments of </w:t>
      </w:r>
      <w:r>
        <w:rPr>
          <w:rFonts w:ascii="Times New Roman;serif" w:hAnsi="Times New Roman;serif"/>
          <w:b w:val="false"/>
          <w:color w:val="000000"/>
          <w:sz w:val="20"/>
        </w:rPr>
        <w:t>$44.5 million.</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March 31, 2025</w:t>
      </w:r>
      <w:r>
        <w:rPr>
          <w:rFonts w:ascii="Times New Roman;serif" w:hAnsi="Times New Roman;serif"/>
          <w:b w:val="false"/>
          <w:color w:val="000000"/>
          <w:sz w:val="20"/>
          <w:shd w:fill="FFFFFF" w:val="clear"/>
        </w:rPr>
        <w:t xml:space="preserve">,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Disbursements to fund investments in our loan and securities portfolio in the amount of </w:t>
      </w:r>
      <w:r>
        <w:rPr>
          <w:rFonts w:ascii="Times New Roman;serif" w:hAnsi="Times New Roman;serif"/>
          <w:b w:val="false"/>
          <w:color w:val="000000"/>
          <w:sz w:val="20"/>
        </w:rPr>
        <w:t>$385.4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$95.3 million for the three months ended March 31, 2026, compared with the three months ended March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Dividend payments of $481.4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Distributions of $8.3 million to non-controlling interests;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$2.3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Dividend payments of $459.0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Draws of $248.4 million and repayments of $151.8 million on our Revolving Credit Facility;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Payments of debt issuance costs of $19.1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Distributions of $8.0 million to non-controlling interests;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Repurchase of shares of common stock for tax withholding in connection with the vesting of employee stock compensation of $7.2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Debt</w:t>
      </w:r>
    </w:p>
    <w:p>
      <w:pPr>
        <w:pStyle w:val="TextBody"/>
        <w:bidi w:val="0"/>
        <w:spacing w:lineRule="auto" w:line="288" w:before="180" w:after="283"/>
        <w:jc w:val="both"/>
        <w:rPr/>
      </w:pPr>
      <w:r>
        <w:rPr>
          <w:rFonts w:ascii="Times New Roman;serif" w:hAnsi="Times New Roman;serif"/>
          <w:b w:val="false"/>
          <w:color w:val="000000"/>
          <w:sz w:val="20"/>
        </w:rPr>
        <w:t xml:space="preserve">For a summary of our debt obligations as of March 31, 2026, refer to </w:t>
      </w:r>
      <w:hyperlink w:anchor="idbae37a7dc3f44028d7360bd42dcb966_70">
        <w:r>
          <w:rPr>
            <w:rStyle w:val="InternetLink"/>
            <w:rFonts w:ascii="Times New Roman;serif" w:hAnsi="Times New Roman;serif"/>
            <w:b w:val="false"/>
            <w:color w:val="0000FF"/>
            <w:sz w:val="20"/>
            <w:u w:val="single"/>
          </w:rPr>
          <w:t>Note 7 - Debt</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debt obligations are subject to certain customary financial and operating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2026, we were in compliance with all debt-related covenants.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Distribution Policy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intend to make regular quarterly distributions to holders of shares of our common stock. Dividends declared (on a per share basis) during the three months ended March 31, 2026 and 2025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62" w:type="dxa"/>
        <w:jc w:val="center"/>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both"/>
        <w:rPr>
          <w:rFonts w:ascii="Times New Roman;serif" w:hAnsi="Times New Roman;serif"/>
          <w:b w:val="false"/>
          <w:color w:val="000000"/>
          <w:sz w:val="20"/>
        </w:rPr>
      </w:pPr>
      <w:r>
        <w:rPr>
          <w:rFonts w:ascii="Times New Roman;serif" w:hAnsi="Times New Roman;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80" w:after="283"/>
        <w:jc w:val="both"/>
        <w:rPr/>
      </w:pPr>
      <w:r>
        <w:rPr>
          <w:rFonts w:ascii="Times New Roman;serif" w:hAnsi="Times New Roman;serif"/>
          <w:b w:val="false"/>
          <w:color w:val="000000"/>
          <w:sz w:val="20"/>
        </w:rPr>
        <w:t xml:space="preserve">A complete discussion of our critical accounting policies and estimates is included in our </w:t>
      </w:r>
      <w:hyperlink r:id="rId7">
        <w:r>
          <w:rPr>
            <w:rStyle w:val="InternetLink"/>
            <w:rFonts w:ascii="Times New Roman;serif" w:hAnsi="Times New Roman;serif"/>
            <w:b w:val="false"/>
            <w:color w:val="0000FF"/>
            <w:sz w:val="20"/>
            <w:u w:val="single"/>
          </w:rPr>
          <w:t>Annual Report on Form 10-K for the year ended December 31, 2025</w:t>
        </w:r>
      </w:hyperlink>
      <w:r>
        <w:rPr>
          <w:rFonts w:ascii="Times New Roman;serif" w:hAnsi="Times New Roman;serif"/>
          <w:b w:val="false"/>
          <w:color w:val="000000"/>
          <w:sz w:val="20"/>
        </w:rPr>
        <w:t>. There have been no significant changes in our critical policies and estimates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March 31, 2026, we had $17.1 billion aggregate principal amount of outstanding indebtedness, of which 99.2% has a fixed interest rate and 0.8% has a variable interest rate, representing the US$140.4 million outstanding balance under the Revolving Credit Facility (denominated in CAD and GBP). As of March 31, 2026, a one percent increase or decrease in the annual interest rate on our variable rate borrowings would increase or decrease our annual cash interest expense by approximately $1.4 million using the applicable exchange rate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we are exposed to interest rate risk between the time we enter into a transaction and the time we finance the related transaction with long-term fixed-rate debt. In addition, when long-term debt matures, we may have to refinance such debt at a higher interest rate, thereby exposing us to interest rate risk in connection with such refinancings. In a heightened interest rate environment, we have from time to time and may in the future seek to mitigate that risk by utilizing forward-starting interest rate swap agreements, U.S. Treasury rate lock agreements and other derivative instruments. Market interest rates are sensitive to many factors that are beyond our control.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 Markets Risks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Inc.</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VICI’s internal control over financial reporting (as defined in Rules 13a-15(f) and 15d-15(f) under the Exchange Act) that occurred during the three months ended March 31, 2026, that have materially affected, or are reasonably likely to materially affect, VICI’s internal control over financial reporting.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VICI Properties L.P.</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VICI LP’s internal control over financial reporting (as defined in Rules 13a-15(f) and 15d-15(f) under the Exchange Act) that occurred during the three months ended March 31, 2026,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The information contained under the heading “Litigation” in </w:t>
      </w:r>
      <w:hyperlink w:anchor="idbae37a7dc3f44028d7360bd42dcb966_79">
        <w:r>
          <w:rPr>
            <w:rStyle w:val="InternetLink"/>
            <w:rFonts w:ascii="Times New Roman;serif" w:hAnsi="Times New Roman;serif"/>
            <w:b w:val="false"/>
            <w:color w:val="0000FF"/>
            <w:sz w:val="20"/>
            <w:u w:val="single"/>
          </w:rPr>
          <w:t>Note 10 - Commitments and Contingent Liabilities</w:t>
        </w:r>
      </w:hyperlink>
      <w:r>
        <w:rPr>
          <w:color w:val="000000"/>
        </w:rPr>
        <w:t xml:space="preserve"> </w:t>
      </w:r>
      <w:r>
        <w:rPr>
          <w:rFonts w:ascii="Times New Roman;serif" w:hAnsi="Times New Roman;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180" w:after="283"/>
        <w:jc w:val="both"/>
        <w:rPr/>
      </w:pPr>
      <w:r>
        <w:rPr>
          <w:rFonts w:ascii="Times New Roman;serif" w:hAnsi="Times New Roman;serif"/>
          <w:b w:val="false"/>
          <w:color w:val="000000"/>
          <w:sz w:val="20"/>
        </w:rPr>
        <w:t xml:space="preserve">A description of certain factors that may affect our future results and risk factors is set forth in our </w:t>
      </w:r>
      <w:hyperlink r:id="rId8">
        <w:r>
          <w:rPr>
            <w:rStyle w:val="InternetLink"/>
            <w:rFonts w:ascii="Times New Roman;serif" w:hAnsi="Times New Roman;serif"/>
            <w:b w:val="false"/>
            <w:color w:val="0000FF"/>
            <w:sz w:val="20"/>
            <w:u w:val="single"/>
          </w:rPr>
          <w:t>Annual Report on Form 10-K for the year ended December 31, 2025</w:t>
        </w:r>
      </w:hyperlink>
      <w:r>
        <w:rPr>
          <w:rFonts w:ascii="Times New Roman;serif" w:hAnsi="Times New Roman;serif"/>
          <w:b w:val="false"/>
          <w:color w:val="000000"/>
          <w:sz w:val="20"/>
        </w:rPr>
        <w:t>, and is incorporated by reference into this Item 1A. There have been no material changes to those factors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(a) Unregistered Sales of Equity Securities and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(b) Use of Proceeds from Registered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VICI Properties Inc.</w:t>
      </w:r>
    </w:p>
    <w:p>
      <w:pPr>
        <w:pStyle w:val="TextBody"/>
        <w:bidi w:val="0"/>
        <w:spacing w:lineRule="auto" w:line="288" w:before="240" w:after="283"/>
        <w:jc w:val="both"/>
        <w:rPr/>
      </w:pPr>
      <w:r>
        <w:rPr>
          <w:rFonts w:ascii="Times New Roman;serif" w:hAnsi="Times New Roman;serif"/>
          <w:b w:val="false"/>
          <w:color w:val="000000"/>
          <w:sz w:val="20"/>
          <w:shd w:fill="FFFFFF" w:val="clear"/>
        </w:rPr>
        <w:t>During the three months ended March 31, 2026,</w:t>
      </w:r>
      <w:r>
        <w:rPr>
          <w:color w:val="000000"/>
        </w:rPr>
        <w:t xml:space="preserve"> </w:t>
      </w:r>
      <w:r>
        <w:rPr>
          <w:rFonts w:ascii="Times New Roman;serif" w:hAnsi="Times New Roman;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March 31, 2026:</w:t>
      </w:r>
    </w:p>
    <w:tbl>
      <w:tblPr>
        <w:tblW w:w="10205" w:type="dxa"/>
        <w:jc w:val="left"/>
        <w:tblInd w:w="0" w:type="dxa"/>
        <w:tblLayout w:type="fixed"/>
        <w:tblCellMar>
          <w:top w:w="28" w:type="dxa"/>
          <w:left w:w="28" w:type="dxa"/>
          <w:bottom w:w="28" w:type="dxa"/>
          <w:right w:w="28" w:type="dxa"/>
        </w:tblCellMar>
      </w:tblPr>
      <w:tblGrid>
        <w:gridCol w:w="632"/>
        <w:gridCol w:w="506"/>
        <w:gridCol w:w="512"/>
        <w:gridCol w:w="109"/>
        <w:gridCol w:w="109"/>
        <w:gridCol w:w="109"/>
        <w:gridCol w:w="564"/>
        <w:gridCol w:w="471"/>
        <w:gridCol w:w="472"/>
        <w:gridCol w:w="109"/>
        <w:gridCol w:w="109"/>
        <w:gridCol w:w="109"/>
        <w:gridCol w:w="291"/>
        <w:gridCol w:w="872"/>
        <w:gridCol w:w="150"/>
        <w:gridCol w:w="109"/>
        <w:gridCol w:w="109"/>
        <w:gridCol w:w="109"/>
        <w:gridCol w:w="695"/>
        <w:gridCol w:w="695"/>
        <w:gridCol w:w="696"/>
        <w:gridCol w:w="109"/>
        <w:gridCol w:w="109"/>
        <w:gridCol w:w="109"/>
        <w:gridCol w:w="683"/>
        <w:gridCol w:w="683"/>
        <w:gridCol w:w="975"/>
      </w:tblGrid>
      <w:tr>
        <w:trPr/>
        <w:tc>
          <w:tcPr>
            <w:tcW w:w="63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Number Of Shares That </w:t>
              <w:br/>
              <w:t>May Yet Be Purchased Under The Plans Or Programs</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February 1, 2026 through February 28, 2026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76,538</w:t>
            </w:r>
            <w:r>
              <w:rPr>
                <w:color w:val="000000"/>
              </w:rPr>
              <w:t>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30.01</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VICI Properties L.P.</w:t>
      </w:r>
    </w:p>
    <w:p>
      <w:pPr>
        <w:pStyle w:val="TextBody"/>
        <w:bidi w:val="0"/>
        <w:spacing w:lineRule="auto" w:line="288" w:before="240" w:after="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3.Defaults Upon Senior Securities</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4.Mine Safety Disclosures</w:t>
      </w:r>
    </w:p>
    <w:p>
      <w:pPr>
        <w:pStyle w:val="TextBody"/>
        <w:bidi w:val="0"/>
        <w:spacing w:lineRule="auto" w:line="288" w:before="180" w:after="6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24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5.Other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4"/>
        </w:rPr>
        <w:t>Item 6.</w:t>
      </w:r>
      <w:r>
        <w:rPr>
          <w:rFonts w:ascii="Times New Roman;serif" w:hAnsi="Times New Roman;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863"/>
        <w:gridCol w:w="1539"/>
        <w:gridCol w:w="1544"/>
        <w:gridCol w:w="109"/>
        <w:gridCol w:w="109"/>
        <w:gridCol w:w="109"/>
        <w:gridCol w:w="297"/>
        <w:gridCol w:w="297"/>
        <w:gridCol w:w="298"/>
        <w:gridCol w:w="109"/>
        <w:gridCol w:w="109"/>
        <w:gridCol w:w="109"/>
        <w:gridCol w:w="170"/>
        <w:gridCol w:w="170"/>
        <w:gridCol w:w="171"/>
        <w:gridCol w:w="116"/>
        <w:gridCol w:w="116"/>
        <w:gridCol w:w="116"/>
        <w:gridCol w:w="210"/>
        <w:gridCol w:w="210"/>
        <w:gridCol w:w="211"/>
        <w:gridCol w:w="116"/>
        <w:gridCol w:w="116"/>
        <w:gridCol w:w="116"/>
        <w:gridCol w:w="211"/>
        <w:gridCol w:w="211"/>
        <w:gridCol w:w="212"/>
        <w:gridCol w:w="16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thirdamendmenttoarmgmmaste.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hirdamendmenttoarmgmmaste.htm">
              <w:r>
                <w:rPr>
                  <w:rStyle w:val="InternetLink"/>
                  <w:rFonts w:ascii="Times New Roman;serif" w:hAnsi="Times New Roman;serif"/>
                  <w:b w:val="false"/>
                  <w:color w:val="0000FF"/>
                  <w:sz w:val="20"/>
                  <w:u w:val="single"/>
                </w:rPr>
                <w:t>Third Amendment to Amended and Restated Master Lease, dated as of April 21, 2026, by and between MGP Lessor, LLC and MGM Lessee,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11xviciprope.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11xviciprope.htm">
              <w:r>
                <w:rPr>
                  <w:rStyle w:val="InternetLink"/>
                  <w:rFonts w:ascii="Times New Roman;serif" w:hAnsi="Times New Roman;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12xviciprope.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12xviciprope.htm">
              <w:r>
                <w:rPr>
                  <w:rStyle w:val="InternetLink"/>
                  <w:rFonts w:ascii="Times New Roman;serif" w:hAnsi="Times New Roman;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13xviciprope.htm">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13xviciprope.htm">
              <w:r>
                <w:rPr>
                  <w:rStyle w:val="InternetLink"/>
                  <w:rFonts w:ascii="Times New Roman;serif" w:hAnsi="Times New Roman;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14xviciprope.htm">
              <w:r>
                <w:rPr>
                  <w:rStyle w:val="InternetLink"/>
                  <w:rFonts w:ascii="Times New Roman;serif" w:hAnsi="Times New Roman;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14xviciprope.htm">
              <w:r>
                <w:rPr>
                  <w:rStyle w:val="InternetLink"/>
                  <w:rFonts w:ascii="Times New Roman;serif" w:hAnsi="Times New Roman;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21xviciprope.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21xviciprope.htm">
              <w:r>
                <w:rPr>
                  <w:rStyle w:val="InternetLink"/>
                  <w:rFonts w:ascii="Times New Roman;serif" w:hAnsi="Times New Roman;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22xviciprope.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22xviciprope.htm">
              <w:r>
                <w:rPr>
                  <w:rStyle w:val="InternetLink"/>
                  <w:rFonts w:ascii="Times New Roman;serif" w:hAnsi="Times New Roman;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23xviciprope.htm">
              <w:r>
                <w:rPr>
                  <w:rStyle w:val="InternetLink"/>
                  <w:rFonts w:ascii="Times New Roman;serif" w:hAnsi="Times New Roman;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23xviciprope.htm">
              <w:r>
                <w:rPr>
                  <w:rStyle w:val="InternetLink"/>
                  <w:rFonts w:ascii="Times New Roman;serif" w:hAnsi="Times New Roman;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6exh324xviciprope.htm">
              <w:r>
                <w:rPr>
                  <w:rStyle w:val="InternetLink"/>
                  <w:rFonts w:ascii="Times New Roman;serif" w:hAnsi="Times New Roman;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6exh324xviciprope.htm">
              <w:r>
                <w:rPr>
                  <w:rStyle w:val="InternetLink"/>
                  <w:rFonts w:ascii="Times New Roman;serif" w:hAnsi="Times New Roman;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dbae37a7dc3f44028d7360bd42dcb96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7809" w:type="dxa"/>
        <w:jc w:val="left"/>
        <w:tblInd w:w="0" w:type="dxa"/>
        <w:tblLayout w:type="fixed"/>
        <w:tblCellMar>
          <w:top w:w="28" w:type="dxa"/>
          <w:left w:w="28" w:type="dxa"/>
          <w:bottom w:w="28" w:type="dxa"/>
          <w:right w:w="28" w:type="dxa"/>
        </w:tblCellMar>
      </w:tblPr>
      <w:tblGrid>
        <w:gridCol w:w="850"/>
        <w:gridCol w:w="749"/>
        <w:gridCol w:w="756"/>
        <w:gridCol w:w="174"/>
        <w:gridCol w:w="174"/>
        <w:gridCol w:w="174"/>
        <w:gridCol w:w="1047"/>
        <w:gridCol w:w="1047"/>
        <w:gridCol w:w="981"/>
        <w:gridCol w:w="174"/>
        <w:gridCol w:w="174"/>
        <w:gridCol w:w="174"/>
        <w:gridCol w:w="391"/>
        <w:gridCol w:w="391"/>
        <w:gridCol w:w="553"/>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7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INC.</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JEREMY L. WAXMAN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Jeremy L. Waxman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78" w:type="dxa"/>
        <w:jc w:val="left"/>
        <w:tblInd w:w="0" w:type="dxa"/>
        <w:tblLayout w:type="fixed"/>
        <w:tblCellMar>
          <w:top w:w="28" w:type="dxa"/>
          <w:left w:w="28" w:type="dxa"/>
          <w:bottom w:w="28" w:type="dxa"/>
          <w:right w:w="28" w:type="dxa"/>
        </w:tblCellMar>
      </w:tblPr>
      <w:tblGrid>
        <w:gridCol w:w="850"/>
        <w:gridCol w:w="749"/>
        <w:gridCol w:w="756"/>
        <w:gridCol w:w="169"/>
        <w:gridCol w:w="169"/>
        <w:gridCol w:w="169"/>
        <w:gridCol w:w="1020"/>
        <w:gridCol w:w="1020"/>
        <w:gridCol w:w="1034"/>
        <w:gridCol w:w="169"/>
        <w:gridCol w:w="169"/>
        <w:gridCol w:w="169"/>
        <w:gridCol w:w="391"/>
        <w:gridCol w:w="391"/>
        <w:gridCol w:w="553"/>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7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VICI PROPERTIES L.P.</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JEREMY L. WAXMAN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29,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Jeremy L. Waxman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THIRD AMENDMENT TO AMENDED AND RESTATED MASTER LEASE</w:t>
      </w:r>
    </w:p>
    <w:p>
      <w:pPr>
        <w:pStyle w:val="TextBody"/>
        <w:bidi w:val="0"/>
        <w:spacing w:lineRule="auto" w:line="288" w:before="0" w:after="240"/>
        <w:ind w:left="0" w:right="0" w:firstLine="634"/>
        <w:jc w:val="both"/>
        <w:rPr/>
      </w:pPr>
      <w:r>
        <w:rPr>
          <w:rFonts w:ascii="Times New Roman;serif" w:hAnsi="Times New Roman;serif"/>
          <w:b w:val="false"/>
          <w:color w:val="000000"/>
          <w:sz w:val="24"/>
        </w:rPr>
        <w:t>THIS THIRD AMENDMENT TO AMENDED AND RESTATED MASTER LEASE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dated as of April 21,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MGP Lessor, LLC, a Delaware limited liability company (together with its permitted successors and assigns, “</w:t>
      </w:r>
      <w:r>
        <w:rPr>
          <w:rFonts w:ascii="Times New Roman;serif" w:hAnsi="Times New Roman;serif"/>
          <w:b/>
          <w:color w:val="000000"/>
          <w:sz w:val="24"/>
        </w:rPr>
        <w:t>Landlord</w:t>
      </w:r>
      <w:r>
        <w:rPr>
          <w:color w:val="000000"/>
        </w:rPr>
        <w:t>”</w:t>
      </w:r>
      <w:r>
        <w:rPr>
          <w:rFonts w:ascii="Times New Roman;serif" w:hAnsi="Times New Roman;serif"/>
          <w:b w:val="false"/>
          <w:color w:val="000000"/>
          <w:sz w:val="24"/>
        </w:rPr>
        <w:t>), and MGM Lessee, LLC, a Delaware limited liability company (together with its permitted successors and assigns, “</w:t>
      </w:r>
      <w:r>
        <w:rPr>
          <w:rFonts w:ascii="Times New Roman;serif" w:hAnsi="Times New Roman;serif"/>
          <w:b/>
          <w:color w:val="000000"/>
          <w:sz w:val="24"/>
        </w:rPr>
        <w:t>Tenant</w:t>
      </w:r>
      <w:r>
        <w:rPr>
          <w:color w:val="000000"/>
        </w:rPr>
        <w:t>”</w:t>
      </w:r>
      <w:r>
        <w:rPr>
          <w:rFonts w:ascii="Times New Roman;serif" w:hAnsi="Times New Roman;serif"/>
          <w:b w:val="false"/>
          <w:color w:val="000000"/>
          <w:sz w:val="24"/>
        </w:rPr>
        <w:t>), and acknowledged and agreed to by MGM Resorts International, a Delaware corporation (“</w:t>
      </w:r>
      <w:r>
        <w:rPr>
          <w:rFonts w:ascii="Times New Roman;serif" w:hAnsi="Times New Roman;serif"/>
          <w:b/>
          <w:color w:val="000000"/>
          <w:sz w:val="24"/>
        </w:rPr>
        <w:t>Guarantor</w:t>
      </w:r>
      <w:r>
        <w:rPr>
          <w:color w:val="000000"/>
        </w:rPr>
        <w:t>”</w:t>
      </w:r>
      <w:r>
        <w:rPr>
          <w:rFonts w:ascii="Times New Roman;serif" w:hAnsi="Times New Roman;serif"/>
          <w:b w:val="false"/>
          <w:color w:val="000000"/>
          <w:sz w:val="24"/>
        </w:rPr>
        <w:t>), as set forth on the Consent and Ratification attached to this Amendment.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Landlord and Tenant are parties to that certain Amended and Restated Master Lease entered into as of April 29, 2022 (“</w:t>
      </w:r>
      <w:r>
        <w:rPr>
          <w:rFonts w:ascii="Times New Roman;serif" w:hAnsi="Times New Roman;serif"/>
          <w:b/>
          <w:color w:val="000000"/>
          <w:sz w:val="24"/>
        </w:rPr>
        <w:t>A&amp;R Master Lease</w:t>
      </w:r>
      <w:r>
        <w:rPr>
          <w:color w:val="000000"/>
        </w:rPr>
        <w:t>”</w:t>
      </w:r>
      <w:r>
        <w:rPr>
          <w:rFonts w:ascii="Times New Roman;serif" w:hAnsi="Times New Roman;serif"/>
          <w:b w:val="false"/>
          <w:color w:val="000000"/>
          <w:sz w:val="24"/>
        </w:rPr>
        <w:t>), as amended by that certain First Amendment to Amended and Restated Master Lease, dated as of December 19, 2022 (the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as further amended by that certain Second Amendment to Amended and Restated Master Lease, dated as of February 15, 2023 (the “</w:t>
      </w:r>
      <w:r>
        <w:rPr>
          <w:rFonts w:ascii="Times New Roman;serif" w:hAnsi="Times New Roman;serif"/>
          <w:b/>
          <w:color w:val="000000"/>
          <w:sz w:val="24"/>
        </w:rPr>
        <w:t>Second Amendment</w:t>
      </w:r>
      <w:r>
        <w:rPr>
          <w:color w:val="000000"/>
        </w:rPr>
        <w:t>”</w:t>
      </w:r>
      <w:r>
        <w:rPr>
          <w:rFonts w:ascii="Times New Roman;serif" w:hAnsi="Times New Roman;serif"/>
          <w:b w:val="false"/>
          <w:color w:val="000000"/>
          <w:sz w:val="24"/>
        </w:rPr>
        <w:t>, and together with the A&amp;R Master Lease and the First Amendment, collectively, the “</w:t>
      </w:r>
      <w:r>
        <w:rPr>
          <w:rFonts w:ascii="Times New Roman;serif" w:hAnsi="Times New Roman;serif"/>
          <w:b/>
          <w:color w:val="000000"/>
          <w:sz w:val="24"/>
        </w:rPr>
        <w:t>Master Lease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On the date hereof, MGM Resorts International, a Delaware corporation, and NP GAMING ACQUISITION, LLC, a Delaware limited liability company (the “</w:t>
      </w:r>
      <w:r>
        <w:rPr>
          <w:rFonts w:ascii="Times New Roman;serif" w:hAnsi="Times New Roman;serif"/>
          <w:b/>
          <w:color w:val="000000"/>
          <w:sz w:val="24"/>
        </w:rPr>
        <w:t>Purchaser</w:t>
      </w:r>
      <w:r>
        <w:rPr>
          <w:color w:val="000000"/>
        </w:rPr>
        <w:t>”</w:t>
      </w:r>
      <w:r>
        <w:rPr>
          <w:rFonts w:ascii="Times New Roman;serif" w:hAnsi="Times New Roman;serif"/>
          <w:b w:val="false"/>
          <w:color w:val="000000"/>
          <w:sz w:val="24"/>
        </w:rPr>
        <w:t>) are closing a purchase and sale transaction under that certain Purchase Agreement, dated as of October 15, 2025, as amended, restated, modified or supplemented from time to time in accordance with its terms, with respect to the outstanding equity interests in Northfield Park Associates LLC, an Ohio limited liability company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which subleases, operates and manages the hotel, gaming, and entertainment facility known as MGM Northfield Park located at 10777 Northfield Rd., Northfield, Ohio 44067 and 10705 Northfield Rd., Northfield, Ohio 44067 (the “</w:t>
      </w:r>
      <w:r>
        <w:rPr>
          <w:rFonts w:ascii="Times New Roman;serif" w:hAnsi="Times New Roman;serif"/>
          <w:b/>
          <w:color w:val="000000"/>
          <w:sz w:val="24"/>
        </w:rPr>
        <w:t>Northfield Facility</w:t>
      </w:r>
      <w:r>
        <w:rPr>
          <w:color w:val="000000"/>
        </w:rPr>
        <w:t>”</w:t>
      </w:r>
      <w:r>
        <w:rPr>
          <w:rFonts w:ascii="Times New Roman;serif" w:hAnsi="Times New Roman;serif"/>
          <w:b w:val="false"/>
          <w:color w:val="000000"/>
          <w:sz w:val="24"/>
        </w:rPr>
        <w:t>), which facility is (prior to the effectiveness of this Amendment) subject to the Master Lease (the “</w:t>
      </w:r>
      <w:r>
        <w:rPr>
          <w:rFonts w:ascii="Times New Roman;serif" w:hAnsi="Times New Roman;serif"/>
          <w:b/>
          <w:color w:val="000000"/>
          <w:sz w:val="24"/>
        </w:rPr>
        <w:t>Northfield Transaction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In connection with the Northfield Transaction, on the Effective Date (x) the Northfield Facility will be removed from the Master Lease and (y) Landlord will enter into a new lease with the Company, which, on the Effective Date, shall be a wholly-owned Subsidiary of Purchaser, in respect of the Northfield Facility;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project that is the subject of the NDOT Condemnation (as described on Schedule 4 of the Master Lease) has been completed and Landlord and Tenant desire to amend the Master Lease by (i) modifying the legal descriptions of the Facilities described as the New York-New York Hotel and Casino and the Excalibur Hotel and Casino to reflect the NDOT Condemnation, and (ii) deleting in their entireties Section 15.3(a) and Schedule 4 of the Master Lease (and all references in the Master Lease to Section 15.3(a) and Schedule 4);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 connection with the Northfield Transaction and the NDOT Condemnation, Landlord and Tenant desire to amend the Master Lease as set forth herein.</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hereinafter set forth and for other good and valuable consideration, the receipt and sufficiency of which are hereby acknowledged, the parties hereto, intending to be legally bound hereby, agree as follows:</w:t>
      </w:r>
    </w:p>
    <w:p>
      <w:pPr>
        <w:pStyle w:val="TextBody"/>
        <w:bidi w:val="0"/>
        <w:spacing w:lineRule="auto" w:line="288" w:before="0" w:after="240"/>
        <w:ind w:left="0" w:right="0" w:firstLine="630"/>
        <w:jc w:val="both"/>
        <w:rPr/>
      </w:pPr>
      <w:r>
        <w:rPr>
          <w:rFonts w:ascii="Times New Roman;serif" w:hAnsi="Times New Roman;serif"/>
          <w:b w:val="false"/>
          <w:color w:val="000000"/>
          <w:sz w:val="24"/>
        </w:rPr>
        <w:t>1.    </w:t>
      </w:r>
      <w:r>
        <w:rPr>
          <w:rFonts w:ascii="Times New Roman;serif" w:hAnsi="Times New Roman;serif"/>
          <w:b/>
          <w:color w:val="000000"/>
          <w:sz w:val="24"/>
          <w:u w:val="single"/>
        </w:rPr>
        <w:t>Definitions</w:t>
      </w:r>
      <w:r>
        <w:rPr>
          <w:rFonts w:ascii="Times New Roman;serif" w:hAnsi="Times New Roman;serif"/>
          <w:b w:val="false"/>
          <w:color w:val="000000"/>
          <w:sz w:val="24"/>
        </w:rPr>
        <w:t>. Except as otherwise defined herein, all capitalized terms used herein without definition shall have the meanings applicable to such terms, respectively, as set forth in the Master Lease.</w:t>
      </w:r>
    </w:p>
    <w:p>
      <w:pPr>
        <w:pStyle w:val="TextBody"/>
        <w:bidi w:val="0"/>
        <w:spacing w:lineRule="auto" w:line="288" w:before="0" w:after="240"/>
        <w:ind w:left="0" w:right="0" w:firstLine="630"/>
        <w:jc w:val="both"/>
        <w:rPr/>
      </w:pPr>
      <w:r>
        <w:rPr>
          <w:rFonts w:ascii="Times New Roman;serif" w:hAnsi="Times New Roman;serif"/>
          <w:b w:val="false"/>
          <w:color w:val="000000"/>
          <w:sz w:val="24"/>
        </w:rPr>
        <w:t>2.    </w:t>
      </w:r>
      <w:r>
        <w:rPr>
          <w:rFonts w:ascii="Times New Roman;serif" w:hAnsi="Times New Roman;serif"/>
          <w:b/>
          <w:color w:val="000000"/>
          <w:sz w:val="24"/>
          <w:u w:val="single"/>
        </w:rPr>
        <w:t>Termination of the Master Lease as to Northfield Facility</w:t>
      </w:r>
      <w:r>
        <w:rPr>
          <w:rFonts w:ascii="Times New Roman;serif" w:hAnsi="Times New Roman;serif"/>
          <w:b w:val="false"/>
          <w:color w:val="000000"/>
          <w:sz w:val="24"/>
        </w:rPr>
        <w:t>. Effective as of the Effective Date, the Master Lease is hereby terminated solely with respect to the Northfield Facility, and each of Landlord, Tenant and Guarantor shall have no further obligations or liabilities under the Master Lease or Guaranty, as applicable, with respect to the Northfield Facility from and after the Effective Date; it being understood, however, that any claims against, and any liabilities, obligations and indemnities of, Guarantor, Tenant or Landlord in respect of the Northfield Facility, to the extent arising out of or accruing in respect of any period prior to the Effective Date, shall survive such termination and shall not be terminated, limited, impaired or affected by or upon entry into this Amendment.</w:t>
      </w:r>
    </w:p>
    <w:p>
      <w:pPr>
        <w:pStyle w:val="TextBody"/>
        <w:bidi w:val="0"/>
        <w:spacing w:lineRule="auto" w:line="288" w:before="0" w:after="240"/>
        <w:ind w:left="0" w:right="0" w:firstLine="630"/>
        <w:jc w:val="both"/>
        <w:rPr/>
      </w:pPr>
      <w:r>
        <w:rPr>
          <w:rFonts w:ascii="Times New Roman;serif" w:hAnsi="Times New Roman;serif"/>
          <w:b w:val="false"/>
          <w:color w:val="000000"/>
          <w:sz w:val="24"/>
        </w:rPr>
        <w:t>3.    </w:t>
      </w:r>
      <w:r>
        <w:rPr>
          <w:rFonts w:ascii="Times New Roman;serif" w:hAnsi="Times New Roman;serif"/>
          <w:b/>
          <w:color w:val="000000"/>
          <w:sz w:val="24"/>
          <w:u w:val="single"/>
        </w:rPr>
        <w:t>Amendments to Master Lease</w:t>
      </w:r>
      <w:r>
        <w:rPr>
          <w:rFonts w:ascii="Times New Roman;serif" w:hAnsi="Times New Roman;serif"/>
          <w:b w:val="false"/>
          <w:color w:val="000000"/>
          <w:sz w:val="24"/>
        </w:rPr>
        <w:t xml:space="preserve">. Effective as of the Effective Date, the Master Lease is hereby amended in its entirety to read as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it being understood, for the avoidance of doubt, that during the period from (i) the Commencement Date of the Master Lease until December 19, 2022, the terms of the Master Lease applied to the fourteen (14) original Facilities and all matters then arising under the Master Lease, without regard to the First Amendment and the termination of the Master Lease with respect to the Mirage Facility, (ii) December 19, 2022 until February 15, 2023, the terms of the Master Lease applied to the remaining thirteen (13) Facilities after giving effect to the removal of the Mirage Facility pursuant to the First Amendment and all matters then arising under the Master Lease, without regard to this Amendment and the termination of the Master Lease with respect to the Gold Strike Facility, and (iii) February 15, 2023 until the Effective Date of this Amendment, the terms of the Master Lease applied to the remaining twelve (12) Facilities after giving effect to the removal of the Gold Strike Facility pursuant to the Second Amendment and all matters then arising under the Master Lease, without regard to this Amendment and the termination of the Master Lease with respect to the Northfield Facility. Solely for purposes of clarity, changes effectuated by this Amendment to the text of the Master Lease from the form of the Master Lease that was in effect immediately prior to the Effective Date are set forth in the changed “redlined” pages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288" w:before="0" w:after="240"/>
        <w:ind w:left="0" w:right="0" w:firstLine="630"/>
        <w:jc w:val="both"/>
        <w:rPr/>
      </w:pPr>
      <w:r>
        <w:rPr>
          <w:rFonts w:ascii="Times New Roman;serif" w:hAnsi="Times New Roman;serif"/>
          <w:b w:val="false"/>
          <w:color w:val="000000"/>
          <w:sz w:val="24"/>
        </w:rPr>
        <w:t>4.    </w:t>
      </w:r>
      <w:r>
        <w:rPr>
          <w:rFonts w:ascii="Times New Roman;serif" w:hAnsi="Times New Roman;serif"/>
          <w:b/>
          <w:color w:val="000000"/>
          <w:sz w:val="24"/>
          <w:u w:val="single"/>
        </w:rPr>
        <w:t>No Waiver</w:t>
      </w:r>
      <w:r>
        <w:rPr>
          <w:rFonts w:ascii="Times New Roman;serif" w:hAnsi="Times New Roman;serif"/>
          <w:b w:val="false"/>
          <w:color w:val="000000"/>
          <w:sz w:val="24"/>
        </w:rPr>
        <w:t>. Except to the extent expressly set forth in this Amendment, Landlord is not waiving any obligations of Tenant under the Master Lease or any rights of Landlord under the Master Lease or at law, nor is Landlord waiving or consenting to any other events that may have occurred under or in relation to the Master Lease.</w:t>
      </w:r>
    </w:p>
    <w:p>
      <w:pPr>
        <w:pStyle w:val="TextBody"/>
        <w:bidi w:val="0"/>
        <w:spacing w:lineRule="auto" w:line="288" w:before="0" w:after="240"/>
        <w:ind w:left="0" w:right="0" w:firstLine="630"/>
        <w:jc w:val="both"/>
        <w:rPr/>
      </w:pPr>
      <w:r>
        <w:rPr>
          <w:rFonts w:ascii="Times New Roman;serif" w:hAnsi="Times New Roman;serif"/>
          <w:b w:val="false"/>
          <w:color w:val="000000"/>
          <w:sz w:val="24"/>
        </w:rPr>
        <w:t>5.    </w:t>
      </w:r>
      <w:r>
        <w:rPr>
          <w:rFonts w:ascii="Times New Roman;serif" w:hAnsi="Times New Roman;serif"/>
          <w:b/>
          <w:color w:val="000000"/>
          <w:sz w:val="24"/>
          <w:u w:val="single"/>
        </w:rPr>
        <w:t>Incorporation into the Master Lease</w:t>
      </w:r>
      <w:r>
        <w:rPr>
          <w:rFonts w:ascii="Times New Roman;serif" w:hAnsi="Times New Roman;serif"/>
          <w:b w:val="false"/>
          <w:color w:val="000000"/>
          <w:sz w:val="24"/>
        </w:rPr>
        <w:t>. The provisions of this Amendment are hereby incorporated into the Master Lease and made an integrated, non-severable part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630"/>
        <w:jc w:val="both"/>
        <w:rPr/>
      </w:pPr>
      <w:r>
        <w:rPr>
          <w:rFonts w:ascii="Times New Roman;serif" w:hAnsi="Times New Roman;serif"/>
          <w:b w:val="false"/>
          <w:color w:val="000000"/>
          <w:sz w:val="24"/>
        </w:rPr>
        <w:t>6.    </w:t>
      </w:r>
      <w:r>
        <w:rPr>
          <w:rFonts w:ascii="Times New Roman;serif" w:hAnsi="Times New Roman;serif"/>
          <w:b/>
          <w:color w:val="000000"/>
          <w:sz w:val="24"/>
          <w:u w:val="single"/>
        </w:rPr>
        <w:t>Other Documents</w:t>
      </w:r>
      <w:r>
        <w:rPr>
          <w:rFonts w:ascii="Times New Roman;serif" w:hAnsi="Times New Roman;serif"/>
          <w:b w:val="false"/>
          <w:color w:val="000000"/>
          <w:sz w:val="24"/>
        </w:rPr>
        <w:t>. Any and all agreements entered into in connection with the Master Lease which make reference therein to “the Master Lease” shall be intended to, and are deemed hereby, to refer to the Master Lease as amended by this Amendment.</w:t>
      </w:r>
    </w:p>
    <w:p>
      <w:pPr>
        <w:pStyle w:val="TextBody"/>
        <w:bidi w:val="0"/>
        <w:spacing w:lineRule="auto" w:line="288" w:before="0" w:after="240"/>
        <w:ind w:left="0" w:right="0" w:firstLine="630"/>
        <w:jc w:val="both"/>
        <w:rPr/>
      </w:pPr>
      <w:r>
        <w:rPr>
          <w:rFonts w:ascii="Times New Roman;serif" w:hAnsi="Times New Roman;serif"/>
          <w:b w:val="false"/>
          <w:color w:val="000000"/>
          <w:sz w:val="24"/>
        </w:rPr>
        <w:t>7.    </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This Amendment shall be construed according to and governed by the laws of the jurisdictions which are specified by the Master Lease without regard to its conflicts of law principles. The parties hereto hereby irrevocably submit to the jurisdiction of any court of competent jurisdiction located in such applicable jurisdiction in connection with any proceeding arising out of or relating to this Amendment.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any provision of this Amendment is adjudicated to be invalid, illegal or unenforceable, in whole or in part, it will be deemed omitted to that extent and all other provisions of this Amendment will remain in full force and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Neither this Amendment nor any provision hereof may be changed, modified, waived, discharged or terminated orally, but only by an instrument in writing signed by the party against whom enforcement of such change, modification, waiver, discharge or termination is sought.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paragraph headings and captions contained in this Amendment are for convenience of reference only and in no event define, describe or limit the scope or intent of this Amendment or any of the provisions or terms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This Amendment shall be binding upon and inure to the benefit of the parties and their respective heirs, legal representatives, successors and permitted assigns.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This Amendment may be executed in any number of counterparts with the same effect as if all parties hereto had signed the same document. All such counterparts shall be construed together and shall constitute one instrument, but in making proof hereof it shall only be necessary to produce one such counterpart. Facsimile and/or .pdf signatures shall be deemed as originals for all purposes.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Except as specifically modified in this Amendment, all of the provisions of the Master Lease remain unchanged and continue in full force and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Tenant represents and warrants to Landlord that there are no gaming regulatory approvals, notices and/or waiting periods necessary or advisable to be obtained or fulfilled in connection with the effectiveness of this Amendment other than such approvals, notices, and/or waiting periods that have already been obtained or fulfilled.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REMAINDER OF THIS PAGE IS INTENTIONALLY LEFT BLANK]</w:t>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by their duly authorized representatives, all as of the Effective Date.</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4"/>
        </w:rPr>
        <w:t>LANDLORD</w:t>
      </w:r>
      <w:r>
        <w:rPr>
          <w:rFonts w:ascii="Times New Roman;serif" w:hAnsi="Times New Roman;serif"/>
          <w:b w:val="false"/>
          <w:color w:val="000000"/>
          <w:sz w:val="24"/>
        </w:rPr>
        <w:t>:</w:t>
      </w:r>
    </w:p>
    <w:p>
      <w:pPr>
        <w:pStyle w:val="TextBody"/>
        <w:bidi w:val="0"/>
        <w:spacing w:lineRule="auto" w:line="288" w:before="0" w:after="480"/>
        <w:jc w:val="left"/>
        <w:rPr/>
      </w:pPr>
      <w:r>
        <w:rPr>
          <w:rFonts w:ascii="Times New Roman;serif" w:hAnsi="Times New Roman;serif"/>
          <w:b/>
          <w:color w:val="000000"/>
          <w:sz w:val="24"/>
        </w:rPr>
        <w:t>MGP LESSOR, LLC</w:t>
      </w:r>
      <w:r>
        <w:rPr>
          <w:rFonts w:ascii="Times New Roman;serif" w:hAnsi="Times New Roman;serif"/>
          <w:b w:val="false"/>
          <w:color w:val="000000"/>
          <w:sz w:val="24"/>
        </w:rPr>
        <w:t>,</w:t>
        <w:br/>
        <w:t>a Delaware limited liability company</w:t>
      </w:r>
    </w:p>
    <w:p>
      <w:pPr>
        <w:pStyle w:val="TextBody"/>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/s/ David A. Kieske</w:t>
      </w:r>
      <w:r>
        <w:rPr>
          <w:color w:val="000000"/>
          <w:u w:val="single"/>
        </w:rPr>
        <w:t>    </w:t>
      </w:r>
      <w:r>
        <w:rPr>
          <w:rFonts w:ascii="Times New Roman;serif" w:hAnsi="Times New Roman;serif"/>
          <w:b w:val="false"/>
          <w:color w:val="000000"/>
          <w:sz w:val="24"/>
        </w:rPr>
        <w:br/>
        <w:t>Name: David A. Kieske</w:t>
        <w:br/>
        <w:t>Title: Treasurer</w:t>
      </w:r>
    </w:p>
    <w:p>
      <w:pPr>
        <w:pStyle w:val="TextBody"/>
        <w:bidi w:val="0"/>
        <w:spacing w:lineRule="auto" w:line="288" w:before="0" w:after="240"/>
        <w:jc w:val="left"/>
        <w:rPr/>
      </w:pPr>
      <w:r>
        <w:rPr>
          <w:rFonts w:ascii="Times New Roman;serif" w:hAnsi="Times New Roman;serif"/>
          <w:b/>
          <w:color w:val="000000"/>
          <w:sz w:val="24"/>
        </w:rPr>
        <w:t>TENANT</w:t>
      </w:r>
      <w:r>
        <w:rPr>
          <w:rFonts w:ascii="Times New Roman;serif" w:hAnsi="Times New Roman;serif"/>
          <w:b w:val="false"/>
          <w:color w:val="000000"/>
          <w:sz w:val="24"/>
        </w:rPr>
        <w:t>:</w:t>
      </w:r>
    </w:p>
    <w:p>
      <w:pPr>
        <w:pStyle w:val="TextBody"/>
        <w:bidi w:val="0"/>
        <w:spacing w:lineRule="auto" w:line="288" w:before="0" w:after="480"/>
        <w:jc w:val="left"/>
        <w:rPr/>
      </w:pPr>
      <w:r>
        <w:rPr>
          <w:rFonts w:ascii="Times New Roman;serif" w:hAnsi="Times New Roman;serif"/>
          <w:b/>
          <w:color w:val="000000"/>
          <w:sz w:val="24"/>
        </w:rPr>
        <w:t>MGM LESSEE, LLC</w:t>
      </w:r>
      <w:r>
        <w:rPr>
          <w:rFonts w:ascii="Times New Roman;serif" w:hAnsi="Times New Roman;serif"/>
          <w:b w:val="false"/>
          <w:color w:val="000000"/>
          <w:sz w:val="24"/>
        </w:rPr>
        <w:t xml:space="preserve">, </w:t>
      </w:r>
      <w:r>
        <w:rPr>
          <w:rFonts w:ascii="Times New Roman;serif" w:hAnsi="Times New Roman;serif"/>
          <w:b/>
          <w:color w:val="000000"/>
          <w:sz w:val="24"/>
        </w:rPr>
        <w:br/>
      </w:r>
      <w:r>
        <w:rPr>
          <w:rFonts w:ascii="Times New Roman;serif" w:hAnsi="Times New Roman;serif"/>
          <w:b w:val="false"/>
          <w:color w:val="000000"/>
          <w:sz w:val="24"/>
        </w:rPr>
        <w:t>a Delaware limited liability company</w:t>
      </w:r>
    </w:p>
    <w:p>
      <w:pPr>
        <w:pStyle w:val="TextBody"/>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/s/ Jonathan S. Halkyard</w:t>
      </w:r>
      <w:r>
        <w:rPr>
          <w:color w:val="000000"/>
          <w:u w:val="single"/>
        </w:rPr>
        <w:t>    </w:t>
      </w:r>
      <w:r>
        <w:rPr>
          <w:rFonts w:ascii="Times New Roman;serif" w:hAnsi="Times New Roman;serif"/>
          <w:b w:val="false"/>
          <w:color w:val="000000"/>
          <w:sz w:val="24"/>
        </w:rPr>
        <w:br/>
        <w:t>Name: Jonathan S. Halkyard</w:t>
        <w:br/>
        <w:t>Title: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 xml:space="preserve">[Signature Page to </w:t>
                            </w:r>
                            <w:r>
                              <w:rPr>
                                <w:rFonts w:ascii="Times New Roman;serif" w:hAnsi="Times New Roman;serif"/>
                                <w:b w:val="false"/>
                                <w:color w:val="000000"/>
                                <w:sz w:val="18"/>
                              </w:rPr>
                              <w:t>Third Amendment to Amended and Restated Master Lease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 xml:space="preserve">[Signature Page to </w:t>
                      </w:r>
                      <w:r>
                        <w:rPr>
                          <w:rFonts w:ascii="Times New Roman;serif" w:hAnsi="Times New Roman;serif"/>
                          <w:b w:val="false"/>
                          <w:color w:val="000000"/>
                          <w:sz w:val="18"/>
                        </w:rPr>
                        <w:t>Third Amendment to Amended and Restated Master Lease</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CONSENT AND RATIFICATION</w:t>
      </w:r>
    </w:p>
    <w:p>
      <w:pPr>
        <w:pStyle w:val="TextBody"/>
        <w:bidi w:val="0"/>
        <w:spacing w:lineRule="auto" w:line="288" w:before="0" w:after="0"/>
        <w:jc w:val="both"/>
        <w:rPr/>
      </w:pPr>
      <w:r>
        <w:rPr>
          <w:rFonts w:ascii="Times New Roman;serif" w:hAnsi="Times New Roman;serif"/>
          <w:b w:val="false"/>
          <w:color w:val="000000"/>
          <w:sz w:val="24"/>
        </w:rPr>
        <w:t>By executing this Amendment in the space provided below, the undersigned Guarantor hereby: (i) consents to the execution and delivery of this Amendment, (ii) ratifies and confirms Guarantor’s obligations, as modified by this Amendment, under that certain Amended and Restated Guaranty of Master Lease dated as of April 29, 2022 executed by Guarantor (the “</w:t>
      </w:r>
      <w:r>
        <w:rPr>
          <w:rFonts w:ascii="Times New Roman;serif" w:hAnsi="Times New Roman;serif"/>
          <w:b/>
          <w:color w:val="000000"/>
          <w:sz w:val="24"/>
        </w:rPr>
        <w:t>Guaranty</w:t>
      </w:r>
      <w:r>
        <w:rPr>
          <w:color w:val="000000"/>
        </w:rPr>
        <w:t>”</w:t>
      </w:r>
      <w:r>
        <w:rPr>
          <w:rFonts w:ascii="Times New Roman;serif" w:hAnsi="Times New Roman;serif"/>
          <w:b w:val="false"/>
          <w:color w:val="000000"/>
          <w:sz w:val="24"/>
        </w:rPr>
        <w:t>), (iii) acknowledges and agrees that the Guaranty is in full force and effect and is valid, binding and enforceable in accordance with its terms, as modified by this Amendment and (iv) acknowledges and agrees that nothing in this Amendment in any way impairs or lessens Guarantor’s obligations under the Guaranty except to the extent of Obligations (as defined in the Guaranty) pertaining to the Northfield Facility as and to the extent arising from and after the Effective Date for which Guarantor is hereby released (it being understood, for the avoidance of doubt, that any Obligations in respect of the Northfield Facility, as and to the extent arising out of or accruing in respect of any period prior to the Effective Date, shall continue to comprise Obligations, and shall survive and shall not be terminated, limited, impaired or affected by or upon entry into this Amendment).</w:t>
      </w:r>
    </w:p>
    <w:p>
      <w:pPr>
        <w:pStyle w:val="TextBody"/>
        <w:bidi w:val="0"/>
        <w:spacing w:before="0" w:after="0"/>
        <w:jc w:val="both"/>
        <w:rPr/>
      </w:pPr>
      <w:r>
        <w:rPr/>
      </w:r>
    </w:p>
    <w:p>
      <w:pPr>
        <w:pStyle w:val="TextBody"/>
        <w:bidi w:val="0"/>
        <w:spacing w:lineRule="auto" w:line="288" w:before="0" w:after="480"/>
        <w:jc w:val="left"/>
        <w:rPr/>
      </w:pPr>
      <w:r>
        <w:rPr>
          <w:rFonts w:ascii="Times New Roman;serif" w:hAnsi="Times New Roman;serif"/>
          <w:b/>
          <w:color w:val="000000"/>
          <w:sz w:val="24"/>
        </w:rPr>
        <w:t>MGM RESORTS INTERNATIONAL</w:t>
      </w:r>
      <w:r>
        <w:rPr>
          <w:rFonts w:ascii="Times New Roman;serif" w:hAnsi="Times New Roman;serif"/>
          <w:b w:val="false"/>
          <w:color w:val="000000"/>
          <w:sz w:val="24"/>
        </w:rPr>
        <w:t>,</w:t>
        <w:br/>
        <w:t>a Delaware corporation</w:t>
      </w:r>
    </w:p>
    <w:p>
      <w:pPr>
        <w:pStyle w:val="TextBody"/>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i/>
          <w:color w:val="000000"/>
          <w:sz w:val="24"/>
          <w:u w:val="single"/>
        </w:rPr>
        <w:t>/s/ Jonathan S. Halkyard</w:t>
      </w:r>
      <w:r>
        <w:rPr>
          <w:color w:val="000000"/>
          <w:u w:val="single"/>
        </w:rPr>
        <w:t>    </w:t>
      </w:r>
      <w:r>
        <w:rPr>
          <w:rFonts w:ascii="Times New Roman;serif" w:hAnsi="Times New Roman;serif"/>
          <w:b w:val="false"/>
          <w:color w:val="000000"/>
          <w:sz w:val="24"/>
        </w:rPr>
        <w:br/>
        <w:t>Name: Jonathan S. Halkyard</w:t>
        <w:br/>
        <w:t>Title: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[Consent and Ratification to Third Amendment to Amended and Restated Master Lease]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392.35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[Consent and Ratification to Third Amendment to Amended and Restated Master Lease]</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CONFORMED AMENDED AND RESTATED MASTER LEASE</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Conformed through Third Amendment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AMENDED AND RESTATED MASTER LEASE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MASTER LEASE</w:t>
      </w:r>
    </w:p>
    <w:p>
      <w:pPr>
        <w:pStyle w:val="TextBody"/>
        <w:bidi w:val="0"/>
        <w:spacing w:before="0" w:after="0"/>
        <w:jc w:val="center"/>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Page</w:t>
      </w:r>
    </w:p>
    <w:tbl>
      <w:tblPr>
        <w:tblW w:w="7471" w:type="dxa"/>
        <w:jc w:val="left"/>
        <w:tblInd w:w="0" w:type="dxa"/>
        <w:tblLayout w:type="fixed"/>
        <w:tblCellMar>
          <w:top w:w="28" w:type="dxa"/>
          <w:left w:w="28" w:type="dxa"/>
          <w:bottom w:w="28" w:type="dxa"/>
          <w:right w:w="28" w:type="dxa"/>
        </w:tblCellMar>
      </w:tblPr>
      <w:tblGrid>
        <w:gridCol w:w="586"/>
        <w:gridCol w:w="516"/>
        <w:gridCol w:w="518"/>
        <w:gridCol w:w="1819"/>
        <w:gridCol w:w="1819"/>
        <w:gridCol w:w="1822"/>
        <w:gridCol w:w="114"/>
        <w:gridCol w:w="114"/>
        <w:gridCol w:w="163"/>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Single, Indivisible Lease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Renewal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Separation of Leases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Late Payment of Rent or Additional Charges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Method of Payment of Rent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Lease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3.5</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Fair Market Rent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IMPOSITIONS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Impositions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Utilities, Encumbrances and Other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Impound Account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Sustainability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ABATEMENT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Termination, Abatement,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OWNERSHIP OF 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Ownership of the 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Intellectual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CONDITION AND USE OF 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Condition of the 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Use of the 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Facilities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 ROFO</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VIII</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WITH LAW; GROUND LEASES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with Legal and Insurance Requirements,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Zoning and Uses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with Ground Leases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8.5</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MASTER LEASE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Page</w:t>
      </w:r>
    </w:p>
    <w:tbl>
      <w:tblPr>
        <w:tblW w:w="7950" w:type="dxa"/>
        <w:jc w:val="left"/>
        <w:tblInd w:w="0" w:type="dxa"/>
        <w:tblLayout w:type="fixed"/>
        <w:tblCellMar>
          <w:top w:w="28" w:type="dxa"/>
          <w:left w:w="28" w:type="dxa"/>
          <w:bottom w:w="28" w:type="dxa"/>
          <w:right w:w="28" w:type="dxa"/>
        </w:tblCellMar>
      </w:tblPr>
      <w:tblGrid>
        <w:gridCol w:w="598"/>
        <w:gridCol w:w="525"/>
        <w:gridCol w:w="526"/>
        <w:gridCol w:w="1969"/>
        <w:gridCol w:w="1969"/>
        <w:gridCol w:w="1972"/>
        <w:gridCol w:w="114"/>
        <w:gridCol w:w="114"/>
        <w:gridCol w:w="1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IX</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MAINTENANCE AND REPAIR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Maintenance and Repair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9.2</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Encroachments, Restrictions, Mineral Leases,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CAPITAL IMPROVEMENTS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Construction of Capital Improvements to the Leased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10.2</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Construction Requirements for Capital Improvements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10.3</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Intentionally Omitted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Ownership of Tenant Capital Improvements at end of Term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10.5</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Funding of Tenant Capital Improvements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11.2</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 Encumbrance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XII</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CONTESTS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Contests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XIII</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General Insurance Requirements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13.2</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13.3</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 of Subrogation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13.4</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Policy Requirements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13.5</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Increase in Limits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13.6</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Blanket Policy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13.7</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Separate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XIV</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CASUALTY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Property Insurance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14.2</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Obligations Following Casualty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14.3</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Abatement of Rent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72</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14.4</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14.5</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 Proceeds Paid to Facility Mortgagee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14.6</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of Master Lease; Abatement of Rent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14.7</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Multiple Facility Mortgagees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XV</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CONDEMNATION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Condemnation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15.2</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Award Distribution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15.3</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Temporary Taking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15.4</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Abatement of Rent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15.5</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15.6</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Award Paid to Facility Mortgagee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w:t>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MASTER LEASE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Page</w:t>
      </w:r>
    </w:p>
    <w:tbl>
      <w:tblPr>
        <w:tblW w:w="7065" w:type="dxa"/>
        <w:jc w:val="left"/>
        <w:tblInd w:w="0" w:type="dxa"/>
        <w:tblLayout w:type="fixed"/>
        <w:tblCellMar>
          <w:top w:w="28" w:type="dxa"/>
          <w:left w:w="28" w:type="dxa"/>
          <w:bottom w:w="28" w:type="dxa"/>
          <w:right w:w="28" w:type="dxa"/>
        </w:tblCellMar>
      </w:tblPr>
      <w:tblGrid>
        <w:gridCol w:w="650"/>
        <w:gridCol w:w="572"/>
        <w:gridCol w:w="577"/>
        <w:gridCol w:w="1584"/>
        <w:gridCol w:w="1584"/>
        <w:gridCol w:w="1587"/>
        <w:gridCol w:w="148"/>
        <w:gridCol w:w="148"/>
        <w:gridCol w:w="215"/>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15.7</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of Master Lease; Abatement of Rent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XVI</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DEFAULT;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16.2</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16.3</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Damages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16.4</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Receiver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16.5</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16.6</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Application of Funds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XVII</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FINANCING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Leasehold Mortgagees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17.2</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Landlord’s Right to Cure Tenant’s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89</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17.3</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Debt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89</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17.4</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 Cooperation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89</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XVIII</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SALE OF LEASED PROPERTY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Sale of the Leased Property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18.2</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Transfers to Tenant Competitors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18.3</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Identity of Tenant Competitors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XIX</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HOLDING OVER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19.1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Holding Over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RISK OF LOSS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Risk of Loss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XXI</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INDEMNIFICATION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General Indemnification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XXII</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SUBLETTING AND ASSIGNMENT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Subletting and Assignment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22.2</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Assignments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22.3</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Sublease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22.4</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Required Assignment and Subletting Provisions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22.5</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Costs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22.6</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Release of Tenant’s Obligations; Exception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22.7</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Separate Lease; Rent Allocated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22.8</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Management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XXIII</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REPORTING; 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23.1</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Officer’s Certificate and Financial Statements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23.2</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Confidentiality; Public Offering Information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103</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23.3</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105</w:t>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MASTER LEASE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Page</w:t>
      </w:r>
    </w:p>
    <w:tbl>
      <w:tblPr>
        <w:tblW w:w="9599" w:type="dxa"/>
        <w:jc w:val="left"/>
        <w:tblInd w:w="0" w:type="dxa"/>
        <w:tblLayout w:type="fixed"/>
        <w:tblCellMar>
          <w:top w:w="28" w:type="dxa"/>
          <w:left w:w="28" w:type="dxa"/>
          <w:bottom w:w="28" w:type="dxa"/>
          <w:right w:w="28" w:type="dxa"/>
        </w:tblCellMar>
      </w:tblPr>
      <w:tblGrid>
        <w:gridCol w:w="727"/>
        <w:gridCol w:w="638"/>
        <w:gridCol w:w="644"/>
        <w:gridCol w:w="2358"/>
        <w:gridCol w:w="2358"/>
        <w:gridCol w:w="2363"/>
        <w:gridCol w:w="149"/>
        <w:gridCol w:w="149"/>
        <w:gridCol w:w="213"/>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23.4</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 Obligations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106</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XXIV</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LANDLORD’S RIGHT TO INSPECT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107</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24.1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Landlord’s Right to Inspect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107</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XXV</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107</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107</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XXVI</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REMEDIES CUMULATIVE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107</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26.1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Remedies Cumulative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107</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XXVII</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ACCEPTANCE OF SURRENDER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Acceptance of Surrender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XXVIII</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MERGER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28.1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Merger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XXIX</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CONVEYANCE BY LANDLORD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29.1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Conveyance by Landlord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QUIET ENJOYMENT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Quiet Enjoyment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XXXI</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LANDLORD’S FINANCING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109</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Landlord’s Financing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109</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Attornment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XXXII</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HAZARDOUS SUBSTANCES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Hazardous Substances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32.2</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32.3</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Remediation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32.4</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32.5</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Environmental Inspections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112</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XXXIII</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MEMORANDUM OF LEASE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113</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33.1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Memorandum of Lease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XXXIV</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APPOINTING EXPERTS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113</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34.1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Expert Dispute Resolution Process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XXXV</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35.1</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35.2</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Deemed Approval Period with respect to certain Items Requiring Consent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118</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35.3</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Unavoidable Delays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119</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MASTER LEASE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Page</w:t>
      </w:r>
    </w:p>
    <w:tbl>
      <w:tblPr>
        <w:tblW w:w="8670" w:type="dxa"/>
        <w:jc w:val="left"/>
        <w:tblInd w:w="0" w:type="dxa"/>
        <w:tblLayout w:type="fixed"/>
        <w:tblCellMar>
          <w:top w:w="28" w:type="dxa"/>
          <w:left w:w="28" w:type="dxa"/>
          <w:bottom w:w="28" w:type="dxa"/>
          <w:right w:w="28" w:type="dxa"/>
        </w:tblCellMar>
      </w:tblPr>
      <w:tblGrid>
        <w:gridCol w:w="782"/>
        <w:gridCol w:w="688"/>
        <w:gridCol w:w="689"/>
        <w:gridCol w:w="1999"/>
        <w:gridCol w:w="1999"/>
        <w:gridCol w:w="2002"/>
        <w:gridCol w:w="149"/>
        <w:gridCol w:w="149"/>
        <w:gridCol w:w="213"/>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XXXVI</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TRANSITION UPON EXPIRATION OR TERMINATION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119</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36.1</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Transfer of Tenant’s Assets at the Facilities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119</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XXXVII</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ATTORNEY’S FEES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37.1</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Attorneys’ Fees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XXXVIII</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BROKERS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38.1</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Brokers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XXXIX</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OFAC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39.1</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Sanctions Representations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XL</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REIT REQUIREMENTS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121</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40.1</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REIT Protection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XLI</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Survival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41.3</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Non-Recourse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41.4</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41.5</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41.6</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 of Trial by Jury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41.7</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Entire Agreement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41.8</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Headings; Consent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41.9</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41.10</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Interpretation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41.11</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Time of Essence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Further Assurances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41.13</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Gaming Regulations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41.14</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Regulatory Requirements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41.15</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Provisions of Nevada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128</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41.16</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Sale/Leaseback Accounting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129</w:t>
            </w:r>
          </w:p>
        </w:tc>
      </w:tr>
    </w:tbl>
    <w:p>
      <w:pPr>
        <w:pStyle w:val="TextBody"/>
        <w:bidi w:val="0"/>
        <w:spacing w:before="240" w:after="283"/>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EXHIBITS AND SCHEDULES</w:t>
      </w:r>
    </w:p>
    <w:p>
      <w:pPr>
        <w:pStyle w:val="TextBody"/>
        <w:bidi w:val="0"/>
        <w:spacing w:before="0" w:after="0"/>
        <w:jc w:val="left"/>
        <w:rPr/>
      </w:pPr>
      <w:r>
        <w:rPr/>
      </w:r>
    </w:p>
    <w:tbl>
      <w:tblPr>
        <w:tblW w:w="5790" w:type="dxa"/>
        <w:jc w:val="left"/>
        <w:tblInd w:w="0" w:type="dxa"/>
        <w:tblLayout w:type="fixed"/>
        <w:tblCellMar>
          <w:top w:w="28" w:type="dxa"/>
          <w:left w:w="28" w:type="dxa"/>
          <w:bottom w:w="28" w:type="dxa"/>
          <w:right w:w="28" w:type="dxa"/>
        </w:tblCellMar>
      </w:tblPr>
      <w:tblGrid>
        <w:gridCol w:w="483"/>
        <w:gridCol w:w="425"/>
        <w:gridCol w:w="426"/>
        <w:gridCol w:w="115"/>
        <w:gridCol w:w="115"/>
        <w:gridCol w:w="116"/>
        <w:gridCol w:w="1203"/>
        <w:gridCol w:w="1203"/>
        <w:gridCol w:w="1704"/>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LIST OF FACILITIES</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LEGAL DESCRIPTIONS</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C</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OFFICER’S CERTIFICATE</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D</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GAMING LICENSES</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GUARANTY</w:t>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MASTER LEASE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left"/>
        <w:tblInd w:w="0" w:type="dxa"/>
        <w:tblLayout w:type="fixed"/>
        <w:tblCellMar>
          <w:top w:w="28" w:type="dxa"/>
          <w:left w:w="28" w:type="dxa"/>
          <w:bottom w:w="28" w:type="dxa"/>
          <w:right w:w="28" w:type="dxa"/>
        </w:tblCellMar>
      </w:tblPr>
      <w:tblGrid>
        <w:gridCol w:w="569"/>
        <w:gridCol w:w="499"/>
        <w:gridCol w:w="487"/>
        <w:gridCol w:w="115"/>
        <w:gridCol w:w="115"/>
        <w:gridCol w:w="116"/>
        <w:gridCol w:w="2429"/>
        <w:gridCol w:w="2429"/>
        <w:gridCol w:w="3446"/>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F-1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NONDISTURBANCE AND ATTORNMENT AGREEMENT</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F-2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SUBORDINATION, NONDISTURBANCE AND ATTORNMENT AGREEMENT</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G</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MEMORANDUM OF LEASE</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COVENANTS COMPLIANCE REPORT</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I</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INTELLECTUAL PROPERTY LICENSE AGREEMENT</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EXCLUDED ASSETS</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PARK MGM TENANT CAPITAL IMPROVEMENTS</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ORIGINAL COMMENCEMENT DATE OF EACH FACILITY</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INTENTIONALLY OMITTED</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EXISTING MANAGEMENT AGREEMENTS</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LANDLORD COOPERATION MATTERS</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SPECIFIED EASEMENTS AND OTHER AGREEMENTS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txbxContent>
                </v:textbox>
                <w10:wrap type="none"/>
              </v:rect>
            </w:pict>
          </mc:Fallback>
        </mc:AlternateContent>
      </w:r>
    </w:p>
    <w:p>
      <w:pPr>
        <w:pStyle w:val="TextBody"/>
        <w:bidi w:val="0"/>
        <w:spacing w:lineRule="auto" w:line="288" w:before="0" w:after="240"/>
        <w:ind w:left="0" w:right="0" w:firstLine="1440"/>
        <w:jc w:val="center"/>
        <w:rPr>
          <w:rFonts w:ascii="Times New Roman;serif" w:hAnsi="Times New Roman;serif"/>
          <w:b/>
          <w:color w:val="000000"/>
          <w:sz w:val="24"/>
        </w:rPr>
      </w:pPr>
      <w:r>
        <w:rPr>
          <w:rFonts w:ascii="Times New Roman;serif" w:hAnsi="Times New Roman;serif"/>
          <w:b/>
          <w:color w:val="000000"/>
          <w:sz w:val="24"/>
        </w:rPr>
        <w:t>AMENDED AND RESTATED MASTER 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AMENDED AND RESTATED</w:t>
      </w:r>
      <w:r>
        <w:rPr>
          <w:color w:val="000000"/>
        </w:rPr>
        <w:t xml:space="preserve"> </w:t>
      </w:r>
      <w:r>
        <w:rPr>
          <w:rFonts w:ascii="Times New Roman;serif" w:hAnsi="Times New Roman;serif"/>
          <w:b/>
          <w:color w:val="000000"/>
          <w:sz w:val="24"/>
        </w:rPr>
        <w:t>MASTER LEASE</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Master Lease</w:t>
      </w:r>
      <w:r>
        <w:rPr>
          <w:color w:val="000000"/>
        </w:rPr>
        <w:t>”</w:t>
      </w:r>
      <w:r>
        <w:rPr>
          <w:rFonts w:ascii="Times New Roman;serif" w:hAnsi="Times New Roman;serif"/>
          <w:b w:val="false"/>
          <w:color w:val="000000"/>
          <w:sz w:val="24"/>
        </w:rPr>
        <w:t>) is entered into as of the 29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April, 2022 (the “</w:t>
      </w:r>
      <w:r>
        <w:rPr>
          <w:rFonts w:ascii="Times New Roman;serif" w:hAnsi="Times New Roman;serif"/>
          <w:b/>
          <w:color w:val="000000"/>
          <w:sz w:val="24"/>
        </w:rPr>
        <w:t>Commencement Date</w:t>
      </w:r>
      <w:r>
        <w:rPr>
          <w:color w:val="000000"/>
        </w:rPr>
        <w:t>”</w:t>
      </w:r>
      <w:r>
        <w:rPr>
          <w:rFonts w:ascii="Times New Roman;serif" w:hAnsi="Times New Roman;serif"/>
          <w:b w:val="false"/>
          <w:color w:val="000000"/>
          <w:sz w:val="24"/>
        </w:rPr>
        <w:t xml:space="preserve">), by and between </w:t>
      </w:r>
      <w:r>
        <w:rPr>
          <w:rFonts w:ascii="Times New Roman;serif" w:hAnsi="Times New Roman;serif"/>
          <w:b/>
          <w:color w:val="000000"/>
          <w:sz w:val="24"/>
        </w:rPr>
        <w:t>MGP Lessor, LLC</w:t>
      </w:r>
      <w:r>
        <w:rPr>
          <w:rFonts w:ascii="Times New Roman;serif" w:hAnsi="Times New Roman;serif"/>
          <w:b w:val="false"/>
          <w:color w:val="000000"/>
          <w:sz w:val="24"/>
        </w:rPr>
        <w:t>, a Delaware limited liability company (together with its permitted successors and assigns, “</w:t>
      </w:r>
      <w:r>
        <w:rPr>
          <w:rFonts w:ascii="Times New Roman;serif" w:hAnsi="Times New Roman;serif"/>
          <w:b/>
          <w:color w:val="000000"/>
          <w:sz w:val="24"/>
        </w:rPr>
        <w:t>Landlord</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MGM Lessee, LLC</w:t>
      </w:r>
      <w:r>
        <w:rPr>
          <w:rFonts w:ascii="Times New Roman;serif" w:hAnsi="Times New Roman;serif"/>
          <w:b w:val="false"/>
          <w:color w:val="000000"/>
          <w:sz w:val="24"/>
        </w:rPr>
        <w:t>, a Delaware limited liability company (together with its permitted successors and assigns, “</w:t>
      </w:r>
      <w:r>
        <w:rPr>
          <w:rFonts w:ascii="Times New Roman;serif" w:hAnsi="Times New Roman;serif"/>
          <w:b/>
          <w:color w:val="000000"/>
          <w:sz w:val="24"/>
        </w:rPr>
        <w:t>Tenant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A.    Capitalized terms used in this Master Lease and not otherwise defined herein are defined in </w:t>
      </w:r>
      <w:r>
        <w:rPr>
          <w:rFonts w:ascii="Times New Roman;serif" w:hAnsi="Times New Roman;serif"/>
          <w:b/>
          <w:color w:val="000000"/>
          <w:sz w:val="24"/>
        </w:rPr>
        <w:t>Article II</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hanging="720"/>
        <w:jc w:val="both"/>
        <w:rPr/>
      </w:pPr>
      <w:r>
        <w:rPr>
          <w:rFonts w:ascii="Times New Roman;serif" w:hAnsi="Times New Roman;serif"/>
          <w:b w:val="false"/>
          <w:color w:val="000000"/>
          <w:sz w:val="24"/>
        </w:rPr>
        <w:t>B.    Landlord and Tenant</w:t>
      </w:r>
      <w:r>
        <w:rPr>
          <w:color w:val="000000"/>
        </w:rPr>
        <w:t xml:space="preserve"> </w:t>
      </w:r>
      <w:r>
        <w:rPr>
          <w:rFonts w:ascii="Times New Roman;serif" w:hAnsi="Times New Roman;serif"/>
          <w:b w:val="false"/>
          <w:color w:val="000000"/>
          <w:sz w:val="24"/>
        </w:rPr>
        <w:t>entered into</w:t>
      </w:r>
      <w:r>
        <w:rPr>
          <w:color w:val="000000"/>
        </w:rPr>
        <w:t xml:space="preserve"> </w:t>
      </w:r>
      <w:r>
        <w:rPr>
          <w:rFonts w:ascii="Times New Roman;serif" w:hAnsi="Times New Roman;serif"/>
          <w:b w:val="false"/>
          <w:color w:val="000000"/>
          <w:sz w:val="24"/>
        </w:rPr>
        <w:t>that certain</w:t>
      </w:r>
      <w:r>
        <w:rPr>
          <w:color w:val="000000"/>
        </w:rPr>
        <w:t xml:space="preserve"> </w:t>
      </w:r>
      <w:r>
        <w:rPr>
          <w:rFonts w:ascii="Times New Roman;serif" w:hAnsi="Times New Roman;serif"/>
          <w:b w:val="false"/>
          <w:color w:val="000000"/>
          <w:sz w:val="24"/>
        </w:rPr>
        <w:t>Master Lease, dated as of April 25, 2016, as amended by that certain (i) First Amendment to Master Lease dated as of August 1, 2016, (ii) Second Amendment to Master Lease dated as of October 5, 2017, (iii) Third Amendment to Master Lease dated as of January 29, 2019, (iv) Fourth Amendment to Master Lease dated as of March 7, 2019, (v) Fifth Amendment to Master Lease dated as of April 1, 2019, (vi) Sixth Amendment to Master Lease dated as of February 14, 2020 and (vii) Seventh Amendment to Master Lease dated as of October 29, 2021 (collectively, the “</w:t>
      </w:r>
      <w:r>
        <w:rPr>
          <w:rFonts w:ascii="Times New Roman;serif" w:hAnsi="Times New Roman;serif"/>
          <w:b/>
          <w:color w:val="000000"/>
          <w:sz w:val="24"/>
        </w:rPr>
        <w:t>Original Master Lease</w:t>
      </w:r>
      <w:r>
        <w:rPr>
          <w:color w:val="000000"/>
        </w:rPr>
        <w:t>”</w:t>
      </w:r>
      <w:r>
        <w:rPr>
          <w:rFonts w:ascii="Times New Roman;serif" w:hAnsi="Times New Roman;serif"/>
          <w:b w:val="false"/>
          <w:color w:val="000000"/>
          <w:sz w:val="24"/>
        </w:rPr>
        <w:t xml:space="preserve">) pursuant to which each of the Facilities has been demised since the respective Original Commencement Date (as hereinafter defined) for each Facility. </w:t>
      </w:r>
    </w:p>
    <w:p>
      <w:pPr>
        <w:pStyle w:val="TextBody"/>
        <w:bidi w:val="0"/>
        <w:spacing w:lineRule="auto" w:line="288" w:before="0" w:after="240"/>
        <w:ind w:left="0" w:right="0" w:hanging="720"/>
        <w:jc w:val="both"/>
        <w:rPr/>
      </w:pPr>
      <w:r>
        <w:rPr>
          <w:rFonts w:ascii="Times New Roman;serif" w:hAnsi="Times New Roman;serif"/>
          <w:b w:val="false"/>
          <w:color w:val="000000"/>
          <w:sz w:val="24"/>
        </w:rPr>
        <w:t>C.    Landlord and Tenant thereafter amended and restated the Original Master Lease in its entirety on the terms set forth in the Amended and Restated Master Lease dated as of the Commencement Date (the “</w:t>
      </w:r>
      <w:r>
        <w:rPr>
          <w:rFonts w:ascii="Times New Roman;serif" w:hAnsi="Times New Roman;serif"/>
          <w:b/>
          <w:color w:val="000000"/>
          <w:sz w:val="24"/>
        </w:rPr>
        <w:t>Original</w:t>
      </w:r>
      <w:r>
        <w:rPr>
          <w:color w:val="000000"/>
        </w:rPr>
        <w:t xml:space="preserve"> </w:t>
      </w:r>
      <w:r>
        <w:rPr>
          <w:rFonts w:ascii="Times New Roman;serif" w:hAnsi="Times New Roman;serif"/>
          <w:b/>
          <w:color w:val="000000"/>
          <w:sz w:val="24"/>
        </w:rPr>
        <w:t>Amended and Restated Master Lease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D.    Landlord and Tenant thereafter amended the Original Amended and Restated Master Lease by entry into that certain First Amendment to Amended and Restated Master Lease, dated as of December 19, 2022 (the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and that certain Second Amendment to Amended and Restated Master Lease, dated February 15, 2023 (the “</w:t>
      </w:r>
      <w:r>
        <w:rPr>
          <w:rFonts w:ascii="Times New Roman;serif" w:hAnsi="Times New Roman;serif"/>
          <w:b/>
          <w:color w:val="000000"/>
          <w:sz w:val="24"/>
        </w:rPr>
        <w:t>Second Amendment</w:t>
      </w:r>
      <w:r>
        <w:rPr>
          <w:color w:val="000000"/>
        </w:rPr>
        <w:t>”</w:t>
      </w:r>
      <w:r>
        <w:rPr>
          <w:rFonts w:ascii="Times New Roman;serif" w:hAnsi="Times New Roman;serif"/>
          <w:b w:val="false"/>
          <w:color w:val="000000"/>
          <w:sz w:val="24"/>
        </w:rPr>
        <w:t>) (the Original Amended and Restated Master Lease as amended by the First Amendment and the Second Amendment, the “</w:t>
      </w:r>
      <w:r>
        <w:rPr>
          <w:rFonts w:ascii="Times New Roman;serif" w:hAnsi="Times New Roman;serif"/>
          <w:b/>
          <w:color w:val="000000"/>
          <w:sz w:val="24"/>
        </w:rPr>
        <w:t>Amended and Restated</w:t>
      </w:r>
      <w:r>
        <w:rPr>
          <w:color w:val="000000"/>
        </w:rPr>
        <w:t xml:space="preserve"> </w:t>
      </w:r>
      <w:r>
        <w:rPr>
          <w:rFonts w:ascii="Times New Roman;serif" w:hAnsi="Times New Roman;serif"/>
          <w:b/>
          <w:color w:val="000000"/>
          <w:sz w:val="24"/>
        </w:rPr>
        <w:t>Master Lease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E.    </w:t>
      </w:r>
      <w:r>
        <w:rPr>
          <w:rFonts w:ascii="Times New Roman;serif" w:hAnsi="Times New Roman;serif"/>
          <w:b w:val="false"/>
          <w:color w:val="000000"/>
          <w:sz w:val="24"/>
        </w:rPr>
        <w:t>Landlord and Tenant desire to amend the Amended and Restated Master Lease to be in its entirety as set forth herein.</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F.    The eleven (11) facilities covered by this Master Lease after giving effect to the Third Amendment are described on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attached hereto (each a “</w:t>
      </w:r>
      <w:r>
        <w:rPr>
          <w:rFonts w:ascii="Times New Roman;serif" w:hAnsi="Times New Roman;serif"/>
          <w:b/>
          <w:color w:val="000000"/>
          <w:sz w:val="24"/>
        </w:rPr>
        <w:t>Facility</w:t>
      </w:r>
      <w:r>
        <w:rPr>
          <w:rFonts w:ascii="Times New Roman;serif" w:hAnsi="Times New Roman;serif"/>
          <w:b w:val="false"/>
          <w:color w:val="000000"/>
          <w:sz w:val="24"/>
        </w:rPr>
        <w:t>,” and collectively, the “</w:t>
      </w:r>
      <w:r>
        <w:rPr>
          <w:rFonts w:ascii="Times New Roman;serif" w:hAnsi="Times New Roman;serif"/>
          <w:b/>
          <w:color w:val="000000"/>
          <w:sz w:val="24"/>
        </w:rPr>
        <w:t>Facilities</w:t>
      </w:r>
      <w:r>
        <w:rPr>
          <w:color w:val="000000"/>
        </w:rPr>
        <w:t>”</w:t>
      </w:r>
      <w:r>
        <w:rPr>
          <w:rFonts w:ascii="Times New Roman;serif" w:hAnsi="Times New Roman;serif"/>
          <w:b w:val="false"/>
          <w:color w:val="000000"/>
          <w:sz w:val="24"/>
        </w:rPr>
        <w:t>). Each of the Facilities will continue to be subleased by Tenant to Operating Subtenants pursuant to subleases (the “</w:t>
      </w:r>
      <w:r>
        <w:rPr>
          <w:rFonts w:ascii="Times New Roman;serif" w:hAnsi="Times New Roman;serif"/>
          <w:b/>
          <w:color w:val="000000"/>
          <w:sz w:val="24"/>
        </w:rPr>
        <w:t>Operating Subleases</w:t>
      </w:r>
      <w:r>
        <w:rPr>
          <w:color w:val="000000"/>
        </w:rPr>
        <w:t>”</w:t>
      </w:r>
      <w:r>
        <w:rPr>
          <w:rFonts w:ascii="Times New Roman;serif" w:hAnsi="Times New Roman;serif"/>
          <w:b w:val="false"/>
          <w:color w:val="000000"/>
          <w:sz w:val="24"/>
        </w:rPr>
        <w:t>) between Tenant and each Operating Subtenant.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G.    Tenant and Landlord intend this Master Lease to constitute one indivisible lease of the Facilities and not separate leases governed by similar terms. The Facilities constitute one economic unit, and the Rent and all other provisions of this Master Lease have been negotiated and agreed to based on a demise of all of the Facilities to Tenant as a single, composite, inseparable transaction and would have been substantially different had separate leases or a divisible lease been intended.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sufficiency of which are hereby acknowledged, the parties agree that the Original Master Lease shall be amended and restated in its entirety as follows:</w:t>
      </w:r>
    </w:p>
    <w:p>
      <w:pPr>
        <w:pStyle w:val="TextBody"/>
        <w:bidi w:val="0"/>
        <w:spacing w:lineRule="auto" w:line="288" w:before="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br/>
        <w:t>LEASED PROPERTY</w:t>
      </w:r>
    </w:p>
    <w:p>
      <w:pPr>
        <w:pStyle w:val="TextBody"/>
        <w:bidi w:val="0"/>
        <w:spacing w:lineRule="auto" w:line="288" w:before="0" w:after="240"/>
        <w:ind w:left="0" w:right="0" w:firstLine="720"/>
        <w:jc w:val="both"/>
        <w:rPr/>
      </w:pPr>
      <w:r>
        <w:rPr>
          <w:rFonts w:ascii="Times New Roman;serif" w:hAnsi="Times New Roman;serif"/>
          <w:b/>
          <w:color w:val="000000"/>
          <w:sz w:val="24"/>
        </w:rPr>
        <w:t>1.1    </w:t>
      </w:r>
      <w:r>
        <w:rPr>
          <w:rFonts w:ascii="Times New Roman;serif" w:hAnsi="Times New Roman;serif"/>
          <w:b/>
          <w:color w:val="000000"/>
          <w:sz w:val="24"/>
          <w:u w:val="single"/>
        </w:rPr>
        <w:t>Leased Property</w:t>
      </w:r>
      <w:r>
        <w:rPr>
          <w:rFonts w:ascii="Times New Roman;serif" w:hAnsi="Times New Roman;serif"/>
          <w:b w:val="false"/>
          <w:color w:val="000000"/>
          <w:sz w:val="24"/>
        </w:rPr>
        <w:t>. Upon and subject to the terms and conditions hereinafter set forth, Landlord leases to Tenant and Tenant leases from Landlord all of Landlord’s rights and interests in and to the following with respect to each of the Facilities (collectively, the “</w:t>
      </w:r>
      <w:r>
        <w:rPr>
          <w:rFonts w:ascii="Times New Roman;serif" w:hAnsi="Times New Roman;serif"/>
          <w:b/>
          <w:color w:val="000000"/>
          <w:sz w:val="24"/>
        </w:rPr>
        <w:t>Leased Property</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real property or properties described in </w:t>
      </w:r>
      <w:r>
        <w:rPr>
          <w:rFonts w:ascii="Times New Roman;serif" w:hAnsi="Times New Roman;serif"/>
          <w:b/>
          <w:color w:val="000000"/>
          <w:sz w:val="24"/>
        </w:rPr>
        <w:t>Part 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attached hereto together with the leasehold estates described in </w:t>
      </w:r>
      <w:r>
        <w:rPr>
          <w:rFonts w:ascii="Times New Roman;serif" w:hAnsi="Times New Roman;serif"/>
          <w:b/>
          <w:color w:val="000000"/>
          <w:sz w:val="24"/>
        </w:rPr>
        <w:t>Part 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(as to which this Master Lease will constitute a sublease) (collectively, the “</w:t>
      </w:r>
      <w:r>
        <w:rPr>
          <w:rFonts w:ascii="Times New Roman;serif" w:hAnsi="Times New Roman;serif"/>
          <w:b/>
          <w:color w:val="000000"/>
          <w:sz w:val="24"/>
        </w:rPr>
        <w:t>Land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all buildings, structures, barges,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of each such Facility (collectively, the “</w:t>
      </w:r>
      <w:r>
        <w:rPr>
          <w:rFonts w:ascii="Times New Roman;serif" w:hAnsi="Times New Roman;serif"/>
          <w:b/>
          <w:color w:val="000000"/>
          <w:sz w:val="24"/>
        </w:rPr>
        <w:t>Leased Improvements</w:t>
      </w:r>
      <w:r>
        <w:rPr>
          <w:color w:val="000000"/>
        </w:rPr>
        <w:t>”</w:t>
      </w:r>
      <w:r>
        <w:rPr>
          <w:rFonts w:ascii="Times New Roman;serif" w:hAnsi="Times New Roman;serif"/>
          <w:b w:val="false"/>
          <w:color w:val="000000"/>
          <w:sz w:val="24"/>
        </w:rPr>
        <w:t>); provided, however, that the foregoing shall not affect or contradict the provisions of this Master Lease which specify that Tenant shall be entitled to certain benefits of or rights with respect to the Tenant Capital Improvements;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all easements, rights and appurtenances relating to the Land and the Leased Improvements;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(d)    all equipment, machinery, fixtures, and other items of property, including all components thereof, that are now or hereafter located in, on or used in connection with and permanently affixed to or otherwise incorporated into the Leased Improvements, together with all replacements, modifications, alterations and additions thereto (collectively, the “</w:t>
      </w:r>
      <w:r>
        <w:rPr>
          <w:rFonts w:ascii="Times New Roman;serif" w:hAnsi="Times New Roman;serif"/>
          <w:b/>
          <w:color w:val="000000"/>
          <w:sz w:val="24"/>
        </w:rPr>
        <w:t>Fixtures</w:t>
      </w:r>
      <w:r>
        <w:rPr>
          <w:color w:val="000000"/>
        </w:rPr>
        <w:t>”</w:t>
      </w:r>
      <w:r>
        <w:rPr>
          <w:rFonts w:ascii="Times New Roman;serif" w:hAnsi="Times New Roman;serif"/>
          <w:b w:val="false"/>
          <w:color w:val="000000"/>
          <w:sz w:val="24"/>
        </w:rPr>
        <w:t>); provided, however, that the foregoing shall not affect or contradict the provisions of this Master Lease which specify that Tenant shall be entitled to certain benefits of or rights with respect to the Tenant Capital Improvements; and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all other properties or rights, real, personal or otherwise of Landlord or Landlord’s Subsidiaries relating to the Leased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each case, with respect to clauses (b), (d) and (e) above, to the extent constituting “real property” as that term is defined in Treasury Regulation §1.856-3(d).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The Leased Property shall not, for any purposes under this Master Lease, include those assets described on </w:t>
      </w:r>
      <w:r>
        <w:rPr>
          <w:rFonts w:ascii="Times New Roman;serif" w:hAnsi="Times New Roman;serif"/>
          <w:b/>
          <w:color w:val="000000"/>
          <w:sz w:val="24"/>
        </w:rPr>
        <w:t>Schedule 1</w:t>
      </w:r>
      <w:r>
        <w:rPr>
          <w:color w:val="000000"/>
        </w:rPr>
        <w:t xml:space="preserve"> </w:t>
      </w:r>
      <w:r>
        <w:rPr>
          <w:rFonts w:ascii="Times New Roman;serif" w:hAnsi="Times New Roman;serif"/>
          <w:b w:val="false"/>
          <w:color w:val="000000"/>
          <w:sz w:val="24"/>
        </w:rPr>
        <w:t>attached hereto (collectively, “</w:t>
      </w:r>
      <w:r>
        <w:rPr>
          <w:rFonts w:ascii="Times New Roman;serif" w:hAnsi="Times New Roman;serif"/>
          <w:b/>
          <w:color w:val="000000"/>
          <w:sz w:val="24"/>
        </w:rPr>
        <w:t>Excluded Assets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Leased Property is leased subject to all covenants, conditions, restrictions, easements and other matters affecting the Leased Property as of the Commencement Date and such subsequent covenants, conditions, restrictions, easements and other matters permitted by this Master Lease or as may be agreed to by Landlord or Tenant in accordance with the terms of this Master Lease, whether or not of record, including any matters which would be disclosed by an inspection or accurate survey of the Leased Property as of the Commencement Date.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Notwithstanding the foregoing, following (a) the removal of any Facility from this Master Lease pursuant to </w:t>
      </w:r>
      <w:r>
        <w:rPr>
          <w:rFonts w:ascii="Times New Roman;serif" w:hAnsi="Times New Roman;serif"/>
          <w:b/>
          <w:color w:val="000000"/>
          <w:sz w:val="24"/>
        </w:rPr>
        <w:t>Section 1.5</w:t>
      </w:r>
      <w:r>
        <w:rPr>
          <w:rFonts w:ascii="Times New Roman;serif" w:hAnsi="Times New Roman;serif"/>
          <w:b w:val="false"/>
          <w:color w:val="000000"/>
          <w:sz w:val="24"/>
        </w:rPr>
        <w:t xml:space="preserve">, (b) the assignment by Tenant of its Leasehold Estate with respect to any Facility pursuant to </w:t>
      </w:r>
      <w:r>
        <w:rPr>
          <w:rFonts w:ascii="Times New Roman;serif" w:hAnsi="Times New Roman;serif"/>
          <w:b/>
          <w:color w:val="000000"/>
          <w:sz w:val="24"/>
        </w:rPr>
        <w:t>Section 22.2(iii)</w:t>
      </w:r>
      <w:r>
        <w:rPr>
          <w:rFonts w:ascii="Times New Roman;serif" w:hAnsi="Times New Roman;serif"/>
          <w:b w:val="false"/>
          <w:color w:val="000000"/>
          <w:sz w:val="24"/>
        </w:rPr>
        <w:t xml:space="preserve">, (c) the termination of this Master Lease with respect to any Facility pursuant to </w:t>
      </w:r>
      <w:r>
        <w:rPr>
          <w:rFonts w:ascii="Times New Roman;serif" w:hAnsi="Times New Roman;serif"/>
          <w:b/>
          <w:color w:val="000000"/>
          <w:sz w:val="24"/>
        </w:rPr>
        <w:t>Section 14.2</w:t>
      </w:r>
      <w:r>
        <w:rPr>
          <w:rFonts w:ascii="Times New Roman;serif" w:hAnsi="Times New Roman;serif"/>
          <w:b w:val="false"/>
          <w:color w:val="000000"/>
          <w:sz w:val="24"/>
        </w:rPr>
        <w:t xml:space="preserve">, or (d) the termination of the Master Lease with respect to any Facility pursuant to </w:t>
      </w:r>
      <w:r>
        <w:rPr>
          <w:rFonts w:ascii="Times New Roman;serif" w:hAnsi="Times New Roman;serif"/>
          <w:b/>
          <w:color w:val="000000"/>
          <w:sz w:val="24"/>
        </w:rPr>
        <w:t>Section 15.1</w:t>
      </w:r>
      <w:r>
        <w:rPr>
          <w:rFonts w:ascii="Times New Roman;serif" w:hAnsi="Times New Roman;serif"/>
          <w:b w:val="false"/>
          <w:color w:val="000000"/>
          <w:sz w:val="24"/>
        </w:rPr>
        <w:t>, such Facility shall no longer constitute Leased Property hereunder.</w:t>
      </w:r>
    </w:p>
    <w:p>
      <w:pPr>
        <w:pStyle w:val="TextBody"/>
        <w:bidi w:val="0"/>
        <w:spacing w:lineRule="auto" w:line="288" w:before="0" w:after="240"/>
        <w:ind w:left="0" w:right="0" w:firstLine="720"/>
        <w:jc w:val="both"/>
        <w:rPr/>
      </w:pPr>
      <w:r>
        <w:rPr>
          <w:rFonts w:ascii="Times New Roman;serif" w:hAnsi="Times New Roman;serif"/>
          <w:b/>
          <w:color w:val="000000"/>
          <w:sz w:val="24"/>
        </w:rPr>
        <w:t>1.2    </w:t>
      </w:r>
      <w:r>
        <w:rPr>
          <w:rFonts w:ascii="Times New Roman;serif" w:hAnsi="Times New Roman;serif"/>
          <w:b/>
          <w:color w:val="000000"/>
          <w:sz w:val="24"/>
          <w:u w:val="single"/>
        </w:rPr>
        <w:t>Single, Indivisible Lease</w:t>
      </w:r>
      <w:r>
        <w:rPr>
          <w:rFonts w:ascii="Times New Roman;serif" w:hAnsi="Times New Roman;serif"/>
          <w:b w:val="false"/>
          <w:color w:val="000000"/>
          <w:sz w:val="24"/>
        </w:rPr>
        <w:t xml:space="preserve">. (a) This Master Lease constitutes one indivisible lease of the Leased Property and not separate leases governed by similar terms. The Leased Property constitutes one economic unit, and the Rent and all other provisions have been negotiated and agreed to based on a demise of all of the Leased Property to Tenant as a single, composite, inseparable transaction and would have been substantially different had separate leases or a divisible lease been intended. Except as 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Upon the occurrence and during the continuance of any Event of Default, Landlord shall be entitled to exercise any applicable remedies under </w:t>
      </w:r>
      <w:r>
        <w:rPr>
          <w:rFonts w:ascii="Times New Roman;serif" w:hAnsi="Times New Roman;serif"/>
          <w:b/>
          <w:color w:val="000000"/>
          <w:sz w:val="24"/>
        </w:rPr>
        <w:t xml:space="preserve">Article XVI </w:t>
      </w:r>
      <w:r>
        <w:rPr>
          <w:rFonts w:ascii="Times New Roman;serif" w:hAnsi="Times New Roman;serif"/>
          <w:b w:val="false"/>
          <w:color w:val="000000"/>
          <w:sz w:val="24"/>
        </w:rPr>
        <w:t xml:space="preserve">with respect to all of the Leased Property regardless of the portion of the Leased Property to which such Event of Default relates. The 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 all (and only as to all) of the Leased Property. The parties may amend this Master Lease from time to time to add or remove one or more additional Facilities as part of the Leased Property and such future addition to, or removal from, the Leased Property shall not in any way change the indivisible and nonseverable nature of this Master Lease and all of the foregoing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continue to apply in full force. Each party agrees that it shall not assert that this Master Lease is not, and shall not challenge the characterization of this Master Lease as, a single indivisible lease of all of the Leased Property. Each party hereby waives any claim or defense based on a recharacterization of this Master Lease as any agreement other than a single indivisible lease of all of the Leased Property.</w:t>
      </w:r>
    </w:p>
    <w:p>
      <w:pPr>
        <w:pStyle w:val="TextBody"/>
        <w:bidi w:val="0"/>
        <w:spacing w:lineRule="auto" w:line="288" w:before="0" w:after="240"/>
        <w:ind w:left="0" w:right="0" w:firstLine="1530"/>
        <w:jc w:val="both"/>
        <w:rPr/>
      </w:pPr>
      <w:r>
        <w:rPr>
          <w:rFonts w:ascii="Times New Roman;serif" w:hAnsi="Times New Roman;serif"/>
          <w:b w:val="false"/>
          <w:color w:val="000000"/>
          <w:sz w:val="24"/>
        </w:rPr>
        <w:t xml:space="preserve">(b)    Without limiting the generality of the foregoing, Landlord and Tenant acknowledge and agree that (x) none of (1) Landlord’s ability to remove one of more Facilities from this Master Lease pursuant to </w:t>
      </w:r>
      <w:r>
        <w:rPr>
          <w:rFonts w:ascii="Times New Roman;serif" w:hAnsi="Times New Roman;serif"/>
          <w:b/>
          <w:color w:val="000000"/>
          <w:sz w:val="24"/>
        </w:rPr>
        <w:t>Section 1.5</w:t>
      </w:r>
      <w:r>
        <w:rPr>
          <w:rFonts w:ascii="Times New Roman;serif" w:hAnsi="Times New Roman;serif"/>
          <w:b w:val="false"/>
          <w:color w:val="000000"/>
          <w:sz w:val="24"/>
        </w:rPr>
        <w:t xml:space="preserve">, (2) Tenant’s ability to assign its Leasehold Estate with respect to one or more individual Facilities pursuant to </w:t>
      </w:r>
      <w:r>
        <w:rPr>
          <w:rFonts w:ascii="Times New Roman;serif" w:hAnsi="Times New Roman;serif"/>
          <w:b/>
          <w:color w:val="000000"/>
          <w:sz w:val="24"/>
        </w:rPr>
        <w:t>Section 22.2(iii)</w:t>
      </w:r>
      <w:r>
        <w:rPr>
          <w:rFonts w:ascii="Times New Roman;serif" w:hAnsi="Times New Roman;serif"/>
          <w:b w:val="false"/>
          <w:color w:val="000000"/>
          <w:sz w:val="24"/>
        </w:rPr>
        <w:t xml:space="preserve">, (3) Tenant’s or Landlord’s ability to terminate this Master Lease with respect to an affected Facility following certain Casualty Events pursuant to </w:t>
      </w:r>
      <w:r>
        <w:rPr>
          <w:rFonts w:ascii="Times New Roman;serif" w:hAnsi="Times New Roman;serif"/>
          <w:b/>
          <w:color w:val="000000"/>
          <w:sz w:val="24"/>
        </w:rPr>
        <w:t>Section 14.2</w:t>
      </w:r>
      <w:r>
        <w:rPr>
          <w:color w:val="000000"/>
        </w:rPr>
        <w:t xml:space="preserve"> </w:t>
      </w:r>
      <w:r>
        <w:rPr>
          <w:rFonts w:ascii="Times New Roman;serif" w:hAnsi="Times New Roman;serif"/>
          <w:b w:val="false"/>
          <w:color w:val="000000"/>
          <w:sz w:val="24"/>
        </w:rPr>
        <w:t xml:space="preserve">or (4) Tenant’s or Landlord’s ability to terminate this Master Lease with respect to an affected Facility following certain Condemnations pursuant to </w:t>
      </w:r>
      <w:r>
        <w:rPr>
          <w:rFonts w:ascii="Times New Roman;serif" w:hAnsi="Times New Roman;serif"/>
          <w:b/>
          <w:color w:val="000000"/>
          <w:sz w:val="24"/>
        </w:rPr>
        <w:t>Section 15.1</w:t>
      </w:r>
      <w:r>
        <w:rPr>
          <w:color w:val="000000"/>
        </w:rPr>
        <w:t xml:space="preserve"> </w:t>
      </w:r>
      <w:r>
        <w:rPr>
          <w:rFonts w:ascii="Times New Roman;serif" w:hAnsi="Times New Roman;serif"/>
          <w:b w:val="false"/>
          <w:color w:val="000000"/>
          <w:sz w:val="24"/>
        </w:rPr>
        <w:t xml:space="preserve">shall in any way change the indivisible and nonseverable nature of this Master Lease (as set forth in this </w:t>
      </w:r>
      <w:r>
        <w:rPr>
          <w:rFonts w:ascii="Times New Roman;serif" w:hAnsi="Times New Roman;serif"/>
          <w:b/>
          <w:color w:val="000000"/>
          <w:sz w:val="24"/>
        </w:rPr>
        <w:t>Section 1.2</w:t>
      </w:r>
      <w:r>
        <w:rPr>
          <w:rFonts w:ascii="Times New Roman;serif" w:hAnsi="Times New Roman;serif"/>
          <w:b w:val="false"/>
          <w:color w:val="000000"/>
          <w:sz w:val="24"/>
        </w:rPr>
        <w:t xml:space="preserve">) and (y) following any such removal, assignment or termination, this Master Lease shall continue as a single indivisible lease with respect to the remaining Leased Property. </w:t>
      </w:r>
    </w:p>
    <w:p>
      <w:pPr>
        <w:pStyle w:val="TextBody"/>
        <w:bidi w:val="0"/>
        <w:spacing w:lineRule="auto" w:line="288" w:before="0" w:after="240"/>
        <w:ind w:left="0" w:right="0" w:firstLine="720"/>
        <w:jc w:val="both"/>
        <w:rPr/>
      </w:pPr>
      <w:r>
        <w:rPr>
          <w:rFonts w:ascii="Times New Roman;serif" w:hAnsi="Times New Roman;serif"/>
          <w:b/>
          <w:color w:val="000000"/>
          <w:sz w:val="24"/>
        </w:rPr>
        <w:t>1.3    </w:t>
      </w:r>
      <w:r>
        <w:rPr>
          <w:rFonts w:ascii="Times New Roman;serif" w:hAnsi="Times New Roman;serif"/>
          <w:b/>
          <w:color w:val="000000"/>
          <w:sz w:val="24"/>
          <w:u w:val="single"/>
        </w:rPr>
        <w:t>Term</w:t>
      </w:r>
      <w:r>
        <w:rPr>
          <w:rFonts w:ascii="Times New Roman;serif" w:hAnsi="Times New Roman;serif"/>
          <w:b w:val="false"/>
          <w:color w:val="000000"/>
          <w:sz w:val="24"/>
        </w:rPr>
        <w:t>. The “</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 xml:space="preserve">of this Master Lease is the Initial Term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all Renewal Terms, to the extent exercised. The initial term of this Master Lease (the “</w:t>
      </w:r>
      <w:r>
        <w:rPr>
          <w:rFonts w:ascii="Times New Roman;serif" w:hAnsi="Times New Roman;serif"/>
          <w:b/>
          <w:color w:val="000000"/>
          <w:sz w:val="24"/>
        </w:rPr>
        <w:t>Initial Term</w:t>
      </w:r>
      <w:r>
        <w:rPr>
          <w:color w:val="000000"/>
        </w:rPr>
        <w:t>”</w:t>
      </w:r>
      <w:r>
        <w:rPr>
          <w:rFonts w:ascii="Times New Roman;serif" w:hAnsi="Times New Roman;serif"/>
          <w:b w:val="false"/>
          <w:color w:val="000000"/>
          <w:sz w:val="24"/>
        </w:rPr>
        <w:t xml:space="preserve">) shall commence on the Commencement Date and shall end on April 30, 2047, subject to renewal as set forth in </w:t>
      </w:r>
      <w:r>
        <w:rPr>
          <w:rFonts w:ascii="Times New Roman;serif" w:hAnsi="Times New Roman;serif"/>
          <w:b/>
          <w:color w:val="000000"/>
          <w:sz w:val="24"/>
        </w:rPr>
        <w:t>Section 1.4</w:t>
      </w:r>
      <w:r>
        <w:rPr>
          <w:color w:val="000000"/>
        </w:rPr>
        <w:t xml:space="preserve"> </w:t>
      </w:r>
      <w:r>
        <w:rPr>
          <w:rFonts w:ascii="Times New Roman;serif" w:hAnsi="Times New Roman;serif"/>
          <w:b w:val="false"/>
          <w:color w:val="000000"/>
          <w:sz w:val="24"/>
        </w:rPr>
        <w:t xml:space="preserve">below. </w:t>
      </w:r>
    </w:p>
    <w:p>
      <w:pPr>
        <w:pStyle w:val="TextBody"/>
        <w:bidi w:val="0"/>
        <w:spacing w:lineRule="auto" w:line="288" w:before="0" w:after="240"/>
        <w:ind w:left="0" w:right="0" w:firstLine="720"/>
        <w:jc w:val="both"/>
        <w:rPr/>
      </w:pPr>
      <w:r>
        <w:rPr>
          <w:rFonts w:ascii="Times New Roman;serif" w:hAnsi="Times New Roman;serif"/>
          <w:b/>
          <w:color w:val="000000"/>
          <w:sz w:val="24"/>
        </w:rPr>
        <w:t>1.4    </w:t>
      </w:r>
      <w:r>
        <w:rPr>
          <w:rFonts w:ascii="Times New Roman;serif" w:hAnsi="Times New Roman;serif"/>
          <w:b/>
          <w:color w:val="000000"/>
          <w:sz w:val="24"/>
          <w:u w:val="single"/>
        </w:rPr>
        <w:t>Renewal Terms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term of this Master Lease may be extended for three (3) separate “</w:t>
      </w:r>
      <w:r>
        <w:rPr>
          <w:rFonts w:ascii="Times New Roman;serif" w:hAnsi="Times New Roman;serif"/>
          <w:b/>
          <w:color w:val="000000"/>
          <w:sz w:val="24"/>
        </w:rPr>
        <w:t>Renewal Terms</w:t>
      </w:r>
      <w:r>
        <w:rPr>
          <w:color w:val="000000"/>
        </w:rPr>
        <w:t xml:space="preserve">” </w:t>
      </w:r>
      <w:r>
        <w:rPr>
          <w:rFonts w:ascii="Times New Roman;serif" w:hAnsi="Times New Roman;serif"/>
          <w:b w:val="false"/>
          <w:color w:val="000000"/>
          <w:sz w:val="24"/>
        </w:rPr>
        <w:t>of ten (10) years each if: (i) at least twelve (12), but not more than eighteen (18) months prior to the end of the then current Term, Tenant delivers to Landlord a “</w:t>
      </w:r>
      <w:r>
        <w:rPr>
          <w:rFonts w:ascii="Times New Roman;serif" w:hAnsi="Times New Roman;serif"/>
          <w:b/>
          <w:color w:val="000000"/>
          <w:sz w:val="24"/>
        </w:rPr>
        <w:t>Renewal Notice</w:t>
      </w:r>
      <w:r>
        <w:rPr>
          <w:color w:val="000000"/>
        </w:rPr>
        <w:t xml:space="preserve">” </w:t>
      </w:r>
      <w:r>
        <w:rPr>
          <w:rFonts w:ascii="Times New Roman;serif" w:hAnsi="Times New Roman;serif"/>
          <w:b w:val="false"/>
          <w:color w:val="000000"/>
          <w:sz w:val="24"/>
        </w:rPr>
        <w:t>that Tenant desires to exercise its right to extend this Master Lease for one (1) Renewal Term; and (ii) no Event of Default shall have occurred and be continuing on the date Landlord receives the Renewal Notice (the “</w:t>
      </w:r>
      <w:r>
        <w:rPr>
          <w:rFonts w:ascii="Times New Roman;serif" w:hAnsi="Times New Roman;serif"/>
          <w:b/>
          <w:color w:val="000000"/>
          <w:sz w:val="24"/>
        </w:rPr>
        <w:t>Exercise Date</w:t>
      </w:r>
      <w:r>
        <w:rPr>
          <w:color w:val="000000"/>
        </w:rPr>
        <w:t>”</w:t>
      </w:r>
      <w:r>
        <w:rPr>
          <w:rFonts w:ascii="Times New Roman;serif" w:hAnsi="Times New Roman;serif"/>
          <w:b w:val="false"/>
          <w:color w:val="000000"/>
          <w:sz w:val="24"/>
        </w:rPr>
        <w:t xml:space="preserve">) or on the last day of the then current Term; provided, however, that if Tenant fails to deliver to Landlord a Renewal Notice prior to the date that is twelve (12) months prior to the then current expiration date of the Term that Tenant does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rPr>
        <w:t xml:space="preserve">intend to renew in accordance with this </w:t>
      </w:r>
      <w:r>
        <w:rPr>
          <w:rFonts w:ascii="Times New Roman;serif" w:hAnsi="Times New Roman;serif"/>
          <w:b/>
          <w:color w:val="000000"/>
          <w:sz w:val="24"/>
        </w:rPr>
        <w:t>Section 1.4</w:t>
      </w:r>
      <w:r>
        <w:rPr>
          <w:rFonts w:ascii="Times New Roman;serif" w:hAnsi="Times New Roman;serif"/>
          <w:b w:val="false"/>
          <w:color w:val="000000"/>
          <w:sz w:val="24"/>
        </w:rPr>
        <w:t xml:space="preserve">, then it shall automatically and without further action be deemed for all purposes that Tenant has delivered the Renewal Notice required by this </w:t>
      </w:r>
      <w:r>
        <w:rPr>
          <w:rFonts w:ascii="Times New Roman;serif" w:hAnsi="Times New Roman;serif"/>
          <w:b/>
          <w:color w:val="000000"/>
          <w:sz w:val="24"/>
        </w:rPr>
        <w:t>Section 1.4(a)(i)</w:t>
      </w:r>
      <w:r>
        <w:rPr>
          <w:rFonts w:ascii="Times New Roman;serif" w:hAnsi="Times New Roman;serif"/>
          <w:b w:val="false"/>
          <w:color w:val="000000"/>
          <w:sz w:val="24"/>
        </w:rPr>
        <w:t>. During any such Renewal Term, except as otherwise specifically provided for herein, all of the terms and conditions of this Master Lease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Tenant may exercise such options to renew with respect to all (and no fewer than all)</w:t>
      </w:r>
      <w:r>
        <w:rPr>
          <w:color w:val="000000"/>
        </w:rPr>
        <w:t xml:space="preserve"> </w:t>
      </w:r>
      <w:r>
        <w:rPr>
          <w:rFonts w:ascii="Times New Roman;serif" w:hAnsi="Times New Roman;serif"/>
          <w:b w:val="false"/>
          <w:color w:val="000000"/>
          <w:sz w:val="24"/>
        </w:rPr>
        <w:t>of the Facilities which are subject to this Master Lease as of the Exercise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During each Renewal Term, Rent shall continue to be determined pursuant to the definition of such term set forth in this Master Lease.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1.5    </w:t>
      </w:r>
      <w:r>
        <w:rPr>
          <w:rFonts w:ascii="Times New Roman;serif" w:hAnsi="Times New Roman;serif"/>
          <w:b/>
          <w:color w:val="000000"/>
          <w:sz w:val="24"/>
          <w:u w:val="single"/>
        </w:rPr>
        <w:t>Separation of Leases</w:t>
      </w:r>
      <w:r>
        <w:rPr>
          <w:rFonts w:ascii="Times New Roman;serif" w:hAnsi="Times New Roman;serif"/>
          <w:b w:val="false"/>
          <w:color w:val="000000"/>
          <w:sz w:val="24"/>
        </w:rPr>
        <w:t xml:space="preserve">. (a) From time to time, at the election of Landlord, but only in connection with the sale of a Facility in accordance with </w:t>
      </w:r>
      <w:r>
        <w:rPr>
          <w:rFonts w:ascii="Times New Roman;serif" w:hAnsi="Times New Roman;serif"/>
          <w:b/>
          <w:color w:val="000000"/>
          <w:sz w:val="24"/>
        </w:rPr>
        <w:t>Article XVIII</w:t>
      </w:r>
      <w:r>
        <w:rPr>
          <w:rFonts w:ascii="Times New Roman;serif" w:hAnsi="Times New Roman;serif"/>
          <w:b w:val="false"/>
          <w:color w:val="000000"/>
          <w:sz w:val="24"/>
        </w:rPr>
        <w:t xml:space="preserve">, Landlord may remove one or more Facilities in accordance with </w:t>
      </w:r>
      <w:r>
        <w:rPr>
          <w:rFonts w:ascii="Times New Roman;serif" w:hAnsi="Times New Roman;serif"/>
          <w:b/>
          <w:color w:val="000000"/>
          <w:sz w:val="24"/>
        </w:rPr>
        <w:t>Article XVIII</w:t>
      </w:r>
      <w:r>
        <w:rPr>
          <w:color w:val="000000"/>
        </w:rPr>
        <w:t xml:space="preserve"> </w:t>
      </w:r>
      <w:r>
        <w:rPr>
          <w:rFonts w:ascii="Times New Roman;serif" w:hAnsi="Times New Roman;serif"/>
          <w:b w:val="false"/>
          <w:color w:val="000000"/>
          <w:sz w:val="24"/>
        </w:rPr>
        <w:t>(individually, “</w:t>
      </w:r>
      <w:r>
        <w:rPr>
          <w:rFonts w:ascii="Times New Roman;serif" w:hAnsi="Times New Roman;serif"/>
          <w:b/>
          <w:color w:val="000000"/>
          <w:sz w:val="24"/>
        </w:rPr>
        <w:t>Removal Facility</w:t>
      </w:r>
      <w:r>
        <w:rPr>
          <w:rFonts w:ascii="Times New Roman;serif" w:hAnsi="Times New Roman;serif"/>
          <w:b w:val="false"/>
          <w:color w:val="000000"/>
          <w:sz w:val="24"/>
        </w:rPr>
        <w:t>,” and collectively, “</w:t>
      </w:r>
      <w:r>
        <w:rPr>
          <w:rFonts w:ascii="Times New Roman;serif" w:hAnsi="Times New Roman;serif"/>
          <w:b/>
          <w:color w:val="000000"/>
          <w:sz w:val="24"/>
        </w:rPr>
        <w:t>Removal Facilities</w:t>
      </w:r>
      <w:r>
        <w:rPr>
          <w:color w:val="000000"/>
        </w:rPr>
        <w:t>”</w:t>
      </w:r>
      <w:r>
        <w:rPr>
          <w:rFonts w:ascii="Times New Roman;serif" w:hAnsi="Times New Roman;serif"/>
          <w:b w:val="false"/>
          <w:color w:val="000000"/>
          <w:sz w:val="24"/>
        </w:rPr>
        <w:t xml:space="preserve">) from this Master Lease and place such Removal Facilities in one (1) or more separate leases on terms and conditions substantially similar to, and in any case no less favorable to Tenant than, those set forth in this Master Lease and as otherwise provided in this </w:t>
      </w:r>
      <w:r>
        <w:rPr>
          <w:rFonts w:ascii="Times New Roman;serif" w:hAnsi="Times New Roman;serif"/>
          <w:b/>
          <w:color w:val="000000"/>
          <w:sz w:val="24"/>
        </w:rPr>
        <w:t>Section 1.5</w:t>
      </w:r>
      <w:r>
        <w:rPr>
          <w:color w:val="000000"/>
        </w:rPr>
        <w:t xml:space="preserve"> </w:t>
      </w:r>
      <w:r>
        <w:rPr>
          <w:rFonts w:ascii="Times New Roman;serif" w:hAnsi="Times New Roman;serif"/>
          <w:b w:val="false"/>
          <w:color w:val="000000"/>
          <w:sz w:val="24"/>
        </w:rPr>
        <w:t>(individually, “</w:t>
      </w:r>
      <w:r>
        <w:rPr>
          <w:rFonts w:ascii="Times New Roman;serif" w:hAnsi="Times New Roman;serif"/>
          <w:b/>
          <w:color w:val="000000"/>
          <w:sz w:val="24"/>
        </w:rPr>
        <w:t>Separate Lease</w:t>
      </w:r>
      <w:r>
        <w:rPr>
          <w:rFonts w:ascii="Times New Roman;serif" w:hAnsi="Times New Roman;serif"/>
          <w:b w:val="false"/>
          <w:color w:val="000000"/>
          <w:sz w:val="24"/>
        </w:rPr>
        <w:t>,” and collectively, “</w:t>
      </w:r>
      <w:r>
        <w:rPr>
          <w:rFonts w:ascii="Times New Roman;serif" w:hAnsi="Times New Roman;serif"/>
          <w:b/>
          <w:color w:val="000000"/>
          <w:sz w:val="24"/>
        </w:rPr>
        <w:t>Separate Leases</w:t>
      </w:r>
      <w:r>
        <w:rPr>
          <w:color w:val="000000"/>
        </w:rPr>
        <w:t>”</w:t>
      </w:r>
      <w:r>
        <w:rPr>
          <w:rFonts w:ascii="Times New Roman;serif" w:hAnsi="Times New Roman;serif"/>
          <w:b w:val="false"/>
          <w:color w:val="000000"/>
          <w:sz w:val="24"/>
        </w:rPr>
        <w:t>), to facilitate the sale of such Removal Facilities.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If Landlord elects to remove a Removal Facility, Landlord shall give Tenant not less than thirty (30) days’ Notice thereof (a “</w:t>
      </w:r>
      <w:r>
        <w:rPr>
          <w:rFonts w:ascii="Times New Roman;serif" w:hAnsi="Times New Roman;serif"/>
          <w:b/>
          <w:color w:val="000000"/>
          <w:sz w:val="24"/>
        </w:rPr>
        <w:t>Removal Notice</w:t>
      </w:r>
      <w:r>
        <w:rPr>
          <w:color w:val="000000"/>
        </w:rPr>
        <w:t>”</w:t>
      </w:r>
      <w:r>
        <w:rPr>
          <w:rFonts w:ascii="Times New Roman;serif" w:hAnsi="Times New Roman;serif"/>
          <w:b w:val="false"/>
          <w:color w:val="000000"/>
          <w:sz w:val="24"/>
        </w:rPr>
        <w:t>), and Tenant shall thereafter, within said thirty (30) day period (or such other period of time as Landlord may reasonably require; it being understood that Landlord may delay removal or cancel the Removal Notice in the event that the underlying sale of a Removal Facility is delayed or cancelled for any reason), execute, acknowledge and deliver to the new owner of the Removal Facilities, as designated by Landlord at no cost or expense to Tenant, one (1) or more Separate Leases with respect to the relevant Removal Facilities effective as of the date set forth in the Removal Notice (“</w:t>
      </w:r>
      <w:r>
        <w:rPr>
          <w:rFonts w:ascii="Times New Roman;serif" w:hAnsi="Times New Roman;serif"/>
          <w:b/>
          <w:color w:val="000000"/>
          <w:sz w:val="24"/>
        </w:rPr>
        <w:t>Removal Date</w:t>
      </w:r>
      <w:r>
        <w:rPr>
          <w:color w:val="000000"/>
        </w:rPr>
        <w:t>”</w:t>
      </w:r>
      <w:r>
        <w:rPr>
          <w:rFonts w:ascii="Times New Roman;serif" w:hAnsi="Times New Roman;serif"/>
          <w:b w:val="false"/>
          <w:color w:val="000000"/>
          <w:sz w:val="24"/>
        </w:rPr>
        <w:t>) for the remaining Term and on substantially the same terms and conditions as, and in any case no less favorable to Tenant than the terms and conditions of, this Master Lease, except for appropriate adjustments (including to Exhibits and Schedules), including as follows:</w:t>
      </w:r>
    </w:p>
    <w:p>
      <w:pPr>
        <w:pStyle w:val="TextBody"/>
        <w:bidi w:val="0"/>
        <w:spacing w:lineRule="auto" w:line="288" w:before="0" w:after="240"/>
        <w:ind w:left="0" w:right="0" w:firstLine="288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Rent</w:t>
      </w:r>
      <w:r>
        <w:rPr>
          <w:rFonts w:ascii="Times New Roman;serif" w:hAnsi="Times New Roman;serif"/>
          <w:b w:val="false"/>
          <w:color w:val="000000"/>
          <w:sz w:val="24"/>
        </w:rPr>
        <w:t>. The initial Rent for each Removal Facility shall be equal to the Allocable Rent Amount in respect of such Removal Facility</w:t>
      </w:r>
      <w:r>
        <w:rPr>
          <w:color w:val="000000"/>
        </w:rPr>
        <w:t xml:space="preserve"> </w:t>
      </w:r>
      <w:r>
        <w:rPr>
          <w:rFonts w:ascii="Times New Roman;serif" w:hAnsi="Times New Roman;serif"/>
          <w:b w:val="false"/>
          <w:color w:val="000000"/>
          <w:sz w:val="24"/>
        </w:rPr>
        <w:t xml:space="preserve">and thereafter shall be adjusted on the same basis as provided in this Master Lease; it being understood that the specification in this </w:t>
      </w:r>
      <w:r>
        <w:rPr>
          <w:rFonts w:ascii="Times New Roman;serif" w:hAnsi="Times New Roman;serif"/>
          <w:b/>
          <w:color w:val="000000"/>
          <w:sz w:val="24"/>
        </w:rPr>
        <w:t>Section 1.5(b)(i)</w:t>
      </w:r>
      <w:r>
        <w:rPr>
          <w:color w:val="000000"/>
        </w:rPr>
        <w:t xml:space="preserve"> </w:t>
      </w:r>
      <w:r>
        <w:rPr>
          <w:rFonts w:ascii="Times New Roman;serif" w:hAnsi="Times New Roman;serif"/>
          <w:b w:val="false"/>
          <w:color w:val="000000"/>
          <w:sz w:val="24"/>
        </w:rPr>
        <w:t xml:space="preserve">of the methodology for determining the initial Rent for a Removal Facility shall not in any way change the indivisible and nonseverable nature of this Master Lease (as set forth in </w:t>
      </w:r>
      <w:r>
        <w:rPr>
          <w:rFonts w:ascii="Times New Roman;serif" w:hAnsi="Times New Roman;serif"/>
          <w:b/>
          <w:color w:val="000000"/>
          <w:sz w:val="24"/>
        </w:rPr>
        <w:t>Section 1.2</w:t>
      </w:r>
      <w:r>
        <w:rPr>
          <w:rFonts w:ascii="Times New Roman;serif" w:hAnsi="Times New Roman;serif"/>
          <w:b w:val="false"/>
          <w:color w:val="000000"/>
          <w:sz w:val="24"/>
        </w:rPr>
        <w:t xml:space="preserve">). </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Liabilities and Obligations</w:t>
      </w:r>
      <w:r>
        <w:rPr>
          <w:rFonts w:ascii="Times New Roman;serif" w:hAnsi="Times New Roman;serif"/>
          <w:b w:val="false"/>
          <w:color w:val="000000"/>
          <w:sz w:val="24"/>
        </w:rPr>
        <w:t xml:space="preserve">. The Separate Lease shall provide that Landlord and Tenant shall be responsible for the payment, performance and satisfaction of all of the duties, obligations and liabilities of Landlord and Tenant, respectively, arising under this Master Lease, with respect to the Removal Facility, that were not paid, performed and satisfied in full prior to the commencement date of the Separate Lease, and shall further provide that (x) landlord and tenant under the Separate Lease shall not be responsible for the payment, performance or satisfaction of any duties, obligations or liabilities of Landlord or Tenant under this Master Lease first arising after the Removal Date and (y) Landlord and Tenant and Guarantor shall not be responsible for the payment, performance or satisfaction of any duties, obligations or liabilities of the landlord or tenant under the Separate Lease, except to the extent they are a party to such Separate Lease. Except as provided in clause (iv) below, Landlord and Tenant’s obligations under this Master Lease with respect to the remainder of the Facilities not removed in accordance with this </w:t>
      </w:r>
      <w:r>
        <w:rPr>
          <w:rFonts w:ascii="Times New Roman;serif" w:hAnsi="Times New Roman;serif"/>
          <w:b/>
          <w:color w:val="000000"/>
          <w:sz w:val="24"/>
        </w:rPr>
        <w:t>Section 1.5</w:t>
      </w:r>
      <w:r>
        <w:rPr>
          <w:color w:val="000000"/>
        </w:rPr>
        <w:t xml:space="preserve"> </w:t>
      </w:r>
      <w:r>
        <w:rPr>
          <w:rFonts w:ascii="Times New Roman;serif" w:hAnsi="Times New Roman;serif"/>
          <w:b w:val="false"/>
          <w:color w:val="000000"/>
          <w:sz w:val="24"/>
        </w:rPr>
        <w:t>shall remain unaffected and shall continue in accordance with the terms of this Master Lease.</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Deletion of REIT Provisions</w:t>
      </w:r>
      <w:r>
        <w:rPr>
          <w:rFonts w:ascii="Times New Roman;serif" w:hAnsi="Times New Roman;serif"/>
          <w:b w:val="false"/>
          <w:color w:val="000000"/>
          <w:sz w:val="24"/>
        </w:rPr>
        <w:t xml:space="preserve">. At the election of Landlord or any new landlord, any one or more of the provisions of the Separate Lease pertaining to the REIT status of any member of Landlord (or any Affiliate of any member of Landlord) shall be deleted. </w:t>
      </w:r>
    </w:p>
    <w:p>
      <w:pPr>
        <w:pStyle w:val="TextBody"/>
        <w:bidi w:val="0"/>
        <w:spacing w:lineRule="auto" w:line="288" w:before="0" w:after="240"/>
        <w:ind w:left="0" w:right="0" w:firstLine="288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Amendments to this Master Lease</w:t>
      </w:r>
      <w:r>
        <w:rPr>
          <w:rFonts w:ascii="Times New Roman;serif" w:hAnsi="Times New Roman;serif"/>
          <w:b w:val="false"/>
          <w:color w:val="000000"/>
          <w:sz w:val="24"/>
        </w:rPr>
        <w:t>. Upon execution of such Separate Lease, and effective as of the effective date of such Separate Lease, this Master Lease shall be deemed to be amended as follows: (i) the Removal Facilities shall be excluded from the Leased Property hereunder and (ii) Rent hereunder shall be reduced by the amount of the Allocable Rent Amount with respect to the Removal Facilities. Such amendments shall occur automatically and without the necessity of any further action by Landlord or Tenant, but, at Landlord’s or Tenant’s election, the same shall be reflected in a formal amendment to this Master Lease, which amendment shall be promptly executed by Landlord and Tenant.</w:t>
      </w:r>
    </w:p>
    <w:p>
      <w:pPr>
        <w:pStyle w:val="TextBody"/>
        <w:bidi w:val="0"/>
        <w:spacing w:lineRule="auto" w:line="288" w:before="0" w:after="240"/>
        <w:ind w:left="0" w:right="0" w:firstLine="288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Other Undertakings</w:t>
      </w:r>
      <w:r>
        <w:rPr>
          <w:rFonts w:ascii="Times New Roman;serif" w:hAnsi="Times New Roman;serif"/>
          <w:b w:val="false"/>
          <w:color w:val="000000"/>
          <w:sz w:val="24"/>
        </w:rPr>
        <w:t xml:space="preserve">. Landlord and Tenant shall each take such actions and execute and deliver such documents, including, without limitation, the Separate Lease and new or amended Memorandum(s) of Lease and, if requested by the other, an amendment to this Master Lease, as are reasonably necessary and appropriate to effectuate fully the provisions and intent of this </w:t>
      </w:r>
      <w:r>
        <w:rPr>
          <w:rFonts w:ascii="Times New Roman;serif" w:hAnsi="Times New Roman;serif"/>
          <w:b/>
          <w:color w:val="000000"/>
          <w:sz w:val="24"/>
        </w:rPr>
        <w:t>Section 1.5</w:t>
      </w:r>
      <w:r>
        <w:rPr>
          <w:rFonts w:ascii="Times New Roman;serif" w:hAnsi="Times New Roman;serif"/>
          <w:b w:val="false"/>
          <w:color w:val="000000"/>
          <w:sz w:val="24"/>
        </w:rPr>
        <w:t>, and as otherwise are appropriate or as Landlord, Tenant or any title insurer may reasonably request to evidence such removal and new leasing of the Removal Facilities, including memoranda of lease with respect to such Separate Leases and amendments of all existing memoranda of lease with respect to this Master Lease and an amendment of this Master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 Cross Default</w:t>
      </w:r>
      <w:r>
        <w:rPr>
          <w:rFonts w:ascii="Times New Roman;serif" w:hAnsi="Times New Roman;serif"/>
          <w:b w:val="false"/>
          <w:color w:val="000000"/>
          <w:sz w:val="24"/>
        </w:rPr>
        <w:t>. No default under any Separate Lease shall be a default under this Master Lease and no default or Event of Default under this Master Lease shall be a default under any Separate Lease. In all cases, so long as any Facility Mortgage shall apply to any Removal Facility or Separate Lease, such Removal Facility and/or Separate Lease shall continue to be subject either to any existing subordination, nondisturbance and attornment agreement with respect to the Master Lease, or subject to a new subordination, nondisturbance and attornment agreement to be delivered by Facility Mortgagee, the landlord under the Separate Lease and Tenant on substantially the same terms and conditions as the existing subordination, nondisturbance and attornment agreement (having regard to the terms and conditions of the Separate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Guaranty</w:t>
      </w:r>
      <w:r>
        <w:rPr>
          <w:rFonts w:ascii="Times New Roman;serif" w:hAnsi="Times New Roman;serif"/>
          <w:b w:val="false"/>
          <w:color w:val="000000"/>
          <w:sz w:val="24"/>
        </w:rPr>
        <w:t xml:space="preserve">. Upon the execution of a Separate Lease, Guarantor shall execute and deliver to the new owner of the Removal Facility a new Guaranty of Tenant’s obligations with respect to the Removal Facility. The original Guaranty delivered to Landlord shall be of no further force or effect with respect to any obligations related to the Removal Facilities.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All costs and expenses relating to a Separate Lease (including reasonable attorneys’ fees and other reasonable, documented out-of-pocket costs incurred by Tenant or Guarantor for outside counsel, if any) shall be borne by Landlord and not Tenant.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Cooperation</w:t>
      </w:r>
      <w:r>
        <w:rPr>
          <w:rFonts w:ascii="Times New Roman;serif" w:hAnsi="Times New Roman;serif"/>
          <w:b w:val="false"/>
          <w:color w:val="000000"/>
          <w:sz w:val="24"/>
        </w:rPr>
        <w:t>. Landlord and Tenant shall cooperate with Gaming Authorities in all reasonable respects to facilitate all necessary regulatory reviews, approvals and/or authorization of the Separate Lease in accordance with applicable Gaming Regulations.</w:t>
      </w:r>
    </w:p>
    <w:p>
      <w:pPr>
        <w:pStyle w:val="TextBody"/>
        <w:bidi w:val="0"/>
        <w:spacing w:lineRule="auto" w:line="288" w:before="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DEFINITIONS</w:t>
      </w:r>
    </w:p>
    <w:p>
      <w:pPr>
        <w:pStyle w:val="TextBody"/>
        <w:bidi w:val="0"/>
        <w:spacing w:lineRule="auto" w:line="288" w:before="0" w:after="240"/>
        <w:ind w:left="0" w:right="0" w:firstLine="720"/>
        <w:jc w:val="both"/>
        <w:rPr/>
      </w:pPr>
      <w:r>
        <w:rPr>
          <w:rFonts w:ascii="Times New Roman;serif" w:hAnsi="Times New Roman;serif"/>
          <w:b/>
          <w:color w:val="000000"/>
          <w:sz w:val="24"/>
        </w:rPr>
        <w:t>2.1    </w:t>
      </w:r>
      <w:r>
        <w:rPr>
          <w:rFonts w:ascii="Times New Roman;serif" w:hAnsi="Times New Roman;serif"/>
          <w:b/>
          <w:color w:val="000000"/>
          <w:sz w:val="24"/>
          <w:u w:val="single"/>
        </w:rPr>
        <w:t>Definitions</w:t>
      </w:r>
      <w:r>
        <w:rPr>
          <w:rFonts w:ascii="Times New Roman;serif" w:hAnsi="Times New Roman;serif"/>
          <w:b w:val="false"/>
          <w:color w:val="000000"/>
          <w:sz w:val="24"/>
        </w:rPr>
        <w:t xml:space="preserve">. For all purposes of this Master Lease, except as otherwise expressly provided or unless the context otherwise requires, (i) the terms defined in this </w:t>
      </w:r>
      <w:r>
        <w:rPr>
          <w:rFonts w:ascii="Times New Roman;serif" w:hAnsi="Times New Roman;serif"/>
          <w:b/>
          <w:color w:val="000000"/>
          <w:sz w:val="24"/>
        </w:rPr>
        <w:t>Article II</w:t>
      </w:r>
      <w:r>
        <w:rPr>
          <w:color w:val="000000"/>
        </w:rPr>
        <w:t xml:space="preserve"> </w:t>
      </w:r>
      <w:r>
        <w:rPr>
          <w:rFonts w:ascii="Times New Roman;serif" w:hAnsi="Times New Roman;serif"/>
          <w:b w:val="false"/>
          <w:color w:val="000000"/>
          <w:sz w:val="24"/>
        </w:rPr>
        <w:t>have the meanings assigned to them in this Article and include the plural as well as the singular; all accounting terms not otherwise defined herein have the meanings assigned to them in accordance with GAAP; (ii) all references in this Master Lease to designated “Articles,” “Sections” and other subdivisions are to the designated Articles, Sections and other subdivisions of this Master Lease; (iii) the word “including” shall have the same meaning as the phrase “including, without limitation,” and other similar phrases; (iv) the words “herein,” “hereof” and “hereunder” and other words of similar import refer to this Master Lease as a whole and not to any particular Article, Section or other subdivision; and (v) for the calculation of any financial ratios or tests referenced in this Master Lease (including the EBITDAR to Rent Ratio, and the Indebtedness to EBITDA Ratio), this Master Lease, and any similar lease, regardless of its treatment under GAAP, shall be deemed to be an operating lease and the Rent payable hereunder, or under a similar lease, shall be treated as an operating expense and shall not constitute Indebtedness or interest expense.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10 Year Treasury Yield</w:t>
      </w:r>
      <w:r>
        <w:rPr>
          <w:color w:val="000000"/>
        </w:rPr>
        <w:t>”</w:t>
      </w:r>
      <w:r>
        <w:rPr>
          <w:rFonts w:ascii="Times New Roman;serif" w:hAnsi="Times New Roman;serif"/>
          <w:b w:val="false"/>
          <w:color w:val="000000"/>
          <w:sz w:val="24"/>
        </w:rPr>
        <w:t xml:space="preserve">: The yield published in </w:t>
      </w:r>
      <w:r>
        <w:rPr>
          <w:rFonts w:ascii="Times New Roman;serif" w:hAnsi="Times New Roman;serif"/>
          <w:b w:val="false"/>
          <w:color w:val="000000"/>
          <w:sz w:val="24"/>
          <w:u w:val="single"/>
        </w:rPr>
        <w:t>The Wall Street Journal</w:t>
      </w:r>
      <w:r>
        <w:rPr>
          <w:color w:val="000000"/>
        </w:rPr>
        <w:t xml:space="preserve"> </w:t>
      </w:r>
      <w:r>
        <w:rPr>
          <w:rFonts w:ascii="Times New Roman;serif" w:hAnsi="Times New Roman;serif"/>
          <w:b w:val="false"/>
          <w:color w:val="000000"/>
          <w:sz w:val="24"/>
        </w:rPr>
        <w:t xml:space="preserve">from time to time for the “U.S. 10 Year Treasury Note.” If </w:t>
      </w:r>
      <w:r>
        <w:rPr>
          <w:rFonts w:ascii="Times New Roman;serif" w:hAnsi="Times New Roman;serif"/>
          <w:b w:val="false"/>
          <w:color w:val="000000"/>
          <w:sz w:val="24"/>
          <w:u w:val="single"/>
        </w:rPr>
        <w:t>The Wall Street Journal</w:t>
      </w:r>
      <w:r>
        <w:rPr>
          <w:color w:val="000000"/>
        </w:rPr>
        <w:t xml:space="preserve"> </w:t>
      </w:r>
      <w:r>
        <w:rPr>
          <w:rFonts w:ascii="Times New Roman;serif" w:hAnsi="Times New Roman;serif"/>
          <w:b w:val="false"/>
          <w:color w:val="000000"/>
          <w:sz w:val="24"/>
        </w:rPr>
        <w:t>ceases to publish the “U.S. 10 Year Treasury Note,” Landlord shall select an equivalent publication that publishes such “U.S. 10 Year Treasury Note,” and if such “U.S. 10 Year Treasury Note” is no longer generally published or is limited, regulated or administered by a governmental or quasi-governmental body, then Landlord shall select a comparable yield index.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121A Entity</w:t>
      </w:r>
      <w:r>
        <w:rPr>
          <w:color w:val="000000"/>
        </w:rPr>
        <w:t>”</w:t>
      </w:r>
      <w:r>
        <w:rPr>
          <w:rFonts w:ascii="Times New Roman;serif" w:hAnsi="Times New Roman;serif"/>
          <w:b w:val="false"/>
          <w:color w:val="000000"/>
          <w:sz w:val="24"/>
        </w:rPr>
        <w:t>: MGM Springfield ReDevelopment, LLC, a Massachusetts 121A limited liability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Accounts</w:t>
      </w:r>
      <w:r>
        <w:rPr>
          <w:color w:val="000000"/>
        </w:rPr>
        <w:t>”</w:t>
      </w:r>
      <w:r>
        <w:rPr>
          <w:rFonts w:ascii="Times New Roman;serif" w:hAnsi="Times New Roman;serif"/>
          <w:b w:val="false"/>
          <w:color w:val="000000"/>
          <w:sz w:val="24"/>
        </w:rPr>
        <w:t>: All accounts, including deposit accounts,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41.14(a)(i)</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Additional Charges</w:t>
      </w:r>
      <w:r>
        <w:rPr>
          <w:color w:val="000000"/>
        </w:rPr>
        <w:t>”</w:t>
      </w:r>
      <w:r>
        <w:rPr>
          <w:rFonts w:ascii="Times New Roman;serif" w:hAnsi="Times New Roman;serif"/>
          <w:b w:val="false"/>
          <w:color w:val="000000"/>
          <w:sz w:val="24"/>
        </w:rPr>
        <w:t>: All Impositions and all other amounts, liabilities and obligations which Tenant assumes or agrees to pay under this Master Lease and, in the event of any failure on the part of Tenant to pay or cause to be paid any of those items, except where such failure is due to the wrongful or negligent acts or omissions of Landlord, every fine, penalty, interest and cost which may be added for non-payment or late payment of such items.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Additional Empire Facility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defined in</w:t>
      </w:r>
      <w:r>
        <w:rPr>
          <w:color w:val="000000"/>
        </w:rPr>
        <w:t xml:space="preserve"> </w:t>
      </w:r>
      <w:r>
        <w:rPr>
          <w:rFonts w:ascii="Times New Roman;serif" w:hAnsi="Times New Roman;serif"/>
          <w:b/>
          <w:color w:val="000000"/>
          <w:sz w:val="24"/>
        </w:rPr>
        <w:t>Section 7.4</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Additional Facility</w:t>
      </w:r>
      <w:r>
        <w:rPr>
          <w:color w:val="000000"/>
        </w:rPr>
        <w:t>”</w:t>
      </w:r>
      <w:r>
        <w:rPr>
          <w:rFonts w:ascii="Times New Roman;serif" w:hAnsi="Times New Roman;serif"/>
          <w:b w:val="false"/>
          <w:color w:val="000000"/>
          <w:sz w:val="24"/>
        </w:rPr>
        <w:t>: As defined in</w:t>
      </w:r>
      <w:r>
        <w:rPr>
          <w:color w:val="000000"/>
        </w:rPr>
        <w:t xml:space="preserve"> </w:t>
      </w:r>
      <w:r>
        <w:rPr>
          <w:rFonts w:ascii="Times New Roman;serif" w:hAnsi="Times New Roman;serif"/>
          <w:b w:val="false"/>
          <w:color w:val="000000"/>
          <w:sz w:val="24"/>
        </w:rPr>
        <w:t xml:space="preserve">the definition of Allocable Rent Amount.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w:t>
      </w:r>
      <w:r>
        <w:rPr>
          <w:rFonts w:ascii="Times New Roman;serif" w:hAnsi="Times New Roman;serif"/>
          <w:b w:val="false"/>
          <w:color w:val="000000"/>
          <w:sz w:val="24"/>
        </w:rPr>
        <w:t>: When used with respect to any corporation, limited liability company, partnership or any other Person, the term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shall mean any Person which, directly or indirectly, controls or is controlled by or is under common control with such other Person. For the purposes of this definition, “</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Allocable Percentage Share</w:t>
      </w:r>
      <w:r>
        <w:rPr>
          <w:color w:val="000000"/>
        </w:rPr>
        <w:t>”</w:t>
      </w:r>
      <w:r>
        <w:rPr>
          <w:rFonts w:ascii="Times New Roman;serif" w:hAnsi="Times New Roman;serif"/>
          <w:b w:val="false"/>
          <w:color w:val="000000"/>
          <w:sz w:val="24"/>
        </w:rPr>
        <w:t xml:space="preserve">: For any Facility, the fraction converted to a percentage determined by dividing the EBITDAR for such Facility by the EBITDAR for all Facilities then subject to the Master Lease, with each such EBITDAR being based on the most recent Fiscal Year required to be reported by Tenant to Landlord under </w:t>
      </w:r>
      <w:r>
        <w:rPr>
          <w:rFonts w:ascii="Times New Roman;serif" w:hAnsi="Times New Roman;serif"/>
          <w:b/>
          <w:color w:val="000000"/>
          <w:sz w:val="24"/>
        </w:rPr>
        <w:t>Section 23.1(b)</w:t>
      </w:r>
      <w:r>
        <w:rPr>
          <w:color w:val="000000"/>
        </w:rPr>
        <w:t xml:space="preserve"> </w:t>
      </w:r>
      <w:r>
        <w:rPr>
          <w:rFonts w:ascii="Times New Roman;serif" w:hAnsi="Times New Roman;serif"/>
          <w:b w:val="false"/>
          <w:color w:val="000000"/>
          <w:sz w:val="24"/>
        </w:rPr>
        <w:t xml:space="preserve">of this Master Lease.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Allocable Rent Amount</w:t>
      </w:r>
      <w:r>
        <w:rPr>
          <w:color w:val="000000"/>
        </w:rPr>
        <w:t>”</w:t>
      </w:r>
      <w:r>
        <w:rPr>
          <w:rFonts w:ascii="Times New Roman;serif" w:hAnsi="Times New Roman;serif"/>
          <w:b w:val="false"/>
          <w:color w:val="000000"/>
          <w:sz w:val="24"/>
        </w:rPr>
        <w:t>: As of any date of determination, with respect to one or more Facilities, and with respect to any amount of Rent in question, the amount determined by multiplying the then current total amount of Rent in question by the Allocable Percentage Share of such Facility(ies).</w:t>
      </w:r>
      <w:r>
        <w:rPr>
          <w:color w:val="000000"/>
        </w:rPr>
        <w:t xml:space="preserve"> </w:t>
      </w:r>
      <w:r>
        <w:rPr>
          <w:rFonts w:ascii="Times New Roman;serif" w:hAnsi="Times New Roman;serif"/>
          <w:b w:val="false"/>
          <w:color w:val="000000"/>
          <w:sz w:val="24"/>
        </w:rPr>
        <w:t xml:space="preserve">To the extent the Additional Empire Facility is purchased by Landlord and made subject to this Master Lease as a Leased Property in accordance with </w:t>
      </w:r>
      <w:r>
        <w:rPr>
          <w:rFonts w:ascii="Times New Roman;serif" w:hAnsi="Times New Roman;serif"/>
          <w:b/>
          <w:color w:val="000000"/>
          <w:sz w:val="24"/>
        </w:rPr>
        <w:t xml:space="preserve">Section 7.4 </w:t>
      </w:r>
      <w:r>
        <w:rPr>
          <w:rFonts w:ascii="Times New Roman;serif" w:hAnsi="Times New Roman;serif"/>
          <w:b w:val="false"/>
          <w:color w:val="000000"/>
          <w:sz w:val="24"/>
        </w:rPr>
        <w:t>or any other facility is purchased by Landlord and made subject to this Master Lease as a Leased Property (an “</w:t>
      </w:r>
      <w:r>
        <w:rPr>
          <w:rFonts w:ascii="Times New Roman;serif" w:hAnsi="Times New Roman;serif"/>
          <w:b/>
          <w:color w:val="000000"/>
          <w:sz w:val="24"/>
        </w:rPr>
        <w:t>Additional Facility</w:t>
      </w:r>
      <w:r>
        <w:rPr>
          <w:color w:val="000000"/>
        </w:rPr>
        <w:t>”</w:t>
      </w:r>
      <w:r>
        <w:rPr>
          <w:rFonts w:ascii="Times New Roman;serif" w:hAnsi="Times New Roman;serif"/>
          <w:b w:val="false"/>
          <w:color w:val="000000"/>
          <w:sz w:val="24"/>
        </w:rPr>
        <w:t xml:space="preserve">), but has not been subject to this Master Lease as Leased Property for the entirety of the applicable 12 month period prior to the date of determination of Allocable Rent Amount, the Allocable Rent Amount calculation for all purposes of this Master Lease that includes the Additional Empire Facility and/or Additional Facility shall reflect, with respect to the Additional Empire Facility and/or the Additional Facility, the stabilized EBITDAR projections prepared by the Tenant and reasonably approved by the Landlord. In the event that Landlord and Tenant are unable to agree on such stabilized EBITDAR projections of the Additional Empire Facility and/or the Additional Facility, either party may elect to have the same determined by an Expert in accordance with </w:t>
      </w:r>
      <w:r>
        <w:rPr>
          <w:rFonts w:ascii="Times New Roman;serif" w:hAnsi="Times New Roman;serif"/>
          <w:b/>
          <w:color w:val="000000"/>
          <w:sz w:val="24"/>
        </w:rPr>
        <w:t>Section 34.1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Appraiser</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Assumed Rate</w:t>
      </w:r>
      <w:r>
        <w:rPr>
          <w:color w:val="000000"/>
        </w:rPr>
        <w:t>”</w:t>
      </w:r>
      <w:r>
        <w:rPr>
          <w:rFonts w:ascii="Times New Roman;serif" w:hAnsi="Times New Roman;serif"/>
          <w:b w:val="false"/>
          <w:color w:val="000000"/>
          <w:sz w:val="24"/>
        </w:rPr>
        <w:t>: The 10 Year Treasury Yield plus six percent (6%).</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All compensation, sums or anything of value awarded, paid or received on a total or partial Condemnation.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Blue Tarp</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41.14(c)(ii)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Borgata</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41.14(a)(i)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Borgata Fair Market Value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41.14(a)(vii)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Borgata Purchase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41.14(a)(vi)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w:t>
      </w:r>
      <w:r>
        <w:rPr>
          <w:rFonts w:ascii="Times New Roman;serif" w:hAnsi="Times New Roman;serif"/>
          <w:b w:val="false"/>
          <w:color w:val="000000"/>
          <w:sz w:val="24"/>
        </w:rPr>
        <w:t>: Each Monday, Tuesday, Wednesday, Thursday and Friday which is not a day on which national banks in the City of New York, New York are authorized, or obligated, by law or executive order, to close.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Capital Improvements</w:t>
      </w:r>
      <w:r>
        <w:rPr>
          <w:color w:val="000000"/>
        </w:rPr>
        <w:t>”</w:t>
      </w:r>
      <w:r>
        <w:rPr>
          <w:rFonts w:ascii="Times New Roman;serif" w:hAnsi="Times New Roman;serif"/>
          <w:b w:val="false"/>
          <w:color w:val="000000"/>
          <w:sz w:val="24"/>
        </w:rPr>
        <w:t>: With respect to any Facility, any improvements or alterations or modifications of the Leased Improvements, including without limitation capital improvements and structural alterations, modifications or improvements, or one or more additional structures annexed to any portion of any of the Leased Improvements of such Facility, or the expansion of existing improvements, which are constructed on any parcel or portion of the Land of such Facility, during the Term, including construction of a new wing or new story, in each case which are permanently affixed to the Leased Property such that they constitute real property under applicable Legal Requirements.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w:t>
      </w:r>
      <w:r>
        <w:rPr>
          <w:color w:val="000000"/>
        </w:rPr>
        <w:t>”</w:t>
      </w:r>
      <w:r>
        <w:rPr>
          <w:rFonts w:ascii="Times New Roman;serif" w:hAnsi="Times New Roman;serif"/>
          <w:b w:val="false"/>
          <w:color w:val="000000"/>
          <w:sz w:val="24"/>
        </w:rPr>
        <w:t>: Cash and cash equivalents and all instruments evidencing the same or any right thereto and all proceeds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Casualty Event</w:t>
      </w:r>
      <w:r>
        <w:rPr>
          <w:color w:val="000000"/>
        </w:rPr>
        <w:t>”</w:t>
      </w:r>
      <w:r>
        <w:rPr>
          <w:rFonts w:ascii="Times New Roman;serif" w:hAnsi="Times New Roman;serif"/>
          <w:b w:val="false"/>
          <w:color w:val="000000"/>
          <w:sz w:val="24"/>
        </w:rPr>
        <w:t>: Any loss of title or any loss of or damage to or destruction of, or any Condemnation or other taking (including by any governmental authority) of, any portion of the Leased Property for which Landlord, Tenant or any Operating Subtenant or any of their respective Subsidiaries receives cash insurance proceeds or proceeds of a Condemnation award or other similar compensation (excluding proceeds of business interruption insurance). “</w:t>
      </w:r>
      <w:r>
        <w:rPr>
          <w:rFonts w:ascii="Times New Roman;serif" w:hAnsi="Times New Roman;serif"/>
          <w:b/>
          <w:color w:val="000000"/>
          <w:sz w:val="24"/>
        </w:rPr>
        <w:t>Casualty Event</w:t>
      </w:r>
      <w:r>
        <w:rPr>
          <w:color w:val="000000"/>
        </w:rPr>
        <w:t xml:space="preserve">” </w:t>
      </w:r>
      <w:r>
        <w:rPr>
          <w:rFonts w:ascii="Times New Roman;serif" w:hAnsi="Times New Roman;serif"/>
          <w:b w:val="false"/>
          <w:color w:val="000000"/>
          <w:sz w:val="24"/>
        </w:rPr>
        <w:t>shall include, but not be limited to, any taking of all or any portion of the Leased Property, in or by Condemnation or other eminent domain proceedings pursuant to any applicable law, or by reason of the temporary requisition of the use or occupancy of all or any part of any real property of or any part thereof by any governmental authority, civil or military.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Casualty Shortfall</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14.2(g)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The Internal Revenue Code of 1986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Commencement Date</w:t>
      </w:r>
      <w:r>
        <w:rPr>
          <w:color w:val="000000"/>
        </w:rPr>
        <w:t>”</w:t>
      </w:r>
      <w:r>
        <w:rPr>
          <w:rFonts w:ascii="Times New Roman;serif" w:hAnsi="Times New Roman;serif"/>
          <w:b w:val="false"/>
          <w:color w:val="000000"/>
          <w:sz w:val="24"/>
        </w:rPr>
        <w:t xml:space="preserve">: As defined in the Preamble.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41.14(a)(ii)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Condemnation</w:t>
      </w:r>
      <w:r>
        <w:rPr>
          <w:color w:val="000000"/>
        </w:rPr>
        <w:t>”</w:t>
      </w:r>
      <w:r>
        <w:rPr>
          <w:rFonts w:ascii="Times New Roman;serif" w:hAnsi="Times New Roman;serif"/>
          <w:b w:val="false"/>
          <w:color w:val="000000"/>
          <w:sz w:val="24"/>
        </w:rPr>
        <w:t xml:space="preserve">: A taking by the exercise of any governmental power, whether by legal proceedings or otherwise, by a Condemnor or a voluntary sale or transfer by Landlord to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Condemnor, either under threat of condemnation or while legal proceedings for condemnation are pending.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Condemnor</w:t>
      </w:r>
      <w:r>
        <w:rPr>
          <w:color w:val="000000"/>
        </w:rPr>
        <w:t>”</w:t>
      </w:r>
      <w:r>
        <w:rPr>
          <w:rFonts w:ascii="Times New Roman;serif" w:hAnsi="Times New Roman;serif"/>
          <w:b w:val="false"/>
          <w:color w:val="000000"/>
          <w:sz w:val="24"/>
        </w:rPr>
        <w:t>: Any public or quasi-public authority, or private corporation or individual, having the power of Condemnation.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Landlord or Tenant or their respective Related Persons, whether furnished before or after the date of this Master Lease, and regardless of the manner in which it was furnished, and any material prepared by either Landlord or Tenant or their respective Related Persons, in whatever form maintained, containing, reflecting or based upon, in whole or in part, any such information; provided, however, that “</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shall not include information which: (i) was or becomes generally available to the public other than as a result of a disclosure by either Landlord or Tenant or their respective Related Persons in breach of this Master Lease; (ii) was or becomes available to either Landlord or Tenant or their respective Related Persons on a non-confidential basis prior to its disclosure hereunder as evidenced by the written records of Landlord or Tenant or their Related Persons, provided, that the source of the information is not bound by a confidentiality agreement or otherwise prohibited from transmitting such information by a contractual, legal or fiduciary duty; or (iii) was independently developed by the other without the use of any Confidential Information, as evidenced by its written records.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Control</w:t>
      </w:r>
      <w:r>
        <w:rPr>
          <w:color w:val="000000"/>
        </w:rPr>
        <w:t>”</w:t>
      </w:r>
      <w:r>
        <w:rPr>
          <w:rFonts w:ascii="Times New Roman;serif" w:hAnsi="Times New Roman;serif"/>
          <w:b w:val="false"/>
          <w:color w:val="000000"/>
          <w:sz w:val="24"/>
        </w:rPr>
        <w:t>: The ability, directly or indirectly, whether through the ownership of voting securities, by contract, or otherwise (including by being the managing member or general partner of the Person in question), to (i) direct or cause the direction of the management and policies of a Person or (ii) conduct the day-to-day business operations of a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Corporate Shared Services Property</w:t>
      </w:r>
      <w:r>
        <w:rPr>
          <w:color w:val="000000"/>
        </w:rPr>
        <w:t>”</w:t>
      </w:r>
      <w:r>
        <w:rPr>
          <w:rFonts w:ascii="Times New Roman;serif" w:hAnsi="Times New Roman;serif"/>
          <w:b w:val="false"/>
          <w:color w:val="000000"/>
          <w:sz w:val="24"/>
        </w:rPr>
        <w:t xml:space="preserve">: The Property used in the provision of services by an Affiliate of Tenant (including, by way of example and not limitation, aircraft, limos, certain information technology equipment and K-9 units) to a Facility (and to other facilities owned or operated by direct or indirect Subsidiaries of Tenant’s Parent) in the ordinary course and in a Non-Discriminatory manner.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Covenant Failure Period</w:t>
      </w:r>
      <w:r>
        <w:rPr>
          <w:color w:val="000000"/>
        </w:rPr>
        <w:t>”</w:t>
      </w:r>
      <w:r>
        <w:rPr>
          <w:rFonts w:ascii="Times New Roman;serif" w:hAnsi="Times New Roman;serif"/>
          <w:b w:val="false"/>
          <w:color w:val="000000"/>
          <w:sz w:val="24"/>
        </w:rPr>
        <w:t>: The period (x) beginning upon the failure of Tenant to satisfy the Financial Covenant for two (2) consecutive Test Periods as determined on the last day of two (2) consecutive fiscal quarters (e.g., if Tenant fails to satisfy the Financial Covenant for the Test Periods ending on September 30, 2022 and December 31, 2022, the Covenant Failure Period would begin on December 31, 2022) and (y) ending upon a Covenant Security Coverage Cure with respect to such failure.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Covenant Failure (Unavoidable Delay)</w:t>
      </w:r>
      <w:r>
        <w:rPr>
          <w:color w:val="000000"/>
        </w:rPr>
        <w:t>”</w:t>
      </w:r>
      <w:r>
        <w:rPr>
          <w:rFonts w:ascii="Times New Roman;serif" w:hAnsi="Times New Roman;serif"/>
          <w:b w:val="false"/>
          <w:color w:val="000000"/>
          <w:sz w:val="24"/>
        </w:rPr>
        <w:t xml:space="preserve">: A failure to satisfy the Financial Covenant substantially caused by an Unavoidable Delay, which Unavoidable Delay affects a substantial portion of the Leased Property (i.e., a substantial number of Facilities) for more than thirty (30) consecutive days (e.g., the COVID – 19 Pandemic) (it being understood that an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Unavoidable Delay that has a duration that exceeds thirty (30) consecutive days does not by itself indicate that a Covenant Failure (Unavoidable Delay) has occurred).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Covenant Security Coverage Cure</w:t>
      </w:r>
      <w:r>
        <w:rPr>
          <w:color w:val="000000"/>
        </w:rPr>
        <w:t>”</w:t>
      </w:r>
      <w:r>
        <w:rPr>
          <w:rFonts w:ascii="Times New Roman;serif" w:hAnsi="Times New Roman;serif"/>
          <w:b w:val="false"/>
          <w:color w:val="000000"/>
          <w:sz w:val="24"/>
        </w:rPr>
        <w:t xml:space="preserve">: Following the commencement of a Covenant Failure Period, as of the last day of the most recent Test Period and the last day of the Test Period immediately preceding the most recent Test Period (each of such Test Periods ending as of the last day of two (2) consecutive fiscal quarters), the Tenant’s Parent EBITDA to Rent ratio described in </w:t>
      </w:r>
      <w:r>
        <w:rPr>
          <w:rFonts w:ascii="Times New Roman;serif" w:hAnsi="Times New Roman;serif"/>
          <w:b/>
          <w:color w:val="000000"/>
          <w:sz w:val="24"/>
        </w:rPr>
        <w:t>Section 23.3(a)</w:t>
      </w:r>
      <w:r>
        <w:rPr>
          <w:color w:val="000000"/>
        </w:rPr>
        <w:t xml:space="preserve"> </w:t>
      </w:r>
      <w:r>
        <w:rPr>
          <w:rFonts w:ascii="Times New Roman;serif" w:hAnsi="Times New Roman;serif"/>
          <w:b w:val="false"/>
          <w:color w:val="000000"/>
          <w:sz w:val="24"/>
        </w:rPr>
        <w:t>shall have been equal to or greater than the Coverage Ratio (e.g., if, following the commencement of a Covenant Failure Period for the Test Periods ending September 30, 2023 and December 31, 2023, Tenant satisfies the Financial Covenant for the Test Periods ending March 31, 2024 and June 30, 2024, then the Covenant Security Coverage Cure will be deemed to have occurred on June 30, 2024).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Covenant Security Escrow Account</w:t>
      </w:r>
      <w:r>
        <w:rPr>
          <w:color w:val="000000"/>
        </w:rPr>
        <w:t>”</w:t>
      </w:r>
      <w:r>
        <w:rPr>
          <w:rFonts w:ascii="Times New Roman;serif" w:hAnsi="Times New Roman;serif"/>
          <w:b w:val="false"/>
          <w:color w:val="000000"/>
          <w:sz w:val="24"/>
        </w:rPr>
        <w:t>: An escrow account established by Tenant with a reputable, nationally recognized title insurance company selected by Tenant and approved by Landlord (such approval not to be unreasonably withheld, conditioned or delayed) with an office located in Las Vegas, Nevada. Fidelity Title Insurance Company is hereby preapproved by Landlord and Tenant.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Coverage Ratio</w:t>
      </w:r>
      <w:r>
        <w:rPr>
          <w:color w:val="000000"/>
        </w:rPr>
        <w:t>”</w:t>
      </w:r>
      <w:r>
        <w:rPr>
          <w:rFonts w:ascii="Times New Roman;serif" w:hAnsi="Times New Roman;serif"/>
          <w:b w:val="false"/>
          <w:color w:val="000000"/>
          <w:sz w:val="24"/>
        </w:rPr>
        <w:t>: As defined in</w:t>
      </w:r>
      <w:r>
        <w:rPr>
          <w:color w:val="000000"/>
        </w:rPr>
        <w:t xml:space="preserve">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23.3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CPI</w:t>
      </w:r>
      <w:r>
        <w:rPr>
          <w:color w:val="000000"/>
        </w:rPr>
        <w:t>”</w:t>
      </w:r>
      <w:r>
        <w:rPr>
          <w:rFonts w:ascii="Times New Roman;serif" w:hAnsi="Times New Roman;serif"/>
          <w:b w:val="false"/>
          <w:color w:val="000000"/>
          <w:sz w:val="24"/>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 as reasonably determined by Landlord and Tenant.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CPI Increase</w:t>
      </w:r>
      <w:r>
        <w:rPr>
          <w:color w:val="000000"/>
        </w:rPr>
        <w:t>”</w:t>
      </w:r>
      <w:r>
        <w:rPr>
          <w:rFonts w:ascii="Times New Roman;serif" w:hAnsi="Times New Roman;serif"/>
          <w:b w:val="false"/>
          <w:color w:val="000000"/>
          <w:sz w:val="24"/>
        </w:rPr>
        <w:t xml:space="preserve">: The quotient of (i) the CPI most recently published as of the beginning of each Lease Year, divided by (ii) the CPI most recently published as of the Commencement Date (except that in connection with determining the Escalation, the preceding clause (ii) will be replaced with “the CPI as of the date which is one year prior to the date described in the preceding clause (i)”). If the quotient is less than one, the CPI Increase shall be equal to one.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Date of Taking</w:t>
      </w:r>
      <w:r>
        <w:rPr>
          <w:color w:val="000000"/>
        </w:rPr>
        <w:t>”</w:t>
      </w:r>
      <w:r>
        <w:rPr>
          <w:rFonts w:ascii="Times New Roman;serif" w:hAnsi="Times New Roman;serif"/>
          <w:b w:val="false"/>
          <w:color w:val="000000"/>
          <w:sz w:val="24"/>
        </w:rPr>
        <w:t>: The date the Condemnor has the right to possession of the property being condemned.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Debt Agreement</w:t>
      </w:r>
      <w:r>
        <w:rPr>
          <w:color w:val="000000"/>
        </w:rPr>
        <w:t>”</w:t>
      </w:r>
      <w:r>
        <w:rPr>
          <w:rFonts w:ascii="Times New Roman;serif" w:hAnsi="Times New Roman;serif"/>
          <w:b w:val="false"/>
          <w:color w:val="000000"/>
          <w:sz w:val="24"/>
        </w:rPr>
        <w:t>: If designated by Tenant to Landlord in writing to be included in the definition of “</w:t>
      </w:r>
      <w:r>
        <w:rPr>
          <w:rFonts w:ascii="Times New Roman;serif" w:hAnsi="Times New Roman;serif"/>
          <w:b/>
          <w:color w:val="000000"/>
          <w:sz w:val="24"/>
        </w:rPr>
        <w:t>Debt Agreement</w:t>
      </w:r>
      <w:r>
        <w:rPr>
          <w:rFonts w:ascii="Times New Roman;serif" w:hAnsi="Times New Roman;serif"/>
          <w:b w:val="false"/>
          <w:color w:val="000000"/>
          <w:sz w:val="24"/>
        </w:rPr>
        <w:t xml:space="preserve">,”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each case, with the same or different borrowers or issuers and, in each case, (i) entered into from time to time by Tenant, any Operating Subtenant and/or their respective Subsidiaries, (ii) as amended, supplemented, modified, extended, restructured, renewed, refinanced, restated, replaced or refunded in whole or in part from time to time, (iii) which may be secured by assets of Tenant, any Operating Subtenant and/or their respective Subsidiaries, including, but not limited to, their Cash, Accounts, Tenant’s Property, real property and leasehold estates in real property (including this Master Lease) and (iv) which shall provide Landlord, in accordance with </w:t>
      </w:r>
      <w:r>
        <w:rPr>
          <w:rFonts w:ascii="Times New Roman;serif" w:hAnsi="Times New Roman;serif"/>
          <w:b/>
          <w:color w:val="000000"/>
          <w:sz w:val="24"/>
        </w:rPr>
        <w:t>Section 17.3</w:t>
      </w:r>
      <w:r>
        <w:rPr>
          <w:color w:val="000000"/>
        </w:rPr>
        <w:t xml:space="preserve"> </w:t>
      </w:r>
      <w:r>
        <w:rPr>
          <w:rFonts w:ascii="Times New Roman;serif" w:hAnsi="Times New Roman;serif"/>
          <w:b w:val="false"/>
          <w:color w:val="000000"/>
          <w:sz w:val="24"/>
        </w:rPr>
        <w:t>hereof, the right to receive copies of notices of Specified Debt Agreement Defaults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Defaulting Operating Subtenants</w:t>
      </w:r>
      <w:r>
        <w:rPr>
          <w:color w:val="000000"/>
        </w:rPr>
        <w:t>”</w:t>
      </w:r>
      <w:r>
        <w:rPr>
          <w:rFonts w:ascii="Times New Roman;serif" w:hAnsi="Times New Roman;serif"/>
          <w:b w:val="false"/>
          <w:color w:val="000000"/>
          <w:sz w:val="24"/>
        </w:rPr>
        <w:t>: Operating Subtenants operating forty-one and one-half percent (41.5%) or more (by number) of the Facilities.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Discretionary Transferee</w:t>
      </w:r>
      <w:r>
        <w:rPr>
          <w:color w:val="000000"/>
        </w:rPr>
        <w:t>”</w:t>
      </w:r>
      <w:r>
        <w:rPr>
          <w:rFonts w:ascii="Times New Roman;serif" w:hAnsi="Times New Roman;serif"/>
          <w:b w:val="false"/>
          <w:color w:val="000000"/>
          <w:sz w:val="24"/>
        </w:rPr>
        <w:t xml:space="preserve">: A transferee that meets all of the following requirements: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such transferee has: </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 xml:space="preserve">(1)    (i) except as provided in (a)(1)(ii) or (iii) below, at least five (5) years of experience (directly or through one or more of its Subsidiaries) operating or managing casino properties with revenues in the immediately preceding fiscal year of at least (x) Five Hundred Million Dollars ($500,000,000) in the case of a transfer of any Facility located in Las Vegas, Nevada, (y) Two Hundred Fifty Million Dollars ($250,000,000) in the case of a transfer of any Facility not located in Las Vegas, Nevada or (z) Seven Hundred Fifty Million Dollars ($750,000,000) in the case of a transfer of all Facilities then under the Master Lease (or, in any case, retains a manager with such qualifications, which manager shall not be replaced other than by another manager meeting the foregoing requirements) and as to which the primary business of such Person and its Affiliates taken as a whole is not the leasing of properties to gaming operators, or </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(ii)     in the case of a Permitted Leasehold Mortgagee Foreclosing Party at least five (5) years of experience (directly or through one or more of its Subsidiaries) operating or managing casino properties (or, in any case, retains a manager with such qualifications, which manager shall not be replaced other than by another manager meeting the foregoing requirements), or</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 xml:space="preserve">(iii)    in the case of a transfer of any Facility of which no material portion is a Gaming Facility, at least five (5) years of experience (directly or through one or more of its Subsidiaries) operating or managing properties similar to the Facility being transferred (or retains a manager with such qualifications, which manager shall not be replaced other than by another manager meeting the foregoing requirements); or </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 xml:space="preserve">(2) agreement(s) in place in a form reasonably satisfactory to Landlord to retain for a period of eighteen (18) months (or more) after the effective time of the transfer at least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 xml:space="preserve">(i) eighty percent (80%) of Tenant Parties and their respective Subsidiaries personnel employed at the Facilities who have employment contracts as of the date of the relevant agreement to transfer, and </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 xml:space="preserve">(ii) eighty percent (80%) of Tenant Parties and Tenant’s Parent’s ten most highly compensated corporate employees as of the date of the relevant agreement to transfer based on total compensation determined in accordance with Item 402 of Regulation S-K of the Exchange Act, as amended;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such transferee (directly or through one or more of its Subsidiaries), and all persons or entities associated with such transferee who are deemed relevant by the applicable Gaming Authority(ies) with jurisdiction over any portion of the Leased Property have the requisite Gaming Licenses required by such Gaming Authority(ies) for the applicable transfer to be consummated;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such transferee is Solvent, and, other than in the case of a Permitted Leasehold Mortgagee Foreclosing Party, if such transferee has a Parent Company, the Parent Company of such transferee is Solvent,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(i) except in the case of clause (ii) below, (x) the Parent Company of such transferee or, if such transferee does not have a Parent Company, such transferee, has sufficient assets so that, after giving effect to its assumption of Tenant’s obligations hereunder or the applicable assignment or other transaction, its Indebtedness to EBITDA Ratio on a consolidated basis in accordance with GAAP is less than 6:1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 or </w:t>
      </w:r>
    </w:p>
    <w:p>
      <w:pPr>
        <w:pStyle w:val="TextBody"/>
        <w:bidi w:val="0"/>
        <w:spacing w:lineRule="auto" w:line="288" w:before="0" w:after="240"/>
        <w:ind w:left="0" w:right="0" w:firstLine="1440"/>
        <w:jc w:val="both"/>
        <w:rPr>
          <w:color w:val="000000"/>
        </w:rPr>
      </w:pPr>
      <w:r>
        <w:rPr>
          <w:color w:val="000000"/>
        </w:rPr>
        <w:t>    </w:t>
      </w:r>
      <w:r>
        <w:rPr>
          <w:rFonts w:ascii="Times New Roman;serif" w:hAnsi="Times New Roman;serif"/>
          <w:b w:val="false"/>
          <w:color w:val="000000"/>
          <w:sz w:val="24"/>
        </w:rPr>
        <w:t xml:space="preserve">(ii) in the case of a Permitted Leasehold Mortgagee Foreclosing Party, (x) Tenant has an Indebtedness to EBITDA Ratio of less than 6:1 on a pro forma based on projected earnings and after giving effect to the proposed transaction, (y) an entity that has an investment grade credit rating from a nationally recognized rating agency with respect to such entity’s long term, unsecured debt has provided a Guaranty, or (z) such entity is an entity whose only asset is or will be ownership of the leasehold estate created by this Master Lease and related assets reasonably necessary for conduct of the Primary Intended Use with respect to the Facilities and who, after giving effect to such entity becoming Tenant hereunder, has no Indebtedness.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Division</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41.14(a)(ii)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w:t>
      </w:r>
      <w:r>
        <w:rPr>
          <w:rFonts w:ascii="Times New Roman;serif" w:hAnsi="Times New Roman;serif"/>
          <w:b w:val="false"/>
          <w:color w:val="000000"/>
          <w:sz w:val="24"/>
        </w:rPr>
        <w:t>: The lawful money of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EBITDA</w:t>
      </w:r>
      <w:r>
        <w:rPr>
          <w:color w:val="000000"/>
        </w:rPr>
        <w:t>”</w:t>
      </w:r>
      <w:r>
        <w:rPr>
          <w:rFonts w:ascii="Times New Roman;serif" w:hAnsi="Times New Roman;serif"/>
          <w:b w:val="false"/>
          <w:color w:val="000000"/>
          <w:sz w:val="24"/>
        </w:rPr>
        <w:t xml:space="preserve">: For any Test Period and with respect to any Person or Facility (as applicable), the sum of Net Income of such Person or Facility for that period, (I) plus or minus the following to the extent reflected in Net Income for that period, plus (a) any extraordinary loss, and, without duplication, any loss associated with the early retirement of Indebtedness and with any disposition not in the ordinary course of business, minus (b) any extraordinary gain,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without duplication, any gains associated with the early retirement of Indebtedness and with any disposition not in the ordinary course of business, plus (c) interest expenses of such Person or Facility for that period, plus (d) the aggregate amount of expense for federal, foreign, state and local taxes on or measured by income of such Person or Facility for that period (whether or not payable during that period), minus (e) the aggregate amount of benefit for federal, foreign, state and local taxes on or measured by income of such Person or Facility for that period (whether or not receivable during that period), plus (f) depreciation, amortization and all non-recurring and/or other non-cash expenses to the extent deducted in arriving at Net Income for that period, plus (g) loss on sale or disposal of an asset, and write downs and impairments of an asset; minus (h) all non-recurring and/or other non-cash income in connection with an acquisition or disposition, and gain on sale of an asset; plus (i) expenses classified as “preopening and start-up expenses” on the applicable financial statements of that Person or Facility for that fiscal period; plus (j) any non-cash expense realized or resulting from stock option plans, employee benefit plans or post-employment benefit plans of the Company or grants or sales of stock, stock appreciation or similar rights, stock options, restricted stock, preferred stock or other rights; minus (k) any income from an equity investment in an unconsolidated affiliate; plus (l) any loss from an equity investment in an unconsolidated affiliate; plus (II) (a) cash dividends or distributions received from equity investments;, in each case as determined in accordance with GAAP to the extent applicable. The expenses associated with this Master Lease or any Ground Lease shall be treated as rent, and not interest expense for purposes of determining EBITDA hereunder, regardless of its treatment under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EBITDAR</w:t>
      </w:r>
      <w:r>
        <w:rPr>
          <w:color w:val="000000"/>
        </w:rPr>
        <w:t>”</w:t>
      </w:r>
      <w:r>
        <w:rPr>
          <w:rFonts w:ascii="Times New Roman;serif" w:hAnsi="Times New Roman;serif"/>
          <w:b w:val="false"/>
          <w:color w:val="000000"/>
          <w:sz w:val="24"/>
        </w:rPr>
        <w:t>: For any Test Period, with respect to any Person or Facility, EBITDA plus, without duplication, any rent expense associated with any ground leases forming part of the Leased Property and this Master Lease (as may be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EBITDAR to Rent Ratio</w:t>
      </w:r>
      <w:r>
        <w:rPr>
          <w:color w:val="000000"/>
        </w:rPr>
        <w:t>”</w:t>
      </w:r>
      <w:r>
        <w:rPr>
          <w:rFonts w:ascii="Times New Roman;serif" w:hAnsi="Times New Roman;serif"/>
          <w:b w:val="false"/>
          <w:color w:val="000000"/>
          <w:sz w:val="24"/>
        </w:rPr>
        <w:t>: As at any date of determination, the ratio for any period of EBITDAR derived from the Facilities by Tenant or its Affiliates (without duplication) to Rent. For purposes of calculating the EBITDAR to Rent Ratio, EBITDAR and Rent shall be calculated on a pro forma basis to give effect to any increase or decrease in Rent as a result of the addition or removal of Leased Property to this Master Lease during any Test Period as if such increase or decrease had been effected on the first day of such Test Period.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Eligible Institution</w:t>
      </w:r>
      <w:r>
        <w:rPr>
          <w:color w:val="000000"/>
        </w:rPr>
        <w:t>”</w:t>
      </w:r>
      <w:r>
        <w:rPr>
          <w:rFonts w:ascii="Times New Roman;serif" w:hAnsi="Times New Roman;serif"/>
          <w:b w:val="false"/>
          <w:color w:val="000000"/>
          <w:sz w:val="24"/>
        </w:rPr>
        <w:t>: Either (a) a depository institution or trust company insured by the Federal Deposit Insurance Corporation, the short-term unsecured debt obligations or commercial paper of which are rated at least “A-1+” by S&amp;P and “P-1” by Moody’s in the case of accounts in which funds are held for thirty (30) days or less (or, in the case of letters of credit and accounts in which funds are held for more than thirty (30) days, the long-term unsecured debt obligations of which are rated at least “A+” by S&amp;P and “Aa3” by Moody’s), or (b) Wells Fargo Bank, National Association, JPMorgan Chase Bank, N.A. or Bank of America, N.A. or any of their affiliates or successors provided that the rating by S&amp;P and Moody’s for the short term unsecured debt obligations or commercial paper and long term unsecured debt obligations of the same does not decrease below the ratings set forth in clause (a)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Empire Adjacent Property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7.3(b)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Empire Facility</w:t>
      </w:r>
      <w:r>
        <w:rPr>
          <w:color w:val="000000"/>
        </w:rPr>
        <w:t>”</w:t>
      </w:r>
      <w:r>
        <w:rPr>
          <w:rFonts w:ascii="Times New Roman;serif" w:hAnsi="Times New Roman;serif"/>
          <w:b w:val="false"/>
          <w:color w:val="000000"/>
          <w:sz w:val="24"/>
        </w:rPr>
        <w:t>: The Empire City Casino and Yonkers Raceway, Yonkers, New York.</w:t>
      </w:r>
      <w:r>
        <w:rPr>
          <w:color w:val="000000"/>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Encumbrance</w:t>
      </w:r>
      <w:r>
        <w:rPr>
          <w:color w:val="000000"/>
        </w:rPr>
        <w:t>”</w:t>
      </w:r>
      <w:r>
        <w:rPr>
          <w:rFonts w:ascii="Times New Roman;serif" w:hAnsi="Times New Roman;serif"/>
          <w:b w:val="false"/>
          <w:color w:val="000000"/>
          <w:sz w:val="24"/>
        </w:rPr>
        <w:t>: Any mortgage, deed of trust, lien, encumbrance or other matter affecting title to any of the Leased Property, or any portion thereof or interest therein.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End of Term Asset Transfer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36.1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Costs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32.4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Laws</w:t>
      </w:r>
      <w:r>
        <w:rPr>
          <w:color w:val="000000"/>
        </w:rPr>
        <w:t>”</w:t>
      </w:r>
      <w:r>
        <w:rPr>
          <w:rFonts w:ascii="Times New Roman;serif" w:hAnsi="Times New Roman;serif"/>
          <w:b w:val="false"/>
          <w:color w:val="000000"/>
          <w:sz w:val="24"/>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Equity Interests</w:t>
      </w:r>
      <w:r>
        <w:rPr>
          <w:color w:val="000000"/>
        </w:rPr>
        <w:t>”</w:t>
      </w:r>
      <w:r>
        <w:rPr>
          <w:rFonts w:ascii="Times New Roman;serif" w:hAnsi="Times New Roman;serif"/>
          <w:b w:val="false"/>
          <w:color w:val="000000"/>
          <w:sz w:val="24"/>
        </w:rPr>
        <w:t>: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Escalated Rent</w:t>
      </w:r>
      <w:r>
        <w:rPr>
          <w:color w:val="000000"/>
        </w:rPr>
        <w:t>”</w:t>
      </w:r>
      <w:r>
        <w:rPr>
          <w:rFonts w:ascii="Times New Roman;serif" w:hAnsi="Times New Roman;serif"/>
          <w:b w:val="false"/>
          <w:color w:val="000000"/>
          <w:sz w:val="24"/>
        </w:rPr>
        <w:t xml:space="preserve">: For the first Lease Year (except as otherwise provided in the definition of Rent contained in this </w:t>
      </w:r>
      <w:r>
        <w:rPr>
          <w:rFonts w:ascii="Times New Roman;serif" w:hAnsi="Times New Roman;serif"/>
          <w:b/>
          <w:color w:val="000000"/>
          <w:sz w:val="24"/>
        </w:rPr>
        <w:t>Section 2.1</w:t>
      </w:r>
      <w:r>
        <w:rPr>
          <w:rFonts w:ascii="Times New Roman;serif" w:hAnsi="Times New Roman;serif"/>
          <w:b w:val="false"/>
          <w:color w:val="000000"/>
          <w:sz w:val="24"/>
        </w:rPr>
        <w:t xml:space="preserve">) the amount of Seven Hundred Thirty Million Dollars ($730,000,000). For the second Lease Year (except as otherwise provided in the definition of Rent contained in this </w:t>
      </w:r>
      <w:r>
        <w:rPr>
          <w:rFonts w:ascii="Times New Roman;serif" w:hAnsi="Times New Roman;serif"/>
          <w:b/>
          <w:color w:val="000000"/>
          <w:sz w:val="24"/>
        </w:rPr>
        <w:t>Section 2.1</w:t>
      </w:r>
      <w:r>
        <w:rPr>
          <w:rFonts w:ascii="Times New Roman;serif" w:hAnsi="Times New Roman;serif"/>
          <w:b w:val="false"/>
          <w:color w:val="000000"/>
          <w:sz w:val="24"/>
        </w:rPr>
        <w:t xml:space="preserve">) the amount of Seven Hundred Forty-Four Million Six Hundred Thousand Dollars ($744,600,000). For the third Lease Year (except as otherwise provided in the definition of Rent contained in this </w:t>
      </w:r>
      <w:r>
        <w:rPr>
          <w:rFonts w:ascii="Times New Roman;serif" w:hAnsi="Times New Roman;serif"/>
          <w:b/>
          <w:color w:val="000000"/>
          <w:sz w:val="24"/>
        </w:rPr>
        <w:t>Section 2.1</w:t>
      </w:r>
      <w:r>
        <w:rPr>
          <w:rFonts w:ascii="Times New Roman;serif" w:hAnsi="Times New Roman;serif"/>
          <w:b w:val="false"/>
          <w:color w:val="000000"/>
          <w:sz w:val="24"/>
        </w:rPr>
        <w:t xml:space="preserve">) the amount of Seven Hundred Fifty-Nine Million Four Hundred Ninety-Two Thousand Dollars ($759,492,000). For the fourth Lease Year (except as otherwise provided in the definition of Rent contained in this </w:t>
      </w:r>
      <w:r>
        <w:rPr>
          <w:rFonts w:ascii="Times New Roman;serif" w:hAnsi="Times New Roman;serif"/>
          <w:b/>
          <w:color w:val="000000"/>
          <w:sz w:val="24"/>
        </w:rPr>
        <w:t>Section 2.1)</w:t>
      </w:r>
      <w:r>
        <w:rPr>
          <w:rFonts w:ascii="Times New Roman;serif" w:hAnsi="Times New Roman;serif"/>
          <w:b w:val="false"/>
          <w:color w:val="000000"/>
          <w:sz w:val="24"/>
        </w:rPr>
        <w:t xml:space="preserve">, the amount of Seven Hundred Twenty-One Million Seven Hundred Twenty-Three Thousand Two Hundred Nineteen Dollars ($721,723,219). Thereafter, “Escalated Rent” (i) for each Lease Year until and including the tenth (10th) Lease Year shall mean an amount equal to one hundred and two percent (102%) of the Rent as of the end of the immediately preceding Lease Year, and (ii) for each Lease Year commencing with the eleventh (11th) Lease Year and continuing through the end of the Term, an amount equal to the Rent as of the end of the immediately preceding Lease Year multiplied by the greater of (x) one hundred and two percent (102%) and (y) the CPI Increase; provided, however, that commencing with the eleventh (11th) Lease Year and continuing through the end of the Term, in no event shall the Escalated Rent for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Lease Year equal more than one hundred and three percent (103%) of the Rent payable as of the end of the immediately preceding Lease Year.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Escalation</w:t>
      </w:r>
      <w:r>
        <w:rPr>
          <w:color w:val="000000"/>
        </w:rPr>
        <w:t>”</w:t>
      </w:r>
      <w:r>
        <w:rPr>
          <w:rFonts w:ascii="Times New Roman;serif" w:hAnsi="Times New Roman;serif"/>
          <w:b w:val="false"/>
          <w:color w:val="000000"/>
          <w:sz w:val="24"/>
        </w:rPr>
        <w:t>: For any Lease Year (other than the first Lease Year), an amount equal to the difference between (i) the Escalated Rent for such Lease Year and (ii) the Rent for the immediately preceding Lease Year as in effect as of the end of such immediately preceding Lease Year. Notwithstanding the foregoing, in the event that an Unavoidable Delay directly causes Tenant to cease to operate seventy-five percent (75%) or more (by number) of the Facilities for a period of ninety (90) consecutive days or more at any time, then the Escalation shall not apply to the Lease Year immediately following the end of such ninety (90) day period and instead the Rent will continue to be the same for such following Lease Year as in effect at the end of the Lease Year in which the end of such ninety (90) day period occurred; provided, however, that the foregoing provision regarding the impact of an Unavoidable Delay on Escalation shall be applicable no more than two (2) times during the Initial Term and no more than three (3) times during the entire Term including Renewals.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Article XVI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Event of Default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16.2(b)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The U.S. Securities Exchange Act of 1934 and any statute successor thereto, in each case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Excluded Assets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Exercise Date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Expert</w:t>
      </w:r>
      <w:r>
        <w:rPr>
          <w:color w:val="000000"/>
        </w:rPr>
        <w:t>”</w:t>
      </w:r>
      <w:r>
        <w:rPr>
          <w:rFonts w:ascii="Times New Roman;serif" w:hAnsi="Times New Roman;serif"/>
          <w:b w:val="false"/>
          <w:color w:val="000000"/>
          <w:sz w:val="24"/>
        </w:rPr>
        <w:t xml:space="preserve">: An independent third party professional, with expertise in respect of a matter at issue, appointed by the agreement of Landlord and Tenant or otherwise in accordance with </w:t>
      </w:r>
      <w:r>
        <w:rPr>
          <w:rFonts w:ascii="Times New Roman;serif" w:hAnsi="Times New Roman;serif"/>
          <w:b/>
          <w:color w:val="000000"/>
          <w:sz w:val="24"/>
        </w:rPr>
        <w:t>Article XXXIV</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Facilit(y)(ies)</w:t>
      </w:r>
      <w:r>
        <w:rPr>
          <w:color w:val="000000"/>
        </w:rPr>
        <w:t xml:space="preserve"> ”</w:t>
      </w:r>
      <w:r>
        <w:rPr>
          <w:rFonts w:ascii="Times New Roman;serif" w:hAnsi="Times New Roman;serif"/>
          <w:b w:val="false"/>
          <w:color w:val="000000"/>
          <w:sz w:val="24"/>
        </w:rPr>
        <w:t>: As defined in the Recitals, but excluding, from time to time, any Removal Facilities or Facilities otherwise removed from this Master Lease in accordance with the terms of this Master Lease, and including, from time to time, the</w:t>
      </w:r>
      <w:r>
        <w:rPr>
          <w:color w:val="000000"/>
        </w:rPr>
        <w:t xml:space="preserve"> </w:t>
      </w:r>
      <w:r>
        <w:rPr>
          <w:rFonts w:ascii="Times New Roman;serif" w:hAnsi="Times New Roman;serif"/>
          <w:b w:val="false"/>
          <w:color w:val="000000"/>
          <w:sz w:val="24"/>
        </w:rPr>
        <w:t>Additional Empire Facility</w:t>
      </w:r>
      <w:r>
        <w:rPr>
          <w:color w:val="000000"/>
        </w:rPr>
        <w:t xml:space="preserve"> </w:t>
      </w:r>
      <w:r>
        <w:rPr>
          <w:rFonts w:ascii="Times New Roman;serif" w:hAnsi="Times New Roman;serif"/>
          <w:b w:val="false"/>
          <w:color w:val="000000"/>
          <w:sz w:val="24"/>
        </w:rPr>
        <w:t>or other facilities otherwise added to this Master Lease in accordance with the terms hereof. Facilit(y)(ies) shall also exclude any off-track betting facilities located off-site or other offsite gaming facilities.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Facility Mortgage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13.1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Facility Mortgage Documents</w:t>
      </w:r>
      <w:r>
        <w:rPr>
          <w:color w:val="000000"/>
        </w:rPr>
        <w:t>”</w:t>
      </w:r>
      <w:r>
        <w:rPr>
          <w:rFonts w:ascii="Times New Roman;serif" w:hAnsi="Times New Roman;serif"/>
          <w:b w:val="false"/>
          <w:color w:val="000000"/>
          <w:sz w:val="24"/>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Facility Mortgagee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13.1</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Facility Tax Action</w:t>
      </w:r>
      <w:r>
        <w:rPr>
          <w:color w:val="000000"/>
        </w:rPr>
        <w:t>”</w:t>
      </w:r>
      <w:r>
        <w:rPr>
          <w:rFonts w:ascii="Times New Roman;serif" w:hAnsi="Times New Roman;serif"/>
          <w:b w:val="false"/>
          <w:color w:val="000000"/>
          <w:sz w:val="24"/>
        </w:rPr>
        <w:t>: Any action or decision Landlord has the right to take or make, as applicable, under any Facility Tax Agreement to reduce taxes pursuant to the applicable Facility Tax Agreement that would otherwise be payable with respect to such Facility Tax Agreement if such action or decision is not taken or made,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Facility Tax Agreement</w:t>
      </w:r>
      <w:r>
        <w:rPr>
          <w:color w:val="000000"/>
        </w:rPr>
        <w:t>”</w:t>
      </w:r>
      <w:r>
        <w:rPr>
          <w:rFonts w:ascii="Times New Roman;serif" w:hAnsi="Times New Roman;serif"/>
          <w:b w:val="false"/>
          <w:color w:val="000000"/>
          <w:sz w:val="24"/>
        </w:rPr>
        <w:t xml:space="preserve">: Any tax agreement (i) related to a Facility and (ii) the substance of which pertains to property taxes, PILOT programs, or any similar state or local taxes, which agreement is being entered into or amended in order to reduce such taxes that would otherwise be payable with respect to such Facility if such agreement(s) were not entered into.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Fair Market Rent</w:t>
      </w:r>
      <w:r>
        <w:rPr>
          <w:color w:val="000000"/>
        </w:rPr>
        <w:t>”</w:t>
      </w:r>
      <w:r>
        <w:rPr>
          <w:rFonts w:ascii="Times New Roman;serif" w:hAnsi="Times New Roman;serif"/>
          <w:b w:val="false"/>
          <w:color w:val="000000"/>
          <w:sz w:val="24"/>
        </w:rPr>
        <w:t xml:space="preserve">: With respect to the Leased Property or any Facility, at any time in question, the prevailing fair market Rent which would be determined in an arm’s-length negotiation by Landlord and Tenant if neither party were under any compulsion to enter into a lease, taking into account all of the material terms and conditions of this Master Lease (including the obligation to pay Rent and Additional Charges and the presence of any remaining Renewal Terms) and, taking into account the fact that Landlord will not be entitled to the benefit of any of Tenant’s Property other than its rights with respect to Tenant’s Property pursuant to </w:t>
      </w:r>
      <w:r>
        <w:rPr>
          <w:rFonts w:ascii="Times New Roman;serif" w:hAnsi="Times New Roman;serif"/>
          <w:b/>
          <w:color w:val="000000"/>
          <w:sz w:val="24"/>
        </w:rPr>
        <w:t>Article XXXVI</w:t>
      </w:r>
      <w:r>
        <w:rPr>
          <w:rFonts w:ascii="Times New Roman;serif" w:hAnsi="Times New Roman;serif"/>
          <w:b w:val="false"/>
          <w:color w:val="000000"/>
          <w:sz w:val="24"/>
        </w:rPr>
        <w:t xml:space="preserve">, for a ten-year term beginning as of the commencement of the applicable Renewal Term, such Fair Market Rent to be determined by mutual agreement by the parties or in accordance with </w:t>
      </w:r>
      <w:r>
        <w:rPr>
          <w:rFonts w:ascii="Times New Roman;serif" w:hAnsi="Times New Roman;serif"/>
          <w:b/>
          <w:color w:val="000000"/>
          <w:sz w:val="24"/>
        </w:rPr>
        <w:t>Section 3.5</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Fair Market Rent Assumptions</w:t>
      </w:r>
      <w:r>
        <w:rPr>
          <w:color w:val="000000"/>
        </w:rPr>
        <w:t>”</w:t>
      </w:r>
      <w:r>
        <w:rPr>
          <w:rFonts w:ascii="Times New Roman;serif" w:hAnsi="Times New Roman;serif"/>
          <w:b w:val="false"/>
          <w:color w:val="000000"/>
          <w:sz w:val="24"/>
        </w:rPr>
        <w:t xml:space="preserve">: The Expert shall assume the following (1) neither the tenant nor landlord is under any compulsion to lease and that both have reasonable knowledge of all relevant facts, are acting prudently and knowledgeably in a competitive and open market, and assuming price is not affected by undue stimulus, (2) such lease contains terms and conditions identical to the terms and conditions of this Master Lease as in effect as of such time that the Fair Market Rent is determined, other than with respect to the amount of Rent that is due, (3) neither party is paying any broker a commission in connection with the transaction, (4) that the tenant thereunder will pay such Fair Market Rent for the entire term of such demise (i.e., no early termination)) subject to any provisions in this Master Lease for adjustment to the Rent during such term, (5) the Leased Property to be valued pursuant hereto (as improved by all then existing Leased Improvements, and all Capital Improvements thereto), shall be valued as (or as part of) a fully-permitted Facility operated in accordance with the provisions of this Master Lease for the Primary Intended Use, free and clear of any lien or encumbrance evidencing a debt (including any Permitted Leasehold Mortgage) or judgment (including any mortgage, security interest, tax lien, or judgment lien), (6) in determining the Fair Market Rent with respect to damaged or destroyed Leased Property, such value shall be determined as if such Leased Property had not been so damaged or destroyed, (7) in determining the Fair Market Rent with respect to any portion of the Leased Property for which Tenant has temporarily ceased operations, such value shall be determined as if such operations had not been ceased, (8) the Fair Market Rent shall represent the normal rent for the Leased Property unaffected by sales (or leasing) concessions granted by anyone associated with the transaction, (9) the following specific matters shall be factored in or out, as appropriate, in determining Fair Market Rent as the case may be: (i) the negative value of (x) any deferred maintenance or other items of repair or replacement of the Leased Property to the extent arising from breach or failure of Tenant to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perform or observe its obligations hereunder, (y) any then current or prior Gaming or other licensure violations by Tenant, Guarantor or any of their Affiliates, and (z) any breach or failure of Tenant to perform or observe its obligations hereunder (in each case with respect to the foregoing clauses (x), (y) and (z), without giving effect to any applicable cure periods hereunder), shall not be taken into account; rather, the Leased Property and every part thereof shall be deemed to be in the condition required by this Master Lease and Tenant shall at all times be deemed to have operated the Facilities in compliance with and to have performed all obligations of Tenant under this Master Lease, and (ii) such determination shall be without reference to any savings Landlord may realize as a result of any extension of the Term of this Master Lease, such as savings in free rent and tenant concessions, and without reference to any “start-up” costs a new tenant would incur were it to replace the existing Tenant for any Renewal Term or otherwise, and (10) the Leased Property will be leased as a whole or substantially as a whole to a single user.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Finance Lease</w:t>
      </w:r>
      <w:r>
        <w:rPr>
          <w:color w:val="000000"/>
        </w:rPr>
        <w:t>”</w:t>
      </w:r>
      <w:r>
        <w:rPr>
          <w:rFonts w:ascii="Times New Roman;serif" w:hAnsi="Times New Roman;serif"/>
          <w:b w:val="false"/>
          <w:color w:val="000000"/>
          <w:sz w:val="24"/>
        </w:rPr>
        <w:t>: As applied to any Person, any lease of any Property by that Person as lessee that, in conformity with GAAP, is required to be classified and accounted for as a finance lease on the balance sheet of that Person (provided, that any lease that is accounted for by any Person as an operating lease as of the Commencement Date and any similar lease entered into after the Commencement Date by any Person may, in the sole discretion of Tenant, be treated as an operating lease and not as a Finance Lease).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Finance Lease Obligations</w:t>
      </w:r>
      <w:r>
        <w:rPr>
          <w:color w:val="000000"/>
        </w:rPr>
        <w:t>”</w:t>
      </w:r>
      <w:r>
        <w:rPr>
          <w:rFonts w:ascii="Times New Roman;serif" w:hAnsi="Times New Roman;serif"/>
          <w:b w:val="false"/>
          <w:color w:val="000000"/>
          <w:sz w:val="24"/>
        </w:rPr>
        <w:t>: For any Person, all obligations of such Person to pay rent or other amounts under a Finance Lease as determined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Financial Covenant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23.3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Financial Statements</w:t>
      </w:r>
      <w:r>
        <w:rPr>
          <w:color w:val="000000"/>
        </w:rPr>
        <w:t>”</w:t>
      </w:r>
      <w:r>
        <w:rPr>
          <w:rFonts w:ascii="Times New Roman;serif" w:hAnsi="Times New Roman;serif"/>
          <w:b w:val="false"/>
          <w:color w:val="000000"/>
          <w:sz w:val="24"/>
        </w:rPr>
        <w:t>: (i) For a Fiscal Year, consolidated statements of Tenant’s Parent and its consolidated subsidiaries of operations, shareholders’ equity and cash flows for such Fiscal Year and the related consolidated balance sheet as at the end of such Fiscal Year, prepared in accordance with GAAP as at such date and audited by a “big four” or other independent public accountants of recognized standing, and (ii) for each fiscal quarter (other than the fourth fiscal quarter in any Fiscal Year), the consolidated statement of operations of Tenant’s Parent and its Subsidiaries</w:t>
      </w:r>
      <w:r>
        <w:rPr>
          <w:color w:val="000000"/>
        </w:rPr>
        <w:t xml:space="preserve"> </w:t>
      </w:r>
      <w:r>
        <w:rPr>
          <w:rFonts w:ascii="Times New Roman;serif" w:hAnsi="Times New Roman;serif"/>
          <w:b w:val="false"/>
          <w:color w:val="000000"/>
          <w:sz w:val="24"/>
        </w:rPr>
        <w:t>for such fiscal quarter, the consolidated statement of cash flows for the portion of the Fiscal Year ended with such fiscal quarter and the related consolidated balance sheet as at the end of such fiscal quarter, prepared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First Amendment</w:t>
      </w:r>
      <w:r>
        <w:rPr>
          <w:color w:val="000000"/>
        </w:rPr>
        <w:t>”</w:t>
      </w:r>
      <w:r>
        <w:rPr>
          <w:rFonts w:ascii="Times New Roman;serif" w:hAnsi="Times New Roman;serif"/>
          <w:b w:val="false"/>
          <w:color w:val="000000"/>
          <w:sz w:val="24"/>
        </w:rPr>
        <w:t xml:space="preserve">: As defined in the Recitals.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First Amendment Date</w:t>
      </w:r>
      <w:r>
        <w:rPr>
          <w:color w:val="000000"/>
        </w:rPr>
        <w:t>”</w:t>
      </w:r>
      <w:r>
        <w:rPr>
          <w:rFonts w:ascii="Times New Roman;serif" w:hAnsi="Times New Roman;serif"/>
          <w:b w:val="false"/>
          <w:color w:val="000000"/>
          <w:sz w:val="24"/>
        </w:rPr>
        <w:t xml:space="preserve">: December 19, 2022.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Fiscal Year</w:t>
      </w:r>
      <w:r>
        <w:rPr>
          <w:color w:val="000000"/>
        </w:rPr>
        <w:t>”</w:t>
      </w:r>
      <w:r>
        <w:rPr>
          <w:rFonts w:ascii="Times New Roman;serif" w:hAnsi="Times New Roman;serif"/>
          <w:b w:val="false"/>
          <w:color w:val="000000"/>
          <w:sz w:val="24"/>
        </w:rPr>
        <w:t>: The annual period commencing January 1 and terminating December 31 of each year.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Fixtures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1.1(d)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Foreclosure Assignment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22.2(ii)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Foreclosure COC</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22.2(ii)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Foreclosure Purchaser</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31.1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GAAP</w:t>
      </w:r>
      <w:r>
        <w:rPr>
          <w:color w:val="000000"/>
        </w:rPr>
        <w:t>”</w:t>
      </w:r>
      <w:r>
        <w:rPr>
          <w:rFonts w:ascii="Times New Roman;serif" w:hAnsi="Times New Roman;serif"/>
          <w:b w:val="false"/>
          <w:color w:val="000000"/>
          <w:sz w:val="24"/>
        </w:rPr>
        <w:t>: Generally accepted accounting principles in the United States set forth in the Financial Accounting Standards Board (FASB) Accounting Standards Codification</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and rules and interpretive releases of the Securities and Exchange Commission under authority of federal securities laws, that are applicable to the circumstances as of the date of determination, consistently applied; provided, that, after the Commencement Date, if any change in accounting principles is required by the promulgation of any rule, regulation, pronouncement or opinion by the FASB or the Securities and Exchange Commission and such change results in a change in the method of calculation of any financial ratio or term in this Master Lease, then Tenant and Landlord shall negotiate in good faith in order to amend such provision so as to equitably reflect such change with the desired result that the criteria for evaluation the relevant Person’s financial condition shall be the same after such change as if such change had not occurred; provided further that until such time as an amendment shall have been executed, all such financial covenants and terms in this Master Lease shall continue to be calculated or construed as if such change had not occurred.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Gaming Authority</w:t>
      </w:r>
      <w:r>
        <w:rPr>
          <w:color w:val="000000"/>
        </w:rPr>
        <w:t>”</w:t>
      </w:r>
      <w:r>
        <w:rPr>
          <w:rFonts w:ascii="Times New Roman;serif" w:hAnsi="Times New Roman;serif"/>
          <w:b w:val="false"/>
          <w:color w:val="000000"/>
          <w:sz w:val="24"/>
        </w:rPr>
        <w:t>: As defined in the definition of Gaming License.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Gaming Corridor</w:t>
      </w:r>
      <w:r>
        <w:rPr>
          <w:color w:val="000000"/>
        </w:rPr>
        <w:t>”</w:t>
      </w:r>
      <w:r>
        <w:rPr>
          <w:rFonts w:ascii="Times New Roman;serif" w:hAnsi="Times New Roman;serif"/>
          <w:b w:val="false"/>
          <w:color w:val="000000"/>
          <w:sz w:val="24"/>
        </w:rPr>
        <w:t>: The greater Las Vegas Strip area bounded on the south by St. Rose Parkway (but, for the avoidance of doubt, including the M Resort), on the north by US 95, on the east by Paradise Road or Maryland Parkway, as applicable, and on the west by Decatur Boulevard.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Gaming Equipment</w:t>
      </w:r>
      <w:r>
        <w:rPr>
          <w:color w:val="000000"/>
        </w:rPr>
        <w:t>”</w:t>
      </w:r>
      <w:r>
        <w:rPr>
          <w:rFonts w:ascii="Times New Roman;serif" w:hAnsi="Times New Roman;serif"/>
          <w:b w:val="false"/>
          <w:color w:val="000000"/>
          <w:sz w:val="24"/>
        </w:rPr>
        <w:t xml:space="preserve">: All equipment, software systems and/or gaming devices used to conduct gambling games authorized by applicable Gaming Regulations at a Gaming Facility including without limitation, all slot machines, video lottery terminals, table games, gaming kiosks, pari-mutuel wagering systems, and/or other software systems and devices used now or in the future (including any variation or derivative of any of the foregoing, or any newly created equipment, software system or gaming device) for the purposes of conducting gambling games.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Gaming Facility</w:t>
      </w:r>
      <w:r>
        <w:rPr>
          <w:color w:val="000000"/>
        </w:rPr>
        <w:t>”</w:t>
      </w:r>
      <w:r>
        <w:rPr>
          <w:rFonts w:ascii="Times New Roman;serif" w:hAnsi="Times New Roman;serif"/>
          <w:b w:val="false"/>
          <w:color w:val="000000"/>
          <w:sz w:val="24"/>
        </w:rPr>
        <w:t xml:space="preserve">: The portion of any property upon which Gaming Equipment is utilized to generate gaming revenues in accordance with a required Gaming License.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Gaming License</w:t>
      </w:r>
      <w:r>
        <w:rPr>
          <w:color w:val="000000"/>
        </w:rPr>
        <w:t>”</w:t>
      </w:r>
      <w:r>
        <w:rPr>
          <w:rFonts w:ascii="Times New Roman;serif" w:hAnsi="Times New Roman;serif"/>
          <w:b w:val="false"/>
          <w:color w:val="000000"/>
          <w:sz w:val="24"/>
        </w:rPr>
        <w:t>: Any license, permit, approval, finding of suitability, finding of qualification or other authorization issued by a United States federal, state or local licensing or regulatory agency, commission, board or other governmental body (each a “</w:t>
      </w:r>
      <w:r>
        <w:rPr>
          <w:rFonts w:ascii="Times New Roman;serif" w:hAnsi="Times New Roman;serif"/>
          <w:b/>
          <w:color w:val="000000"/>
          <w:sz w:val="24"/>
        </w:rPr>
        <w:t>Gaming Authority</w:t>
      </w:r>
      <w:r>
        <w:rPr>
          <w:color w:val="000000"/>
        </w:rPr>
        <w:t>”</w:t>
      </w:r>
      <w:r>
        <w:rPr>
          <w:rFonts w:ascii="Times New Roman;serif" w:hAnsi="Times New Roman;serif"/>
          <w:b w:val="false"/>
          <w:color w:val="000000"/>
          <w:sz w:val="24"/>
        </w:rPr>
        <w:t xml:space="preserve">) to operate, carry on or conduct any gambling game, race book or sports pool, pari-mutuel wagering and/or offer for play any Gaming Equipment on the Leased Property, as required by any Gaming Regulation, including each of the licenses, permits or other authorizations set forth on </w:t>
      </w:r>
      <w:r>
        <w:rPr>
          <w:rFonts w:ascii="Times New Roman;serif" w:hAnsi="Times New Roman;serif"/>
          <w:b/>
          <w:color w:val="000000"/>
          <w:sz w:val="24"/>
        </w:rPr>
        <w:t>Exhibit D</w:t>
      </w:r>
      <w:r>
        <w:rPr>
          <w:rFonts w:ascii="Times New Roman;serif" w:hAnsi="Times New Roman;serif"/>
          <w:b w:val="false"/>
          <w:color w:val="000000"/>
          <w:sz w:val="24"/>
        </w:rPr>
        <w:t>, as amended from time to time, and those related to any Facilities that are added to this Master Lease after the Commencement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Gaming Regulation(s)</w:t>
      </w:r>
      <w:r>
        <w:rPr>
          <w:color w:val="000000"/>
        </w:rPr>
        <w:t>”</w:t>
      </w:r>
      <w:r>
        <w:rPr>
          <w:rFonts w:ascii="Times New Roman;serif" w:hAnsi="Times New Roman;serif"/>
          <w:b w:val="false"/>
          <w:color w:val="000000"/>
          <w:sz w:val="24"/>
        </w:rPr>
        <w:t>: Any and all United States federal, state, or local laws, statutes, ordinances, rules, regulations, policies, orders, resolutions, codes, decrees or judgments, and Gaming License conditions or restrictions, and requirements of any agreement with a local municipality, as amended from time to time, now or hereafter in effect or promulgated, pertaining to the operation, control, maintenance or Capital Improvement of a Gaming Facility or the conduct of a Person holding a Gaming License, including, without limitation, any contractual requirements or requirements imposed by a regulatory agency, commission, board, municipality, county, parish or other governmental body (including any Gaming Authority) pursuant to the jurisdiction and authority granted to it under applicable law.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Gold Strike Facility</w:t>
      </w:r>
      <w:r>
        <w:rPr>
          <w:color w:val="000000"/>
        </w:rPr>
        <w:t>”</w:t>
      </w:r>
      <w:r>
        <w:rPr>
          <w:rFonts w:ascii="Times New Roman;serif" w:hAnsi="Times New Roman;serif"/>
          <w:b w:val="false"/>
          <w:color w:val="000000"/>
          <w:sz w:val="24"/>
        </w:rPr>
        <w:t xml:space="preserve">: As defined in the Second Amendment.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Ground Leased Property</w:t>
      </w:r>
      <w:r>
        <w:rPr>
          <w:color w:val="000000"/>
        </w:rPr>
        <w:t>”</w:t>
      </w:r>
      <w:r>
        <w:rPr>
          <w:rFonts w:ascii="Times New Roman;serif" w:hAnsi="Times New Roman;serif"/>
          <w:b w:val="false"/>
          <w:color w:val="000000"/>
          <w:sz w:val="24"/>
        </w:rPr>
        <w:t>: The real property leased pursuant to the Ground Leases.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Ground Leases</w:t>
      </w:r>
      <w:r>
        <w:rPr>
          <w:color w:val="000000"/>
        </w:rPr>
        <w:t>”</w:t>
      </w:r>
      <w:r>
        <w:rPr>
          <w:rFonts w:ascii="Times New Roman;serif" w:hAnsi="Times New Roman;serif"/>
          <w:b w:val="false"/>
          <w:color w:val="000000"/>
          <w:sz w:val="24"/>
        </w:rPr>
        <w:t xml:space="preserve">: Those certain leases with respect to real property that is a portion of the Leased Property, pursuant to which Landlord is a tenant and which leases have either been approved by Tenant or are in existence as of the Commencement Date and listed on </w:t>
      </w:r>
      <w:r>
        <w:rPr>
          <w:rFonts w:ascii="Times New Roman;serif" w:hAnsi="Times New Roman;serif"/>
          <w:b/>
          <w:color w:val="000000"/>
          <w:sz w:val="24"/>
        </w:rPr>
        <w:t xml:space="preserve">Part II </w:t>
      </w:r>
      <w:r>
        <w:rPr>
          <w:rFonts w:ascii="Times New Roman;serif" w:hAnsi="Times New Roman;serif"/>
          <w:b w:val="false"/>
          <w:color w:val="000000"/>
          <w:sz w:val="24"/>
        </w:rPr>
        <w:t xml:space="preserve">of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Ground Lessor</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8.4(a)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GRT Payment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Tenant’s Parent or any replacement guarantor pursuant to a replacement guaranty given in accordance with this Master Lease or consented to by Landlord.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Guaranty</w:t>
      </w:r>
      <w:r>
        <w:rPr>
          <w:color w:val="000000"/>
        </w:rPr>
        <w:t>”</w:t>
      </w:r>
      <w:r>
        <w:rPr>
          <w:rFonts w:ascii="Times New Roman;serif" w:hAnsi="Times New Roman;serif"/>
          <w:b w:val="false"/>
          <w:color w:val="000000"/>
          <w:sz w:val="24"/>
        </w:rPr>
        <w:t xml:space="preserve">: That certain Amended and Restated Guaranty of Master Lease dated as of the Commencement Date, a form of which is attached as </w:t>
      </w:r>
      <w:r>
        <w:rPr>
          <w:rFonts w:ascii="Times New Roman;serif" w:hAnsi="Times New Roman;serif"/>
          <w:b/>
          <w:color w:val="000000"/>
          <w:sz w:val="24"/>
        </w:rPr>
        <w:t>Exhibit E</w:t>
      </w:r>
      <w:r>
        <w:rPr>
          <w:color w:val="000000"/>
        </w:rPr>
        <w:t xml:space="preserve"> </w:t>
      </w:r>
      <w:r>
        <w:rPr>
          <w:rFonts w:ascii="Times New Roman;serif" w:hAnsi="Times New Roman;serif"/>
          <w:b w:val="false"/>
          <w:color w:val="000000"/>
          <w:sz w:val="24"/>
        </w:rPr>
        <w:t>hereto, as the same may be amended, supplemented or replaced from time to time, by and between Tenant’s Parent and Landlord, and any other form of guaranty in form and substance reasonably satisfactory to Landlord executed by a Guarantor in favor of Landlord (as the same may be amended, supplemented or replaced from time to time) pursuant to which such Guarantor agrees to guaranty all of the obligations of Tenant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Handling</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32.4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Hazardous Substances</w:t>
      </w:r>
      <w:r>
        <w:rPr>
          <w:color w:val="000000"/>
        </w:rPr>
        <w:t>”</w:t>
      </w:r>
      <w:r>
        <w:rPr>
          <w:rFonts w:ascii="Times New Roman;serif" w:hAnsi="Times New Roman;serif"/>
          <w:b w:val="false"/>
          <w:color w:val="000000"/>
          <w:sz w:val="24"/>
        </w:rPr>
        <w:t>: Collectively, any petroleum, petroleum product or by product or any substance, material or waste that is defined, regulated or classified pursuant to any applicable Environmental Law as “hazardous,” “toxic,” a “pollutant,” a “contaminant,” or words of similar meaning and regulatory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Impositions</w:t>
      </w:r>
      <w:r>
        <w:rPr>
          <w:color w:val="000000"/>
        </w:rPr>
        <w:t>”</w:t>
      </w:r>
      <w:r>
        <w:rPr>
          <w:rFonts w:ascii="Times New Roman;serif" w:hAnsi="Times New Roman;serif"/>
          <w:b w:val="false"/>
          <w:color w:val="000000"/>
          <w:sz w:val="24"/>
        </w:rPr>
        <w:t xml:space="preserve">: All taxes, special and general assessments, including assessments for public improvements or benefits, whether or not commenced or completed prior to the Commencement Date and whether or not to be completed within the Term, rents or other amounts payable under any Ground Leases, water rents, rates and charges, commercial rent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taxes, sewer and other utility rents, rates and charges, excise tax levies, gross receipts tax (including, without limitation, the Nevada Commerce Tax (it being understood Tenant’s obligation to pay such gross receipts tax shall be subject to </w:t>
      </w:r>
      <w:r>
        <w:rPr>
          <w:rFonts w:ascii="Times New Roman;serif" w:hAnsi="Times New Roman;serif"/>
          <w:b/>
          <w:color w:val="000000"/>
          <w:sz w:val="24"/>
        </w:rPr>
        <w:t>Section 4.1(g)</w:t>
      </w:r>
      <w:r>
        <w:rPr>
          <w:color w:val="000000"/>
        </w:rPr>
        <w:t xml:space="preserve"> </w:t>
      </w:r>
      <w:r>
        <w:rPr>
          <w:rFonts w:ascii="Times New Roman;serif" w:hAnsi="Times New Roman;serif"/>
          <w:b w:val="false"/>
          <w:color w:val="000000"/>
          <w:sz w:val="24"/>
        </w:rPr>
        <w:t>hereof), fees including license, permit, inspection, authorization and similar fees, and other governmental impositions, levies and charges of every kind and nature whatsoever, that may be assessed, levied, confirmed, imposed or become a lien on the Leased Property or any part thereof or any rent therefore or any estate, right, title or interest therein or any occupancy, operation, use or possession of, or sales from or activity conducted on or in connection with the Leased Property or the leasing or use of the Leased Property or any part thereof prior to, during or with respect to any period during the Term hereof through the expiration or earlier termination of this Master Lease together with (i) any taxes and assessments that may be levied, assessed or imposed upon the gross income arising from any Rent or in lieu of or as a substitute, in whole or in part, for any Imposition and (ii) all interest and penalties on the foregoing attributable to any failure in payment by Tenant (other than failures arising from the wrongful or negligent acts of Landlord; provided, however, the foregoing shall not vitiate Landlord’s obligations set forth in clause (b) below).  Except as described in clause (ii) above, the term “Impositions” shall, however, not include any of the following, all of which shall be the responsibility of (and paid, before any fine, penalty, interest or cost may be added for non-payment, by) Landlord: (a) any franchise, income, excess profits, estate, inheritance, succession, transfer, gift, corporation, business, capital levy or profits of Landlord, (b) (x) any tax imposed or an increased amount with respect to the sale, exchange or other disposition by Landlord of the fee estate in the Leased Property or Landlord Change of Control and (y) the incremental portion of any of the items in this paragraph that would not have been levied, imposed or assessed but for any sale of the fee estate in the Leased Property or Landlord Change of Control, in each case during the period from the date of this Master Lease through the expiration or earlier termination of the Master Lease, and (c) interest, penalties and other charges with respect to the foregoing items “a” and “b”.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Indebtedness</w:t>
      </w:r>
      <w:r>
        <w:rPr>
          <w:color w:val="000000"/>
        </w:rPr>
        <w:t>”</w:t>
      </w:r>
      <w:r>
        <w:rPr>
          <w:rFonts w:ascii="Times New Roman;serif" w:hAnsi="Times New Roman;serif"/>
          <w:b w:val="false"/>
          <w:color w:val="000000"/>
          <w:sz w:val="24"/>
        </w:rPr>
        <w:t xml:space="preserve">: Of any Person, without duplication, (a) all obligations of such Person for borrowed money; (b) all obligations of such Person evidenced by bonds, debentures, notes, loan agreements or similar instruments; (c) all obligations of such Person under conditional sale or other title retention agreements relating to property purchased by such Person; (d) all obligations of such Person issued or assumed as the deferred purchase price of property or services (excluding accounts payable and accrued obligations incurred in the ordinary course of business); (e) all Indebtedness of others to the extent secured by any Lien on property owned or acquired by such Person, whether or not the obligations secured thereby have been assumed; provided, that if such obligations have not been assumed, the amount of such Indebtedness included for the purposes of this definition will be the amount equal to the lesser of the fair market value of such property and the amount of the Indebtedness secured; (f) all Finance Lease Obligations of such Person; (g) the net amount of the obligations of such Person in respect of interest rate protection agreements, foreign currency exchange agreements or other interest or exchange rate hedging arrangements (including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ten Business Days; and (i) all guaranty obligations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Person in respect of Indebtedness of others of the kinds referred to in clauses (a) through (h) above; provided, that for purposes of this definition, deferred purchase price obligations shall be calculated based on the net present value thereof.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referred to in clause (g) above of any Person shall be zero unless and until such Indebtedness becomes due, in which case the amount of such Indebtedness shall be the amount due that is payable by such Person. The amount of Indebtedness of the type described in clause (d) shall be determined in accordance with GAAP. Notwithstanding anything to the contrary contained in this Lease, none of this Master Lease, the Ground Leases or any other gaming lease shall be treated as Indebtedness, regardless of how they are treated under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Indebtedness to EBITDA Ratio</w:t>
      </w:r>
      <w:r>
        <w:rPr>
          <w:color w:val="000000"/>
        </w:rPr>
        <w:t>”</w:t>
      </w:r>
      <w:r>
        <w:rPr>
          <w:rFonts w:ascii="Times New Roman;serif" w:hAnsi="Times New Roman;serif"/>
          <w:b w:val="false"/>
          <w:color w:val="000000"/>
          <w:sz w:val="24"/>
        </w:rPr>
        <w:t xml:space="preserve">: As at any date of determination and with respect to any transferee, the ratio of (a) Indebtedness of the transferee and its subsidiaries on a consolidated basis (excluding (i) Indebtedness of the type referenced in clauses (g) or (h) of the definition of Indebtedness or Indebtedness referred to in clauses (e) or (j) of the definition of Indebtedness to the extent relating to Indebtedness of the type referenced in clauses (g) or (h) of the definition of Indebtedness), to (b) EBITDA of the transferee and its consolidated subsidiaries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transferee or any such subsidiary since the beginning of such Test Period as if each such material acquisition had been effected on the first day of such Test Period and as if each such material asset sale had been consummated on the day prior to the first day of such Test Period. In addition, for the avoidance of doubt, (i) if the transferee or any such subsidiary has incurred any Indebtedness or repaid, repurchased, acquired, defeased or otherwise discharged any Indebtedness since the end of the applicable Test Period,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transferee becomes party to the Master Lease permitted under </w:t>
      </w:r>
      <w:r>
        <w:rPr>
          <w:rFonts w:ascii="Times New Roman;serif" w:hAnsi="Times New Roman;serif"/>
          <w:b/>
          <w:color w:val="000000"/>
          <w:sz w:val="24"/>
        </w:rPr>
        <w:t>Section 22.2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Instruments</w:t>
      </w:r>
      <w:r>
        <w:rPr>
          <w:color w:val="000000"/>
        </w:rPr>
        <w:t>”</w:t>
      </w:r>
      <w:r>
        <w:rPr>
          <w:rFonts w:ascii="Times New Roman;serif" w:hAnsi="Times New Roman;serif"/>
          <w:b w:val="false"/>
          <w:color w:val="000000"/>
          <w:sz w:val="24"/>
        </w:rPr>
        <w:t>: As defined in the definition of Property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Insurance Requirements</w:t>
      </w:r>
      <w:r>
        <w:rPr>
          <w:color w:val="000000"/>
        </w:rPr>
        <w:t>”</w:t>
      </w:r>
      <w:r>
        <w:rPr>
          <w:rFonts w:ascii="Times New Roman;serif" w:hAnsi="Times New Roman;serif"/>
          <w:b w:val="false"/>
          <w:color w:val="000000"/>
          <w:sz w:val="24"/>
        </w:rPr>
        <w:t>: The terms of any insurance policy required by this Master Lease and all requirements of the issuer of any such policy and of any insurance board, association, organization or company necessary for the maintenance of any such policy.</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Item Subject to Deemed Consent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defined in</w:t>
      </w:r>
      <w:r>
        <w:rPr>
          <w:color w:val="000000"/>
        </w:rPr>
        <w:t xml:space="preserve"> </w:t>
      </w:r>
      <w:r>
        <w:rPr>
          <w:rFonts w:ascii="Times New Roman;serif" w:hAnsi="Times New Roman;serif"/>
          <w:b/>
          <w:color w:val="000000"/>
          <w:sz w:val="24"/>
        </w:rPr>
        <w:t>Section 35.2.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Intellectual Property License Agreement</w:t>
      </w:r>
      <w:r>
        <w:rPr>
          <w:color w:val="000000"/>
        </w:rPr>
        <w:t>”</w:t>
      </w:r>
      <w:r>
        <w:rPr>
          <w:rFonts w:ascii="Times New Roman;serif" w:hAnsi="Times New Roman;serif"/>
          <w:b w:val="false"/>
          <w:color w:val="000000"/>
          <w:sz w:val="24"/>
        </w:rPr>
        <w:t xml:space="preserve">: That certain Trademark License Agreement between Tenant’s Parent and Landlord, dated as of the Commencement Date, as amended, in the form of </w:t>
      </w:r>
      <w:r>
        <w:rPr>
          <w:rFonts w:ascii="Times New Roman;serif" w:hAnsi="Times New Roman;serif"/>
          <w:b/>
          <w:color w:val="000000"/>
          <w:sz w:val="24"/>
        </w:rPr>
        <w:t xml:space="preserve">Exhibit I </w:t>
      </w:r>
      <w:r>
        <w:rPr>
          <w:rFonts w:ascii="Times New Roman;serif" w:hAnsi="Times New Roman;serif"/>
          <w:b w:val="false"/>
          <w:color w:val="000000"/>
          <w:sz w:val="24"/>
        </w:rPr>
        <w:t>attached 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Investment Fund</w:t>
      </w:r>
      <w:r>
        <w:rPr>
          <w:color w:val="000000"/>
        </w:rPr>
        <w:t>”</w:t>
      </w:r>
      <w:r>
        <w:rPr>
          <w:rFonts w:ascii="Times New Roman;serif" w:hAnsi="Times New Roman;serif"/>
          <w:b w:val="false"/>
          <w:color w:val="000000"/>
          <w:sz w:val="24"/>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investing in a diversified portfolio of businesses and companies and is organized primarily for the purpose of making equity investments in companies.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w:t>
      </w:r>
      <w:r>
        <w:rPr>
          <w:color w:val="000000"/>
        </w:rPr>
        <w:t>”</w:t>
      </w:r>
      <w:r>
        <w:rPr>
          <w:rFonts w:ascii="Times New Roman;serif" w:hAnsi="Times New Roman;serif"/>
          <w:b w:val="false"/>
          <w:color w:val="000000"/>
          <w:sz w:val="24"/>
        </w:rPr>
        <w:t>: As defined in the preamble.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 Approved Capital Improvements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 Approved Construction/Closure Project</w:t>
      </w:r>
      <w:r>
        <w:rPr>
          <w:color w:val="000000"/>
        </w:rPr>
        <w:t>”</w:t>
      </w:r>
      <w:r>
        <w:rPr>
          <w:rFonts w:ascii="Times New Roman;serif" w:hAnsi="Times New Roman;serif"/>
          <w:b w:val="false"/>
          <w:color w:val="000000"/>
          <w:sz w:val="24"/>
        </w:rPr>
        <w:t xml:space="preserve">: A Landlord Approved Capital Improvement or such other Capital Improvement in respect of any Facility, in each case, (i) for which Landlord’s prior written approval shall have been obtained in accordance with </w:t>
      </w:r>
      <w:r>
        <w:rPr>
          <w:rFonts w:ascii="Times New Roman;serif" w:hAnsi="Times New Roman;serif"/>
          <w:b/>
          <w:color w:val="000000"/>
          <w:sz w:val="24"/>
        </w:rPr>
        <w:t>Section 10.1(b)</w:t>
      </w:r>
      <w:r>
        <w:rPr>
          <w:rFonts w:ascii="Times New Roman;serif" w:hAnsi="Times New Roman;serif"/>
          <w:b w:val="false"/>
          <w:color w:val="000000"/>
          <w:sz w:val="24"/>
        </w:rPr>
        <w:t>, and (ii) which will require ceasing operations at the applicable Facility for more than twelve consecutive (12) months.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 Change of Control</w:t>
      </w:r>
      <w:r>
        <w:rPr>
          <w:color w:val="000000"/>
        </w:rPr>
        <w:t>”</w:t>
      </w:r>
      <w:r>
        <w:rPr>
          <w:rFonts w:ascii="Times New Roman;serif" w:hAnsi="Times New Roman;serif"/>
          <w:b w:val="false"/>
          <w:color w:val="000000"/>
          <w:sz w:val="24"/>
        </w:rPr>
        <w:t>: (i) Any Person or “group” (within the meaning of Rules 13d-3 and 13d-5 under the Exchange Act, as amended from time to time, and any successor statute) other than Landlord’s Parent and its Affiliates, shall have acquired direct or indirect beneficial ownership or control of thirty-five percent (35%) or more on a fully diluted basis of the direct or indirect voting power in the Equity Interests of Landlord entitled to vote in an election of directors of Landlord or Landlord’s Parent, (ii) except as permitted or required hereunder, the direct or indirect sale by Landlord or Landlord’s Parent of all or substantially all of Landlord’s assets, whether held directly or through Subsidiaries of Landlord, relating to the Facilities in one transaction or in a series of related transactions (excluding sales to Landlord or its Subsidiaries), (iii) Landlord ceasing to be</w:t>
      </w:r>
      <w:r>
        <w:rPr>
          <w:color w:val="000000"/>
        </w:rPr>
        <w:t xml:space="preserve"> </w:t>
      </w:r>
      <w:r>
        <w:rPr>
          <w:rFonts w:ascii="Times New Roman;serif" w:hAnsi="Times New Roman;serif"/>
          <w:b w:val="false"/>
          <w:color w:val="000000"/>
          <w:sz w:val="24"/>
        </w:rPr>
        <w:t>Controlled</w:t>
      </w:r>
      <w:r>
        <w:rPr>
          <w:color w:val="000000"/>
        </w:rPr>
        <w:t xml:space="preserve"> </w:t>
      </w:r>
      <w:r>
        <w:rPr>
          <w:rFonts w:ascii="Times New Roman;serif" w:hAnsi="Times New Roman;serif"/>
          <w:b w:val="false"/>
          <w:color w:val="000000"/>
          <w:sz w:val="24"/>
        </w:rPr>
        <w:t xml:space="preserve">(directly or indirectly) by Landlord’s Parent, or (iv) Landlord or Landlord’s Parent consolidates with, or merges with or into, any Person, or any Person consolidates with, or merges with or into, Landlord or Landlord’s Parent, in any such event pursuant to a transaction in which any of the outstanding Equity Interests of Landlord or Landlord’s Parent ordinarily entitled to vote in an election of directors of Landlord or Landlord’s Parent or such other Person is converted into or exchanged for cash, securities or other property, other than any such transaction where the Equity Interests of Landlord or Landlord’s Parent ordinarily entitled to vote in an election of directors of Landlord or Landlord’s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 such surviving or transferee Person (immediately after giving effect to such transaction). Notwithstanding the foregoing, no transfer or acquisition of Equity Interests in Landlord’s Parent or any direct or indirect owner thereof in one or more transactions shall result in a Landlord Change of Control.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 Tax Agreement Refusal Conditions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8.5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Landlord’s Parent</w:t>
      </w:r>
      <w:r>
        <w:rPr>
          <w:color w:val="000000"/>
        </w:rPr>
        <w:t>”</w:t>
      </w:r>
      <w:r>
        <w:rPr>
          <w:rFonts w:ascii="Times New Roman;serif" w:hAnsi="Times New Roman;serif"/>
          <w:b w:val="false"/>
          <w:color w:val="000000"/>
          <w:sz w:val="24"/>
        </w:rPr>
        <w:t>: VICI Properties Inc., a Maryland corporation, and its successors or assigns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 REIT Affiliate</w:t>
      </w:r>
      <w:r>
        <w:rPr>
          <w:color w:val="000000"/>
        </w:rPr>
        <w:t>”</w:t>
      </w:r>
      <w:r>
        <w:rPr>
          <w:rFonts w:ascii="Times New Roman;serif" w:hAnsi="Times New Roman;serif"/>
          <w:b w:val="false"/>
          <w:color w:val="000000"/>
          <w:sz w:val="24"/>
        </w:rPr>
        <w:t>: VICI Properties Inc., a Maryland corporation, and its successors or assigns, or</w:t>
      </w:r>
      <w:r>
        <w:rPr>
          <w:color w:val="000000"/>
        </w:rPr>
        <w:t xml:space="preserve"> </w:t>
      </w:r>
      <w:r>
        <w:rPr>
          <w:rFonts w:ascii="Times New Roman;serif" w:hAnsi="Times New Roman;serif"/>
          <w:b w:val="false"/>
          <w:color w:val="000000"/>
          <w:sz w:val="24"/>
        </w:rPr>
        <w:t>Affiliates of Landlord that that are treated as real estate investment trusts for U.S. federal income tax purposes.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 Representatives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23.4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 Tax Returns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Landlord’s Termination Right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 Year</w:t>
      </w:r>
      <w:r>
        <w:rPr>
          <w:color w:val="000000"/>
        </w:rPr>
        <w:t>”</w:t>
      </w:r>
      <w:r>
        <w:rPr>
          <w:rFonts w:ascii="Times New Roman;serif" w:hAnsi="Times New Roman;serif"/>
          <w:b w:val="false"/>
          <w:color w:val="000000"/>
          <w:sz w:val="24"/>
        </w:rPr>
        <w:t xml:space="preserve">: The first Lease Year shall be the period commencing on the Commencement Date and ending on the last day of the calendar month in which the first anniversary of the Commencement Date occurs, and each subsequent Lease Year shall be each period of twelve (12) full calendar months thereafter.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Leased Improvements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Leased Property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Leased Property Rent Adjustment Event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14.6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Leasehold Estate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17.1(a)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Legal Requirements</w:t>
      </w:r>
      <w:r>
        <w:rPr>
          <w:color w:val="000000"/>
        </w:rPr>
        <w:t>”</w:t>
      </w:r>
      <w:r>
        <w:rPr>
          <w:rFonts w:ascii="Times New Roman;serif" w:hAnsi="Times New Roman;serif"/>
          <w:b w:val="false"/>
          <w:color w:val="000000"/>
          <w:sz w:val="24"/>
        </w:rPr>
        <w:t>: All applicable United States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any of the parties to this Lease, the Guaranty, Leased Property, Tenant’s Property or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Lessor Lien</w:t>
      </w:r>
      <w:r>
        <w:rPr>
          <w:color w:val="000000"/>
        </w:rPr>
        <w:t>”</w:t>
      </w:r>
      <w:r>
        <w:rPr>
          <w:rFonts w:ascii="Times New Roman;serif" w:hAnsi="Times New Roman;serif"/>
          <w:b w:val="false"/>
          <w:color w:val="000000"/>
          <w:sz w:val="24"/>
        </w:rPr>
        <w:t xml:space="preserve">: Any lien, encumbrance, attachment, title retention agreement or claim (other than any of the foregoing that arise as a result of a Facility Mortgage (or other security interest filing in relationship to a Facility Mortgage), or directly result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contemplated by this Master Lease) encumbering the Leased Property and that arises after the Commencement Date solely as a result of (a) any act or omission of Landlord or any of its Affiliates which is in violation of any of the terms of this Master Lease after notice from Tenant and failure to cure within all applicable cure periods, (b) any third-party claim against Landlord or its Affiliates that is unrelated to the use, ownership, operation or maintenance of the Leased Property and (i) for which Tenant is not required to indemnify Landlord pursuant to this Master Lease, and (ii) that is unrelated to the acts or omissions of Tenant, Tenant’s Subsidiaries or any of their respective Affiliates, or (c) any third-party claim against Landlord arising out of any transfer, sale, assignment, encumbrance or disposition by Landlord of all or any portion of the interest of Landlord in the Leased Property or any portion thereof (or any Landlord Change of Control) in violation of this Master Lease.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Letter of Credit</w:t>
      </w:r>
      <w:r>
        <w:rPr>
          <w:color w:val="000000"/>
        </w:rPr>
        <w:t>”</w:t>
      </w:r>
      <w:r>
        <w:rPr>
          <w:rFonts w:ascii="Times New Roman;serif" w:hAnsi="Times New Roman;serif"/>
          <w:b w:val="false"/>
          <w:color w:val="000000"/>
          <w:sz w:val="24"/>
        </w:rPr>
        <w:t xml:space="preserve">: An irrevocable, unconditional, clean sight draft letter of credit reasonably acceptable to Landlord in favor of Landlord and entitling Landlord to draw thereon based solely on a statement executed by an officer of Landlord stating that it has the right to draw thereon under this Lease in a location in the United States reasonably acceptable to Landlord, issued by one or more domestic Eligible Institutions or the U.S. agency or branch of a foreign Eligible Institution, and upon which letter of credit Landlord shall have the right to draw in full: (a) if Landlord has not received at least thirty (30) days prior to the date on which the then outstanding letter of credit is scheduled to expire, a notice from the issuing financial institution that it has renewed the applicable letter of credit; (b) thirty (30) days or less prior to the date of termination following receipt of notice from the issuing financial institution that the applicable letter of credit will be terminated; and/or (c) thirty (30) days after Landlord has given a proper notice to Tenant that any of the financial institutions issuing the applicable letter of credit ceases to either be an Eligible Institution or meet the rating requirement set forth above.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Lien</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11.1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Liquor Authority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41.13(a)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Liquor Laws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41.13(a)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Master Lease</w:t>
      </w:r>
      <w:r>
        <w:rPr>
          <w:color w:val="000000"/>
        </w:rPr>
        <w:t>”</w:t>
      </w:r>
      <w:r>
        <w:rPr>
          <w:rFonts w:ascii="Times New Roman;serif" w:hAnsi="Times New Roman;serif"/>
          <w:b w:val="false"/>
          <w:color w:val="000000"/>
          <w:sz w:val="24"/>
        </w:rPr>
        <w:t>: As defined in the preamble.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Indebtedness</w:t>
      </w:r>
      <w:r>
        <w:rPr>
          <w:color w:val="000000"/>
        </w:rPr>
        <w:t>”</w:t>
      </w:r>
      <w:r>
        <w:rPr>
          <w:rFonts w:ascii="Times New Roman;serif" w:hAnsi="Times New Roman;serif"/>
          <w:b w:val="false"/>
          <w:color w:val="000000"/>
          <w:sz w:val="24"/>
        </w:rPr>
        <w:t>: Any Indebtedness of the type referenced in clauses (a) or (b) of the definition of Indebtedness of Tenant or the Operating Subtenants the outstanding principal amount of which is in excess of Two Hundred Fifty Million Dollars ($250,000,000).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Portion</w:t>
      </w:r>
      <w:r>
        <w:rPr>
          <w:color w:val="000000"/>
        </w:rPr>
        <w:t>”</w:t>
      </w:r>
      <w:r>
        <w:rPr>
          <w:rFonts w:ascii="Times New Roman;serif" w:hAnsi="Times New Roman;serif"/>
          <w:b w:val="false"/>
          <w:color w:val="000000"/>
          <w:sz w:val="24"/>
        </w:rPr>
        <w:t>:  More than 40% of the gross floor area of casino space (but not any hotel, convention or other space that is not casino space) of any Facility; provided, however, with respect to any Facility that is not located in Las Vegas, Nevada and the Excalibur Hotel and Casino, Tenant may sublease or enter into management agreements covering more than 40% of the gross floor area of the casino space of any such Facility without Landlord’s consent as would not reasonably be expected to result in a material adverse effect on the applicable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Mirage Facility</w:t>
      </w:r>
      <w:r>
        <w:rPr>
          <w:color w:val="000000"/>
        </w:rPr>
        <w:t>”</w:t>
      </w:r>
      <w:r>
        <w:rPr>
          <w:rFonts w:ascii="Times New Roman;serif" w:hAnsi="Times New Roman;serif"/>
          <w:b w:val="false"/>
          <w:color w:val="000000"/>
          <w:sz w:val="24"/>
        </w:rPr>
        <w:t xml:space="preserve">: As defined in the First Amendment.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MGP REIT</w:t>
      </w:r>
      <w:r>
        <w:rPr>
          <w:color w:val="000000"/>
        </w:rPr>
        <w:t>”</w:t>
      </w:r>
      <w:r>
        <w:rPr>
          <w:rFonts w:ascii="Times New Roman;serif" w:hAnsi="Times New Roman;serif"/>
          <w:b w:val="false"/>
          <w:color w:val="000000"/>
          <w:sz w:val="24"/>
        </w:rPr>
        <w:t xml:space="preserve">: MGM Growth Properties LLC.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National Harbor Ground Lease</w:t>
      </w:r>
      <w:r>
        <w:rPr>
          <w:color w:val="000000"/>
        </w:rPr>
        <w:t>”</w:t>
      </w:r>
      <w:r>
        <w:rPr>
          <w:rFonts w:ascii="Times New Roman;serif" w:hAnsi="Times New Roman;serif"/>
          <w:b w:val="false"/>
          <w:color w:val="000000"/>
          <w:sz w:val="24"/>
        </w:rPr>
        <w:t xml:space="preserve">: The description of the National Harbor ground lease described in </w:t>
      </w:r>
      <w:r>
        <w:rPr>
          <w:rFonts w:ascii="Times New Roman;serif" w:hAnsi="Times New Roman;serif"/>
          <w:b/>
          <w:color w:val="000000"/>
          <w:sz w:val="24"/>
        </w:rPr>
        <w:t>Part 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color w:val="000000"/>
          <w:sz w:val="24"/>
        </w:rPr>
        <w:t>Exhibit 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Net Income</w:t>
      </w:r>
      <w:r>
        <w:rPr>
          <w:color w:val="000000"/>
        </w:rPr>
        <w:t>”</w:t>
      </w:r>
      <w:r>
        <w:rPr>
          <w:rFonts w:ascii="Times New Roman;serif" w:hAnsi="Times New Roman;serif"/>
          <w:b w:val="false"/>
          <w:color w:val="000000"/>
          <w:sz w:val="24"/>
        </w:rPr>
        <w:t xml:space="preserve">: With respect to any fiscal period and with respect to any Person, the net income (or net loss) of that Person, determined in accordance with GAAP, consistently applied.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Net Revenue</w:t>
      </w:r>
      <w:r>
        <w:rPr>
          <w:color w:val="000000"/>
        </w:rPr>
        <w:t>”</w:t>
      </w:r>
      <w:r>
        <w:rPr>
          <w:rFonts w:ascii="Times New Roman;serif" w:hAnsi="Times New Roman;serif"/>
          <w:b w:val="false"/>
          <w:color w:val="000000"/>
          <w:sz w:val="24"/>
        </w:rPr>
        <w:t xml:space="preserve">: With respect to any fiscal period, the net revenue derived from the Facilities by Tenant or its Affiliates (without duplication) for that period, determined in accordance with GAAP existing from time to time, consistently applied, adjusted as necessary such that any Rent will constitute “rents from real property” within the meaning of Section 856(d) of the Code and Treasury Regulation Section 1.856-4. For the avoidance of doubt, Net Revenues will not be reduced by any expenses whatsoever, unless such expense is a component of net revenue as determined in accordance with GAAP, except that in Tenant's sole discretion, Net Revenues may, but shall not be required to, be reduced by any component thereof representing expense reimbursements by third parties at no profit to Tenant or its Affiliates or subtenants.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New Lease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17.1(f)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NH Release</w:t>
      </w:r>
      <w:r>
        <w:rPr>
          <w:color w:val="000000"/>
        </w:rPr>
        <w:t>”</w:t>
      </w:r>
      <w:r>
        <w:rPr>
          <w:rFonts w:ascii="Times New Roman;serif" w:hAnsi="Times New Roman;serif"/>
          <w:b w:val="false"/>
          <w:color w:val="000000"/>
          <w:sz w:val="24"/>
        </w:rPr>
        <w:t>: As defined in</w:t>
      </w:r>
      <w:r>
        <w:rPr>
          <w:color w:val="000000"/>
        </w:rPr>
        <w:t xml:space="preserve"> </w:t>
      </w:r>
      <w:r>
        <w:rPr>
          <w:rFonts w:ascii="Times New Roman;serif" w:hAnsi="Times New Roman;serif"/>
          <w:b/>
          <w:color w:val="000000"/>
          <w:sz w:val="24"/>
        </w:rPr>
        <w:t>Section 8.4(f)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Non-Discriminatory</w:t>
      </w:r>
      <w:r>
        <w:rPr>
          <w:color w:val="000000"/>
        </w:rPr>
        <w:t>”</w:t>
      </w:r>
      <w:r>
        <w:rPr>
          <w:rFonts w:ascii="Times New Roman;serif" w:hAnsi="Times New Roman;serif"/>
          <w:b w:val="false"/>
          <w:color w:val="000000"/>
          <w:sz w:val="24"/>
        </w:rPr>
        <w:t>: Consistent, commercially reasonable treatment of all Persons regardless of the ownership, control or affiliations of any such Persons (i) subject to the same or substantially similar policies and procedures, including policies and procedures related to the standards of service and quality required to be provided by such Persons or (ii) participating jointly in the same transactions or relationships or participating in separate, but substantially similar, transactions or relationships for the procurement of goods or services (and whether such goods are purchased or leased), in each case, including, without limitation, the unbiased and consistent allocation of costs, expenses, savings and benefits of any such policies, procedures, relationships or transactions on the basis of a reasonable methodology; provided, however, that goods and services shall not be required to be provided in a manner that exceeds the standard of service required to be provided at the Leased Property under the terms of this Master Lease to be deemed “Non-Discriminatory” nor shall the standard of service and quality provided at the facilities owned or operated by each such Person be required to be similar so long as, in each case, both (x) a commercially reasonable business justification (without giving effect to Lease economics) that is not discriminatory to Landlord or the Leased Property exists for the manner in which such goods and services are provided, as reasonably determined by Tenant in good faith, and (y) the manner in which such goods and services are provided is not intended or designed to frustrate, vitiate or reduce the rights of Landlord under this Master Lease, as reasonably determined by Tenant 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Northfield Facility</w:t>
      </w:r>
      <w:r>
        <w:rPr>
          <w:color w:val="000000"/>
        </w:rPr>
        <w:t>”</w:t>
      </w:r>
      <w:r>
        <w:rPr>
          <w:rFonts w:ascii="Times New Roman;serif" w:hAnsi="Times New Roman;serif"/>
          <w:b w:val="false"/>
          <w:color w:val="000000"/>
          <w:sz w:val="24"/>
        </w:rPr>
        <w:t xml:space="preserve">: As defined in the Third Amendment.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 xml:space="preserve">: A notice given in accordance with </w:t>
      </w:r>
      <w:r>
        <w:rPr>
          <w:rFonts w:ascii="Times New Roman;serif" w:hAnsi="Times New Roman;serif"/>
          <w:b/>
          <w:color w:val="000000"/>
          <w:sz w:val="24"/>
        </w:rPr>
        <w:t>Article XXXV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Notice of Termination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17.1(f)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NRS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41.15</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OFAC</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39.1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Operating Partnership</w:t>
      </w:r>
      <w:r>
        <w:rPr>
          <w:color w:val="000000"/>
        </w:rPr>
        <w:t>”</w:t>
      </w:r>
      <w:r>
        <w:rPr>
          <w:rFonts w:ascii="Times New Roman;serif" w:hAnsi="Times New Roman;serif"/>
          <w:b w:val="false"/>
          <w:color w:val="000000"/>
          <w:sz w:val="24"/>
        </w:rPr>
        <w:t>: MGM Growth Properties Operating Partnership LP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Operating Standard</w:t>
      </w:r>
      <w:r>
        <w:rPr>
          <w:color w:val="000000"/>
        </w:rPr>
        <w:t>”</w:t>
      </w:r>
      <w:r>
        <w:rPr>
          <w:rFonts w:ascii="Times New Roman;serif" w:hAnsi="Times New Roman;serif"/>
          <w:b w:val="false"/>
          <w:color w:val="000000"/>
          <w:sz w:val="24"/>
        </w:rPr>
        <w:t xml:space="preserve">: Operation of the Leased Property for the Primary Intended Use (x) consistent with the standards of operations, maintenance and repair that a reasonable and prudent operator would reasonably be expected to undertake and follow for the operation, maintenance and repair of a comparable facility in the geographic location in which the applicable Facility is located, (y) at least substantially consistent with the standard of operations of each Facility, as applicable, on the Commencement Date, with due regard to reasonable wear and tear, and (z) which shall be performed (i) with respect to Facilities located in Las Vegas, Nevada, in a Non-Discriminatory manner with other similar assets owned, leased, managed or operated by Tenant’s Parent and/or its Subsidiaries, including without limitation, with respect to the usage and allocation of proprietary information and systems related to the operating of gaming, hotel and related businesses, centralized services, purchasing programs, insurance programs, Tenant’s Intellectual Property, complimentaries, room rates and cross-marketing and cross-promotional activities with other similar properties owned, leased or operated by Tenant’s Parent and/or its Subsidiaries in Las Vegas, Nevada (it being understood that Aria, Vdara, Bellagio, Mandalay Bay and MGM Grand shall be excluded for the purpose of the foregoing analysis), and (ii) with respect to Facilities not located in Las Vegas, Nevada, in a Non-Discriminatory manner with other similar assets owned, leased, managed or operated by Tenant’s Parent and/or its Subsidiaries, including without limitation, with respect to the usage and allocation of proprietary information and systems related to the operating of gaming, hotel and related businesses, centralized services, purchasing programs, insurance programs, Tenant’s Intellectual Property, complimentaries, room rates and cross-marketing and cross-promotional activities with other similar properties owned, leased or operated by Tenant’s Parent and/or its Subsidiaries outside of Las Vegas, Nevada (taking into account the quality of the operations and level of services provided at each of the applicable Facilities not located in Las Vegas, Nevada).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Operating Subleases</w:t>
      </w:r>
      <w:r>
        <w:rPr>
          <w:color w:val="000000"/>
        </w:rPr>
        <w:t>”</w:t>
      </w:r>
      <w:r>
        <w:rPr>
          <w:rFonts w:ascii="Times New Roman;serif" w:hAnsi="Times New Roman;serif"/>
          <w:b w:val="false"/>
          <w:color w:val="000000"/>
          <w:sz w:val="24"/>
        </w:rPr>
        <w:t>: As defined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Operating Subtenant</w:t>
      </w:r>
      <w:r>
        <w:rPr>
          <w:color w:val="000000"/>
        </w:rPr>
        <w:t>”</w:t>
      </w:r>
      <w:r>
        <w:rPr>
          <w:rFonts w:ascii="Times New Roman;serif" w:hAnsi="Times New Roman;serif"/>
          <w:b w:val="false"/>
          <w:color w:val="000000"/>
          <w:sz w:val="24"/>
        </w:rPr>
        <w:t xml:space="preserve">: Each of the Persons listed as an Operating Subtenant in </w:t>
      </w:r>
      <w:r>
        <w:rPr>
          <w:rFonts w:ascii="Times New Roman;serif" w:hAnsi="Times New Roman;serif"/>
          <w:b/>
          <w:color w:val="000000"/>
          <w:sz w:val="24"/>
        </w:rPr>
        <w:t>Exhibit D</w:t>
      </w:r>
      <w:r>
        <w:rPr>
          <w:color w:val="000000"/>
        </w:rPr>
        <w:t xml:space="preserve"> </w:t>
      </w:r>
      <w:r>
        <w:rPr>
          <w:rFonts w:ascii="Times New Roman;serif" w:hAnsi="Times New Roman;serif"/>
          <w:b w:val="false"/>
          <w:color w:val="000000"/>
          <w:sz w:val="24"/>
        </w:rPr>
        <w:t>together with any other Person that is an Affiliate of Tenant to whom all or any portion of a Facility is sublet by Tenant pursuant to an Operating Sublease.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Original Commencement Date</w:t>
      </w:r>
      <w:r>
        <w:rPr>
          <w:color w:val="000000"/>
        </w:rPr>
        <w:t>”</w:t>
      </w:r>
      <w:r>
        <w:rPr>
          <w:rFonts w:ascii="Times New Roman;serif" w:hAnsi="Times New Roman;serif"/>
          <w:b w:val="false"/>
          <w:color w:val="000000"/>
          <w:sz w:val="24"/>
        </w:rPr>
        <w:t xml:space="preserve">: The applicable Commencement Date for each Facility pursuant to the Original Master Lease, as set forth on </w:t>
      </w:r>
      <w:r>
        <w:rPr>
          <w:rFonts w:ascii="Times New Roman;serif" w:hAnsi="Times New Roman;serif"/>
          <w:b/>
          <w:color w:val="000000"/>
          <w:sz w:val="24"/>
        </w:rPr>
        <w:t xml:space="preserve">Schedule 3 </w:t>
      </w:r>
      <w:r>
        <w:rPr>
          <w:rFonts w:ascii="Times New Roman;serif" w:hAnsi="Times New Roman;serif"/>
          <w:b w:val="false"/>
          <w:color w:val="000000"/>
          <w:sz w:val="24"/>
        </w:rPr>
        <w:t xml:space="preserve">attached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Overdue Rate</w:t>
      </w:r>
      <w:r>
        <w:rPr>
          <w:color w:val="000000"/>
        </w:rPr>
        <w:t>”</w:t>
      </w:r>
      <w:r>
        <w:rPr>
          <w:rFonts w:ascii="Times New Roman;serif" w:hAnsi="Times New Roman;serif"/>
          <w:b w:val="false"/>
          <w:color w:val="000000"/>
          <w:sz w:val="24"/>
        </w:rPr>
        <w:t>: On any date, a rate equal to five (5)</w:t>
      </w:r>
      <w:r>
        <w:rPr>
          <w:color w:val="000000"/>
        </w:rPr>
        <w:t xml:space="preserve"> </w:t>
      </w:r>
      <w:r>
        <w:rPr>
          <w:rFonts w:ascii="Times New Roman;serif" w:hAnsi="Times New Roman;serif"/>
          <w:b w:val="false"/>
          <w:color w:val="000000"/>
          <w:sz w:val="24"/>
        </w:rPr>
        <w:t>percentage points above the Prime Rate, but in no event greater than the maximum rate then permitted under Legal Requirements.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Pandemic</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Any disaster or public health issue of any form as determined by public health officials whether it has an overriding effect on the general public or its effect is limited to the Leased Property, including without limitation, a mass influenza outbreak or any other illness or health issue, or any pandemic, epidemic, or widespread contagion or threat to human health, including but not limited to COVID-19, and any event or situation that a governmental authority has labelled a pandemic or similar term or as to which any governmental or quasi-governmental authority has issued a mandate, directive or recommendation to close, limit or restrict any of the operations or occupancy at any of the Facilities.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 Company</w:t>
      </w:r>
      <w:r>
        <w:rPr>
          <w:color w:val="000000"/>
        </w:rPr>
        <w:t>”</w:t>
      </w:r>
      <w:r>
        <w:rPr>
          <w:rFonts w:ascii="Times New Roman;serif" w:hAnsi="Times New Roman;serif"/>
          <w:b w:val="false"/>
          <w:color w:val="000000"/>
          <w:sz w:val="24"/>
        </w:rPr>
        <w:t>: With respect to any Person in question, any other Person (other than an Investment Fund) (x) as to which such Person in question is a Subsidiary; and (y) which other Person is not a Subsidiary of any other Person (other than an Investment Fund</w:t>
      </w:r>
      <w:r>
        <w:rPr>
          <w:rFonts w:ascii="Times New Roman;serif" w:hAnsi="Times New Roman;serif"/>
          <w:b/>
          <w:color w:val="000000"/>
          <w:sz w:val="24"/>
        </w:rPr>
        <w:t xml:space="preserve">, </w:t>
      </w:r>
      <w:r>
        <w:rPr>
          <w:rFonts w:ascii="Times New Roman;serif" w:hAnsi="Times New Roman;serif"/>
          <w:b w:val="false"/>
          <w:color w:val="000000"/>
          <w:sz w:val="24"/>
        </w:rPr>
        <w:t xml:space="preserve">which shall be deemed not to have any Parent Company and, in the case of a Discretionary Transferee that is an Investment Fund, therefore shall not be required to provide a Parent Guaranty pursuant to </w:t>
      </w:r>
      <w:r>
        <w:rPr>
          <w:rFonts w:ascii="Times New Roman;serif" w:hAnsi="Times New Roman;serif"/>
          <w:b/>
          <w:color w:val="000000"/>
          <w:sz w:val="24"/>
        </w:rPr>
        <w:t>Section 22.2</w:t>
      </w:r>
      <w:r>
        <w:rPr>
          <w:rFonts w:ascii="Times New Roman;serif" w:hAnsi="Times New Roman;serif"/>
          <w:b w:val="false"/>
          <w:color w:val="000000"/>
          <w:sz w:val="24"/>
        </w:rPr>
        <w:t>, if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Park MGM Tenant Capital Improvements</w:t>
      </w:r>
      <w:r>
        <w:rPr>
          <w:color w:val="000000"/>
        </w:rPr>
        <w:t>”</w:t>
      </w:r>
      <w:r>
        <w:rPr>
          <w:rFonts w:ascii="Times New Roman;serif" w:hAnsi="Times New Roman;serif"/>
          <w:b w:val="false"/>
          <w:color w:val="000000"/>
          <w:sz w:val="24"/>
        </w:rPr>
        <w:t xml:space="preserve">: The Tenant Capital Improvements set forth on </w:t>
      </w:r>
      <w:r>
        <w:rPr>
          <w:rFonts w:ascii="Times New Roman;serif" w:hAnsi="Times New Roman;serif"/>
          <w:b/>
          <w:color w:val="000000"/>
          <w:sz w:val="24"/>
        </w:rPr>
        <w:t>Schedule 2</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Payment Date</w:t>
      </w:r>
      <w:r>
        <w:rPr>
          <w:color w:val="000000"/>
        </w:rPr>
        <w:t>”</w:t>
      </w:r>
      <w:r>
        <w:rPr>
          <w:rFonts w:ascii="Times New Roman;serif" w:hAnsi="Times New Roman;serif"/>
          <w:b w:val="false"/>
          <w:color w:val="000000"/>
          <w:sz w:val="24"/>
        </w:rPr>
        <w:t>: Any due date for the payment of the installments of Rent or any other sums payable under this Master Lease.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Capital Improvements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Encumbrance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inchoate Liens incident to construction on or maintenance of Property; or Liens incident to construction on or maintenance of Property now or hereafter filed of record for which adequate reserves have been established in accordance with GAAP (or deposits made pursuant to applicable law) and which are being contested in good faith by appropriate proceedings in accordance with </w:t>
      </w:r>
      <w:r>
        <w:rPr>
          <w:rFonts w:ascii="Times New Roman;serif" w:hAnsi="Times New Roman;serif"/>
          <w:b/>
          <w:color w:val="000000"/>
          <w:sz w:val="24"/>
        </w:rPr>
        <w:t xml:space="preserve">Article XII </w:t>
      </w:r>
      <w:r>
        <w:rPr>
          <w:rFonts w:ascii="Times New Roman;serif" w:hAnsi="Times New Roman;serif"/>
          <w:b w:val="false"/>
          <w:color w:val="000000"/>
          <w:sz w:val="24"/>
        </w:rPr>
        <w:t>and have not proceeded to judgment, provided, that, by reason of nonpayment of the obligations secured by such Liens, no such Property is subject to a material risk of loss or forfeiture;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    Liens for taxes and assessments on Property which are not yet past due; or Liens for taxes and assessments on Property for which adequate reserves have been set aside and are being contested in good faith by appropriate proceedings in accordance with </w:t>
      </w:r>
      <w:r>
        <w:rPr>
          <w:rFonts w:ascii="Times New Roman;serif" w:hAnsi="Times New Roman;serif"/>
          <w:b/>
          <w:color w:val="000000"/>
          <w:sz w:val="24"/>
        </w:rPr>
        <w:t>Article XII</w:t>
      </w:r>
      <w:r>
        <w:rPr>
          <w:color w:val="000000"/>
        </w:rPr>
        <w:t xml:space="preserve"> </w:t>
      </w:r>
      <w:r>
        <w:rPr>
          <w:rFonts w:ascii="Times New Roman;serif" w:hAnsi="Times New Roman;serif"/>
          <w:b w:val="false"/>
          <w:color w:val="000000"/>
          <w:sz w:val="24"/>
        </w:rPr>
        <w:t>and have not proceeded to judgment, provided, that, by reason of nonpayment of the obligations secured by such Liens, no such Property is subject to a material risk of loss or forfeiture;</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minor defects and irregularities in title to any Property which individually or in the aggregate do not materially impair or burden the fair market value or use of the Property for the purposes for which it is or may reasonably be expected to be held;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easements, exceptions, reservations, or other agreements for the purpose of pipelines, conduits, cables, wire communication lines, power lines and substations, streets, trails, walkways, drainage, irrigation, water, and sewerage purposes, dikes, canals, ditches, the removal of oil, gas, coal, or other minerals, and other like purposes affecting Property, or facilities or equipment, which individually or in the aggregate do not materially burden or impair the fair market value or use of such Property for the purposes for which it is or may reasonably be expected to be held;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easements, exceptions, reservations, or other agreements for the purpose of facilitating the joint or common use of Property in or adjacent to a shopping center, utility company, public facility or other projects affecting Property which individually or in the aggregate do not materially burden or impair the fair market value or use of such Property for the purposes for which it is or may reasonably be expected to be held;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rights reserved to or vested in any governmental authority to control or regulate, or obligations or duties to any governmental authority with respect to, the use of any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rights reserved to or vested in any governmental authority to control or regulate, or obligations or duties to any governmental authority with respect to, any right, power, franchise, grant, license, or permit;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present or future zoning laws and ordinances or other laws and ordinances restricting the occupancy, use, or enjoyment of Property;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(ix)    statutory Liens, other than those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w:t>
      </w:r>
      <w:r>
        <w:rPr>
          <w:rFonts w:ascii="Times New Roman;serif" w:hAnsi="Times New Roman;serif"/>
          <w:b w:val="false"/>
          <w:color w:val="000000"/>
          <w:sz w:val="24"/>
        </w:rPr>
        <w:t xml:space="preserve">above, arising in the ordinary course of business with respect to obligations which are not delinquent or are being contested in good faith in accordance with </w:t>
      </w:r>
      <w:r>
        <w:rPr>
          <w:rFonts w:ascii="Times New Roman;serif" w:hAnsi="Times New Roman;serif"/>
          <w:b/>
          <w:color w:val="000000"/>
          <w:sz w:val="24"/>
        </w:rPr>
        <w:t>Article XII</w:t>
      </w:r>
      <w:r>
        <w:rPr>
          <w:rFonts w:ascii="Times New Roman;serif" w:hAnsi="Times New Roman;serif"/>
          <w:b w:val="false"/>
          <w:color w:val="000000"/>
          <w:sz w:val="24"/>
        </w:rPr>
        <w:t>, provided, that, if delinquent, adequate reserves have been set aside with respect thereto and, by reason of nonpayment, no Property is subject to a material risk of loss or forfeiture;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covenants, conditions, and restrictions affecting the use of Property which individually or in the aggregate do not materially impair or burden the fair market value or use of the Property for the purposes for which it is or may reasonably be expected to be held;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    rights of tenants under leases and rental agreements covering Property entered into in the ordinary course of business of the Person owning such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    Liens consisting of pledges or deposits to secure obligations under workers’ compensation laws or similar legislation, including Liens of judgments thereunder which are not currently dischargeable;</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    Liens consisting of pledges or deposits of Property to secure performance in connection with operating leases made in the ordinary course of business to which Tenant or its Subsidiaries are a party as lessee, provided, the aggregate value of all such pledges and deposits in connection with any such lease does not at any time exceed twenty percent (20%) of the annual fixed rentals payable under such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    Liens consisting of deposits of Property to secure bids made with respect to, or performance of, contracts (other than contracts creating or evidencing an extension of credit to the depositor);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    Liens consisting of any right of offset, or statutory bankers’ lien, on bank deposit accounts maintained in the ordinary course of business so long as such bank deposit accounts are not established or maintained for the purpose of providing such right of offset or bankers’ lien;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    Liens consisting of deposits of Property to secure statutory obligations of Tenant or any of its Subsidiaries;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    Liens consisting of deposits of Property to secure (or in lieu of) surety, appeal or customs bonds in proceedings to which Tenant or any of its Subsidiaries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(xviii)    Liens created by or resulting from any litigation or legal proceeding involving Tenant or its Subsidiaries in the ordinary course of its business which is currently being contested in good faith by appropriate proceedings in accordance with </w:t>
      </w:r>
      <w:r>
        <w:rPr>
          <w:rFonts w:ascii="Times New Roman;serif" w:hAnsi="Times New Roman;serif"/>
          <w:b/>
          <w:color w:val="000000"/>
          <w:sz w:val="24"/>
        </w:rPr>
        <w:t>Article XII</w:t>
      </w:r>
      <w:r>
        <w:rPr>
          <w:rFonts w:ascii="Times New Roman;serif" w:hAnsi="Times New Roman;serif"/>
          <w:b w:val="false"/>
          <w:color w:val="000000"/>
          <w:sz w:val="24"/>
        </w:rPr>
        <w:t>, provided, that adequate reserves have been set aside by Tenant or the relevant Subsidiary and no material Property is subject to a material risk of loss or forfeiture;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(xix)    non-consensual Liens incurred in the ordinary course of business but not in connection with an extension of credit, which do not in the aggregate, when taken together with all other Liens, materially impair the value or use of the Property of Tenant and its Subsidiaries, taken as a whole;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    Liens arising under applicable Gaming Regulations;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    Liens arising out of conditional sale, title retention, consignment or similar arrangements for the sale of goods entered into by Tenant or its Subsidiaries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     Liens arising from precautionary UCC financing statements filings regarding operating leases or consignment of goods entered into in the ordinary course of business;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(xxiii)     Liens on cash and cash equivalents deposited to discharge, redeem or defease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Leasehold Mortgage</w:t>
      </w:r>
      <w:r>
        <w:rPr>
          <w:color w:val="000000"/>
        </w:rPr>
        <w:t>”</w:t>
      </w:r>
      <w:r>
        <w:rPr>
          <w:rFonts w:ascii="Times New Roman;serif" w:hAnsi="Times New Roman;serif"/>
          <w:b w:val="false"/>
          <w:color w:val="000000"/>
          <w:sz w:val="24"/>
        </w:rPr>
        <w:t xml:space="preserve">: A document creating or evidencing an encumbrance on Tenant’s leasehold interest (or a subtenant’s subleasehold interest) in the Leased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Property, granted to or for the benefit of a Permitted Leasehold Mortgagee as security for the obligations under a Debt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Leasehold Mortgagee</w:t>
      </w:r>
      <w:r>
        <w:rPr>
          <w:color w:val="000000"/>
        </w:rPr>
        <w:t>”</w:t>
      </w:r>
      <w:r>
        <w:rPr>
          <w:rFonts w:ascii="Times New Roman;serif" w:hAnsi="Times New Roman;serif"/>
          <w:b w:val="false"/>
          <w:color w:val="000000"/>
          <w:sz w:val="24"/>
        </w:rPr>
        <w:t>: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provided, such lender, agent or trustee or similar representative (but not necessarily the lenders, noteholders or other investors which it represents) is a banking or other institution in the business of generally acting as a lender, agent or trustee or similar representative (in each case, on behalf of a group of lenders) in respect of real estate financings generally or corporate credit facilities generally; and provided, further, that, in all events, (i) no agent, trustee or similar representative shall be Tenant, Tenant’s Parent, Guarantor or any of their Affiliates, respectively (each, a “</w:t>
      </w:r>
      <w:r>
        <w:rPr>
          <w:rFonts w:ascii="Times New Roman;serif" w:hAnsi="Times New Roman;serif"/>
          <w:b/>
          <w:color w:val="000000"/>
          <w:sz w:val="24"/>
        </w:rPr>
        <w:t>Prohibited Leasehold Agent</w:t>
      </w:r>
      <w:r>
        <w:rPr>
          <w:color w:val="000000"/>
        </w:rPr>
        <w:t>”</w:t>
      </w:r>
      <w:r>
        <w:rPr>
          <w:rFonts w:ascii="Times New Roman;serif" w:hAnsi="Times New Roman;serif"/>
          <w:b w:val="false"/>
          <w:color w:val="000000"/>
          <w:sz w:val="24"/>
        </w:rPr>
        <w:t xml:space="preserve">), and (ii) no (A) Prohibited Leasehold Agent (excluding any Person that is a Prohibited Leasehold Agent as a result of its ownership of publicly-traded shares in any Person), or (B) entity that owns, directly or indirectly higher than the lesser of (1) ten percent (10%) of the Equity Interests in Tenant or (2) a Controlling legal or beneficial interest in Tenant, may collectively hold an amount of the indebtedness secured by a Permitted Leasehold Mortgagee higher than the lesser of (x) twenty-five percent (25%) thereof and (y) the principal amount thereof required to satisfy the threshold for requisite consenting lenders to amend the terms of such indebtedness that affect all lenders thereunder.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Leasehold Mortgagee Designee</w:t>
      </w:r>
      <w:r>
        <w:rPr>
          <w:color w:val="000000"/>
        </w:rPr>
        <w:t>”</w:t>
      </w:r>
      <w:r>
        <w:rPr>
          <w:rFonts w:ascii="Times New Roman;serif" w:hAnsi="Times New Roman;serif"/>
          <w:b w:val="false"/>
          <w:color w:val="000000"/>
          <w:sz w:val="24"/>
        </w:rPr>
        <w:t>: An entity designated by a Permitted Leasehold Mortgagee and acting for the benefit of the Permitted Leasehold Mortgagee, or the lenders, noteholders or investors represented by the Permitted Leasehold Mortgagee.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Leasehold Mortgagee Foreclosing Party</w:t>
      </w:r>
      <w:r>
        <w:rPr>
          <w:color w:val="000000"/>
        </w:rPr>
        <w:t>”</w:t>
      </w:r>
      <w:r>
        <w:rPr>
          <w:rFonts w:ascii="Times New Roman;serif" w:hAnsi="Times New Roman;serif"/>
          <w:b w:val="false"/>
          <w:color w:val="000000"/>
          <w:sz w:val="24"/>
        </w:rPr>
        <w:t>: A Permitted Leasehold Mortgagee or Permitted Leasehold Mortgagee Designee that forecloses on this Master Lease and assumes this Master Lease or a Subsidiary of a Permitted Leasehold Mortgagee or Permitted Leasehold Mortgagee Designee that assumes this Master Lease in connection with a foreclosure on this Master Lease by a Permitted Leasehold Mortgagee.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Any individual, corporation, limited liability company, partnership, joint venture, association, joint stock company, trust, unincorporated organization, government or any agency or political subdivision thereof or any other form of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Primary Impositions</w:t>
      </w:r>
      <w:r>
        <w:rPr>
          <w:color w:val="000000"/>
        </w:rPr>
        <w:t>”</w:t>
      </w:r>
      <w:r>
        <w:rPr>
          <w:rFonts w:ascii="Times New Roman;serif" w:hAnsi="Times New Roman;serif"/>
          <w:b w:val="false"/>
          <w:color w:val="000000"/>
          <w:sz w:val="24"/>
        </w:rPr>
        <w:t>: Real estate taxes (if not publicly available), insurance premiums and ground lease rents.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Primary Intended Use</w:t>
      </w:r>
      <w:r>
        <w:rPr>
          <w:color w:val="000000"/>
        </w:rPr>
        <w:t>”</w:t>
      </w:r>
      <w:r>
        <w:rPr>
          <w:rFonts w:ascii="Times New Roman;serif" w:hAnsi="Times New Roman;serif"/>
          <w:b w:val="false"/>
          <w:color w:val="000000"/>
          <w:sz w:val="24"/>
        </w:rPr>
        <w:t>: Hospitality, entertainment, entertainment venues, gaming and/or pari-mutuel use generally consistent with prevailing hospitality, entertainment or gaming industry use at any time, together with all ancillary or complementary uses consistent with such use and operations (including hotels, resorts, convention centers, retail facilities, restaurants, clubs, bars, etc.), together with any other uses in effect on the Commencement Date and together with any other uses otherwise generally consistent with uses of property in the immediate vicinity of the Facilities and the Operating Standard.</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Prime Rate</w:t>
      </w:r>
      <w:r>
        <w:rPr>
          <w:color w:val="000000"/>
        </w:rPr>
        <w:t>”</w:t>
      </w:r>
      <w:r>
        <w:rPr>
          <w:rFonts w:ascii="Times New Roman;serif" w:hAnsi="Times New Roman;serif"/>
          <w:b w:val="false"/>
          <w:color w:val="000000"/>
          <w:sz w:val="24"/>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Proceeding</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23.1(b)(vi)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Prohibited Leasehold Agent</w:t>
      </w:r>
      <w:r>
        <w:rPr>
          <w:color w:val="000000"/>
        </w:rPr>
        <w:t>”</w:t>
      </w:r>
      <w:r>
        <w:rPr>
          <w:rFonts w:ascii="Times New Roman;serif" w:hAnsi="Times New Roman;serif"/>
          <w:b w:val="false"/>
          <w:color w:val="000000"/>
          <w:sz w:val="24"/>
        </w:rPr>
        <w:t xml:space="preserve">: As defined in the definition of Permitted Leasehold Mortgagee.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Prohibited Persons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39.1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Property</w:t>
      </w:r>
      <w:r>
        <w:rPr>
          <w:color w:val="000000"/>
        </w:rPr>
        <w:t>”</w:t>
      </w:r>
      <w:r>
        <w:rPr>
          <w:rFonts w:ascii="Times New Roman;serif" w:hAnsi="Times New Roman;serif"/>
          <w:b w:val="false"/>
          <w:color w:val="000000"/>
          <w:sz w:val="24"/>
        </w:rPr>
        <w:t>: any right, title or interest in or to property or assets of any kind whatsoever, whether real, Personal (as defined in the UCC)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 owned by the first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Property Documents</w:t>
      </w:r>
      <w:r>
        <w:rPr>
          <w:color w:val="000000"/>
        </w:rPr>
        <w:t>”</w:t>
      </w:r>
      <w:r>
        <w:rPr>
          <w:rFonts w:ascii="Times New Roman;serif" w:hAnsi="Times New Roman;serif"/>
          <w:b w:val="false"/>
          <w:color w:val="000000"/>
          <w:sz w:val="24"/>
        </w:rPr>
        <w:t>: Any (a) declarations, reciprocal easements and/or easements, covenants, exceptions, conditions, restrictions and other encumbrances in each case affecting the Leased Property or any portion thereof (collectively, “</w:t>
      </w:r>
      <w:r>
        <w:rPr>
          <w:rFonts w:ascii="Times New Roman;serif" w:hAnsi="Times New Roman;serif"/>
          <w:b w:val="false"/>
          <w:color w:val="000000"/>
          <w:sz w:val="24"/>
          <w:u w:val="single"/>
        </w:rPr>
        <w:t>Instruments</w:t>
      </w:r>
      <w:r>
        <w:rPr>
          <w:color w:val="000000"/>
        </w:rPr>
        <w:t>”</w:t>
      </w:r>
      <w:r>
        <w:rPr>
          <w:rFonts w:ascii="Times New Roman;serif" w:hAnsi="Times New Roman;serif"/>
          <w:b w:val="false"/>
          <w:color w:val="000000"/>
          <w:sz w:val="24"/>
        </w:rPr>
        <w:t>) that are filed of public record, or (b) Instruments that are not filed of public record and (i) have been entered into or assumed by Tenant, any Operating Subtenant or any of their respective Affiliates and (ii) with respect to which Tenant’s, Operating Subtenant’s or their Affiliate’s failure to comply would result in a material adverse effect on the applicable Facility or Landlord’s interest therein, and, with respect to any of the Instruments described in clauses (a) and (b), (x) only such Instruments that are in effect on the Commencement Date or made after the Commencement Date in accordance with the terms of this Master Lease or otherwise made or agreed to in writing by Tenant, any Operating Subtenant or any of their respective Affiliates (and with respect to any Instruments entered into by Landlord, provided that Tenant or the applicable Operating Subtenant has actual knowledge thereof) and (y) excluding all Facility Mortgage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Related Persons</w:t>
      </w:r>
      <w:r>
        <w:rPr>
          <w:color w:val="000000"/>
        </w:rPr>
        <w:t>”</w:t>
      </w:r>
      <w:r>
        <w:rPr>
          <w:rFonts w:ascii="Times New Roman;serif" w:hAnsi="Times New Roman;serif"/>
          <w:b w:val="false"/>
          <w:color w:val="000000"/>
          <w:sz w:val="24"/>
        </w:rPr>
        <w:t>: With respect to a party, such party’s Affiliates and Subsidiaries and the directors, officers, employees, agents, partners, managers, members, advisors and controlling persons of such party and its Affiliates and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Removal Date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Removal Facility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Removal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Renewal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xml:space="preserve">: A period for which the Term is renewed in accordance with </w:t>
      </w:r>
      <w:r>
        <w:rPr>
          <w:rFonts w:ascii="Times New Roman;serif" w:hAnsi="Times New Roman;serif"/>
          <w:b/>
          <w:color w:val="000000"/>
          <w:sz w:val="24"/>
        </w:rPr>
        <w:t>Section 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Rent</w:t>
      </w:r>
      <w:r>
        <w:rPr>
          <w:color w:val="000000"/>
        </w:rPr>
        <w:t>”</w:t>
      </w:r>
      <w:r>
        <w:rPr>
          <w:rFonts w:ascii="Times New Roman;serif" w:hAnsi="Times New Roman;serif"/>
          <w:b w:val="false"/>
          <w:color w:val="000000"/>
          <w:sz w:val="24"/>
        </w:rPr>
        <w:t>: An annual amount equal to</w:t>
      </w:r>
      <w:r>
        <w:rPr>
          <w:color w:val="000000"/>
        </w:rPr>
        <w:t xml:space="preserve"> </w:t>
      </w:r>
      <w:r>
        <w:rPr>
          <w:rFonts w:ascii="Times New Roman;serif" w:hAnsi="Times New Roman;serif"/>
          <w:b w:val="false"/>
          <w:color w:val="000000"/>
          <w:sz w:val="24"/>
        </w:rPr>
        <w:t xml:space="preserve">(I) Seven Hundred and Thirty Million Dollars ($730,000,000) per annum for the first Lease Year, (II) Seven Hundred Forty-Four Million Six Hundred Thousand Dollars ($744,600,000) per annum for the second Lease Year, (III) Seven Hundred Fifty-Nine Million Four Hundred Ninety-Two Thousand Dollars ($759,492,000) per annum for the third Lease Year, and (IV) Seven Hundred Twenty-One Million Seven Hundred Twenty-Three Thousand Two Hundred Nineteen Dollars ($721,723,219) per annum for the fourth Lease Year; provided, however, that (a) commencing on the first day of the fifth Lease Year and continuing at the beginning of each Lease Year thereafter during the Initial Term and continuing through the first Renewal Term, the Rent shall increase to an annual amount equal to the sum of (i) the Rent per annum as of the end of the immediately preceding Lease Year, and (ii) the Escalation, and (b) it is understood that immediately prior to (i) the First Amendment Date and the related removal of the Mirage Facility from this Lease, the Rent was equal to Eight Hundred Sixty Million Dollars ($860,000,000) per annum, (ii) the Second Amendment Date and the related removal of the Gold Strike Facility from this Lease, the Rent was equal to Seven Hundred Seventy Million Dollars ($770,000,000) per annum, and (iii) the Third Amendment Date and the related removal of the Northfield Facility from this Lease, the Rent was equal to Seven Hundred Seventy-Four Million Six Hundred Eighty-One Thousand Eight Hundred Forty Dollars ($774,681,840) per annum.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At the commencement of each of the second and third Renewal Terms, the Rent shall be reset to be equal to the greater of (i) the sum of (x) the Rent as of the end of the immediately preceding Lease Year, and (y) the Escalation, and (ii) the Fair Market Rent as of the first day of the applicable Renewal Term as determined pursuant to </w:t>
      </w:r>
      <w:r>
        <w:rPr>
          <w:rFonts w:ascii="Times New Roman;serif" w:hAnsi="Times New Roman;serif"/>
          <w:b/>
          <w:color w:val="000000"/>
          <w:sz w:val="24"/>
        </w:rPr>
        <w:t>Section 3.5</w:t>
      </w:r>
      <w:r>
        <w:rPr>
          <w:color w:val="000000"/>
        </w:rPr>
        <w:t xml:space="preserve"> </w:t>
      </w:r>
      <w:r>
        <w:rPr>
          <w:rFonts w:ascii="Times New Roman;serif" w:hAnsi="Times New Roman;serif"/>
          <w:b w:val="false"/>
          <w:color w:val="000000"/>
          <w:sz w:val="24"/>
        </w:rPr>
        <w:t>hereof. The Rent determined in accordance with the preceding sentence shall be payable throughout the remainder of the second or third, as applicable, Renewal Term except that the Rent shall increase on the first day of each Lease Year to an amount equal to the sum of (x) the Rent as of the end of the immediately preceding Lease Year, and (y) the Escalation.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Rent shall be subject to further adjustment as and to the extent provided in </w:t>
      </w:r>
      <w:r>
        <w:rPr>
          <w:rFonts w:ascii="Times New Roman;serif" w:hAnsi="Times New Roman;serif"/>
          <w:b/>
          <w:color w:val="000000"/>
          <w:sz w:val="24"/>
        </w:rPr>
        <w:t xml:space="preserve">Sections 7.4 </w:t>
      </w:r>
      <w:r>
        <w:rPr>
          <w:rFonts w:ascii="Times New Roman;serif" w:hAnsi="Times New Roman;serif"/>
          <w:b w:val="false"/>
          <w:color w:val="000000"/>
          <w:sz w:val="24"/>
        </w:rPr>
        <w:t>and</w:t>
      </w:r>
      <w:r>
        <w:rPr>
          <w:color w:val="000000"/>
        </w:rPr>
        <w:t xml:space="preserve"> </w:t>
      </w:r>
      <w:r>
        <w:rPr>
          <w:rFonts w:ascii="Times New Roman;serif" w:hAnsi="Times New Roman;serif"/>
          <w:b/>
          <w:color w:val="000000"/>
          <w:sz w:val="24"/>
        </w:rPr>
        <w:t>14.6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Replacement Lease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Replacement Lease Closing Period</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Replacement Tenant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Representative</w:t>
      </w:r>
      <w:r>
        <w:rPr>
          <w:color w:val="000000"/>
        </w:rPr>
        <w:t>”</w:t>
      </w:r>
      <w:r>
        <w:rPr>
          <w:rFonts w:ascii="Times New Roman;serif" w:hAnsi="Times New Roman;serif"/>
          <w:b w:val="false"/>
          <w:color w:val="000000"/>
          <w:sz w:val="24"/>
        </w:rPr>
        <w:t>: With respect to the lenders or holders under a Debt Agreement, a Person designated as agent or trustee or a Person acting in a similar capacity or as representative for such lenders or holders.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Responsible Officer</w:t>
      </w:r>
      <w:r>
        <w:rPr>
          <w:color w:val="000000"/>
        </w:rPr>
        <w:t>”</w:t>
      </w:r>
      <w:r>
        <w:rPr>
          <w:rFonts w:ascii="Times New Roman;serif" w:hAnsi="Times New Roman;serif"/>
          <w:b w:val="false"/>
          <w:color w:val="000000"/>
          <w:sz w:val="24"/>
        </w:rPr>
        <w:t xml:space="preserve">: Tenant’s Parent’s chief executive officer, chief operating officer, treasurer, assistant treasurer, secretary, assistant secretary, executive vice presidents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senior vice presidents and, regardless of designation, the chief financial officer of the Tenant’s Parent, provided, that the Tenant’s Parent may designate one or more other officers as Responsible Officers.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Information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23.1(c)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Re-tenanting Period</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Sale Offer</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7.4(a)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Sale Offer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7.4(a)</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Sanctions Authority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39.1(a).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The United States Securities and Exchange Commission.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 Filing Deadline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23.1(b)(i)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 Reports</w:t>
      </w:r>
      <w:r>
        <w:rPr>
          <w:color w:val="000000"/>
        </w:rPr>
        <w:t>”</w:t>
      </w:r>
      <w:r>
        <w:rPr>
          <w:rFonts w:ascii="Times New Roman;serif" w:hAnsi="Times New Roman;serif"/>
          <w:b w:val="false"/>
          <w:color w:val="000000"/>
          <w:sz w:val="24"/>
        </w:rPr>
        <w:t xml:space="preserve">: All quarterly and annual reports required under the Exchange Act and related rules and regulations to be filed with the SEC on Forms 10-Q and 10-K.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Second Amendment</w:t>
      </w:r>
      <w:r>
        <w:rPr>
          <w:color w:val="000000"/>
        </w:rPr>
        <w:t>”</w:t>
      </w:r>
      <w:r>
        <w:rPr>
          <w:rFonts w:ascii="Times New Roman;serif" w:hAnsi="Times New Roman;serif"/>
          <w:b w:val="false"/>
          <w:color w:val="000000"/>
          <w:sz w:val="24"/>
        </w:rPr>
        <w:t xml:space="preserve">: As defined in the Recitals.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Second Amendment Date</w:t>
      </w:r>
      <w:r>
        <w:rPr>
          <w:color w:val="000000"/>
        </w:rPr>
        <w:t>”</w:t>
      </w:r>
      <w:r>
        <w:rPr>
          <w:rFonts w:ascii="Times New Roman;serif" w:hAnsi="Times New Roman;serif"/>
          <w:b w:val="false"/>
          <w:color w:val="000000"/>
          <w:sz w:val="24"/>
        </w:rPr>
        <w:t xml:space="preserve">: February 15, 2023.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Secondary Impositions</w:t>
      </w:r>
      <w:r>
        <w:rPr>
          <w:color w:val="000000"/>
        </w:rPr>
        <w:t>”</w:t>
      </w:r>
      <w:r>
        <w:rPr>
          <w:rFonts w:ascii="Times New Roman;serif" w:hAnsi="Times New Roman;serif"/>
          <w:b w:val="false"/>
          <w:color w:val="000000"/>
          <w:sz w:val="24"/>
        </w:rPr>
        <w:t>: Impositions that are not Primary Impositions.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The Securities Act of 1933, as amended, or any successor statute, and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Separate Lease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u w:val="single"/>
        </w:rPr>
        <w:t>Section 1.5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Solvent</w:t>
      </w:r>
      <w:r>
        <w:rPr>
          <w:color w:val="000000"/>
        </w:rPr>
        <w:t>”</w:t>
      </w:r>
      <w:r>
        <w:rPr>
          <w:rFonts w:ascii="Times New Roman;serif" w:hAnsi="Times New Roman;serif"/>
          <w:b w:val="false"/>
          <w:color w:val="000000"/>
          <w:sz w:val="24"/>
        </w:rPr>
        <w:t xml:space="preserve">: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liability (irrespective of whether such contingent liabilities meet the criteria for accrual under Accounting Standards Codification No. 450).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Specified Debt Agreement Default</w:t>
      </w:r>
      <w:r>
        <w:rPr>
          <w:color w:val="000000"/>
        </w:rPr>
        <w:t>”</w:t>
      </w:r>
      <w:r>
        <w:rPr>
          <w:rFonts w:ascii="Times New Roman;serif" w:hAnsi="Times New Roman;serif"/>
          <w:b w:val="false"/>
          <w:color w:val="000000"/>
          <w:sz w:val="24"/>
        </w:rPr>
        <w:t>: Any event or occurrence under any Material Indebtedness that enables or permits the lenders or holders (or Representatives of such lenders or holders) to accelerate the maturity of the Indebtedness outstanding under any Material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Specified Communications</w:t>
      </w:r>
      <w:r>
        <w:rPr>
          <w:color w:val="000000"/>
        </w:rPr>
        <w:t>”</w:t>
      </w:r>
      <w:r>
        <w:rPr>
          <w:rFonts w:ascii="Times New Roman;serif" w:hAnsi="Times New Roman;serif"/>
          <w:b w:val="false"/>
          <w:color w:val="000000"/>
          <w:sz w:val="24"/>
        </w:rPr>
        <w:t>: Each of the following items to the extent required to be delivered to Landlord in accordance with the indicated provisions of this Master 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Any certificates and related backup required to be delivered pursuant to </w:t>
      </w:r>
      <w:r>
        <w:rPr>
          <w:rFonts w:ascii="Times New Roman;serif" w:hAnsi="Times New Roman;serif"/>
          <w:b/>
          <w:color w:val="000000"/>
          <w:sz w:val="24"/>
        </w:rPr>
        <w:t>Section 4.1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Any Financial Statements, together with a report from the accounting firm (for annual statements) or certificate from a Responsible Officer (for quarterly statements), required to be delivered pursuant to </w:t>
      </w:r>
      <w:r>
        <w:rPr>
          <w:rFonts w:ascii="Times New Roman;serif" w:hAnsi="Times New Roman;serif"/>
          <w:b/>
          <w:color w:val="000000"/>
          <w:sz w:val="24"/>
        </w:rPr>
        <w:t>Section 23.1(b)(i)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“no default” certificate required to be delivered pursuant to </w:t>
      </w:r>
      <w:r>
        <w:rPr>
          <w:rFonts w:ascii="Times New Roman;serif" w:hAnsi="Times New Roman;serif"/>
          <w:b/>
          <w:color w:val="000000"/>
          <w:sz w:val="24"/>
        </w:rPr>
        <w:t>Section 23.1(b)(i)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Any budget and projection information required to be delivered pursuant to </w:t>
      </w:r>
      <w:r>
        <w:rPr>
          <w:rFonts w:ascii="Times New Roman;serif" w:hAnsi="Times New Roman;serif"/>
          <w:b/>
          <w:color w:val="000000"/>
          <w:sz w:val="24"/>
        </w:rPr>
        <w:t>Section 23.1(b)(ii)</w:t>
      </w:r>
      <w:r>
        <w:rPr>
          <w:rFonts w:ascii="Times New Roman;serif" w:hAnsi="Times New Roman;serif"/>
          <w:b w:val="false"/>
          <w:color w:val="000000"/>
          <w:sz w:val="24"/>
        </w:rPr>
        <w:t xml:space="preserve">; and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Any notices required to be delivered pursuant to </w:t>
      </w:r>
      <w:r>
        <w:rPr>
          <w:rFonts w:ascii="Times New Roman;serif" w:hAnsi="Times New Roman;serif"/>
          <w:b/>
          <w:color w:val="000000"/>
          <w:sz w:val="24"/>
        </w:rPr>
        <w:t>Section 32.2.</w:t>
      </w:r>
      <w:r>
        <w:rPr>
          <w:color w:val="000000"/>
        </w:rPr>
        <w: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Springfield</w:t>
      </w:r>
      <w:r>
        <w:rPr>
          <w:color w:val="000000"/>
        </w:rPr>
        <w:t>”</w:t>
      </w:r>
      <w:r>
        <w:rPr>
          <w:rFonts w:ascii="Times New Roman;serif" w:hAnsi="Times New Roman;serif"/>
          <w:b w:val="false"/>
          <w:color w:val="000000"/>
          <w:sz w:val="24"/>
        </w:rPr>
        <w:t>: MGM Springfield.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Springfield Ground Lease</w:t>
      </w:r>
      <w:r>
        <w:rPr>
          <w:color w:val="000000"/>
        </w:rPr>
        <w:t>”</w:t>
      </w:r>
      <w:r>
        <w:rPr>
          <w:rFonts w:ascii="Times New Roman;serif" w:hAnsi="Times New Roman;serif"/>
          <w:b w:val="false"/>
          <w:color w:val="000000"/>
          <w:sz w:val="24"/>
        </w:rPr>
        <w:t xml:space="preserve">: The description of Springfield ground lease described in </w:t>
      </w:r>
      <w:r>
        <w:rPr>
          <w:rFonts w:ascii="Times New Roman;serif" w:hAnsi="Times New Roman;serif"/>
          <w:b/>
          <w:color w:val="000000"/>
          <w:sz w:val="24"/>
        </w:rPr>
        <w:t>Part 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color w:val="000000"/>
          <w:sz w:val="24"/>
        </w:rPr>
        <w:t>Exhibit 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Springfield MTA</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41.14(c)(ii)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State</w:t>
      </w:r>
      <w:r>
        <w:rPr>
          <w:color w:val="000000"/>
        </w:rPr>
        <w:t>”</w:t>
      </w:r>
      <w:r>
        <w:rPr>
          <w:rFonts w:ascii="Times New Roman;serif" w:hAnsi="Times New Roman;serif"/>
          <w:b w:val="false"/>
          <w:color w:val="000000"/>
          <w:sz w:val="24"/>
        </w:rPr>
        <w:t>: With respect to each Facility, the state or commonwealth in which such Facility is located.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w:t>
      </w:r>
      <w:r>
        <w:rPr>
          <w:rFonts w:ascii="Times New Roman;serif" w:hAnsi="Times New Roman;serif"/>
          <w:b w:val="false"/>
          <w:color w:val="000000"/>
          <w:sz w:val="24"/>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more than a fifty percent (50%) equity interest at the time of determination. Unless otherwise qualified, all references to a “</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or to “</w:t>
      </w:r>
      <w:r>
        <w:rPr>
          <w:rFonts w:ascii="Times New Roman;serif" w:hAnsi="Times New Roman;serif"/>
          <w:b/>
          <w:color w:val="000000"/>
          <w:sz w:val="24"/>
        </w:rPr>
        <w:t>Subsidiaries</w:t>
      </w:r>
      <w:r>
        <w:rPr>
          <w:color w:val="000000"/>
        </w:rPr>
        <w:t xml:space="preserve">” </w:t>
      </w:r>
      <w:r>
        <w:rPr>
          <w:rFonts w:ascii="Times New Roman;serif" w:hAnsi="Times New Roman;serif"/>
          <w:b w:val="false"/>
          <w:color w:val="000000"/>
          <w:sz w:val="24"/>
        </w:rPr>
        <w:t>in this Master Lease shall refer to a Subsidiary or Subsidiaries of Tenant.</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w:t>
      </w:r>
      <w:r>
        <w:rPr>
          <w:color w:val="000000"/>
        </w:rPr>
        <w:t>”</w:t>
      </w:r>
      <w:r>
        <w:rPr>
          <w:rFonts w:ascii="Times New Roman;serif" w:hAnsi="Times New Roman;serif"/>
          <w:b w:val="false"/>
          <w:color w:val="000000"/>
          <w:sz w:val="24"/>
        </w:rPr>
        <w:t>: As defined in the preamble.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Capital Improvement</w:t>
      </w:r>
      <w:r>
        <w:rPr>
          <w:color w:val="000000"/>
        </w:rPr>
        <w:t>”</w:t>
      </w:r>
      <w:r>
        <w:rPr>
          <w:rFonts w:ascii="Times New Roman;serif" w:hAnsi="Times New Roman;serif"/>
          <w:b w:val="false"/>
          <w:color w:val="000000"/>
          <w:sz w:val="24"/>
        </w:rPr>
        <w:t>: A Capital Improvement constructed by or at the direction of Tenant or any applicable Operating Subtenant at a Facility.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Change of Control</w:t>
      </w:r>
      <w:r>
        <w:rPr>
          <w:color w:val="000000"/>
        </w:rPr>
        <w:t>”</w:t>
      </w:r>
      <w:r>
        <w:rPr>
          <w:rFonts w:ascii="Times New Roman;serif" w:hAnsi="Times New Roman;serif"/>
          <w:b w:val="false"/>
          <w:color w:val="000000"/>
          <w:sz w:val="24"/>
        </w:rPr>
        <w:t>: (i) Any Person or “group” (within the meaning of Rules 13d-3 and 13d-5 under the Exchange Act, as amended from time to time, and any successor statute) other than Tenant’s Parent and its Affiliates, shall have acquired direct or indirect beneficial ownership or control of thirty-five</w:t>
      </w:r>
      <w:r>
        <w:rPr>
          <w:color w:val="000000"/>
        </w:rPr>
        <w:t xml:space="preserve"> </w:t>
      </w:r>
      <w:r>
        <w:rPr>
          <w:rFonts w:ascii="Times New Roman;serif" w:hAnsi="Times New Roman;serif"/>
          <w:b w:val="false"/>
          <w:color w:val="000000"/>
          <w:sz w:val="24"/>
        </w:rPr>
        <w:t xml:space="preserve">percent (35%) or more on a fully diluted basis of the direct or indirect voting power in the Equity Interests of Tenant entitled to vote in an election of directors of Tenant or its direct or indirect parent, (ii) except as permitted or required hereunder,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to a Person that is not wholly owned and controlled (directly or indirectly) by Tenant’s Parent, (iii) Tenant ceasing to be a wholly-owned and controlled Subsidiary (directly or indirectly) of Tenant’s Parent, or (iv) any Operating Subtenant ceasing to be a controlled Subsidiary (directly or indirectly) of Tenant’s Parent. Notwithstanding the foregoing, no acquisition of shares of or transfer of any interest in Tenant’s Parent or any other publicly traded Person in one or more transactions shall result in a Tenant Change of Control, provided that after giving effect to such Tenant Change of Control, Tenant would be able to make the representations in </w:t>
      </w:r>
      <w:r>
        <w:rPr>
          <w:rFonts w:ascii="Times New Roman;serif" w:hAnsi="Times New Roman;serif"/>
          <w:b/>
          <w:color w:val="000000"/>
          <w:sz w:val="24"/>
        </w:rPr>
        <w:t>Section 39.1</w:t>
      </w:r>
      <w:r>
        <w:rPr>
          <w:color w:val="000000"/>
        </w:rPr>
        <w:t xml:space="preserve"> </w:t>
      </w:r>
      <w:r>
        <w:rPr>
          <w:rFonts w:ascii="Times New Roman;serif" w:hAnsi="Times New Roman;serif"/>
          <w:b w:val="false"/>
          <w:color w:val="000000"/>
          <w:sz w:val="24"/>
        </w:rPr>
        <w:t>of this Master Lease without qualification.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Competitor</w:t>
      </w:r>
      <w:r>
        <w:rPr>
          <w:color w:val="000000"/>
        </w:rPr>
        <w:t>”</w:t>
      </w:r>
      <w:r>
        <w:rPr>
          <w:rFonts w:ascii="Times New Roman;serif" w:hAnsi="Times New Roman;serif"/>
          <w:b w:val="false"/>
          <w:color w:val="000000"/>
          <w:sz w:val="24"/>
        </w:rPr>
        <w:t xml:space="preserve">: A Person or Affiliate of any Person (other than an Affiliate of Tenant) which is (i) among the top 25 global gaming companies by annual revenues, or (ii) any Person that has or is proposing to build, own or operate a casino resort located in the Gaming Corridor, or (iii) any Person identified in a letter of even date herewith from Tenant to Landlord, or their Affiliates; provided, that the foregoing shall not include commercial or corporate banks, pension funds, mutual funds and any other funds that are managed or controlled by a commercial or corporate banks which funds principally invest in commercial loans or debt securities and shall not apply to any holder or purchaser of only unsecured Indebtedness, provided; further, that clauses (i) and (ii) above shall not include any Person that has elected to be treated as a real estate investment trust and whose primary business activity is limited to acting as a landlord of properties under long-term triple-net leases that may include Gaming Facilities.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Competitor Notice</w:t>
      </w:r>
      <w:r>
        <w:rPr>
          <w:color w:val="000000"/>
        </w:rPr>
        <w:t>”</w:t>
      </w:r>
      <w:r>
        <w:rPr>
          <w:rFonts w:ascii="Times New Roman;serif" w:hAnsi="Times New Roman;serif"/>
          <w:b w:val="false"/>
          <w:color w:val="000000"/>
          <w:sz w:val="24"/>
        </w:rPr>
        <w:t>: As defined in</w:t>
      </w:r>
      <w:r>
        <w:rPr>
          <w:color w:val="000000"/>
        </w:rPr>
        <w:t xml:space="preserve"> </w:t>
      </w:r>
      <w:r>
        <w:rPr>
          <w:rFonts w:ascii="Times New Roman;serif" w:hAnsi="Times New Roman;serif"/>
          <w:b/>
          <w:color w:val="000000"/>
          <w:sz w:val="24"/>
        </w:rPr>
        <w:t>Section 18.3.</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NH Guarantor</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8.4(f)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NH Guaranty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8.4(f)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Parties</w:t>
      </w:r>
      <w:r>
        <w:rPr>
          <w:color w:val="000000"/>
        </w:rPr>
        <w:t>”</w:t>
      </w:r>
      <w:r>
        <w:rPr>
          <w:rFonts w:ascii="Times New Roman;serif" w:hAnsi="Times New Roman;serif"/>
          <w:b w:val="false"/>
          <w:color w:val="000000"/>
          <w:sz w:val="24"/>
        </w:rPr>
        <w:t>: Collectively, Tenant and each of the Operating Subtenants.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 Representatives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23.4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GRT Payment Share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4.1(g)</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Intellectual Property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6.3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Notice of Intent</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Parent</w:t>
      </w:r>
      <w:r>
        <w:rPr>
          <w:color w:val="000000"/>
        </w:rPr>
        <w:t>”</w:t>
      </w:r>
      <w:r>
        <w:rPr>
          <w:rFonts w:ascii="Times New Roman;serif" w:hAnsi="Times New Roman;serif"/>
          <w:b w:val="false"/>
          <w:color w:val="000000"/>
          <w:sz w:val="24"/>
        </w:rPr>
        <w:t>: MGM Resorts International and its successor by merger, consolidation or other transaction pursuant to which any such successor acquires all or substantially all of the assets of MGM Resorts International.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Portion of a Casualty Shortfall</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14.2(g)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Property</w:t>
      </w:r>
      <w:r>
        <w:rPr>
          <w:color w:val="000000"/>
        </w:rPr>
        <w:t>”</w:t>
      </w:r>
      <w:r>
        <w:rPr>
          <w:rFonts w:ascii="Times New Roman;serif" w:hAnsi="Times New Roman;serif"/>
          <w:b w:val="false"/>
          <w:color w:val="000000"/>
          <w:sz w:val="24"/>
        </w:rPr>
        <w:t>: With respect to each Facility, all assets, including the Gaming Equipment (other than the Leased Property and Excluded Assets) that are (i) owned by Tenant or any Operating Subtenant or any of their Subsidiaries, respectively, and (ii)(x) located at the Leased Property, or (y) primarily related to or primarily used in connection with the operation of the business conducted on or about the Leased Property or any portion thereof, together with all replacements, modifications, additions, alterations and substitutes therefor.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Property FMV</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36.1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Tenant’s Recommencement Period</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Termination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17.1(d)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Test Period</w:t>
      </w:r>
      <w:r>
        <w:rPr>
          <w:color w:val="000000"/>
        </w:rPr>
        <w:t>”</w:t>
      </w:r>
      <w:r>
        <w:rPr>
          <w:rFonts w:ascii="Times New Roman;serif" w:hAnsi="Times New Roman;serif"/>
          <w:b w:val="false"/>
          <w:color w:val="000000"/>
          <w:sz w:val="24"/>
        </w:rPr>
        <w:t>: With respect to any Person, for any date of determination, the period of the four (4) most recently ended consecutive fiscal quarters of such Person for which financial statements are available or are required to have been delivered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Third Amendment</w:t>
      </w:r>
      <w:r>
        <w:rPr>
          <w:color w:val="000000"/>
        </w:rPr>
        <w:t>”</w:t>
      </w:r>
      <w:r>
        <w:rPr>
          <w:rFonts w:ascii="Times New Roman;serif" w:hAnsi="Times New Roman;serif"/>
          <w:b w:val="false"/>
          <w:color w:val="000000"/>
          <w:sz w:val="24"/>
        </w:rPr>
        <w:t>: That certain Third Amendment to Amended and Restated Master Lease dated as of the Third Amendment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Third Amendment Date</w:t>
      </w:r>
      <w:r>
        <w:rPr>
          <w:color w:val="000000"/>
        </w:rPr>
        <w:t>”</w:t>
      </w:r>
      <w:r>
        <w:rPr>
          <w:rFonts w:ascii="Times New Roman;serif" w:hAnsi="Times New Roman;serif"/>
          <w:b w:val="false"/>
          <w:color w:val="000000"/>
          <w:sz w:val="24"/>
        </w:rPr>
        <w:t>: April 21, 2026</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Title Insurance Proceeds</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5.1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Treasury Regulations</w:t>
      </w:r>
      <w:r>
        <w:rPr>
          <w:color w:val="000000"/>
        </w:rPr>
        <w:t>”</w:t>
      </w:r>
      <w:r>
        <w:rPr>
          <w:rFonts w:ascii="Times New Roman;serif" w:hAnsi="Times New Roman;serif"/>
          <w:b w:val="false"/>
          <w:color w:val="000000"/>
          <w:sz w:val="24"/>
        </w:rPr>
        <w:t>: The regulations promulgated under the Code, as such regulations may be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UCC</w:t>
      </w:r>
      <w:r>
        <w:rPr>
          <w:color w:val="000000"/>
        </w:rPr>
        <w:t>”</w:t>
      </w:r>
      <w:r>
        <w:rPr>
          <w:rFonts w:ascii="Times New Roman;serif" w:hAnsi="Times New Roman;serif"/>
          <w:b w:val="false"/>
          <w:color w:val="000000"/>
          <w:sz w:val="24"/>
        </w:rPr>
        <w:t>: Uniform Commercial Code as in effect in the State of New York</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provided, that, if perfection or the effect of perfection or non-perfection or the priority of any security interest in any collateral is governed by the Uniform Commercial Code as in effect in a jurisdiction other than the State of New York, “</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Unavoidable Delay</w:t>
      </w:r>
      <w:r>
        <w:rPr>
          <w:color w:val="000000"/>
        </w:rPr>
        <w:t>”</w:t>
      </w:r>
      <w:r>
        <w:rPr>
          <w:rFonts w:ascii="Times New Roman;serif" w:hAnsi="Times New Roman;serif"/>
          <w:b w:val="false"/>
          <w:color w:val="000000"/>
          <w:sz w:val="24"/>
        </w:rPr>
        <w:t>: Delays due to strikes, lock-outs, inability to procure materials, power failure, acts of God, governmental or quasi-governmental restrictions, enemy action, civil commotion, fire, unavoidable casualty, governmental mandates, directives or recommendations, Pandemic, environmental or other causes beyond the reasonable control of the party responsible for performing an obligation hereunder, including any situation in which other similar businesses are generally closed; provided, that lack of funds shall not be deemed a cause beyond the reasonable control of a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Unsuitable for Its Primary Intended Use</w:t>
      </w:r>
      <w:r>
        <w:rPr>
          <w:color w:val="000000"/>
        </w:rPr>
        <w:t>”</w:t>
      </w:r>
      <w:r>
        <w:rPr>
          <w:rFonts w:ascii="Times New Roman;serif" w:hAnsi="Times New Roman;serif"/>
          <w:b w:val="false"/>
          <w:color w:val="000000"/>
          <w:sz w:val="24"/>
        </w:rPr>
        <w:t>: A state or condition of any Facility such that by reason of damage or destruction, or a partial Condemnation, such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Voluntarily Closed Facility</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22.2(iii)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Voluntary Cessation</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Voluntary Termination Notice</w:t>
      </w:r>
      <w:r>
        <w:rPr>
          <w:color w:val="000000"/>
        </w:rPr>
        <w:t>”</w:t>
      </w:r>
      <w:r>
        <w:rPr>
          <w:rFonts w:ascii="Times New Roman;serif" w:hAnsi="Times New Roman;serif"/>
          <w:b w:val="false"/>
          <w:color w:val="000000"/>
          <w:sz w:val="24"/>
        </w:rPr>
        <w:t xml:space="preserve">: As defined in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RENT</w:t>
      </w:r>
    </w:p>
    <w:p>
      <w:pPr>
        <w:pStyle w:val="TextBody"/>
        <w:bidi w:val="0"/>
        <w:spacing w:lineRule="auto" w:line="288" w:before="0" w:after="240"/>
        <w:ind w:left="0" w:right="0" w:firstLine="720"/>
        <w:jc w:val="both"/>
        <w:rPr/>
      </w:pPr>
      <w:r>
        <w:rPr>
          <w:rFonts w:ascii="Times New Roman;serif" w:hAnsi="Times New Roman;serif"/>
          <w:b/>
          <w:color w:val="000000"/>
          <w:sz w:val="24"/>
        </w:rPr>
        <w:t>3.1    </w:t>
      </w:r>
      <w:r>
        <w:rPr>
          <w:rFonts w:ascii="Times New Roman;serif" w:hAnsi="Times New Roman;serif"/>
          <w:b/>
          <w:color w:val="000000"/>
          <w:sz w:val="24"/>
          <w:u w:val="single"/>
        </w:rPr>
        <w:t>Rent</w:t>
      </w:r>
      <w:r>
        <w:rPr>
          <w:rFonts w:ascii="Times New Roman;serif" w:hAnsi="Times New Roman;serif"/>
          <w:b w:val="false"/>
          <w:color w:val="000000"/>
          <w:sz w:val="24"/>
        </w:rPr>
        <w:t xml:space="preserve">. During the Term, Tenant will pay to Landlord the Rent and Additional Charges in lawful money of the United States of America and legal tender for the payment of public and private debts, in the manner provided in </w:t>
      </w:r>
      <w:r>
        <w:rPr>
          <w:rFonts w:ascii="Times New Roman;serif" w:hAnsi="Times New Roman;serif"/>
          <w:b/>
          <w:color w:val="000000"/>
          <w:sz w:val="24"/>
        </w:rPr>
        <w:t>Section 3.3</w:t>
      </w:r>
      <w:r>
        <w:rPr>
          <w:rFonts w:ascii="Times New Roman;serif" w:hAnsi="Times New Roman;serif"/>
          <w:b w:val="false"/>
          <w:color w:val="000000"/>
          <w:sz w:val="24"/>
        </w:rPr>
        <w:t xml:space="preserve">. The Rent during any Lease Year is payable in advance in consecutive monthly installments on the fifth (5th) Business Day of each calendar month during that Lease Year. Unless otherwise agreed by the parties, Rent and Additional Charges shall be prorated as to any partial months at the beginning and end of the Term. Rent payable during any Lease Year or portion thereof consisting of more or less than twelve (12) calendar months shall be prorated on a monthly basis such that the Rent for each calendar month is equal to the annual Rent divided by twelve (12). </w:t>
      </w:r>
    </w:p>
    <w:p>
      <w:pPr>
        <w:pStyle w:val="TextBody"/>
        <w:bidi w:val="0"/>
        <w:spacing w:lineRule="auto" w:line="288" w:before="0" w:after="240"/>
        <w:ind w:left="0" w:right="0" w:firstLine="720"/>
        <w:jc w:val="both"/>
        <w:rPr/>
      </w:pPr>
      <w:r>
        <w:rPr>
          <w:rFonts w:ascii="Times New Roman;serif" w:hAnsi="Times New Roman;serif"/>
          <w:b/>
          <w:color w:val="000000"/>
          <w:sz w:val="24"/>
        </w:rPr>
        <w:t>3.2    </w:t>
      </w:r>
      <w:r>
        <w:rPr>
          <w:rFonts w:ascii="Times New Roman;serif" w:hAnsi="Times New Roman;serif"/>
          <w:b/>
          <w:color w:val="000000"/>
          <w:sz w:val="24"/>
          <w:u w:val="single"/>
        </w:rPr>
        <w:t>Late Payment of Rent or Additional Charges</w:t>
      </w:r>
      <w:r>
        <w:rPr>
          <w:rFonts w:ascii="Times New Roman;serif" w:hAnsi="Times New Roman;serif"/>
          <w:b w:val="false"/>
          <w:color w:val="000000"/>
          <w:sz w:val="24"/>
        </w:rPr>
        <w:t xml:space="preserve">. Tenant hereby acknowledges that late payment by Tenant to Landlord of Rent or Additional Charges will cause Landlord to incur costs not contemplated hereunder, the exact amount of which is presently anticipated to be extremely difficult to ascertain. Accordingly, if any installment of Rent or Additional Charges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installment of Rent or Additional Charges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Master Lease, nor prevent Landlord from exercising any other rights and remedies available to Landlord.</w:t>
      </w:r>
    </w:p>
    <w:p>
      <w:pPr>
        <w:pStyle w:val="TextBody"/>
        <w:bidi w:val="0"/>
        <w:spacing w:lineRule="auto" w:line="288" w:before="0" w:after="240"/>
        <w:ind w:left="0" w:right="0" w:firstLine="720"/>
        <w:jc w:val="both"/>
        <w:rPr/>
      </w:pPr>
      <w:r>
        <w:rPr>
          <w:rFonts w:ascii="Times New Roman;serif" w:hAnsi="Times New Roman;serif"/>
          <w:b/>
          <w:color w:val="000000"/>
          <w:sz w:val="24"/>
        </w:rPr>
        <w:t>3.3    </w:t>
      </w:r>
      <w:r>
        <w:rPr>
          <w:rFonts w:ascii="Times New Roman;serif" w:hAnsi="Times New Roman;serif"/>
          <w:b/>
          <w:color w:val="000000"/>
          <w:sz w:val="24"/>
          <w:u w:val="single"/>
        </w:rPr>
        <w:t>Method of Payment of Rent</w:t>
      </w:r>
      <w:r>
        <w:rPr>
          <w:rFonts w:ascii="Times New Roman;serif" w:hAnsi="Times New Roman;serif"/>
          <w:b w:val="false"/>
          <w:color w:val="000000"/>
          <w:sz w:val="24"/>
        </w:rPr>
        <w:t>. Rent and Additional Charges to be paid to Landlord shall be paid by electronic funds transfer debit transactions through wire transfer of immediately available funds and shall be initiated by Tenant for settlement on or before the Payment Date; provided, however,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pStyle w:val="TextBody"/>
        <w:bidi w:val="0"/>
        <w:spacing w:lineRule="auto" w:line="288" w:before="0" w:after="240"/>
        <w:ind w:left="0" w:right="0" w:firstLine="720"/>
        <w:jc w:val="both"/>
        <w:rPr/>
      </w:pPr>
      <w:r>
        <w:rPr>
          <w:rFonts w:ascii="Times New Roman;serif" w:hAnsi="Times New Roman;serif"/>
          <w:b/>
          <w:color w:val="000000"/>
          <w:sz w:val="24"/>
        </w:rPr>
        <w:t>3.4    </w:t>
      </w:r>
      <w:r>
        <w:rPr>
          <w:rFonts w:ascii="Times New Roman;serif" w:hAnsi="Times New Roman;serif"/>
          <w:b/>
          <w:color w:val="000000"/>
          <w:sz w:val="24"/>
          <w:u w:val="single"/>
        </w:rPr>
        <w:t>Net Lease</w:t>
      </w:r>
      <w:r>
        <w:rPr>
          <w:rFonts w:ascii="Times New Roman;serif" w:hAnsi="Times New Roman;serif"/>
          <w:b w:val="false"/>
          <w:color w:val="000000"/>
          <w:sz w:val="24"/>
        </w:rPr>
        <w:t xml:space="preserve">. Landlord and Tenant acknowledge and agree that (i) this Master Lease is and is intended to be what is commonly referred to as a “net, net, net” or “triple net” lease, and (ii) the Rent shall be paid absolutely net to Landlord, so that this Master Lease shall yield to Landlord the full amount or benefit of the installments of Rent and Additional Charges throughout the Term with respect to each Facility, all as more fully set forth in </w:t>
      </w:r>
      <w:r>
        <w:rPr>
          <w:rFonts w:ascii="Times New Roman;serif" w:hAnsi="Times New Roman;serif"/>
          <w:b/>
          <w:color w:val="000000"/>
          <w:sz w:val="24"/>
        </w:rPr>
        <w:t>Article IV</w:t>
      </w:r>
      <w:r>
        <w:rPr>
          <w:color w:val="000000"/>
        </w:rPr>
        <w:t xml:space="preserve"> </w:t>
      </w:r>
      <w:r>
        <w:rPr>
          <w:rFonts w:ascii="Times New Roman;serif" w:hAnsi="Times New Roman;serif"/>
          <w:b w:val="false"/>
          <w:color w:val="000000"/>
          <w:sz w:val="24"/>
        </w:rPr>
        <w:t>and subject to any other provisions of this Master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w:t>
      </w:r>
    </w:p>
    <w:p>
      <w:pPr>
        <w:pStyle w:val="TextBody"/>
        <w:bidi w:val="0"/>
        <w:spacing w:lineRule="auto" w:line="288" w:before="0" w:after="240"/>
        <w:ind w:left="0" w:right="0" w:firstLine="720"/>
        <w:jc w:val="both"/>
        <w:rPr/>
      </w:pPr>
      <w:r>
        <w:rPr>
          <w:rFonts w:ascii="Times New Roman;serif" w:hAnsi="Times New Roman;serif"/>
          <w:b/>
          <w:color w:val="000000"/>
          <w:sz w:val="24"/>
        </w:rPr>
        <w:t>3.5    </w:t>
      </w:r>
      <w:r>
        <w:rPr>
          <w:rFonts w:ascii="Times New Roman;serif" w:hAnsi="Times New Roman;serif"/>
          <w:b/>
          <w:color w:val="000000"/>
          <w:sz w:val="24"/>
          <w:u w:val="single"/>
        </w:rPr>
        <w:t>Fair Market Rent</w:t>
      </w:r>
      <w:r>
        <w:rPr>
          <w:rFonts w:ascii="Times New Roman;serif" w:hAnsi="Times New Roman;serif"/>
          <w:b w:val="false"/>
          <w:color w:val="000000"/>
          <w:sz w:val="24"/>
        </w:rPr>
        <w:t>. In the event that it becomes necessary to determine the Fair Market Rent of any Facility for any purpose of this Master Lease, and the parties cannot agree among themselves on such Fair Market Rent within twenty (20) days after the first request made by one of the parties to do so, then either party may notify the other of a person selected to act as appraiser (such person, and each other person selected as provided herein, an “</w:t>
      </w:r>
      <w:r>
        <w:rPr>
          <w:rFonts w:ascii="Times New Roman;serif" w:hAnsi="Times New Roman;serif"/>
          <w:b/>
          <w:color w:val="000000"/>
          <w:sz w:val="24"/>
        </w:rPr>
        <w:t>Appraiser</w:t>
      </w:r>
      <w:r>
        <w:rPr>
          <w:color w:val="000000"/>
        </w:rPr>
        <w:t>”</w:t>
      </w:r>
      <w:r>
        <w:rPr>
          <w:rFonts w:ascii="Times New Roman;serif" w:hAnsi="Times New Roman;serif"/>
          <w:b w:val="false"/>
          <w:color w:val="000000"/>
          <w:sz w:val="24"/>
        </w:rPr>
        <w:t xml:space="preserve">) on its behalf. Within fifteen (15) days after receipt of any such Notice, the other party shall by notice to the first party appoint a second person as Appraiser on its behalf. The Appraisers thus appointed, each of whom must be a member of The Appraisal Institute/American Institute of Real Estate Appraisers (or any successor organization thereto, or, if no such organization exists, a similarly nationally recognized real estate appraisal organization) with at least ten (10) years of experience appraising properties similar to the Facilities, shall, within forty-five (45) days after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date of the notice appointing the first appraiser, proceed to appraise the applicable Facility to determine the Fair Market Rent thereof as of the relevant date; provided</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that if one Appraiser shall have been so appointed, or if two Appraisers shall have been so appointed but only one such Appraiser shall have made such determination within fifty (50) days after the making of the initial appointment, then the determination of such Appraiser shall be final and binding upon the parties. If two (2) Appraisers shall have been appointed and shall have made their determinations within the respective requisite periods set forth above and if the difference between the amounts so determined shall not exceed ten percent (10%) of the lesser of such amounts, then the Fair Market Rent shall be an amount equal to fifty percent (50%) of the sum of the amounts so determined. If the difference between the amounts so determined shall exceed ten percent (10%) of the lesser of such amounts, either party may request the appointment of Experts pursuant to </w:t>
      </w:r>
      <w:r>
        <w:rPr>
          <w:rFonts w:ascii="Times New Roman;serif" w:hAnsi="Times New Roman;serif"/>
          <w:b/>
          <w:color w:val="000000"/>
          <w:sz w:val="24"/>
        </w:rPr>
        <w:t>Article XXXIV.</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IMPOSITIONS</w:t>
      </w:r>
    </w:p>
    <w:p>
      <w:pPr>
        <w:pStyle w:val="TextBody"/>
        <w:bidi w:val="0"/>
        <w:spacing w:lineRule="auto" w:line="288" w:before="0" w:after="240"/>
        <w:ind w:left="0" w:right="0" w:firstLine="720"/>
        <w:jc w:val="both"/>
        <w:rPr/>
      </w:pPr>
      <w:r>
        <w:rPr>
          <w:rFonts w:ascii="Times New Roman;serif" w:hAnsi="Times New Roman;serif"/>
          <w:b/>
          <w:color w:val="000000"/>
          <w:sz w:val="24"/>
        </w:rPr>
        <w:t>4.1    </w:t>
      </w:r>
      <w:r>
        <w:rPr>
          <w:rFonts w:ascii="Times New Roman;serif" w:hAnsi="Times New Roman;serif"/>
          <w:b/>
          <w:color w:val="000000"/>
          <w:sz w:val="24"/>
          <w:u w:val="single"/>
        </w:rPr>
        <w:t>Impositions</w:t>
      </w:r>
      <w:r>
        <w:rPr>
          <w:rFonts w:ascii="Times New Roman;serif" w:hAnsi="Times New Roman;serif"/>
          <w:b w:val="false"/>
          <w:color w:val="000000"/>
          <w:sz w:val="24"/>
        </w:rPr>
        <w:t xml:space="preserve">. (a) Subject to </w:t>
      </w:r>
      <w:r>
        <w:rPr>
          <w:rFonts w:ascii="Times New Roman;serif" w:hAnsi="Times New Roman;serif"/>
          <w:b/>
          <w:color w:val="000000"/>
          <w:sz w:val="24"/>
        </w:rPr>
        <w:t>Article XII</w:t>
      </w:r>
      <w:r>
        <w:rPr>
          <w:color w:val="000000"/>
        </w:rPr>
        <w:t xml:space="preserve"> </w:t>
      </w:r>
      <w:r>
        <w:rPr>
          <w:rFonts w:ascii="Times New Roman;serif" w:hAnsi="Times New Roman;serif"/>
          <w:b w:val="false"/>
          <w:color w:val="000000"/>
          <w:sz w:val="24"/>
        </w:rPr>
        <w:t>relating to permitted contests, Tenant shall pay, or cause to be paid, all Impositions before any fine, penalty, interest or cost may be added for non-payment. Tenant shall make, or cause to be made, such payments directly to the taxing authorities (or any such other party imposing the same) and (i) with respect to Primary Impositions, furnish to Landlord once per calendar quarter, a listing of such payments, together, upon the reasonable request of Landlord, with copies of official invoices or receipts or other reasonably satisfactory proof evidencing such payments, and (ii) with respect to Secondary Impositions, furnish to Landlord once per calendar year upon request, provided that Landlord has reasonable justification for any such request in this clause (ii) and includes the same in its request to Tenant, a listing of such material payments, and,</w:t>
      </w:r>
      <w:r>
        <w:rPr>
          <w:color w:val="000000"/>
        </w:rPr>
        <w:t xml:space="preserve"> </w:t>
      </w:r>
      <w:r>
        <w:rPr>
          <w:rFonts w:ascii="Times New Roman;serif" w:hAnsi="Times New Roman;serif"/>
          <w:b w:val="false"/>
          <w:color w:val="000000"/>
          <w:sz w:val="24"/>
        </w:rPr>
        <w:t xml:space="preserve">upon the reasonable request of Landlord, copies of official invoices or receipts or other reasonably satisfactory proof evidencing such payments. If Tenant is not permitted to, or it is otherwise not feasible for Tenant to, make (or cause to be made) such payments directly to the taxing authorities or other applicable party, then Tenant shall make (or cause to be made) such payments to Landlord at least ten (10) Business Days prior to the due date, and Landlord shall make such payments to the taxing authorities or other applicable party prior to the due date. Tenant’s obligation to pay (or cause to be paid) Impositions shall be absolutely fixed upon the date such Impositions become a lien upon the Leased Property or any part thereof subject to </w:t>
      </w:r>
      <w:r>
        <w:rPr>
          <w:rFonts w:ascii="Times New Roman;serif" w:hAnsi="Times New Roman;serif"/>
          <w:b/>
          <w:color w:val="000000"/>
          <w:sz w:val="24"/>
        </w:rPr>
        <w:t>Article XII</w:t>
      </w:r>
      <w:r>
        <w:rPr>
          <w:rFonts w:ascii="Times New Roman;serif" w:hAnsi="Times New Roman;serif"/>
          <w:b w:val="false"/>
          <w:color w:val="000000"/>
          <w:sz w:val="24"/>
        </w:rPr>
        <w:t>.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Landlord or Landlord’s Parent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Times New Roman;serif" w:hAnsi="Times New Roman;serif"/>
          <w:b/>
          <w:color w:val="000000"/>
          <w:sz w:val="24"/>
        </w:rPr>
        <w:t>Landlord Tax Returns</w:t>
      </w:r>
      <w:r>
        <w:rPr>
          <w:color w:val="000000"/>
        </w:rPr>
        <w:t>”</w:t>
      </w:r>
      <w:r>
        <w:rPr>
          <w:rFonts w:ascii="Times New Roman;serif" w:hAnsi="Times New Roman;serif"/>
          <w:b w:val="false"/>
          <w:color w:val="000000"/>
          <w:sz w:val="24"/>
        </w:rPr>
        <w:t xml:space="preserve">), and Tenant or Tenant’s Parent shall prepare and file all other tax returns and reports as may be required by Legal Requirements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or relating to the Leased Property (including all Capital Improvements), and Tenant’s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Any refund due from any taxing authority in respect of any Imposition paid by or on behalf of Tenant shall be paid over to or retained by Tenant.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Landlord and Tenant shall, upon request of the other, provide such data as is maintained by the party to whom the request is made with respect to the Leased Property as may be necessary to prepare any required returns and reports. If any property covered by this Master Lease is classified as personal property for tax purposes, Tenant shall file all personal property tax returns in such jurisdictions where it must legally so file. Landlord, to the extent it possesses the same, and Tenant, to the extent it or any Operating Subtenant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Billings for reimbursement by Tenant to Landlord of personal property or real property taxes and any taxes due under Landlord Tax Returns, if and to the extent Tenant is responsible for such taxes under the terms of this </w:t>
      </w:r>
      <w:r>
        <w:rPr>
          <w:rFonts w:ascii="Times New Roman;serif" w:hAnsi="Times New Roman;serif"/>
          <w:b/>
          <w:color w:val="000000"/>
          <w:sz w:val="24"/>
        </w:rPr>
        <w:t>Section 4.1</w:t>
      </w:r>
      <w:r>
        <w:rPr>
          <w:rFonts w:ascii="Times New Roman;serif" w:hAnsi="Times New Roman;serif"/>
          <w:b w:val="false"/>
          <w:color w:val="000000"/>
          <w:sz w:val="24"/>
        </w:rPr>
        <w:t>, shall be accompanied by copies of a bill therefor and payments thereof which identify the personal property or real property or other tax obligations of Landlord with respect to which such payments are made.</w:t>
      </w:r>
    </w:p>
    <w:p>
      <w:pPr>
        <w:pStyle w:val="TextBody"/>
        <w:bidi w:val="0"/>
        <w:spacing w:lineRule="auto" w:line="288" w:before="0" w:after="240"/>
        <w:ind w:left="0" w:right="0" w:firstLine="1530"/>
        <w:jc w:val="both"/>
        <w:rPr>
          <w:rFonts w:ascii="Times New Roman;serif" w:hAnsi="Times New Roman;serif"/>
          <w:b w:val="false"/>
          <w:color w:val="000000"/>
          <w:sz w:val="24"/>
        </w:rPr>
      </w:pPr>
      <w:r>
        <w:rPr>
          <w:rFonts w:ascii="Times New Roman;serif" w:hAnsi="Times New Roman;serif"/>
          <w:b w:val="false"/>
          <w:color w:val="000000"/>
          <w:sz w:val="24"/>
        </w:rPr>
        <w:t>(f)    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conditioned or delayed (it being understood that it shall not be reasonable to withhold consent to customary additional Impositions that other property owners of properties similar to the Leased Property customarily consent to in the ordinary course of business); provided, Tenant is given reasonable opportunity to participate in the process leading to such agreement. Impositions imposed or assessed in respect of any tax fiscal period occurring (in whole or in part) prior to the Commencement Date shall be Tenant’s obligation to pay or cause to be paid.</w:t>
      </w:r>
    </w:p>
    <w:p>
      <w:pPr>
        <w:pStyle w:val="TextBody"/>
        <w:bidi w:val="0"/>
        <w:spacing w:lineRule="auto" w:line="288" w:before="0" w:after="240"/>
        <w:ind w:left="0" w:right="0" w:firstLine="1530"/>
        <w:jc w:val="both"/>
        <w:rPr/>
      </w:pPr>
      <w:r>
        <w:rPr>
          <w:rFonts w:ascii="Times New Roman;serif" w:hAnsi="Times New Roman;serif"/>
          <w:b w:val="false"/>
          <w:color w:val="000000"/>
          <w:sz w:val="24"/>
        </w:rPr>
        <w:t>(g)    Notwithstanding anything to the contrary in this Master Lease, Tenant’s obligation to reimburse Landlord in respect of gross receipts tax (including the Nevada Commerce Tax) shall not exceed fifty percent (50%) (“</w:t>
      </w:r>
      <w:r>
        <w:rPr>
          <w:rFonts w:ascii="Times New Roman;serif" w:hAnsi="Times New Roman;serif"/>
          <w:b/>
          <w:color w:val="000000"/>
          <w:sz w:val="24"/>
        </w:rPr>
        <w:t>Tenant’s GRT Payment Share</w:t>
      </w:r>
      <w:r>
        <w:rPr>
          <w:color w:val="000000"/>
        </w:rPr>
        <w:t>”</w:t>
      </w:r>
      <w:r>
        <w:rPr>
          <w:rFonts w:ascii="Times New Roman;serif" w:hAnsi="Times New Roman;serif"/>
          <w:b w:val="false"/>
          <w:color w:val="000000"/>
          <w:sz w:val="24"/>
        </w:rPr>
        <w:t>) of any such gross receipts tax to the extent that such tax is actually paid by Landlord as a result of the payment of Rent and Additional Charges (each, an “</w:t>
      </w:r>
      <w:r>
        <w:rPr>
          <w:rFonts w:ascii="Times New Roman;serif" w:hAnsi="Times New Roman;serif"/>
          <w:b/>
          <w:color w:val="000000"/>
          <w:sz w:val="24"/>
        </w:rPr>
        <w:t>GRT Payment</w:t>
      </w:r>
      <w:r>
        <w:rPr>
          <w:color w:val="000000"/>
        </w:rPr>
        <w:t>”</w:t>
      </w:r>
      <w:r>
        <w:rPr>
          <w:rFonts w:ascii="Times New Roman;serif" w:hAnsi="Times New Roman;serif"/>
          <w:b w:val="false"/>
          <w:color w:val="000000"/>
          <w:sz w:val="24"/>
        </w:rPr>
        <w:t xml:space="preserve">).  As a condition to Tenant’s obligation to reimburse Landlord for Tenant’s GRT Payment Share, Landlord shall provide Tenant with Landlord’s computation of the GRT Payment paid by Landlord together with such information as Tenant may reasonably request to evidence or substantiate such GRT Payment and Tenant shall pay the amount of Tenant’s GRT Payment Share to Landlord within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ten (10) Business Days following Tenant’s receipt of such computation and information; provided, that, Tenant shall have the right to dispute Landlord’s computation of any GRT Payment and any such dispute will be resolved by Experts pursuant to </w:t>
      </w:r>
      <w:r>
        <w:rPr>
          <w:rFonts w:ascii="Times New Roman;serif" w:hAnsi="Times New Roman;serif"/>
          <w:b/>
          <w:color w:val="000000"/>
          <w:sz w:val="24"/>
        </w:rPr>
        <w:t>Section 34.1</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4.2    </w:t>
      </w:r>
      <w:r>
        <w:rPr>
          <w:rFonts w:ascii="Times New Roman;serif" w:hAnsi="Times New Roman;serif"/>
          <w:b/>
          <w:color w:val="000000"/>
          <w:sz w:val="24"/>
          <w:u w:val="single"/>
        </w:rPr>
        <w:t>Utilities, Encumbrances and Other Matters</w:t>
      </w:r>
      <w:r>
        <w:rPr>
          <w:rFonts w:ascii="Times New Roman;serif" w:hAnsi="Times New Roman;serif"/>
          <w:b w:val="false"/>
          <w:color w:val="000000"/>
          <w:sz w:val="24"/>
        </w:rPr>
        <w:t xml:space="preserve">. (a) Tenant shall pay or cause to be paid all charges for electricity, power, gas, oil, water and other utilities used in the Leased Property (including all Capital Improvements). Tenant shall also pay or reimburse Landlord for, all costs and expenses of any kind whatsoever which at any time with respect to the Term hereof with respect to any Facility may be imposed against Landlord by reason of any covenants, conditions and/or restrictions affecting the Leased Property or any portion thereof, or with respect to easements, licenses or other rights over, across or with respect to any adjacent or other property which benefits the Leased Property or any Capital Improvement, including any and all costs and expenses associated with any utility, drainage and parking easements. Landlord will not enter into agreements that will encumber the Leased Property (other than a Facility Mortgage) without Tenant’s consent, which shall not be unreasonably withheld (it being understood that it shall not be reasonable to withhold consent to Instruments that do not adversely affect in any material respect the use or future development of the Facility as a Gaming Facility or any other use consistent with the Primary Intended Use or increase Additional Charges payable under this Master Lease); provided, Tenant is given reasonable opportunity to participate in the process leading to such Instrument. Tenant will not enter into Instruments that will encumber Landlord’s interest in the Leased Property or which require Landlord’s signature without Landlord’s consent, which shall not be unreasonably withheld, conditioned or delayed (it being understood that it shall not be reasonable to withhold consent to Instruments that do not adversely affect the value or use of the Leased Property or the Facility (other than a de minimis effect)) unless such Instrument benefits a Tenant Competitor or an Affiliate of Tenant at the expense or to the detriment of such Facility or inappropriately or unfairly discriminates, in Landlord’s reasonable discretion, against the Facility to which such Instrument relates in favor of another Facility or other property which is not a Facility or Leased Property; provided, Landlord is given reasonable opportunity to participate in the process leading to such Instrument, and with respect to any Instruments which do not require Landlord’s consent, provided that they (x) expressly provide that they do not affect Landlord’s interest in the Leased Property and (y) do not result in any physical structures or other matters which may need to be removed or restored after the expiration of this Master Lease unless the same are minor in nature and Tenant agrees to remove and/or restore the same at no cost to Landlord (which is not otherwise reimbursed by Tenant).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 xml:space="preserve">Without limitation of the final sentence of </w:t>
      </w:r>
      <w:r>
        <w:rPr>
          <w:rFonts w:ascii="Times New Roman;serif" w:hAnsi="Times New Roman;serif"/>
          <w:b/>
          <w:color w:val="000000"/>
          <w:sz w:val="24"/>
        </w:rPr>
        <w:t>Section 4.2(a)</w:t>
      </w:r>
      <w:r>
        <w:rPr>
          <w:rFonts w:ascii="Times New Roman;serif" w:hAnsi="Times New Roman;serif"/>
          <w:b w:val="false"/>
          <w:color w:val="000000"/>
          <w:sz w:val="24"/>
        </w:rPr>
        <w:t xml:space="preserve">, (i) Landlord shall reasonably cooperate with Tenant, as may be reasonably requested by Tenant, at Tenant’s sole cost and expense, in connection with the consummation or completion of the projects or other matters more particularly described on </w:t>
      </w:r>
      <w:r>
        <w:rPr>
          <w:rFonts w:ascii="Times New Roman;serif" w:hAnsi="Times New Roman;serif"/>
          <w:b/>
          <w:color w:val="000000"/>
          <w:sz w:val="24"/>
        </w:rPr>
        <w:t>Schedule 6</w:t>
      </w:r>
      <w:r>
        <w:rPr>
          <w:rFonts w:ascii="Times New Roman;serif" w:hAnsi="Times New Roman;serif"/>
          <w:b w:val="false"/>
          <w:color w:val="000000"/>
          <w:sz w:val="24"/>
        </w:rPr>
        <w:t xml:space="preserve">, and (ii) Landlord acknowledges that the Facilities located in Las Vegas may be participating in the Vegas Loop Project. Nothing contained in this </w:t>
      </w:r>
      <w:r>
        <w:rPr>
          <w:rFonts w:ascii="Times New Roman;serif" w:hAnsi="Times New Roman;serif"/>
          <w:b/>
          <w:color w:val="000000"/>
          <w:sz w:val="24"/>
        </w:rPr>
        <w:t>Section 4.2(b)</w:t>
      </w:r>
      <w:r>
        <w:rPr>
          <w:color w:val="000000"/>
        </w:rPr>
        <w:t xml:space="preserve"> </w:t>
      </w:r>
      <w:r>
        <w:rPr>
          <w:rFonts w:ascii="Times New Roman;serif" w:hAnsi="Times New Roman;serif"/>
          <w:b w:val="false"/>
          <w:color w:val="000000"/>
          <w:sz w:val="24"/>
        </w:rPr>
        <w:t xml:space="preserve">shall be deemed to vitiate or supersede or otherwise reduce any of Landlord’s rights under this Master Lease, including </w:t>
      </w:r>
      <w:r>
        <w:rPr>
          <w:rFonts w:ascii="Times New Roman;serif" w:hAnsi="Times New Roman;serif"/>
          <w:b/>
          <w:color w:val="000000"/>
          <w:sz w:val="24"/>
        </w:rPr>
        <w:t xml:space="preserve">Section 4.2(a) </w:t>
      </w:r>
      <w:r>
        <w:rPr>
          <w:rFonts w:ascii="Times New Roman;serif" w:hAnsi="Times New Roman;serif"/>
          <w:b w:val="false"/>
          <w:color w:val="000000"/>
          <w:sz w:val="24"/>
        </w:rPr>
        <w:t xml:space="preserve">and </w:t>
      </w:r>
      <w:r>
        <w:rPr>
          <w:rFonts w:ascii="Times New Roman;serif" w:hAnsi="Times New Roman;serif"/>
          <w:b/>
          <w:color w:val="000000"/>
          <w:sz w:val="24"/>
        </w:rPr>
        <w:t>Section 8.3</w:t>
      </w:r>
      <w:r>
        <w:rPr>
          <w:color w:val="000000"/>
        </w:rPr>
        <w:t xml:space="preserve"> </w:t>
      </w:r>
      <w:r>
        <w:rPr>
          <w:rFonts w:ascii="Times New Roman;serif" w:hAnsi="Times New Roman;serif"/>
          <w:b w:val="false"/>
          <w:color w:val="000000"/>
          <w:sz w:val="24"/>
        </w:rPr>
        <w:t xml:space="preserve">hereof.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Landlord agrees not to withhold its consent to the easements and other agreements listed on </w:t>
      </w:r>
      <w:r>
        <w:rPr>
          <w:rFonts w:ascii="Times New Roman;serif" w:hAnsi="Times New Roman;serif"/>
          <w:b/>
          <w:color w:val="000000"/>
          <w:sz w:val="24"/>
        </w:rPr>
        <w:t>Schedule 7</w:t>
      </w:r>
      <w:r>
        <w:rPr>
          <w:rFonts w:ascii="Times New Roman;serif" w:hAnsi="Times New Roman;serif"/>
          <w:b w:val="false"/>
          <w:color w:val="000000"/>
          <w:sz w:val="24"/>
        </w:rPr>
        <w:t>, to the extent not yet finalized before the Commencement Date, provided such easements and agreements are substantially in the form previously disclosed to Landlord’s Parent or its representatives pursuant to that certain Master Transaction Agreement by and among Landlord’s Parent, Tenant’s Parent and certain of their respective Affiliates dated August 4, 2021, or to the extent not provided to Landlord’s Parent or its representatives, in a form reasonably acceptable to Landlord.    </w:t>
      </w:r>
    </w:p>
    <w:p>
      <w:pPr>
        <w:pStyle w:val="TextBody"/>
        <w:bidi w:val="0"/>
        <w:spacing w:lineRule="auto" w:line="288" w:before="0" w:after="240"/>
        <w:ind w:left="0" w:right="0" w:firstLine="720"/>
        <w:jc w:val="both"/>
        <w:rPr/>
      </w:pPr>
      <w:r>
        <w:rPr>
          <w:rFonts w:ascii="Times New Roman;serif" w:hAnsi="Times New Roman;serif"/>
          <w:b/>
          <w:color w:val="000000"/>
          <w:sz w:val="24"/>
        </w:rPr>
        <w:t>4.3    </w:t>
      </w:r>
      <w:r>
        <w:rPr>
          <w:rFonts w:ascii="Times New Roman;serif" w:hAnsi="Times New Roman;serif"/>
          <w:b/>
          <w:color w:val="000000"/>
          <w:sz w:val="24"/>
          <w:u w:val="single"/>
        </w:rPr>
        <w:t>Impound Account</w:t>
      </w:r>
      <w:r>
        <w:rPr>
          <w:rFonts w:ascii="Times New Roman;serif" w:hAnsi="Times New Roman;serif"/>
          <w:b w:val="false"/>
          <w:color w:val="000000"/>
          <w:sz w:val="24"/>
        </w:rPr>
        <w:t xml:space="preserve">. At Landlord’s option following the occurrence and during the continuation of an Event of Default (to be exercised by thirty (30) days’ Notice to Tenant); Tenant shall be required to deposit, at the time of any payment of Rent, an amount equal to one-twelfth of the sum of (i) Tenant’s estimated annual rent and personal property taxes required pursuant to </w:t>
      </w:r>
      <w:r>
        <w:rPr>
          <w:rFonts w:ascii="Times New Roman;serif" w:hAnsi="Times New Roman;serif"/>
          <w:b/>
          <w:color w:val="000000"/>
          <w:sz w:val="24"/>
        </w:rPr>
        <w:t>Section 4.1</w:t>
      </w:r>
      <w:r>
        <w:rPr>
          <w:color w:val="000000"/>
        </w:rPr>
        <w:t xml:space="preserve"> </w:t>
      </w:r>
      <w:r>
        <w:rPr>
          <w:rFonts w:ascii="Times New Roman;serif" w:hAnsi="Times New Roman;serif"/>
          <w:b w:val="false"/>
          <w:color w:val="000000"/>
          <w:sz w:val="24"/>
        </w:rPr>
        <w:t xml:space="preserve">hereof (as reasonably determined by Landlord), and (ii) Tenant’s estimated annual maintenance expenses and insurance premium costs pursuant to </w:t>
      </w:r>
      <w:r>
        <w:rPr>
          <w:rFonts w:ascii="Times New Roman;serif" w:hAnsi="Times New Roman;serif"/>
          <w:b/>
          <w:color w:val="000000"/>
          <w:sz w:val="24"/>
        </w:rPr>
        <w:t>Articles IX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XIII</w:t>
      </w:r>
      <w:r>
        <w:rPr>
          <w:color w:val="000000"/>
        </w:rPr>
        <w:t xml:space="preserve"> </w:t>
      </w:r>
      <w:r>
        <w:rPr>
          <w:rFonts w:ascii="Times New Roman;serif" w:hAnsi="Times New Roman;serif"/>
          <w:b w:val="false"/>
          <w:color w:val="000000"/>
          <w:sz w:val="24"/>
        </w:rPr>
        <w:t xml:space="preserve">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w:t>
      </w:r>
      <w:r>
        <w:rPr>
          <w:rFonts w:ascii="Times New Roman;serif" w:hAnsi="Times New Roman;serif"/>
          <w:b/>
          <w:color w:val="000000"/>
          <w:sz w:val="24"/>
        </w:rPr>
        <w:t>Section 4.3</w:t>
      </w:r>
      <w:r>
        <w:rPr>
          <w:color w:val="000000"/>
        </w:rPr>
        <w:t xml:space="preserve"> </w:t>
      </w:r>
      <w:r>
        <w:rPr>
          <w:rFonts w:ascii="Times New Roman;serif" w:hAnsi="Times New Roman;serif"/>
          <w:b w:val="false"/>
          <w:color w:val="000000"/>
          <w:sz w:val="24"/>
        </w:rPr>
        <w:t>shall be deemed to affect any right or remedy of Landlord hereunder.</w:t>
      </w:r>
    </w:p>
    <w:p>
      <w:pPr>
        <w:pStyle w:val="TextBody"/>
        <w:bidi w:val="0"/>
        <w:spacing w:lineRule="auto" w:line="288" w:before="0" w:after="240"/>
        <w:ind w:left="0" w:right="0" w:firstLine="720"/>
        <w:jc w:val="both"/>
        <w:rPr/>
      </w:pPr>
      <w:r>
        <w:rPr>
          <w:rFonts w:ascii="Times New Roman;serif" w:hAnsi="Times New Roman;serif"/>
          <w:b/>
          <w:color w:val="000000"/>
          <w:sz w:val="24"/>
        </w:rPr>
        <w:t>4.4    </w:t>
      </w:r>
      <w:r>
        <w:rPr>
          <w:rFonts w:ascii="Times New Roman;serif" w:hAnsi="Times New Roman;serif"/>
          <w:b/>
          <w:color w:val="000000"/>
          <w:sz w:val="24"/>
          <w:u w:val="single"/>
        </w:rPr>
        <w:t>Sustainability</w:t>
      </w:r>
      <w:r>
        <w:rPr>
          <w:rFonts w:ascii="Times New Roman;serif" w:hAnsi="Times New Roman;serif"/>
          <w:b w:val="false"/>
          <w:color w:val="000000"/>
          <w:sz w:val="24"/>
        </w:rPr>
        <w:t xml:space="preserve">. Tenant acknowledges that Landlord values and supports environmental sustainability initiatives and practices at the Leased Property to, among other things, reduce the environmental impact of operations thereat, which may include energy efficiency and carbon emissions reduction, water usage reduction, recycling and waste reduction, environmental stewardship and conservation, and other sustainability efforts, as well as those related to Capital Improvements, interior design, operations, and maintenance. </w:t>
      </w:r>
    </w:p>
    <w:p>
      <w:pPr>
        <w:pStyle w:val="TextBody"/>
        <w:bidi w:val="0"/>
        <w:spacing w:lineRule="auto" w:line="288" w:before="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NO ABATEMENT</w:t>
      </w:r>
    </w:p>
    <w:p>
      <w:pPr>
        <w:pStyle w:val="TextBody"/>
        <w:bidi w:val="0"/>
        <w:spacing w:lineRule="auto" w:line="288" w:before="0" w:after="240"/>
        <w:ind w:left="0" w:right="0" w:firstLine="720"/>
        <w:jc w:val="both"/>
        <w:rPr/>
      </w:pPr>
      <w:r>
        <w:rPr>
          <w:rFonts w:ascii="Times New Roman;serif" w:hAnsi="Times New Roman;serif"/>
          <w:b/>
          <w:color w:val="000000"/>
          <w:sz w:val="24"/>
        </w:rPr>
        <w:t>5.1    </w:t>
      </w:r>
      <w:r>
        <w:rPr>
          <w:rFonts w:ascii="Times New Roman;serif" w:hAnsi="Times New Roman;serif"/>
          <w:b/>
          <w:color w:val="000000"/>
          <w:sz w:val="24"/>
          <w:u w:val="single"/>
        </w:rPr>
        <w:t>No Termination, Abatement, etc.</w:t>
      </w:r>
      <w:r>
        <w:rPr>
          <w:color w:val="000000"/>
        </w:rPr>
        <w:t xml:space="preserve"> </w:t>
      </w:r>
      <w:r>
        <w:rPr>
          <w:rFonts w:ascii="Times New Roman;serif" w:hAnsi="Times New Roman;serif"/>
          <w:b w:val="false"/>
          <w:color w:val="000000"/>
          <w:sz w:val="24"/>
        </w:rPr>
        <w:t xml:space="preserve">Except as otherwise specifically provided in this Master Lease, Tenant shall 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Master Lease or quit or surrender the Leased Property or any portion thereof, or (b) which may entitle Tenant to any abatement, deduction, reduction, suspension or deferment of or defense, counterclaim, claim or set-off against the Rent or other sums payable by Tenant hereunder except in each case as may be otherwise specifically provided in this Master Lease. Notwithstanding the foregoing, nothing in this </w:t>
      </w:r>
      <w:r>
        <w:rPr>
          <w:rFonts w:ascii="Times New Roman;serif" w:hAnsi="Times New Roman;serif"/>
          <w:b/>
          <w:color w:val="000000"/>
          <w:sz w:val="24"/>
        </w:rPr>
        <w:t>Article V</w:t>
      </w:r>
      <w:r>
        <w:rPr>
          <w:color w:val="000000"/>
        </w:rPr>
        <w:t xml:space="preserve"> </w:t>
      </w:r>
      <w:r>
        <w:rPr>
          <w:rFonts w:ascii="Times New Roman;serif" w:hAnsi="Times New Roman;serif"/>
          <w:b w:val="false"/>
          <w:color w:val="000000"/>
          <w:sz w:val="24"/>
        </w:rPr>
        <w:t xml:space="preserve">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w:t>
      </w:r>
      <w:r>
        <w:rPr>
          <w:rFonts w:ascii="Times New Roman;serif" w:hAnsi="Times New Roman;serif"/>
          <w:b/>
          <w:color w:val="000000"/>
          <w:sz w:val="24"/>
        </w:rPr>
        <w:t>Section 5.1</w:t>
      </w:r>
      <w:r>
        <w:rPr>
          <w:rFonts w:ascii="Times New Roman;serif" w:hAnsi="Times New Roman;serif"/>
          <w:b w:val="false"/>
          <w:color w:val="000000"/>
          <w:sz w:val="24"/>
        </w:rPr>
        <w:t>, and Landlord, upon request by Tenant, shall assign Landlord’s rights under such policies to Tenant; provided, that such assignment does not adversely affect Landlord’s rights under any such policy and provided, further,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 In furtherance of the foregoing, in the event that Landlord receives proceeds (“</w:t>
      </w:r>
      <w:r>
        <w:rPr>
          <w:rFonts w:ascii="Times New Roman;serif" w:hAnsi="Times New Roman;serif"/>
          <w:b/>
          <w:color w:val="000000"/>
          <w:sz w:val="24"/>
        </w:rPr>
        <w:t>Title Insurance Proceeds</w:t>
      </w:r>
      <w:r>
        <w:rPr>
          <w:color w:val="000000"/>
        </w:rPr>
        <w:t>”</w:t>
      </w:r>
      <w:r>
        <w:rPr>
          <w:rFonts w:ascii="Times New Roman;serif" w:hAnsi="Times New Roman;serif"/>
          <w:b w:val="false"/>
          <w:color w:val="000000"/>
          <w:sz w:val="24"/>
        </w:rPr>
        <w:t xml:space="preserve">) from any policy of title or similar insurance maintained by Landlord, any such Title Insurance Proceeds shall be shared between Landlord and Tenant as follows: Tenant shall be entitled to the portion of such Title Insurance Proceeds that is attributable to the damage to the leasehold estate incurred by Tenant during the Term of this Master Lease (assuming that all Renewal Terms are exercised by Tenant) and Landlord shall be entitled to the portion of such Title Insurance Proceeds that is attributable to the damage to the residual estate remaining after the expiration of the Term (assuming that all Renewal Terms are exercised) provided that, if Tenant subsequently does not exercise one or more Renewal Terms, Tenant shall pay to Landlord the portion of such Title Insurance Proceeds received by or paid to Tenant pursuant to this </w:t>
      </w:r>
      <w:r>
        <w:rPr>
          <w:rFonts w:ascii="Times New Roman;serif" w:hAnsi="Times New Roman;serif"/>
          <w:b/>
          <w:color w:val="000000"/>
          <w:sz w:val="24"/>
        </w:rPr>
        <w:t xml:space="preserve">Section 5.1 </w:t>
      </w:r>
      <w:r>
        <w:rPr>
          <w:rFonts w:ascii="Times New Roman;serif" w:hAnsi="Times New Roman;serif"/>
          <w:b w:val="false"/>
          <w:color w:val="000000"/>
          <w:sz w:val="24"/>
        </w:rPr>
        <w:t xml:space="preserve">that is allocable to the Renewal Terms that are not exercised. Landlord agrees for the benefit of Tenant that in the event that Tenant desires to cause to be asserted a claim against any title insurer providing coverage under any policy of title or similar insurance maintained by Landlord, Landlord will reasonably cooperate with Tenant in asserting such claim and use commercially reasonable efforts to enforce such policy so that all available Title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Insurance Proceeds are received, provided that Tenant bears all costs and expenses of such enforcement. In the event that Landlord and Tenant are unable, within thirty (30) days of receipt of any such Title Insurance Proceeds, to agree on the allocation between Landlord and Tenant of such Title Insurance Proceeds, either Landlord or Tenant may request that such allocation be determined by an Expert in accordance with </w:t>
      </w:r>
      <w:r>
        <w:rPr>
          <w:rFonts w:ascii="Times New Roman;serif" w:hAnsi="Times New Roman;serif"/>
          <w:b/>
          <w:color w:val="000000"/>
          <w:sz w:val="24"/>
        </w:rPr>
        <w:t>Section 34.1</w:t>
      </w:r>
      <w:r>
        <w:rPr>
          <w:rFonts w:ascii="Times New Roman;serif" w:hAnsi="Times New Roman;serif"/>
          <w:b w:val="false"/>
          <w:color w:val="000000"/>
          <w:sz w:val="24"/>
        </w:rPr>
        <w:t xml:space="preserve">. Landlord shall pay any amount owing pursuant to this </w:t>
      </w:r>
      <w:r>
        <w:rPr>
          <w:rFonts w:ascii="Times New Roman;serif" w:hAnsi="Times New Roman;serif"/>
          <w:b/>
          <w:color w:val="000000"/>
          <w:sz w:val="24"/>
        </w:rPr>
        <w:t>Section 5.1</w:t>
      </w:r>
      <w:r>
        <w:rPr>
          <w:color w:val="000000"/>
        </w:rPr>
        <w:t xml:space="preserve"> </w:t>
      </w:r>
      <w:r>
        <w:rPr>
          <w:rFonts w:ascii="Times New Roman;serif" w:hAnsi="Times New Roman;serif"/>
          <w:b w:val="false"/>
          <w:color w:val="000000"/>
          <w:sz w:val="24"/>
        </w:rPr>
        <w:t xml:space="preserve">to Tenant within thirty (30) days after agreement upon, or determination by the Expert of, such amount. For the avoidance of doubt, Landlord and Tenant hereby agree that the references to title insurance and Title Insurance Proceeds in this </w:t>
      </w:r>
      <w:r>
        <w:rPr>
          <w:rFonts w:ascii="Times New Roman;serif" w:hAnsi="Times New Roman;serif"/>
          <w:b/>
          <w:color w:val="000000"/>
          <w:sz w:val="24"/>
        </w:rPr>
        <w:t>Section 5.1</w:t>
      </w:r>
      <w:r>
        <w:rPr>
          <w:color w:val="000000"/>
        </w:rPr>
        <w:t xml:space="preserve"> </w:t>
      </w:r>
      <w:r>
        <w:rPr>
          <w:rFonts w:ascii="Times New Roman;serif" w:hAnsi="Times New Roman;serif"/>
          <w:b w:val="false"/>
          <w:color w:val="000000"/>
          <w:sz w:val="24"/>
        </w:rPr>
        <w:t xml:space="preserve">shall include any title insurance and Title Insurance Proceeds of Landlord and any Affiliates of Landlord and that Landlord shall cause its Affiliates to comply with the provisions of this </w:t>
      </w:r>
      <w:r>
        <w:rPr>
          <w:rFonts w:ascii="Times New Roman;serif" w:hAnsi="Times New Roman;serif"/>
          <w:b/>
          <w:color w:val="000000"/>
          <w:sz w:val="24"/>
        </w:rPr>
        <w:t>Section 5.1</w:t>
      </w:r>
      <w:r>
        <w:rPr>
          <w:color w:val="000000"/>
        </w:rPr>
        <w:t xml:space="preserve"> </w:t>
      </w:r>
      <w:r>
        <w:rPr>
          <w:rFonts w:ascii="Times New Roman;serif" w:hAnsi="Times New Roman;serif"/>
          <w:b w:val="false"/>
          <w:color w:val="000000"/>
          <w:sz w:val="24"/>
        </w:rPr>
        <w:t>with respect to the provisions concerning title insurance and Title Insurance Proceeds.</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OWNERSHIP OF LEASED PROPERTY</w:t>
      </w:r>
    </w:p>
    <w:p>
      <w:pPr>
        <w:pStyle w:val="TextBody"/>
        <w:bidi w:val="0"/>
        <w:spacing w:lineRule="auto" w:line="288" w:before="0" w:after="240"/>
        <w:ind w:left="0" w:right="0" w:firstLine="720"/>
        <w:jc w:val="both"/>
        <w:rPr/>
      </w:pPr>
      <w:r>
        <w:rPr>
          <w:rFonts w:ascii="Times New Roman;serif" w:hAnsi="Times New Roman;serif"/>
          <w:b/>
          <w:color w:val="000000"/>
          <w:sz w:val="24"/>
        </w:rPr>
        <w:t>6.1    </w:t>
      </w:r>
      <w:r>
        <w:rPr>
          <w:rFonts w:ascii="Times New Roman;serif" w:hAnsi="Times New Roman;serif"/>
          <w:b/>
          <w:color w:val="000000"/>
          <w:sz w:val="24"/>
          <w:u w:val="single"/>
        </w:rPr>
        <w:t>Ownership of the Leased Property</w:t>
      </w:r>
      <w:r>
        <w:rPr>
          <w:rFonts w:ascii="Times New Roman;serif" w:hAnsi="Times New Roman;serif"/>
          <w:b w:val="false"/>
          <w:color w:val="000000"/>
          <w:sz w:val="24"/>
        </w:rPr>
        <w:t xml:space="preserve">. (a) Landlord and Tenant acknowledge and agree that they have executed and delivered this Master Lease with the understanding that (i) the Leased Property (including any Tenant Capital Improvements) is the property of Landlord, (ii) Tenant has only the right to the possession and use of the Leased Property upon the terms and conditions of this Master Lease, (iii) this Master Lease is a “true lease,” for all applicable legal and federal, state and local tax purposes and is not a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Each of the parties hereto covenants and agrees, subject to </w:t>
      </w:r>
      <w:r>
        <w:rPr>
          <w:rFonts w:ascii="Times New Roman;serif" w:hAnsi="Times New Roman;serif"/>
          <w:b/>
          <w:color w:val="000000"/>
          <w:sz w:val="24"/>
        </w:rPr>
        <w:t>Section 6.1(c)</w:t>
      </w:r>
      <w:r>
        <w:rPr>
          <w:rFonts w:ascii="Times New Roman;serif" w:hAnsi="Times New Roman;serif"/>
          <w:b w:val="false"/>
          <w:color w:val="000000"/>
          <w:sz w:val="24"/>
        </w:rPr>
        <w:t xml:space="preserve">, not to (i) 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other than that this Master Lease is a “true lease” with Landlord as owner of the Leased Property and Tenant as the tenant of the Leased Property (other than for GAAP purposes), including (x) treating Landlord as the owner of such Leased Property eligible to claim depreciation deductions under Sections 167 or 168 of the Code with respect to such Leased Property (except as otherwise provided in </w:t>
      </w:r>
      <w:r>
        <w:rPr>
          <w:rFonts w:ascii="Times New Roman;serif" w:hAnsi="Times New Roman;serif"/>
          <w:b/>
          <w:color w:val="000000"/>
          <w:sz w:val="24"/>
        </w:rPr>
        <w:t>Section 11.1(b)</w:t>
      </w:r>
      <w:r>
        <w:rPr>
          <w:rFonts w:ascii="Times New Roman;serif" w:hAnsi="Times New Roman;serif"/>
          <w:b w:val="false"/>
          <w:color w:val="000000"/>
          <w:sz w:val="24"/>
        </w:rPr>
        <w:t>), (y) Tenant reporting its Rent payments as rent expense under Section 162 of the Code, and (z) Landlord reporting the Rent payments as rental income under Section 61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Tenant waives any claim or defense based upon the characterization of this Master Lease as anything other than a true lease and as a master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w:t>
      </w:r>
      <w:r>
        <w:rPr>
          <w:rFonts w:ascii="Times New Roman;serif" w:hAnsi="Times New Roman;serif"/>
          <w:b/>
          <w:color w:val="000000"/>
          <w:sz w:val="24"/>
        </w:rPr>
        <w:t>Section 3.4</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color w:val="000000"/>
          <w:sz w:val="24"/>
        </w:rPr>
        <w:t>Section 6.1</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6.2    </w:t>
      </w:r>
      <w:r>
        <w:rPr>
          <w:rFonts w:ascii="Times New Roman;serif" w:hAnsi="Times New Roman;serif"/>
          <w:b/>
          <w:color w:val="000000"/>
          <w:sz w:val="24"/>
          <w:u w:val="single"/>
        </w:rPr>
        <w:t>Tenant’s Property</w:t>
      </w:r>
      <w:r>
        <w:rPr>
          <w:rFonts w:ascii="Times New Roman;serif" w:hAnsi="Times New Roman;serif"/>
          <w:b w:val="false"/>
          <w:color w:val="000000"/>
          <w:sz w:val="24"/>
        </w:rPr>
        <w:t xml:space="preserve">. Tenant and each Operating Subtenant shall maintain sufficient Tenant’s Property (or personal property leased by Tenant or any Operating Subtenant or Corporate Shared Services Property) with respect to each Facility as may be necessary to comply with the Operating Standard. Tenant and its Subsidiaries may sell, transfer, convey or otherwise dispose of Tenant’s Property in their sole discretion in a manner that does not impair any Facility’s compliance with the Operating Standard and Landlord shall have no rights to such disposed Tenant’s Property. Subject to </w:t>
      </w:r>
      <w:r>
        <w:rPr>
          <w:rFonts w:ascii="Times New Roman;serif" w:hAnsi="Times New Roman;serif"/>
          <w:b/>
          <w:color w:val="000000"/>
          <w:sz w:val="24"/>
        </w:rPr>
        <w:t xml:space="preserve">Section 36.1 </w:t>
      </w:r>
      <w:r>
        <w:rPr>
          <w:rFonts w:ascii="Times New Roman;serif" w:hAnsi="Times New Roman;serif"/>
          <w:b w:val="false"/>
          <w:color w:val="000000"/>
          <w:sz w:val="24"/>
        </w:rPr>
        <w:t xml:space="preserve">and </w:t>
      </w:r>
      <w:r>
        <w:rPr>
          <w:rFonts w:ascii="Times New Roman;serif" w:hAnsi="Times New Roman;serif"/>
          <w:b/>
          <w:color w:val="000000"/>
          <w:sz w:val="24"/>
        </w:rPr>
        <w:t>Section 9.1(d)</w:t>
      </w:r>
      <w:r>
        <w:rPr>
          <w:rFonts w:ascii="Times New Roman;serif" w:hAnsi="Times New Roman;serif"/>
          <w:b w:val="false"/>
          <w:color w:val="000000"/>
          <w:sz w:val="24"/>
        </w:rPr>
        <w:t xml:space="preserve">, Tenant shall remove or cause to be removed all of Tenant’s Property from the Leased Property at the end of the Term at Tenant’s sole cost and expense. Subject to </w:t>
      </w:r>
      <w:r>
        <w:rPr>
          <w:rFonts w:ascii="Times New Roman;serif" w:hAnsi="Times New Roman;serif"/>
          <w:b/>
          <w:color w:val="000000"/>
          <w:sz w:val="24"/>
        </w:rPr>
        <w:t>Section 36.1</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any Tenant’s Property left on the Leased Property at the end of the Term whose ownership was not transferred to a successor tenant or landlord shall be deemed abandoned by Tenant and shall become the property of Landlord. Notwithstanding anything in the foregoing to the contrary, any transfer, conveyance or other disposition by Landlord or Tenant of any Gaming Equipment will be subject to the approval, to the extent required, of any applicable Gaming Authority. Notwithstanding the foregoing, Tenant shall not be required to maintain, and there shall be no restriction on Tenant’s or its Subsidiaries’ right to sell, transfer, convey or otherwise dispose of, Tenant’s Property with respect to any Voluntarily Closed Facility which has been deemed to have been assigned (i.e., counts as an assignment of the applicable Facility for the purposes of clause (5) of </w:t>
      </w:r>
      <w:r>
        <w:rPr>
          <w:rFonts w:ascii="Times New Roman;serif" w:hAnsi="Times New Roman;serif"/>
          <w:b/>
          <w:color w:val="000000"/>
          <w:sz w:val="24"/>
        </w:rPr>
        <w:t>Section 22.2(iii)</w:t>
      </w:r>
      <w:r>
        <w:rPr>
          <w:rFonts w:ascii="Times New Roman;serif" w:hAnsi="Times New Roman;serif"/>
          <w:b w:val="false"/>
          <w:color w:val="000000"/>
          <w:sz w:val="24"/>
        </w:rPr>
        <w:t xml:space="preserve">) but only for so long as such Facility remains a Facility which has been deemed to have been assigned (i.e., counts as an assignment of the applicable Facility for the purposes of clause (5) of </w:t>
      </w:r>
      <w:r>
        <w:rPr>
          <w:rFonts w:ascii="Times New Roman;serif" w:hAnsi="Times New Roman;serif"/>
          <w:b/>
          <w:color w:val="000000"/>
          <w:sz w:val="24"/>
        </w:rPr>
        <w:t>Section 22.2(iii)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6.3    </w:t>
      </w:r>
      <w:r>
        <w:rPr>
          <w:rFonts w:ascii="Times New Roman;serif" w:hAnsi="Times New Roman;serif"/>
          <w:b/>
          <w:color w:val="000000"/>
          <w:sz w:val="24"/>
          <w:u w:val="single"/>
        </w:rPr>
        <w:t>Tenant’s Intellectual Property</w:t>
      </w:r>
      <w:r>
        <w:rPr>
          <w:rFonts w:ascii="Times New Roman;serif" w:hAnsi="Times New Roman;serif"/>
          <w:b w:val="false"/>
          <w:color w:val="000000"/>
          <w:sz w:val="24"/>
        </w:rPr>
        <w:t>. Subject to the terms of the Intellectual Property License Agreement, (a) Landlord and Tenant acknowledge and agree that all trademarks, trade names and trade dress used in connection with the Leased Property and all other forms of Tenant’s intellectual property (collectively, “</w:t>
      </w:r>
      <w:r>
        <w:rPr>
          <w:rFonts w:ascii="Times New Roman;serif" w:hAnsi="Times New Roman;serif"/>
          <w:b/>
          <w:color w:val="000000"/>
          <w:sz w:val="24"/>
        </w:rPr>
        <w:t>Tenant’s Intellectual Property</w:t>
      </w:r>
      <w:r>
        <w:rPr>
          <w:color w:val="000000"/>
        </w:rPr>
        <w:t>”</w:t>
      </w:r>
      <w:r>
        <w:rPr>
          <w:rFonts w:ascii="Times New Roman;serif" w:hAnsi="Times New Roman;serif"/>
          <w:b w:val="false"/>
          <w:color w:val="000000"/>
          <w:sz w:val="24"/>
        </w:rPr>
        <w:t xml:space="preserve">) shall be the sole and exclusive property of Tenant, Tenant’s Parent and their respective Affiliates, (b) Tenant, Tenant’s Parent and their respective Affiliates may sell, transfer, convey or otherwise dispose of, modify, use or discontinue use of Tenant’s Intellectual Property in their sole discretion, (c) Landlord and its Affiliates shall have no rights in or to Tenant’s Intellectual Property, (d) Landlord and its Affiliates shall not claim any rights in or to, or challenge, contest or otherwise interfere with Tenant’s, Tenant’s Parent’s or their respective Affiliates’, as applicable, sole and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exclusive ownership of, Tenant's Intellectual Property and (e) Tenant may remove or otherwise dispose of Tenant’s Intellectual Property from the Leased Property at the end of the Term, or may modify the Leased Property at the end of the Term such that Landlord’s or any successor tenant’s use of the Leased Property does not infringe upon, dilute or adversely effect Tenant’s, Tenant’s Parent’s or their respective Affiliates’ ownership of Tenant’s Intellectual Property. For the avoidance of doubt, (i) no Tenant’s Intellectual Property shall be included in the provisions of </w:t>
      </w:r>
      <w:r>
        <w:rPr>
          <w:rFonts w:ascii="Times New Roman;serif" w:hAnsi="Times New Roman;serif"/>
          <w:b/>
          <w:color w:val="000000"/>
          <w:sz w:val="24"/>
        </w:rPr>
        <w:t>Section 36.1</w:t>
      </w:r>
      <w:r>
        <w:rPr>
          <w:color w:val="000000"/>
        </w:rPr>
        <w:t xml:space="preserve"> </w:t>
      </w:r>
      <w:r>
        <w:rPr>
          <w:rFonts w:ascii="Times New Roman;serif" w:hAnsi="Times New Roman;serif"/>
          <w:b w:val="false"/>
          <w:color w:val="000000"/>
          <w:sz w:val="24"/>
        </w:rPr>
        <w:t xml:space="preserve">and (ii) nothing in this </w:t>
      </w:r>
      <w:r>
        <w:rPr>
          <w:rFonts w:ascii="Times New Roman;serif" w:hAnsi="Times New Roman;serif"/>
          <w:b/>
          <w:color w:val="000000"/>
          <w:sz w:val="24"/>
        </w:rPr>
        <w:t>Section 6.3</w:t>
      </w:r>
      <w:r>
        <w:rPr>
          <w:color w:val="000000"/>
        </w:rPr>
        <w:t xml:space="preserve"> </w:t>
      </w:r>
      <w:r>
        <w:rPr>
          <w:rFonts w:ascii="Times New Roman;serif" w:hAnsi="Times New Roman;serif"/>
          <w:b w:val="false"/>
          <w:color w:val="000000"/>
          <w:sz w:val="24"/>
        </w:rPr>
        <w:t xml:space="preserve">shall vitiate the obligations of Tenant set forth in </w:t>
      </w:r>
      <w:r>
        <w:rPr>
          <w:rFonts w:ascii="Times New Roman;serif" w:hAnsi="Times New Roman;serif"/>
          <w:b/>
          <w:color w:val="000000"/>
          <w:sz w:val="24"/>
        </w:rPr>
        <w:t>Section 7.2(a)</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br/>
        <w:t>CONDITION AND USE OF LEASED PROPERTY</w:t>
      </w:r>
    </w:p>
    <w:p>
      <w:pPr>
        <w:pStyle w:val="TextBody"/>
        <w:bidi w:val="0"/>
        <w:spacing w:lineRule="auto" w:line="288" w:before="0" w:after="240"/>
        <w:ind w:left="0" w:right="0" w:firstLine="720"/>
        <w:jc w:val="both"/>
        <w:rPr/>
      </w:pPr>
      <w:r>
        <w:rPr>
          <w:rFonts w:ascii="Times New Roman;serif" w:hAnsi="Times New Roman;serif"/>
          <w:b/>
          <w:color w:val="000000"/>
          <w:sz w:val="24"/>
        </w:rPr>
        <w:t>7.1    </w:t>
      </w:r>
      <w:r>
        <w:rPr>
          <w:rFonts w:ascii="Times New Roman;serif" w:hAnsi="Times New Roman;serif"/>
          <w:b/>
          <w:color w:val="000000"/>
          <w:sz w:val="24"/>
          <w:u w:val="single"/>
        </w:rPr>
        <w:t>Condition of the Leased Property</w:t>
      </w:r>
      <w:r>
        <w:rPr>
          <w:rFonts w:ascii="Times New Roman;serif" w:hAnsi="Times New Roman;serif"/>
          <w:b w:val="false"/>
          <w:color w:val="000000"/>
          <w:sz w:val="24"/>
        </w:rPr>
        <w:t xml:space="preserve">. Tenant acknowledges receipt and delivery of possession of the Leased Property and confirms that Tenant has examined and otherwise has knowledge of the condition of the Leased Property prior to the execution and delivery of this Master Lease and has found the same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w:t>
      </w:r>
      <w:r>
        <w:rPr>
          <w:rFonts w:ascii="Times New Roman;serif" w:hAnsi="Times New Roman;serif"/>
          <w:b/>
          <w:color w:val="000000"/>
          <w:sz w:val="24"/>
        </w:rPr>
        <w:t>LANDLORD MAKES NO WARRANTY OR REPRESENTATION, EXPRESS OR IMPLIED, IN RESPECT OF THE LEASED PROPERTY OR ANY PART THEREOF, INCLUDING AS TO ITS FITNESS FOR USE, DESIGN OR CONDITION FOR ANY PARTICULAR USE OR PURPOSE OR OTHERWISE, OR AS TO THE NATURE OR QUALITY OF THE MATERIAL OR WORKMANSHIP THEREIN, OR THE EXISTENCE OF ANY HAZARDOUS SUBSTANCE, IT BEING AGREED THAT ALL SUCH RISKS, LATENT OR PATENT, ARE TO BE BORNE SOLELY BY TENANT INCLUDING ALL RESPONSIBILITY AND LIABILITY FOR ANY ENVIRONMENTAL REMEDIATION AND COMPLIANCE WITH ALL ENVIRONMENTAL LAWS.</w:t>
      </w:r>
    </w:p>
    <w:p>
      <w:pPr>
        <w:pStyle w:val="TextBody"/>
        <w:bidi w:val="0"/>
        <w:spacing w:lineRule="auto" w:line="288" w:before="0" w:after="240"/>
        <w:ind w:left="0" w:right="0" w:firstLine="720"/>
        <w:jc w:val="both"/>
        <w:rPr/>
      </w:pPr>
      <w:r>
        <w:rPr>
          <w:rFonts w:ascii="Times New Roman;serif" w:hAnsi="Times New Roman;serif"/>
          <w:b/>
          <w:color w:val="000000"/>
          <w:sz w:val="24"/>
        </w:rPr>
        <w:t>7.2    </w:t>
      </w:r>
      <w:r>
        <w:rPr>
          <w:rFonts w:ascii="Times New Roman;serif" w:hAnsi="Times New Roman;serif"/>
          <w:b/>
          <w:color w:val="000000"/>
          <w:sz w:val="24"/>
          <w:u w:val="single"/>
        </w:rPr>
        <w:t>Use of the Leased Property</w:t>
      </w:r>
      <w:r>
        <w:rPr>
          <w:rFonts w:ascii="Times New Roman;serif" w:hAnsi="Times New Roman;serif"/>
          <w:b w:val="false"/>
          <w:color w:val="000000"/>
          <w:sz w:val="24"/>
        </w:rPr>
        <w:t>. (a) Tenant shall use or cause to be used the Leased Property and the improvements thereon of each Facility for its Primary Intended Use in accordance with the Operating Standard. Tenant shall not use or permit the use of the Leased Property or any portion thereof or any Capital Improvement thereto for any other use without the prior written consent of Landlord, which consent Landlord may not unreasonably withhold, condition or delay. Landlord acknowledges that operation of each Gaming Facility for its Primary Intended Use generally requires a Gaming License under applicable Gaming Regulations and that without such a license neither Landlord nor any Affiliate of Landlord may operate, control or participate in the conduct of a Gaming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(except in connection with any use, or change of use, permitted pursuant to </w:t>
      </w:r>
      <w:r>
        <w:rPr>
          <w:rFonts w:ascii="Times New Roman;serif" w:hAnsi="Times New Roman;serif"/>
          <w:b/>
          <w:color w:val="000000"/>
          <w:sz w:val="24"/>
        </w:rPr>
        <w:t>Section 7.2(a)</w:t>
      </w:r>
      <w:r>
        <w:rPr>
          <w:color w:val="000000"/>
        </w:rPr>
        <w:t xml:space="preserve"> </w:t>
      </w:r>
      <w:r>
        <w:rPr>
          <w:rFonts w:ascii="Times New Roman;serif" w:hAnsi="Times New Roman;serif"/>
          <w:b w:val="false"/>
          <w:color w:val="000000"/>
          <w:sz w:val="24"/>
        </w:rPr>
        <w:t>above or in connection with a Facility (or any portion thereof) that is not and has not been operated as a Gaming Facility) after the expiration or earlier termination of the Term.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Tenant shall neither suffer nor permit the Leased Property or any portion thereof to be used in such a manner as (i) would reasonably be expected to impair Landlord’s title thereto or to any portion thereof or (ii) would reasonably be expected to result in a claim of adverse use or possession, or an implied dedication of the Leased Property or any portion thereof.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Except as a result of a Casualty Event or for the duration of an Unavoidable Delay or, with respect to a Facility undergoing a Landlord Approved Construction/Closure Project, for the duration of  the period in which Tenant is prosecuting such Landlord Approved Construction/Closure Project, Tenant shall continuously operate each of the Facilities for the Primary Intended Use in accordance with the Operating Standard. Notwithstanding the foregoing, Tenant in its discretion may elect to permanently or temporarily cease operations at any of the Facilities if (i) in Tenant’s reasonable discretion, such cessation would not reasonably be expected to have a material adverse effect on Tenant, the Facilities, or on the Leased Property, taken as a whole, or (ii) at the time of such Voluntary Cessation, the EBITDAR to Rent Ratio, calculated on a pro forma basis as if the Facility(ies) for which operations are to be terminated were not included in EBITDAR, for the trailing twelve (12) month period is not less than 1.9:1 (any cessation of operations under clause (i) above or this clause (ii), a “</w:t>
      </w:r>
      <w:r>
        <w:rPr>
          <w:rFonts w:ascii="Times New Roman;serif" w:hAnsi="Times New Roman;serif"/>
          <w:b/>
          <w:color w:val="000000"/>
          <w:sz w:val="24"/>
        </w:rPr>
        <w:t>Voluntary Cessation</w:t>
      </w:r>
      <w:r>
        <w:rPr>
          <w:color w:val="000000"/>
        </w:rPr>
        <w:t>”</w:t>
      </w:r>
      <w:r>
        <w:rPr>
          <w:rFonts w:ascii="Times New Roman;serif" w:hAnsi="Times New Roman;serif"/>
          <w:b w:val="false"/>
          <w:color w:val="000000"/>
          <w:sz w:val="24"/>
        </w:rPr>
        <w:t>); provided, however, that to the extent any Voluntary Cessation exceeds and is continuing for more than a period of twelve (12) consecutive months, Landlord may provide written notice to Tenant (the “</w:t>
      </w:r>
      <w:r>
        <w:rPr>
          <w:rFonts w:ascii="Times New Roman;serif" w:hAnsi="Times New Roman;serif"/>
          <w:b/>
          <w:color w:val="000000"/>
          <w:sz w:val="24"/>
        </w:rPr>
        <w:t>Voluntary Termination Notice</w:t>
      </w:r>
      <w:r>
        <w:rPr>
          <w:color w:val="000000"/>
        </w:rPr>
        <w:t>”</w:t>
      </w:r>
      <w:r>
        <w:rPr>
          <w:rFonts w:ascii="Times New Roman;serif" w:hAnsi="Times New Roman;serif"/>
          <w:b w:val="false"/>
          <w:color w:val="000000"/>
          <w:sz w:val="24"/>
        </w:rPr>
        <w:t>) of Landlord’s intent to exercise Landlord’s right to terminate Tenant’s Leasehold Interest in this Master Lease as set forth below with respect to only the Facility for which the Voluntary Cessation has occurred and, as a condition to any such termination, contemporaneously therewith enter into a new lease for such facility (a “</w:t>
      </w:r>
      <w:r>
        <w:rPr>
          <w:rFonts w:ascii="Times New Roman;serif" w:hAnsi="Times New Roman;serif"/>
          <w:b/>
          <w:color w:val="000000"/>
          <w:sz w:val="24"/>
        </w:rPr>
        <w:t>Replacement Lease</w:t>
      </w:r>
      <w:r>
        <w:rPr>
          <w:color w:val="000000"/>
        </w:rPr>
        <w:t>”</w:t>
      </w:r>
      <w:r>
        <w:rPr>
          <w:rFonts w:ascii="Times New Roman;serif" w:hAnsi="Times New Roman;serif"/>
          <w:b w:val="false"/>
          <w:color w:val="000000"/>
          <w:sz w:val="24"/>
        </w:rPr>
        <w:t>) with a bona fide third party (a “</w:t>
      </w:r>
      <w:r>
        <w:rPr>
          <w:rFonts w:ascii="Times New Roman;serif" w:hAnsi="Times New Roman;serif"/>
          <w:b/>
          <w:color w:val="000000"/>
          <w:sz w:val="24"/>
        </w:rPr>
        <w:t>Replacement Tenant</w:t>
      </w:r>
      <w:r>
        <w:rPr>
          <w:color w:val="000000"/>
        </w:rPr>
        <w:t>”</w:t>
      </w:r>
      <w:r>
        <w:rPr>
          <w:rFonts w:ascii="Times New Roman;serif" w:hAnsi="Times New Roman;serif"/>
          <w:b w:val="false"/>
          <w:color w:val="000000"/>
          <w:sz w:val="24"/>
        </w:rPr>
        <w:t>) at a commercially reasonable rent (giving due consideration to the fact that such Facility has been closed and is not operational) (“</w:t>
      </w:r>
      <w:r>
        <w:rPr>
          <w:rFonts w:ascii="Times New Roman;serif" w:hAnsi="Times New Roman;serif"/>
          <w:b/>
          <w:color w:val="000000"/>
          <w:sz w:val="24"/>
        </w:rPr>
        <w:t>Landlord’s Termination Right</w:t>
      </w:r>
      <w:r>
        <w:rPr>
          <w:color w:val="000000"/>
        </w:rPr>
        <w:t>”</w:t>
      </w:r>
      <w:r>
        <w:rPr>
          <w:rFonts w:ascii="Times New Roman;serif" w:hAnsi="Times New Roman;serif"/>
          <w:b w:val="false"/>
          <w:color w:val="000000"/>
          <w:sz w:val="24"/>
        </w:rPr>
        <w:t>); provided further, that effective upon such termination, Rent under this Master Lease will be reduced by the amount of Rent required to be paid by such third party to the Landlord pursuant to such Replacement Lease. Notwithstanding the foregoing, Rent under this Master Lease will remain unchanged except as specifically set forth in the proviso of the preceding sentence (and, for the avoidance of doubt, solely in the event of a Replacement Lease). Notwithstanding the foregoing, if Landlord delivers a Voluntary Termination Notice to Tenant in accordance with the above, Tenant may within thirty (30) days after receipt of the Voluntary Termination Notice, provide notice to Landlord that Tenant intends to again operate the Facility in question (“</w:t>
      </w:r>
      <w:r>
        <w:rPr>
          <w:rFonts w:ascii="Times New Roman;serif" w:hAnsi="Times New Roman;serif"/>
          <w:b/>
          <w:color w:val="000000"/>
          <w:sz w:val="24"/>
        </w:rPr>
        <w:t>Tenant’s Notice of Intent</w:t>
      </w:r>
      <w:r>
        <w:rPr>
          <w:color w:val="000000"/>
        </w:rPr>
        <w:t>”</w:t>
      </w:r>
      <w:r>
        <w:rPr>
          <w:rFonts w:ascii="Times New Roman;serif" w:hAnsi="Times New Roman;serif"/>
          <w:b w:val="false"/>
          <w:color w:val="000000"/>
          <w:sz w:val="24"/>
        </w:rPr>
        <w:t>) and (x) if Tenant does thereafter commence operation of the Facility in question prior to the date that is sixty (60) days after the delivery to Landlord of Tenant’s Notice of Intent (“</w:t>
      </w:r>
      <w:r>
        <w:rPr>
          <w:rFonts w:ascii="Times New Roman;serif" w:hAnsi="Times New Roman;serif"/>
          <w:b/>
          <w:color w:val="000000"/>
          <w:sz w:val="24"/>
        </w:rPr>
        <w:t xml:space="preserve">Tenant’s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Recommencement Period</w:t>
      </w:r>
      <w:r>
        <w:rPr>
          <w:color w:val="000000"/>
        </w:rPr>
        <w:t>”</w:t>
      </w:r>
      <w:r>
        <w:rPr>
          <w:rFonts w:ascii="Times New Roman;serif" w:hAnsi="Times New Roman;serif"/>
          <w:b w:val="false"/>
          <w:color w:val="000000"/>
          <w:sz w:val="24"/>
        </w:rPr>
        <w:t>), and continues to operate such Facility for at least ninety (90) consecutive days in accordance with the terms of this Master Lease, then Landlord’s Termination Right shall not apply and (y) if Tenant does not thereafter commence operation of the Facility in question prior to the expiration of Tenant’s Recommencement Period, or does commence operation during Tenant’s Recommencement Period but does not continue to operate for such 90-day period, then Landlord shall have the right to exercise Landlord’s Termination Right provided that Landlord and Replacement Tenant enter into a binding agreement for the execution and delivery by Landlord and Replacement Tenant of a Replacement Lease within four (4) years following the expiration of Tenant’s Recommencement Period (such 4-year period, the “</w:t>
      </w:r>
      <w:r>
        <w:rPr>
          <w:rFonts w:ascii="Times New Roman;serif" w:hAnsi="Times New Roman;serif"/>
          <w:b/>
          <w:color w:val="000000"/>
          <w:sz w:val="24"/>
        </w:rPr>
        <w:t>Re-tenanting Period</w:t>
      </w:r>
      <w:r>
        <w:rPr>
          <w:color w:val="000000"/>
        </w:rPr>
        <w:t>”</w:t>
      </w:r>
      <w:r>
        <w:rPr>
          <w:rFonts w:ascii="Times New Roman;serif" w:hAnsi="Times New Roman;serif"/>
          <w:b w:val="false"/>
          <w:color w:val="000000"/>
          <w:sz w:val="24"/>
        </w:rPr>
        <w:t>) and thereafter consummate the closing and enter into the Replacement Lease no later than one (1) year after execution and delivery of such binding agreement (such 1-year period, the “</w:t>
      </w:r>
      <w:r>
        <w:rPr>
          <w:rFonts w:ascii="Times New Roman;serif" w:hAnsi="Times New Roman;serif"/>
          <w:b/>
          <w:color w:val="000000"/>
          <w:sz w:val="24"/>
        </w:rPr>
        <w:t>Replacement Lease Closing Period</w:t>
      </w:r>
      <w:r>
        <w:rPr>
          <w:color w:val="000000"/>
        </w:rPr>
        <w:t>”</w:t>
      </w:r>
      <w:r>
        <w:rPr>
          <w:rFonts w:ascii="Times New Roman;serif" w:hAnsi="Times New Roman;serif"/>
          <w:b w:val="false"/>
          <w:color w:val="000000"/>
          <w:sz w:val="24"/>
        </w:rPr>
        <w:t xml:space="preserve">), failing which, Landlord shall no longer be permitted to exercise Landlord’s Termination Right with respect to the Voluntary Cessation in question without first delivering a Voluntary Termination Notice to Tenant and providing Tenant with the rights set forth above in connection therewith. For purposes of clarity, (1) under no circumstances shall any termination of this Master Lease with respect to a Facility pursuant to this </w:t>
      </w:r>
      <w:r>
        <w:rPr>
          <w:rFonts w:ascii="Times New Roman;serif" w:hAnsi="Times New Roman;serif"/>
          <w:b/>
          <w:color w:val="000000"/>
          <w:sz w:val="24"/>
        </w:rPr>
        <w:t>Section 7.2(d)</w:t>
      </w:r>
      <w:r>
        <w:rPr>
          <w:color w:val="000000"/>
        </w:rPr>
        <w:t xml:space="preserve"> </w:t>
      </w:r>
      <w:r>
        <w:rPr>
          <w:rFonts w:ascii="Times New Roman;serif" w:hAnsi="Times New Roman;serif"/>
          <w:b w:val="false"/>
          <w:color w:val="000000"/>
          <w:sz w:val="24"/>
        </w:rPr>
        <w:t xml:space="preserve">become effective unless a Replacement Lease is executed and delivered contemporaneously therewith, and (2) if Tenant reopens a Facility as described in clause (x) of this </w:t>
      </w:r>
      <w:r>
        <w:rPr>
          <w:rFonts w:ascii="Times New Roman;serif" w:hAnsi="Times New Roman;serif"/>
          <w:b/>
          <w:color w:val="000000"/>
          <w:sz w:val="24"/>
        </w:rPr>
        <w:t>Section 7.2(d)</w:t>
      </w:r>
      <w:r>
        <w:rPr>
          <w:color w:val="000000"/>
        </w:rPr>
        <w:t xml:space="preserve"> </w:t>
      </w:r>
      <w:r>
        <w:rPr>
          <w:rFonts w:ascii="Times New Roman;serif" w:hAnsi="Times New Roman;serif"/>
          <w:b w:val="false"/>
          <w:color w:val="000000"/>
          <w:sz w:val="24"/>
        </w:rPr>
        <w:t xml:space="preserve">and continues to operate such Facility for at least ninety (90) consecutive days in accordance with the terms of this Master Lease, but thereafter, ceases operations at such Facility for more than a period of twelve (12) consecutive months, then, Landlord may provide another Voluntary Termination Notice to Tenant pursuant to this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Without limitation of any other provisions of this Lease, Tenant shall comply in all material respects with all Property Documents and Landlord shall reasonably cooperate with Tenant (at Tenant’s sole cost and expense) to the extent necessary for Tenant to so comply.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Upon Landlord’s reasonable request from time to time, but not more frequently than once each year, Tenant shall provide Landlord with copies of any final third-party surveys, environmental, engineering, zoning, seismic or property condition reports (other than any which are subject to privilege) obtained by Tenant or any Operating Subtenant with respect to the Leased Property.</w:t>
      </w:r>
    </w:p>
    <w:p>
      <w:pPr>
        <w:pStyle w:val="TextBody"/>
        <w:bidi w:val="0"/>
        <w:spacing w:lineRule="auto" w:line="288" w:before="0" w:after="240"/>
        <w:ind w:left="0" w:right="0" w:firstLine="720"/>
        <w:jc w:val="both"/>
        <w:rPr/>
      </w:pPr>
      <w:r>
        <w:rPr>
          <w:rFonts w:ascii="Times New Roman;serif" w:hAnsi="Times New Roman;serif"/>
          <w:b/>
          <w:color w:val="000000"/>
          <w:sz w:val="24"/>
        </w:rPr>
        <w:t>7.3    </w:t>
      </w:r>
      <w:r>
        <w:rPr>
          <w:rFonts w:ascii="Times New Roman;serif" w:hAnsi="Times New Roman;serif"/>
          <w:b/>
          <w:color w:val="000000"/>
          <w:sz w:val="24"/>
          <w:u w:val="single"/>
        </w:rPr>
        <w:t>Other Facilities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Subject to compliance with the provisions of </w:t>
      </w:r>
      <w:r>
        <w:rPr>
          <w:rFonts w:ascii="Times New Roman;serif" w:hAnsi="Times New Roman;serif"/>
          <w:b/>
          <w:color w:val="000000"/>
          <w:sz w:val="24"/>
        </w:rPr>
        <w:t>Section 7.4</w:t>
      </w:r>
      <w:r>
        <w:rPr>
          <w:rFonts w:ascii="Times New Roman;serif" w:hAnsi="Times New Roman;serif"/>
          <w:b w:val="false"/>
          <w:color w:val="000000"/>
          <w:sz w:val="24"/>
        </w:rPr>
        <w:t xml:space="preserve">, nothing contained in this Master Lease shall restrict Tenant’s or any Tenant’s Affiliates’ ability to develop, acquire, operate or sell any new Gaming Facilities (or any other property) which are not owned or operated by Tenant as of the Commencement Date and not subject to this Master Lease.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Landlord and Tenant acknowledge and agree that any Operating Subtenant or other affiliate of Tenant’s Parent may in the future develop the property adjacent to the Empire Facility (the “</w:t>
      </w:r>
      <w:r>
        <w:rPr>
          <w:rFonts w:ascii="Times New Roman;serif" w:hAnsi="Times New Roman;serif"/>
          <w:b/>
          <w:color w:val="000000"/>
          <w:sz w:val="24"/>
        </w:rPr>
        <w:t>Empire Adjacent Property</w:t>
      </w:r>
      <w:r>
        <w:rPr>
          <w:color w:val="000000"/>
        </w:rPr>
        <w:t>”</w:t>
      </w:r>
      <w:r>
        <w:rPr>
          <w:rFonts w:ascii="Times New Roman;serif" w:hAnsi="Times New Roman;serif"/>
          <w:b w:val="false"/>
          <w:color w:val="000000"/>
          <w:sz w:val="24"/>
        </w:rPr>
        <w:t xml:space="preserve">) such that the Empire Adjacent Property is integrated with the Empire Facility, and Landlord agrees to reasonably cooperate, upon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Tenant and at no out-of-pocket expense to Landlord, in any such development, including remapping of the Empire Facility, entering into restricted declarations and easements and approving any applications and site plans necessary in connection therewith.</w:t>
      </w:r>
    </w:p>
    <w:p>
      <w:pPr>
        <w:pStyle w:val="TextBody"/>
        <w:bidi w:val="0"/>
        <w:spacing w:lineRule="auto" w:line="288" w:before="0" w:after="240"/>
        <w:ind w:left="0" w:right="0" w:firstLine="720"/>
        <w:jc w:val="both"/>
        <w:rPr/>
      </w:pPr>
      <w:r>
        <w:rPr>
          <w:rFonts w:ascii="Times New Roman;serif" w:hAnsi="Times New Roman;serif"/>
          <w:b/>
          <w:color w:val="000000"/>
          <w:sz w:val="24"/>
        </w:rPr>
        <w:t>7.4    </w:t>
      </w:r>
      <w:r>
        <w:rPr>
          <w:rFonts w:ascii="Times New Roman;serif" w:hAnsi="Times New Roman;serif"/>
          <w:b/>
          <w:color w:val="000000"/>
          <w:sz w:val="24"/>
          <w:u w:val="single"/>
        </w:rPr>
        <w:t>Landlord ROFO</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u w:val="single"/>
        </w:rPr>
        <w:t>Landlord’s Right to Purchase Additional Empire Facility</w:t>
      </w:r>
      <w:r>
        <w:rPr>
          <w:rFonts w:ascii="Times New Roman;serif" w:hAnsi="Times New Roman;serif"/>
          <w:b/>
          <w:color w:val="000000"/>
          <w:sz w:val="24"/>
        </w:rPr>
        <w:t xml:space="preserve">. </w:t>
      </w:r>
      <w:r>
        <w:rPr>
          <w:rFonts w:ascii="Times New Roman;serif" w:hAnsi="Times New Roman;serif"/>
          <w:b w:val="false"/>
          <w:color w:val="000000"/>
          <w:sz w:val="24"/>
        </w:rPr>
        <w:t>Tenant agrees that during the Term, neither Tenant nor any of its Affiliates shall sell any portion of the Empire Adjacent Property on which Tenant shall have constructed gaming facilities (the “</w:t>
      </w:r>
      <w:r>
        <w:rPr>
          <w:rFonts w:ascii="Times New Roman;serif" w:hAnsi="Times New Roman;serif"/>
          <w:b/>
          <w:color w:val="000000"/>
          <w:sz w:val="24"/>
        </w:rPr>
        <w:t>Additional Empire Facility</w:t>
      </w:r>
      <w:r>
        <w:rPr>
          <w:color w:val="000000"/>
        </w:rPr>
        <w:t>”</w:t>
      </w:r>
      <w:r>
        <w:rPr>
          <w:rFonts w:ascii="Times New Roman;serif" w:hAnsi="Times New Roman;serif"/>
          <w:b w:val="false"/>
          <w:color w:val="000000"/>
          <w:sz w:val="24"/>
        </w:rPr>
        <w:t>) unless Tenant shall first offer Landlord the opportunity to purchase the Additional Empire Facility to be sold and, if consistent with the Sale Offer (as defined below), include the Additional Empire Facility as a Leased Property under this Master Lease, on the terms described herein below. In the event that Tenant intends to sell the Additional Empire Facility, Tenant shall deliver a notice to Landlord (a “</w:t>
      </w:r>
      <w:r>
        <w:rPr>
          <w:rFonts w:ascii="Times New Roman;serif" w:hAnsi="Times New Roman;serif"/>
          <w:b/>
          <w:color w:val="000000"/>
          <w:sz w:val="24"/>
        </w:rPr>
        <w:t>Sale Offer Notice</w:t>
      </w:r>
      <w:r>
        <w:rPr>
          <w:color w:val="000000"/>
        </w:rPr>
        <w:t>”</w:t>
      </w:r>
      <w:r>
        <w:rPr>
          <w:rFonts w:ascii="Times New Roman;serif" w:hAnsi="Times New Roman;serif"/>
          <w:b w:val="false"/>
          <w:color w:val="000000"/>
          <w:sz w:val="24"/>
        </w:rPr>
        <w:t>) indicating the price and other material terms under which Tenant would agree to sell the Additional Empire Facility (including, if applicable, as determined by Tenant in its sole discretion, the terms under which Tenant would agree to lease the Additional Empire Facility from a purchaser) (a “</w:t>
      </w:r>
      <w:r>
        <w:rPr>
          <w:rFonts w:ascii="Times New Roman;serif" w:hAnsi="Times New Roman;serif"/>
          <w:b/>
          <w:color w:val="000000"/>
          <w:sz w:val="24"/>
        </w:rPr>
        <w:t>Sale Offer</w:t>
      </w:r>
      <w:r>
        <w:rPr>
          <w:color w:val="000000"/>
        </w:rPr>
        <w:t>”</w:t>
      </w:r>
      <w:r>
        <w:rPr>
          <w:rFonts w:ascii="Times New Roman;serif" w:hAnsi="Times New Roman;serif"/>
          <w:b w:val="false"/>
          <w:color w:val="000000"/>
          <w:sz w:val="24"/>
        </w:rPr>
        <w:t xml:space="preserve">). Within thirty (30) days of Landlord’s receipt of a Sale Offer Notice, Landlord shall notify Tenant as to whether Landlord intends to offer to purchase the Additional Empire Facility and on what terms. If Landlord shall offer to purchase the Additional Empire Facility subject to the Sale Offer for at least one hundred and five percent (105%) of the purchase price contained in the Sale Offer on an all cash basis (and, if applicable, on the same rental terms and other lease terms as the Sale Offer), Tenant shall sell the Additional Empire Facility subject to the Sale Offer to Landlord for such cash price and subject to the remaining terms set forth in the Sale Offer within sixty (60) days of Landlord’s receipt of the Sale Offer Notice, or such longer period of time as may reasonably be required to the extent necessary to comply with </w:t>
      </w:r>
      <w:r>
        <w:rPr>
          <w:rFonts w:ascii="Times New Roman;serif" w:hAnsi="Times New Roman;serif"/>
          <w:b/>
          <w:color w:val="000000"/>
          <w:sz w:val="24"/>
        </w:rPr>
        <w:t>Section 41.13</w:t>
      </w:r>
      <w:r>
        <w:rPr>
          <w:color w:val="000000"/>
        </w:rPr>
        <w:t xml:space="preserve"> </w:t>
      </w:r>
      <w:r>
        <w:rPr>
          <w:rFonts w:ascii="Times New Roman;serif" w:hAnsi="Times New Roman;serif"/>
          <w:b w:val="false"/>
          <w:color w:val="000000"/>
          <w:sz w:val="24"/>
        </w:rPr>
        <w:t xml:space="preserve">or as otherwise necessary to comply with Gaming Regulations. If Landlord shall indicate its willingness to purchase the Additional Empire Facility but shall offer less than one hundred and five percent (105%) of the purchase price stated in the Sale Offer (or shall otherwise not agree to any of the remaining material terms contained in the Sale Offer), the parties shall attempt to negotiate, in each party’s sole discretion, the terms and conditions upon which such sale would be effected. Should Landlord notify Tenant that Landlord does not intend to purchase the Additional Empire Facility subject to the Sale Offer (or should Landlord decline to notify Tenant of its affirmative response within such thirty (30) day period), or if the parties fail for any reason to reach agreement on the terms under which Landlord would acquire the Additional Empire Facility subject to the Sale Offer, in any event, within thirty (30) days after Landlord’s receipt of the Sale Office Notice, then Tenant shall have no further obligation to sell or offer to sell the Additional Empire Facility subject to the Sale Offer to Landlord and Tenant may freely sell the Additional Empire Facility subject to the Sale Offer to any third-party for no less than the purchase price contained in, and otherwise on terms not substantially more favorable to such third-party than the terms contained in, the Sale Offer. If Landlord purchases the Additional Empire Facility from Tenant and the Sale Offer or other terms agreed between Landlord and Tenant provide for Tenant to lease, from Landlord, the Additional Empire Facility, then the Additional Empire Facility shall become part of the Empire Facility hereunder, and this Master Lease shall be amended, including amending the Rent, in accordance with such terms set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forth in the Sale Offer or as otherwise agreed between Landlord and Tenant; provided that such amendments shall be consistent with the parties’ intent that this Master Lease shall be treated as a “true lease” as further described in </w:t>
      </w:r>
      <w:r>
        <w:rPr>
          <w:rFonts w:ascii="Times New Roman;serif" w:hAnsi="Times New Roman;serif"/>
          <w:b/>
          <w:color w:val="000000"/>
          <w:sz w:val="24"/>
        </w:rPr>
        <w:t>Section 6.1(a)(iii)</w:t>
      </w:r>
      <w:r>
        <w:rPr>
          <w:rFonts w:ascii="Times New Roman;serif" w:hAnsi="Times New Roman;serif"/>
          <w:b w:val="false"/>
          <w:color w:val="000000"/>
          <w:sz w:val="24"/>
        </w:rPr>
        <w:t xml:space="preserve">. In no event shall Landlord’s rights under this </w:t>
      </w:r>
      <w:r>
        <w:rPr>
          <w:rFonts w:ascii="Times New Roman;serif" w:hAnsi="Times New Roman;serif"/>
          <w:b/>
          <w:color w:val="000000"/>
          <w:sz w:val="24"/>
        </w:rPr>
        <w:t>Section 7.4(a)</w:t>
      </w:r>
      <w:r>
        <w:rPr>
          <w:color w:val="000000"/>
        </w:rPr>
        <w:t xml:space="preserve"> </w:t>
      </w:r>
      <w:r>
        <w:rPr>
          <w:rFonts w:ascii="Times New Roman;serif" w:hAnsi="Times New Roman;serif"/>
          <w:b w:val="false"/>
          <w:color w:val="000000"/>
          <w:sz w:val="24"/>
        </w:rPr>
        <w:t>be assignable to any other Person and such rights may only be exercised by Landlord.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u w:val="single"/>
        </w:rPr>
        <w:t>No Other Restrictions</w:t>
      </w:r>
      <w:r>
        <w:rPr>
          <w:rFonts w:ascii="Times New Roman;serif" w:hAnsi="Times New Roman;serif"/>
          <w:b/>
          <w:color w:val="000000"/>
          <w:sz w:val="24"/>
        </w:rPr>
        <w:t xml:space="preserve">. </w:t>
      </w:r>
      <w:r>
        <w:rPr>
          <w:rFonts w:ascii="Times New Roman;serif" w:hAnsi="Times New Roman;serif"/>
          <w:b w:val="false"/>
          <w:color w:val="000000"/>
          <w:sz w:val="24"/>
        </w:rPr>
        <w:t xml:space="preserve">Notwithstanding anything to the contrary in this </w:t>
      </w:r>
      <w:r>
        <w:rPr>
          <w:rFonts w:ascii="Times New Roman;serif" w:hAnsi="Times New Roman;serif"/>
          <w:b/>
          <w:color w:val="000000"/>
          <w:sz w:val="24"/>
        </w:rPr>
        <w:t>Section 7.4</w:t>
      </w:r>
      <w:r>
        <w:rPr>
          <w:rFonts w:ascii="Times New Roman;serif" w:hAnsi="Times New Roman;serif"/>
          <w:b w:val="false"/>
          <w:color w:val="000000"/>
          <w:sz w:val="24"/>
        </w:rPr>
        <w:t xml:space="preserve">, Landlord shall not have any right to purchase, nor shall Tenant have any obligation to make any offer to Landlord pursuant to this </w:t>
      </w:r>
      <w:r>
        <w:rPr>
          <w:rFonts w:ascii="Times New Roman;serif" w:hAnsi="Times New Roman;serif"/>
          <w:b/>
          <w:color w:val="000000"/>
          <w:sz w:val="24"/>
        </w:rPr>
        <w:t>Section 7.4</w:t>
      </w:r>
      <w:r>
        <w:rPr>
          <w:color w:val="000000"/>
        </w:rPr>
        <w:t xml:space="preserve"> </w:t>
      </w:r>
      <w:r>
        <w:rPr>
          <w:rFonts w:ascii="Times New Roman;serif" w:hAnsi="Times New Roman;serif"/>
          <w:b w:val="false"/>
          <w:color w:val="000000"/>
          <w:sz w:val="24"/>
        </w:rPr>
        <w:t xml:space="preserve">in connection with, any Property other than the Additional Empire Facility and in accordance with the terms of </w:t>
      </w:r>
      <w:r>
        <w:rPr>
          <w:rFonts w:ascii="Times New Roman;serif" w:hAnsi="Times New Roman;serif"/>
          <w:b/>
          <w:color w:val="000000"/>
          <w:sz w:val="24"/>
        </w:rPr>
        <w:t>Article X</w:t>
      </w:r>
      <w:r>
        <w:rPr>
          <w:rFonts w:ascii="Times New Roman;serif" w:hAnsi="Times New Roman;serif"/>
          <w:b w:val="false"/>
          <w:color w:val="000000"/>
          <w:sz w:val="24"/>
        </w:rPr>
        <w:t>). Further, neither Landlord nor Tenant shall be restricted from participating in opportunities, including, without limitation, developing, building, purchasing or operating Gaming Facilities or any other property or asset, at any time; provided, however, that in no event shall Landlord at any time during the Term own or operate any Gaming Facility (other than holding the lessor’s interest pursuant to a triple net lease, or otherwise with the consent of Tenant, which consent Tenant may withhold in Tenant’s sole discretion).</w:t>
      </w:r>
    </w:p>
    <w:p>
      <w:pPr>
        <w:pStyle w:val="TextBody"/>
        <w:bidi w:val="0"/>
        <w:spacing w:lineRule="auto" w:line="288" w:before="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br/>
        <w:t>COMPLIANCE WITH LAW; GROUND LEASES</w:t>
      </w:r>
    </w:p>
    <w:p>
      <w:pPr>
        <w:pStyle w:val="TextBody"/>
        <w:bidi w:val="0"/>
        <w:spacing w:lineRule="auto" w:line="288" w:before="0" w:after="240"/>
        <w:ind w:left="0" w:right="0" w:firstLine="720"/>
        <w:jc w:val="both"/>
        <w:rPr/>
      </w:pPr>
      <w:r>
        <w:rPr>
          <w:rFonts w:ascii="Times New Roman;serif" w:hAnsi="Times New Roman;serif"/>
          <w:b/>
          <w:color w:val="000000"/>
          <w:sz w:val="24"/>
        </w:rPr>
        <w:t>8.1    </w:t>
      </w:r>
      <w:r>
        <w:rPr>
          <w:rFonts w:ascii="Times New Roman;serif" w:hAnsi="Times New Roman;serif"/>
          <w:b/>
          <w:color w:val="000000"/>
          <w:sz w:val="24"/>
          <w:u w:val="single"/>
        </w:rPr>
        <w:t>Representations and Warranties</w:t>
      </w:r>
      <w:r>
        <w:rPr>
          <w:rFonts w:ascii="Times New Roman;serif" w:hAnsi="Times New Roman;serif"/>
          <w:b w:val="false"/>
          <w:color w:val="000000"/>
          <w:sz w:val="24"/>
        </w:rPr>
        <w:t xml:space="preserve">. Each party represents and warrants to the other that: (i) this Master Lease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Master Lease within the State(s) where any portion of the Leased Property is located; and (iii) neither this Master Lease nor any other document executed or to be executed in connection herewith violates the terms of any other agreement of such party. </w:t>
      </w:r>
    </w:p>
    <w:p>
      <w:pPr>
        <w:pStyle w:val="TextBody"/>
        <w:bidi w:val="0"/>
        <w:spacing w:lineRule="auto" w:line="288" w:before="0" w:after="240"/>
        <w:ind w:left="0" w:right="0" w:firstLine="720"/>
        <w:jc w:val="both"/>
        <w:rPr/>
      </w:pPr>
      <w:r>
        <w:rPr>
          <w:rFonts w:ascii="Times New Roman;serif" w:hAnsi="Times New Roman;serif"/>
          <w:b/>
          <w:color w:val="000000"/>
          <w:sz w:val="24"/>
        </w:rPr>
        <w:t>8.2    </w:t>
      </w:r>
      <w:r>
        <w:rPr>
          <w:rFonts w:ascii="Times New Roman;serif" w:hAnsi="Times New Roman;serif"/>
          <w:b/>
          <w:color w:val="000000"/>
          <w:sz w:val="24"/>
          <w:u w:val="single"/>
        </w:rPr>
        <w:t>Compliance with Legal and Insurance Requirements, etc</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Subject to </w:t>
      </w:r>
      <w:r>
        <w:rPr>
          <w:rFonts w:ascii="Times New Roman;serif" w:hAnsi="Times New Roman;serif"/>
          <w:b/>
          <w:color w:val="000000"/>
          <w:sz w:val="24"/>
        </w:rPr>
        <w:t>Article XII</w:t>
      </w:r>
      <w:r>
        <w:rPr>
          <w:color w:val="000000"/>
        </w:rPr>
        <w:t xml:space="preserve"> </w:t>
      </w:r>
      <w:r>
        <w:rPr>
          <w:rFonts w:ascii="Times New Roman;serif" w:hAnsi="Times New Roman;serif"/>
          <w:b w:val="false"/>
          <w:color w:val="000000"/>
          <w:sz w:val="24"/>
        </w:rPr>
        <w:t xml:space="preserve">regarding permitted contests, Tenant, at its expense, shall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which is not being reasonably addressed by Tenant or in the event of a breach by Tenant of its obligations under this </w:t>
      </w:r>
      <w:r>
        <w:rPr>
          <w:rFonts w:ascii="Times New Roman;serif" w:hAnsi="Times New Roman;serif"/>
          <w:b/>
          <w:color w:val="000000"/>
          <w:sz w:val="24"/>
        </w:rPr>
        <w:t>Section 8.2</w:t>
      </w:r>
      <w:r>
        <w:rPr>
          <w:color w:val="000000"/>
        </w:rPr>
        <w:t xml:space="preserve"> </w:t>
      </w:r>
      <w:r>
        <w:rPr>
          <w:rFonts w:ascii="Times New Roman;serif" w:hAnsi="Times New Roman;serif"/>
          <w:b w:val="false"/>
          <w:color w:val="000000"/>
          <w:sz w:val="24"/>
        </w:rPr>
        <w:t xml:space="preserve">which is not cured within any applicable cure period, Landlord or its representatives may, but shall not be obligated to,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all Legal Requirements and the rights of subtenants, enter upon the Leased Property and take such reasonable actions and incur such reasonable costs and expenses to effect such compliance as it reasonably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Gaming Authority notifies Tenant or an Operating Subtenant that Tenant or such Operating Subtenant is in jeopardy of either failing to comply with any such Gaming Regulation or failing to maintain a Gaming License and such failure is material to this Master Lease or the continued operation of a Facility for its Primary Intended Use, and, assuming no Event of Default has occurred and is continuing, Tenant shall be given reasonable time to address (or cause such Operating Subtenant to address) the regulatory issue (in all events, no less than the amount of time provided by the applicable Gaming Authority to address the regulatory issue), after which period (but in all events prior to an actual revocation of such Gaming License or the actual cessation of the use of the Facility for its Primary Intended Use), Tenant shall take (or shall cause such Operating Subtenant to take) reasonable steps to avoid the loss of such Gaming License or the actual cessation of the use of the Facility for its Primary Intended Use (subject to the provisions of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Landlord shall comply in all material respects with any Gaming Regulations required of it as landlord (under this Master Lease) of the Facilities taking into account their Primary Intended Use (except to the extent Tenant fulfills or is required to fulfill any such requirements hereunder). In the event that a Gaming Authority notifies Landlord that it is in jeopardy of failing to comply with any such Gaming Regulation material to the continued operation of a Facility for its Primary Intended Use, Landlord shall be given reasonable time to address the regulatory issue (in all events, no less than the amount of time provided by the applicable Gaming Authority to address the regulatory issue), after which period (but in all events prior to an actual cessation of the use of any Facility for its Primary Intended Use as a result of the failure by Landlord to comply with such Gaming Regulation) Landlord shall be required to sell the Leased Property relating to such Facility in a manner permitted by </w:t>
      </w:r>
      <w:r>
        <w:rPr>
          <w:rFonts w:ascii="Times New Roman;serif" w:hAnsi="Times New Roman;serif"/>
          <w:b/>
          <w:color w:val="000000"/>
          <w:sz w:val="24"/>
        </w:rPr>
        <w:t>Section 18.1</w:t>
      </w:r>
      <w:r>
        <w:rPr>
          <w:rFonts w:ascii="Times New Roman;serif" w:hAnsi="Times New Roman;serif"/>
          <w:b w:val="false"/>
          <w:color w:val="000000"/>
          <w:sz w:val="24"/>
        </w:rPr>
        <w:t>. In the event during the period in which Landlord is complying with the preceding sentence,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shall be effected or permitted without receipt of all necessary approvals and/or Gaming Licenses in accordance with applicable Gaming Regulations.</w:t>
      </w:r>
    </w:p>
    <w:p>
      <w:pPr>
        <w:pStyle w:val="TextBody"/>
        <w:bidi w:val="0"/>
        <w:spacing w:lineRule="auto" w:line="288" w:before="0" w:after="240"/>
        <w:ind w:left="0" w:right="0" w:firstLine="720"/>
        <w:jc w:val="both"/>
        <w:rPr/>
      </w:pPr>
      <w:r>
        <w:rPr>
          <w:rFonts w:ascii="Times New Roman;serif" w:hAnsi="Times New Roman;serif"/>
          <w:b/>
          <w:color w:val="000000"/>
          <w:sz w:val="24"/>
        </w:rPr>
        <w:t>8.3    </w:t>
      </w:r>
      <w:r>
        <w:rPr>
          <w:rFonts w:ascii="Times New Roman;serif" w:hAnsi="Times New Roman;serif"/>
          <w:b/>
          <w:color w:val="000000"/>
          <w:sz w:val="24"/>
          <w:u w:val="single"/>
        </w:rPr>
        <w:t>Zoning and Uses</w:t>
      </w:r>
      <w:r>
        <w:rPr>
          <w:rFonts w:ascii="Times New Roman;serif" w:hAnsi="Times New Roman;serif"/>
          <w:b w:val="false"/>
          <w:color w:val="000000"/>
          <w:sz w:val="24"/>
        </w:rPr>
        <w:t xml:space="preserve">. Tenant shall not, without the prior written consent of Landlord, (i) initiate or support any limiting change in the permitted uses of the Leased Property (or to the extent applicable, limiting zoning reclassification of the Leased Property); (ii) seek any variance, material waiver or material deviation under existing land use restrictions, laws, rules or regulations (or, to the extent applicable, zoning ordinances) applicable to the Leased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(iii) execute or file any subdivision plat affecting the Leased Property, or institute, or permit the institution of, proceedings to alter any tax lot comprising the Leased Property; or (iv) knowingly permit or suffer the Leased Property to be used by the public or any Person in such a manner as might make possible a claim of adverse usage or possession or of any implied dedication or easement; provided, however, that Landlord’s approval with respect to any matter described in the preceding clauses (i) – (iii) shall not be unreasonably withheld, conditioned or delayed unless the same is reasonably likely to materially adversely affect the Primary Intended Use of the Leased Property in which event Landlord may withhold its consent in Landlord’s sole discretion, and further; provided, that Tenant or any Operating Subtenant may enter into any matter described in clause (i)-(ii) above if the same and any effect on the Facility is limited in duration to the Term (including all Renewal Terms) or earlier termination of this Master Lease. In addition, Landlord agrees to, at Tenant’s sole cost and expense, reasonably cooperate with Tenant (or any Operating Subtenant) and all applicable authorities in connection with the foregoing clauses (i)-(iv), including the provision and execution of such documents and other information as may be reasonably requested by Tenant or such authorities relating to the Leased Property and which are within Landlord’s reasonable control to obtain and provide. </w:t>
      </w:r>
    </w:p>
    <w:p>
      <w:pPr>
        <w:pStyle w:val="TextBody"/>
        <w:bidi w:val="0"/>
        <w:spacing w:lineRule="auto" w:line="288" w:before="0" w:after="240"/>
        <w:ind w:left="0" w:right="0" w:firstLine="720"/>
        <w:jc w:val="both"/>
        <w:rPr/>
      </w:pPr>
      <w:r>
        <w:rPr>
          <w:rFonts w:ascii="Times New Roman;serif" w:hAnsi="Times New Roman;serif"/>
          <w:b/>
          <w:color w:val="000000"/>
          <w:sz w:val="24"/>
        </w:rPr>
        <w:t>8.4    </w:t>
      </w:r>
      <w:r>
        <w:rPr>
          <w:rFonts w:ascii="Times New Roman;serif" w:hAnsi="Times New Roman;serif"/>
          <w:b/>
          <w:color w:val="000000"/>
          <w:sz w:val="24"/>
          <w:u w:val="single"/>
        </w:rPr>
        <w:t>Compliance with Ground Leases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This Master Lease, to the extent affecting and solely with respect to any Ground Leased Property, is and shall be subject and subordinate to all of the terms and conditions of the Ground Leases. Tenant hereby acknowledges that Tenant has reviewed and agreed to all of the terms and conditions of the Ground Leases. Tenant hereby agrees that Tenant shall not do, or fail to do, anything that would cause any violation of the Ground Leases. Without limiting the foregoing, (i) Tenant shall pay Landlord on demand as an Additional Charge hereunder all rent required to be paid by, and other monetary obligations of, Landlord as tenant under the Ground Leases (and, at Landlord’s or Tenant’s option, Tenant shall make such payments directly to the Ground Lessors); provided, however, such Additional Charges payable by Tenant shall exclude any additional costs under the Ground Leases which are caused solely by Landlord after the Commencement Date without consent or fault of or omission by Tenant, (ii) to the extent Landlord is required to obtain the written consent of the lessor under any Ground Lease (a “</w:t>
      </w:r>
      <w:r>
        <w:rPr>
          <w:rFonts w:ascii="Times New Roman;serif" w:hAnsi="Times New Roman;serif"/>
          <w:b/>
          <w:color w:val="000000"/>
          <w:sz w:val="24"/>
        </w:rPr>
        <w:t>Ground Lessor</w:t>
      </w:r>
      <w:r>
        <w:rPr>
          <w:color w:val="000000"/>
        </w:rPr>
        <w:t>”</w:t>
      </w:r>
      <w:r>
        <w:rPr>
          <w:rFonts w:ascii="Times New Roman;serif" w:hAnsi="Times New Roman;serif"/>
          <w:b w:val="false"/>
          <w:color w:val="000000"/>
          <w:sz w:val="24"/>
        </w:rPr>
        <w:t xml:space="preserve">) to alterations of or the subleasing of all or any portion of the Ground Leased Property pursuant to a Ground Lease, Tenant shall likewise obtain such Ground Lessor’s written consent to alterations of or the subleasing of all or any portion of the Ground Leased Property, and (iii) Tenant shall carry and maintain general liability, automobile liability, property and casualty, worker’s compensation and employer’s liability insurance in amounts and with policy provisions, coverages and certificates as required of Landlord as tenant under the Ground Leases. Without limitation of the preceding sentence or of any other rights or remedies of Landlord hereunder, in the event Tenant fails to comply with its obligations hereunder with respect to Ground Leases (without giving effect to any notice or cure periods thereunder), Landlord shall have the right (but without any obligation to Tenant or any liability for failure to exercise such right), following written notice to Tenant and the passage of a reasonable period of time (except to the extent the failure is of a nature such that it is not practicable for Landlord to provide such prior written notice, in which event Landlord shall provide written notice as soon as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practicable) to cure such failure, in which event Tenant shall reimburse Landlord for Landlord’s reasonable costs and expenses incurred in connection with curing such failure.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In the event of cancellation or termination of a Ground Lease for any reason whatsoever whether voluntary or involuntary (by operation of law or otherwise) prior to the expiration date of this Master Lease, including extensions and renewals granted thereunder, then, at the applicable Ground Lessor’s option, Tenant shall make full and complete attornment to such Ground Lessor with respect to the obligations of Landlord to such Ground Lessor in connection with the applicable Ground Leased Property for the balance of the term of such Ground Lease (notwithstanding that this Master Lease shall have expired with respect to such Ground Leased Property as a result of the cancellation or termination of such Ground Lease). Tenant’s attornment shall be evidenced by a written agreement which shall provide that Tenant is in direct privity of contract with such Ground Lessor (i.e., that all obligations previously owed to Landlord under this Master Lease with respect to such Ground Lease or such Ground Leased Property shall be obligations owed to such Ground Lessor for the balance of the term of this Master Lease, notwithstanding that this Master Lease shall have expired with respect to such Ground Leased Property as a result of the cancellation or termination of such Ground Lease) and which shall otherwise be in form and substance reasonably satisfactory to such Ground Lessor. Tenant shall execute and deliver such written attornment within thirty (30) days after request by such Ground Lessor. Unless and until such time as an attornment agreement is executed by Tenant pursuant to this </w:t>
      </w:r>
      <w:r>
        <w:rPr>
          <w:rFonts w:ascii="Times New Roman;serif" w:hAnsi="Times New Roman;serif"/>
          <w:b/>
          <w:color w:val="000000"/>
          <w:sz w:val="24"/>
        </w:rPr>
        <w:t>Section 8.4(b)</w:t>
      </w:r>
      <w:r>
        <w:rPr>
          <w:rFonts w:ascii="Times New Roman;serif" w:hAnsi="Times New Roman;serif"/>
          <w:b w:val="false"/>
          <w:color w:val="000000"/>
          <w:sz w:val="24"/>
        </w:rPr>
        <w:t>, nothing contained in this Master Lease shall create, or be construed as creating, any privity of contract or privity of estate between any Ground Lessor and Tenant.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For so long as the property leased under any Ground Lease is part of the Leased Property, Landlord and Tenant each agree to cooperate and take any actions reasonably necessary to extend the term of any such Ground Lease so that such Ground Lease does not expire prior to the expiration of the Term. In addition, to the extent requested by Landlord, and at no cost or expense to Tenant, Tenant shall cooperate with Landlord and take any actions reasonably necessary to extend the term of such Ground Lease beyond such period set forth in the preceding sentence. Landlord shall (a) not amend or modify any of the terms of any Ground Lease without the prior written consent of Tenant and (b) at the request of Tenant, Landlord shall enter into any amendments to any Ground Lease requested by Tenant so long as such amendments would not reasonably be expected to materially increase Landlord’s monetary obligations under such Ground Lease or materially affect Landlord’s rights or remedies under this Master Lease or such Ground 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Nothing contained in this Master Lease amends, or shall be construed to amend, any provision of the Ground Leases.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(i)    Tenant shall have the right to take any and all actions and make all decisions which Lessee (as such term is defined in the Springfield Ground Lease) has the right to take or do under the Springfield Ground Lease; provided, that Tenant shall not take any action or make any decision to the extent Tenant is prohibited from taking such action or decision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the terms of this Master Lease. Landlord shall reasonably cooperate with Tenant with respect to all such actions and decisions.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Landlord (which, for the avoidance of doubt, includes its successors and assigns) agrees that, subject to its rights and the limitations in clause (iv) below and </w:t>
      </w:r>
      <w:r>
        <w:rPr>
          <w:rFonts w:ascii="Times New Roman;serif" w:hAnsi="Times New Roman;serif"/>
          <w:b/>
          <w:color w:val="000000"/>
          <w:sz w:val="24"/>
        </w:rPr>
        <w:t>Section 1.5</w:t>
      </w:r>
      <w:r>
        <w:rPr>
          <w:color w:val="000000"/>
        </w:rPr>
        <w:t xml:space="preserve"> </w:t>
      </w:r>
      <w:r>
        <w:rPr>
          <w:rFonts w:ascii="Times New Roman;serif" w:hAnsi="Times New Roman;serif"/>
          <w:b w:val="false"/>
          <w:color w:val="000000"/>
          <w:sz w:val="24"/>
        </w:rPr>
        <w:t>above, it shall at all times continue to own and control one hundred percent (100%) of the ownership interests in MGM Springfield ReDevelopment, LLC, a Massachusetts 121A limited liability company (the “</w:t>
      </w:r>
      <w:r>
        <w:rPr>
          <w:rFonts w:ascii="Times New Roman;serif" w:hAnsi="Times New Roman;serif"/>
          <w:b/>
          <w:color w:val="000000"/>
          <w:sz w:val="24"/>
        </w:rPr>
        <w:t>121A Entity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(iii)    Upon a cancellation, expiration or termination of the Springfield Ground Lease for any reason whatsoever, Landlord shall and shall cause the 121A Entity, and Tenant shall have the right to require Landlord and the 121A Entity, to lease to Tenant all of Landlord’s right, title, and interest in and to Springfield, including, without limitation, the fee simple interest in Springfield pursuant to all of the same terms and conditions of this Master Lease and without any adjustment to the Rent or other terms of this Master Lease or other consideration.  Upon any such event, Landlord and Tenant will reasonably enter into an amendment to this Master Lease to reflect the foregoing and the addition of Springfield fee interest to this Master Lease.  Such amendment shall be effective as of the date of cancellation, expiration or termination of the Springfield Ground Lease.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(iv)    Landlord agrees that it shall not sell, assign or transfer (a) all or any portion of its leasehold interest in the Springfield Ground Lease to any party without simultaneously selling, assigning or transferring its interest in the 121A Entity (i.e., its indirect fee interests in Springfield) to such party or (b) all or any portion of its interest in the 121A Entity (i.e., its indirect fee interests in Springfield) to any party without simultaneously selling, assigning or transferring its leasehold interest in the Springfield Ground Lease to such party, both of which shall be transferred together as a unit. The provisions of this subsection (iv) shall be binding on any assignee or transferee of the Springfield Property and Landlord further agrees that it shall be a condition to any such assignment or transfer that any such assignee or transferee agrees to be bound by the provisions of this </w:t>
      </w:r>
      <w:r>
        <w:rPr>
          <w:rFonts w:ascii="Times New Roman;serif" w:hAnsi="Times New Roman;serif"/>
          <w:b/>
          <w:color w:val="000000"/>
          <w:sz w:val="24"/>
        </w:rPr>
        <w:t>Section 8.4(e).</w:t>
      </w:r>
    </w:p>
    <w:p>
      <w:pPr>
        <w:pStyle w:val="TextBody"/>
        <w:bidi w:val="0"/>
        <w:spacing w:lineRule="auto" w:line="288"/>
        <w:jc w:val="both"/>
        <w:rPr/>
      </w:pPr>
      <w:r>
        <w:rPr>
          <w:color w:val="000000"/>
        </w:rPr>
        <w:t>        </w:t>
      </w:r>
      <w:r>
        <w:rPr>
          <w:rFonts w:ascii="Times New Roman;serif" w:hAnsi="Times New Roman;serif"/>
          <w:b w:val="false"/>
          <w:color w:val="000000"/>
          <w:sz w:val="24"/>
        </w:rPr>
        <w:t>(f)    If, at the expiration of the Term of this Master Lease (but not in the event of any earlier termination of this Master Lease), Tenant’s Parent or any other Affiliate of Tenant is then a guarantor under any guaranty of the obligations of Landlord under the National Harbor Ground Lease (such guarantor being referred to as a “</w:t>
      </w:r>
      <w:r>
        <w:rPr>
          <w:rFonts w:ascii="Times New Roman;serif" w:hAnsi="Times New Roman;serif"/>
          <w:b/>
          <w:color w:val="000000"/>
          <w:sz w:val="24"/>
        </w:rPr>
        <w:t>Tenant NH Guarantor</w:t>
      </w:r>
      <w:r>
        <w:rPr>
          <w:color w:val="000000"/>
        </w:rPr>
        <w:t xml:space="preserve">” </w:t>
      </w:r>
      <w:r>
        <w:rPr>
          <w:rFonts w:ascii="Times New Roman;serif" w:hAnsi="Times New Roman;serif"/>
          <w:b w:val="false"/>
          <w:color w:val="000000"/>
          <w:sz w:val="24"/>
        </w:rPr>
        <w:t>and any such guaranty being referred to as a “</w:t>
      </w:r>
      <w:r>
        <w:rPr>
          <w:rFonts w:ascii="Times New Roman;serif" w:hAnsi="Times New Roman;serif"/>
          <w:b/>
          <w:color w:val="000000"/>
          <w:sz w:val="24"/>
        </w:rPr>
        <w:t>Tenant NH Guaranty</w:t>
      </w:r>
      <w:r>
        <w:rPr>
          <w:color w:val="000000"/>
        </w:rPr>
        <w:t>”</w:t>
      </w:r>
      <w:r>
        <w:rPr>
          <w:rFonts w:ascii="Times New Roman;serif" w:hAnsi="Times New Roman;serif"/>
          <w:b w:val="false"/>
          <w:color w:val="000000"/>
          <w:sz w:val="24"/>
        </w:rPr>
        <w:t>), Landlord shall use commercially reasonable efforts to cause the Tenant NH Guarantor to be fully and unconditionally released, in connection with the expiration of this Master Lease with respect to the National Harbor Facility and pursuant to a release agreement, in form and substance reasonably acceptable to Tenant NH Guarantor, from all future liabilities and obligations arising under or in connection with the Tenant NH Guaranty from and after the date of expiration of the Term of this Master Lease. Until such release (the “</w:t>
      </w:r>
      <w:r>
        <w:rPr>
          <w:rFonts w:ascii="Times New Roman;serif" w:hAnsi="Times New Roman;serif"/>
          <w:b/>
          <w:color w:val="000000"/>
          <w:sz w:val="24"/>
        </w:rPr>
        <w:t>NH Release</w:t>
      </w:r>
      <w:r>
        <w:rPr>
          <w:color w:val="000000"/>
        </w:rPr>
        <w:t>”</w:t>
      </w:r>
      <w:r>
        <w:rPr>
          <w:rFonts w:ascii="Times New Roman;serif" w:hAnsi="Times New Roman;serif"/>
          <w:b w:val="false"/>
          <w:color w:val="000000"/>
          <w:sz w:val="24"/>
        </w:rPr>
        <w:t xml:space="preserve">) is delivered to Tenant NH Guarantor, Landlord shall indemnify and hold Tenant NH Guarantor harmless from and against any and claims, losses, damages and expenses (including reasonable attorneys’ fees and expenses) incurred by Tenant NH Guarantor under or pursuant to the Tenant NH Guaranty; provided, however,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claims, losses, damages or expenses are not as a result of the actions of Tenant NH Guarantor, Tenant, Tenant’s Parent or any other Affiliate of Tenant, and such claims, losses, damages or expenses first accrue following the date of expiration of the Term of this Master Lease. Tenant NH Guarantor shall be a third party beneficiary of the provisions of this </w:t>
      </w:r>
      <w:r>
        <w:rPr>
          <w:rFonts w:ascii="Times New Roman;serif" w:hAnsi="Times New Roman;serif"/>
          <w:b/>
          <w:color w:val="000000"/>
          <w:sz w:val="24"/>
        </w:rPr>
        <w:t>Section 8.4(f)</w:t>
      </w:r>
      <w:r>
        <w:rPr>
          <w:rFonts w:ascii="Times New Roman;serif" w:hAnsi="Times New Roman;serif"/>
          <w:b w:val="false"/>
          <w:color w:val="000000"/>
          <w:sz w:val="24"/>
        </w:rPr>
        <w:t xml:space="preserve">. This </w:t>
      </w:r>
      <w:r>
        <w:rPr>
          <w:rFonts w:ascii="Times New Roman;serif" w:hAnsi="Times New Roman;serif"/>
          <w:b/>
          <w:color w:val="000000"/>
          <w:sz w:val="24"/>
        </w:rPr>
        <w:t>Section 8.4(f)</w:t>
      </w:r>
      <w:r>
        <w:rPr>
          <w:color w:val="000000"/>
        </w:rPr>
        <w:t xml:space="preserve"> </w:t>
      </w:r>
      <w:r>
        <w:rPr>
          <w:rFonts w:ascii="Times New Roman;serif" w:hAnsi="Times New Roman;serif"/>
          <w:b w:val="false"/>
          <w:color w:val="000000"/>
          <w:sz w:val="24"/>
        </w:rPr>
        <w:t>shall survive the expiration (but not any termination) of this Master Lease and shall not survive beyond the date of delivery to Tenant NH Guarantor of the NH Release.</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8.5    </w:t>
      </w:r>
      <w:r>
        <w:rPr>
          <w:rFonts w:ascii="Times New Roman;serif" w:hAnsi="Times New Roman;serif"/>
          <w:b/>
          <w:color w:val="000000"/>
          <w:sz w:val="24"/>
          <w:u w:val="single"/>
        </w:rPr>
        <w:t>Tax Agreements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Tenant shall have the right to cause Landlord to take any Facility Tax Action reasonably requested by Tenant, so long as such Facility Tax Action (i) would not reasonably be expected to increase (x) Landlord’s monetary obligations by more than a de minimis amount (which obligations are not otherwise Tenant’s obligations under this Master Lease) or (y) Landlord’s non-monetary obligations in any material respect, or adversely affect Landlord’s rights or remedies under this Master Lease in any material respect, (ii) is not intended or designed to (1) provide a benefit to an Affiliate of Tenant at the expense or to the detriment of the Facility or (subject to clause (3) below) without otherwise providing any substantially equivalent benefit to the Facility that is subject to such Facility Tax Action, (2) shift any obligation of Tenant to Landlord or any successor of Landlord or any successor of Tenant, or (3) inappropriately or unfairly, in Landlord’s reasonable discretion, discriminate against one or more Facilities, or (iii) would not reasonably be expected to result in an unfair increase in the obligations of Landlord or any successor of Landlord or any successor of Tenant with respect thereto (collectively, the “</w:t>
      </w:r>
      <w:r>
        <w:rPr>
          <w:rFonts w:ascii="Times New Roman;serif" w:hAnsi="Times New Roman;serif"/>
          <w:b/>
          <w:color w:val="000000"/>
          <w:sz w:val="24"/>
        </w:rPr>
        <w:t>Landlord Tax Agreement Refusal Conditions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(b)    Landlord shall enter into any Facility Tax Agreement(s) and/or any amendment(s) to a Facility Tax Agreement, in each case, reasonably requested by Tenant, so long as no Landlord Tax Agreement Refusal Condition exists. </w:t>
      </w:r>
    </w:p>
    <w:p>
      <w:pPr>
        <w:pStyle w:val="TextBody"/>
        <w:bidi w:val="0"/>
        <w:spacing w:lineRule="auto" w:line="288" w:before="0" w:after="240"/>
        <w:jc w:val="center"/>
        <w:rPr/>
      </w:pPr>
      <w:r>
        <w:rPr>
          <w:rFonts w:ascii="Times New Roman;serif" w:hAnsi="Times New Roman;serif"/>
          <w:b/>
          <w:color w:val="000000"/>
          <w:sz w:val="24"/>
        </w:rPr>
        <w:t>ARTICLE IX</w:t>
      </w:r>
      <w:r>
        <w:rPr>
          <w:rFonts w:ascii="Times New Roman;serif" w:hAnsi="Times New Roman;serif"/>
          <w:b/>
          <w:color w:val="000000"/>
          <w:sz w:val="24"/>
          <w:u w:val="single"/>
        </w:rPr>
        <w:br/>
        <w:br/>
        <w:t>MAINTENANCE AND REPAIR</w:t>
      </w:r>
    </w:p>
    <w:p>
      <w:pPr>
        <w:pStyle w:val="TextBody"/>
        <w:bidi w:val="0"/>
        <w:spacing w:lineRule="auto" w:line="288" w:before="0" w:after="240"/>
        <w:ind w:left="0" w:right="0" w:firstLine="720"/>
        <w:jc w:val="both"/>
        <w:rPr/>
      </w:pPr>
      <w:r>
        <w:rPr>
          <w:rFonts w:ascii="Times New Roman;serif" w:hAnsi="Times New Roman;serif"/>
          <w:b/>
          <w:color w:val="000000"/>
          <w:sz w:val="24"/>
        </w:rPr>
        <w:t>9.1    </w:t>
      </w:r>
      <w:r>
        <w:rPr>
          <w:rFonts w:ascii="Times New Roman;serif" w:hAnsi="Times New Roman;serif"/>
          <w:b/>
          <w:color w:val="000000"/>
          <w:sz w:val="24"/>
          <w:u w:val="single"/>
        </w:rPr>
        <w:t>Maintenance and Repair</w:t>
      </w:r>
      <w:r>
        <w:rPr>
          <w:rFonts w:ascii="Times New Roman;serif" w:hAnsi="Times New Roman;serif"/>
          <w:b w:val="false"/>
          <w:color w:val="000000"/>
          <w:sz w:val="24"/>
        </w:rPr>
        <w:t xml:space="preserve">. (a) Tenant, at its expense and without the prior consent of Landlord, shall maintain the Leased Property and every portion thereof, and all private roadways, sidewalks and curbs appurtenant to the Leased Property, and which are under Tenant’s or any subtenant’s control in reasonably good order and repair whether or not the need for such repairs occurs as a result of Tenant’s or any subtenant’s use, any prior use, the elements or the age of the Leased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Tenant shall maintain Tenant’s Property (except Intellectual Property which is subject to </w:t>
      </w:r>
      <w:r>
        <w:rPr>
          <w:rFonts w:ascii="Times New Roman;serif" w:hAnsi="Times New Roman;serif"/>
          <w:b/>
          <w:color w:val="000000"/>
          <w:sz w:val="24"/>
        </w:rPr>
        <w:t>Section 6.3</w:t>
      </w:r>
      <w:r>
        <w:rPr>
          <w:rFonts w:ascii="Times New Roman;serif" w:hAnsi="Times New Roman;serif"/>
          <w:b w:val="false"/>
          <w:color w:val="000000"/>
          <w:sz w:val="24"/>
        </w:rPr>
        <w:t xml:space="preserve">) as Tenant reasonably determines is necessary or desirable for conduct of the Primary Intended Use at the Facilities. Landlord acknowledges that the condition of the Facilities and the other matters described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first sentence of this </w:t>
      </w:r>
      <w:r>
        <w:rPr>
          <w:rFonts w:ascii="Times New Roman;serif" w:hAnsi="Times New Roman;serif"/>
          <w:b/>
          <w:color w:val="000000"/>
          <w:sz w:val="24"/>
        </w:rPr>
        <w:t xml:space="preserve">Section 9.1 </w:t>
      </w:r>
      <w:r>
        <w:rPr>
          <w:rFonts w:ascii="Times New Roman;serif" w:hAnsi="Times New Roman;serif"/>
          <w:b w:val="false"/>
          <w:color w:val="000000"/>
          <w:sz w:val="24"/>
        </w:rPr>
        <w:t xml:space="preserve">on the Commencement Date satisfies the requirements of this </w:t>
      </w:r>
      <w:r>
        <w:rPr>
          <w:rFonts w:ascii="Times New Roman;serif" w:hAnsi="Times New Roman;serif"/>
          <w:b/>
          <w:color w:val="000000"/>
          <w:sz w:val="24"/>
        </w:rPr>
        <w:t>Article IX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Subject to the specific provisions of </w:t>
      </w:r>
      <w:r>
        <w:rPr>
          <w:rFonts w:ascii="Times New Roman;serif" w:hAnsi="Times New Roman;serif"/>
          <w:b/>
          <w:color w:val="000000"/>
          <w:sz w:val="24"/>
        </w:rPr>
        <w:t>Section 41.15</w:t>
      </w:r>
      <w:r>
        <w:rPr>
          <w:rFonts w:ascii="Times New Roman;serif" w:hAnsi="Times New Roman;serif"/>
          <w:b w:val="false"/>
          <w:color w:val="000000"/>
          <w:sz w:val="24"/>
        </w:rPr>
        <w:t xml:space="preserve">, 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Tenant shall, upon the expiration or earlier termination of the Term, vacate and surrender the Leased Property (including all Capital Improvements, subject to the provisions of </w:t>
      </w:r>
      <w:r>
        <w:rPr>
          <w:rFonts w:ascii="Times New Roman;serif" w:hAnsi="Times New Roman;serif"/>
          <w:b/>
          <w:color w:val="000000"/>
          <w:sz w:val="24"/>
        </w:rPr>
        <w:t>Article X</w:t>
      </w:r>
      <w:r>
        <w:rPr>
          <w:rFonts w:ascii="Times New Roman;serif" w:hAnsi="Times New Roman;serif"/>
          <w:b w:val="false"/>
          <w:color w:val="000000"/>
          <w:sz w:val="24"/>
        </w:rPr>
        <w:t xml:space="preserve">), in each case with respect to such Facility, to Landlord in the condition in which such Leased Property was originally received from Landlord and Capital Improvements were originally introduced to such Facility, except as repaired, rebuilt, restored, altered or added to as permitted or required by the provisions of this Master Lease and except for ordinary wear and tear, subject to casualty and Condemnation as provided in </w:t>
      </w:r>
      <w:r>
        <w:rPr>
          <w:rFonts w:ascii="Times New Roman;serif" w:hAnsi="Times New Roman;serif"/>
          <w:b/>
          <w:color w:val="000000"/>
          <w:sz w:val="24"/>
        </w:rPr>
        <w:t>Article XIV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XV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Without limiting Tenant’s obligations to maintain the Leased Property and Tenant’s Property under this Master Lease, within sixty (60) days after the end of each calendar year (commencing with the calendar year ending December 31, 2022), Tenant shall provide Landlord with evidence satisfactory to Landlord in the reasonable exercise of Landlord’s discretion that Tenant has in such calendar year spent, with respect to the Leased Property and Tenant’s Property, an aggregate amount equal to at least one percent (1%) of the actual Net Revenue of Tenant Parties (without duplication) from the Facilities for such calendar year on installation or restoration and repair or other improvement of items, which installations, restorations and repairs and other improvements are capitalized in accordance with GAAP with an expected life of not less than three (3) years. If Tenant fails to make at least the above amount of expenditures and fails within sixty (60) days after receipt of a Notice from Landlord to either (i) cure such deficiency or (ii) obtain Landlord’s written approval, in its reasonable discretion,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 repair and maintenance program satisfactory to cure such deficiency, then the same shall be deemed a default hereunder. Net Revenue and expenditures satisfying the requirements of this </w:t>
      </w:r>
      <w:r>
        <w:rPr>
          <w:rFonts w:ascii="Times New Roman;serif" w:hAnsi="Times New Roman;serif"/>
          <w:b/>
          <w:color w:val="000000"/>
          <w:sz w:val="24"/>
        </w:rPr>
        <w:t>Section 9.1(e)</w:t>
      </w:r>
      <w:r>
        <w:rPr>
          <w:color w:val="000000"/>
        </w:rPr>
        <w:t xml:space="preserve"> </w:t>
      </w:r>
      <w:r>
        <w:rPr>
          <w:rFonts w:ascii="Times New Roman;serif" w:hAnsi="Times New Roman;serif"/>
          <w:b w:val="false"/>
          <w:color w:val="000000"/>
          <w:sz w:val="24"/>
        </w:rPr>
        <w:t>attributable to a removed Facility shall be included for purposes of the respective calculations under this section in respect of any period prior to the removal date of such removed Facility.</w:t>
      </w:r>
    </w:p>
    <w:p>
      <w:pPr>
        <w:pStyle w:val="TextBody"/>
        <w:bidi w:val="0"/>
        <w:spacing w:lineRule="auto" w:line="288" w:before="0" w:after="240"/>
        <w:ind w:left="0" w:right="0" w:firstLine="720"/>
        <w:jc w:val="both"/>
        <w:rPr/>
      </w:pPr>
      <w:r>
        <w:rPr>
          <w:rFonts w:ascii="Times New Roman;serif" w:hAnsi="Times New Roman;serif"/>
          <w:b/>
          <w:color w:val="000000"/>
          <w:sz w:val="24"/>
        </w:rPr>
        <w:t>9.2    </w:t>
      </w:r>
      <w:r>
        <w:rPr>
          <w:rFonts w:ascii="Times New Roman;serif" w:hAnsi="Times New Roman;serif"/>
          <w:b/>
          <w:color w:val="000000"/>
          <w:sz w:val="24"/>
          <w:u w:val="single"/>
        </w:rPr>
        <w:t>Encroachments, Restrictions, Mineral Leases, etc.</w:t>
      </w:r>
      <w:r>
        <w:rPr>
          <w:color w:val="000000"/>
        </w:rPr>
        <w:t xml:space="preserve"> </w:t>
      </w:r>
      <w:r>
        <w:rPr>
          <w:rFonts w:ascii="Times New Roman;serif" w:hAnsi="Times New Roman;serif"/>
          <w:b w:val="false"/>
          <w:color w:val="000000"/>
          <w:sz w:val="24"/>
        </w:rPr>
        <w:t xml:space="preserve">If any of the Leased Improvements shall, at any time, encroach 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subject to Tenant’s right to contest the existence of any such encroachment, violation or impairment, promptly upon the request of Landlord or any Person affected by any such encroachment, violation or impairment, Tenant shall protect, indemnify, save harmless and defend Landlord from and against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obligations under this </w:t>
      </w:r>
      <w:r>
        <w:rPr>
          <w:rFonts w:ascii="Times New Roman;serif" w:hAnsi="Times New Roman;serif"/>
          <w:b/>
          <w:color w:val="000000"/>
          <w:sz w:val="24"/>
        </w:rPr>
        <w:t>Section 9.2</w:t>
      </w:r>
      <w:r>
        <w:rPr>
          <w:color w:val="000000"/>
        </w:rPr>
        <w:t xml:space="preserve"> </w:t>
      </w:r>
      <w:r>
        <w:rPr>
          <w:rFonts w:ascii="Times New Roman;serif" w:hAnsi="Times New Roman;serif"/>
          <w:b w:val="false"/>
          <w:color w:val="000000"/>
          <w:sz w:val="24"/>
        </w:rPr>
        <w:t xml:space="preserve">shall be in addition to and shall in no way discharge or diminish any obligation of any insurer under any policy of title or other insurance and, to the extent the recovery thereof is not necessary to compensate Landlord for any damages incurred by any such encroachment, violation or impairment. Tenant shall be entitled to sums recovered by Landlord under any such policy of title or other insurance up to the maximum amount paid by Tenant under this </w:t>
      </w:r>
      <w:r>
        <w:rPr>
          <w:rFonts w:ascii="Times New Roman;serif" w:hAnsi="Times New Roman;serif"/>
          <w:b/>
          <w:color w:val="000000"/>
          <w:sz w:val="24"/>
        </w:rPr>
        <w:t>Section 9.2</w:t>
      </w:r>
      <w:r>
        <w:rPr>
          <w:color w:val="000000"/>
        </w:rPr>
        <w:t xml:space="preserve"> </w:t>
      </w:r>
      <w:r>
        <w:rPr>
          <w:rFonts w:ascii="Times New Roman;serif" w:hAnsi="Times New Roman;serif"/>
          <w:b w:val="false"/>
          <w:color w:val="000000"/>
          <w:sz w:val="24"/>
        </w:rPr>
        <w:t xml:space="preserve">and Landlord, upon request by Tenant, shall assign Landlord’s rights under such policies to Tenant; provided, such assignment does not adversely affect Landlord’s rights under any such policy.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w:t>
      </w:r>
      <w:r>
        <w:rPr>
          <w:rFonts w:ascii="Times New Roman;serif" w:hAnsi="Times New Roman;serif"/>
          <w:b/>
          <w:color w:val="000000"/>
          <w:sz w:val="24"/>
        </w:rPr>
        <w:t>Section 9.2</w:t>
      </w:r>
      <w:r>
        <w:rPr>
          <w:rFonts w:ascii="Times New Roman;serif" w:hAnsi="Times New Roman;serif"/>
          <w:b w:val="false"/>
          <w:color w:val="000000"/>
          <w:sz w:val="24"/>
        </w:rPr>
        <w:t xml:space="preserve">; provided, however, that in no event shall Landlord be obligated to institute any litigation, arbitration or other legal proceedings in connection therewith unless Landlord is reasonably satisfied that Tenant has the financial resources needed to fund such litigation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Tenant and Landlord have agreed upon the terms and conditions on which such funding will be made available by Tenant, including, but not limited to, the mutual approval of a litigation budget.</w:t>
      </w:r>
    </w:p>
    <w:p>
      <w:pPr>
        <w:pStyle w:val="TextBody"/>
        <w:bidi w:val="0"/>
        <w:spacing w:lineRule="auto" w:line="288" w:before="0" w:after="240"/>
        <w:jc w:val="center"/>
        <w:rPr/>
      </w:pPr>
      <w:r>
        <w:rPr>
          <w:rFonts w:ascii="Times New Roman;serif" w:hAnsi="Times New Roman;serif"/>
          <w:b/>
          <w:color w:val="000000"/>
          <w:sz w:val="24"/>
        </w:rPr>
        <w:t>ARTICLE X</w:t>
      </w:r>
      <w:r>
        <w:rPr>
          <w:rFonts w:ascii="Times New Roman;serif" w:hAnsi="Times New Roman;serif"/>
          <w:b/>
          <w:color w:val="000000"/>
          <w:sz w:val="24"/>
          <w:u w:val="single"/>
        </w:rPr>
        <w:br/>
        <w:br/>
        <w:t>CAPITAL IMPROVEMENTS</w:t>
      </w:r>
    </w:p>
    <w:p>
      <w:pPr>
        <w:pStyle w:val="TextBody"/>
        <w:bidi w:val="0"/>
        <w:spacing w:lineRule="auto" w:line="288" w:before="0" w:after="240"/>
        <w:ind w:left="0" w:right="0" w:firstLine="720"/>
        <w:jc w:val="left"/>
        <w:rPr/>
      </w:pPr>
      <w:r>
        <w:rPr>
          <w:rFonts w:ascii="Times New Roman;serif" w:hAnsi="Times New Roman;serif"/>
          <w:b/>
          <w:color w:val="000000"/>
          <w:sz w:val="24"/>
        </w:rPr>
        <w:t>10.1    </w:t>
      </w:r>
      <w:r>
        <w:rPr>
          <w:rFonts w:ascii="Times New Roman;serif" w:hAnsi="Times New Roman;serif"/>
          <w:b/>
          <w:color w:val="000000"/>
          <w:sz w:val="24"/>
          <w:u w:val="single"/>
        </w:rPr>
        <w:t>Construction of Capital Improvements to the Leased Property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Tenant and each Operating Subtenant shall, with respect to any Facility, have the right to make Capital Improvements, including, without limitation, any Capital Improvement required by </w:t>
      </w:r>
      <w:r>
        <w:rPr>
          <w:rFonts w:ascii="Times New Roman;serif" w:hAnsi="Times New Roman;serif"/>
          <w:b/>
          <w:color w:val="000000"/>
          <w:sz w:val="24"/>
        </w:rPr>
        <w:t>Section 8.2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9.1(a)</w:t>
      </w:r>
      <w:r>
        <w:rPr>
          <w:rFonts w:ascii="Times New Roman;serif" w:hAnsi="Times New Roman;serif"/>
          <w:b w:val="false"/>
          <w:color w:val="000000"/>
          <w:sz w:val="24"/>
        </w:rPr>
        <w:t>, without the consent of, or any notice to, Landlord if the Capital Improvement (i) does not involve the removal of any material existing structures (unless Tenant reasonably promptly proceeds to replace such removed structures with structures of at least reasonably comparable value or utility), (ii) does not have a material adverse effect on the structural integrity of any remaining Leased Improvements (other than as contemplated to be maintained or improved in connection with such Capital Improvement), (iii) is not reasonably likely to reduce the value of the Facility when completed, and (iv) is consistent with the Primary Intended Use; each of the foregoing (i)-(iv) as reasonably determined by Tenant. Any Capital Improvements described in the preceding sentence are referred to as, “</w:t>
      </w:r>
      <w:r>
        <w:rPr>
          <w:rFonts w:ascii="Times New Roman;serif" w:hAnsi="Times New Roman;serif"/>
          <w:b/>
          <w:color w:val="000000"/>
          <w:sz w:val="24"/>
        </w:rPr>
        <w:t>Permitted Capital Improvements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If Tenant or any subtenant desires to make a Capital Improvement that is not a Permitted Capital Improvement (a “</w:t>
      </w:r>
      <w:r>
        <w:rPr>
          <w:rFonts w:ascii="Times New Roman;serif" w:hAnsi="Times New Roman;serif"/>
          <w:b/>
          <w:color w:val="000000"/>
          <w:sz w:val="24"/>
        </w:rPr>
        <w:t>Landlord Approved Capital Improvement</w:t>
      </w:r>
      <w:r>
        <w:rPr>
          <w:color w:val="000000"/>
        </w:rPr>
        <w:t>”</w:t>
      </w:r>
      <w:r>
        <w:rPr>
          <w:rFonts w:ascii="Times New Roman;serif" w:hAnsi="Times New Roman;serif"/>
          <w:b w:val="false"/>
          <w:color w:val="000000"/>
          <w:sz w:val="24"/>
        </w:rPr>
        <w:t>),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All proposed Landlord Approved Capital Improvements shall be subject to Landlord’s review and approval, which approval shall not be unreasonably withheld, conditioned or delayed. It shall be reasonable for Landlord to condition its approval of any Capital Improvement upon, among other things, any or all of the following terms and conditions:</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    Such construction shall be effected pursuant to detailed plans and specifications approved by Landlord, which approval shall not be unreasonably withheld, conditioned or delayed; and</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(ii)    No Capital Improvement will result in the Leased Property becoming a “limited use” property for purposes of United States federal income taxes as of the date such Capital Improvement is placed in service. </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(iii)    All Capital Improvements will become Landlord’s property when made; provided, however, that the foregoing shall not affect the provisions of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11.1(b)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(iv)    Landlord’s receipt of reasonable evidence of Tenant’s or Tenant’s Parent’s ability to complete and pay the cost of such Capital Improvement, pay Rent and Additional Charges and otherwise comply with this Master Lease.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limitation of the foregoing, in connection with any Landlord Approved Construction/Closure Project, it shall be reasonable for Landlord to consider the effect that any ceasing of operations in connection therewith may have upon Tenant, the applicable Facility, the Facilities and the Leased Property.</w:t>
      </w:r>
    </w:p>
    <w:p>
      <w:pPr>
        <w:pStyle w:val="TextBody"/>
        <w:bidi w:val="0"/>
        <w:spacing w:lineRule="auto" w:line="288" w:before="0" w:after="240"/>
        <w:ind w:left="0" w:right="0" w:firstLine="720"/>
        <w:jc w:val="both"/>
        <w:rPr/>
      </w:pPr>
      <w:r>
        <w:rPr>
          <w:rFonts w:ascii="Times New Roman;serif" w:hAnsi="Times New Roman;serif"/>
          <w:b/>
          <w:color w:val="000000"/>
          <w:sz w:val="24"/>
        </w:rPr>
        <w:t>10.2    </w:t>
      </w:r>
      <w:r>
        <w:rPr>
          <w:rFonts w:ascii="Times New Roman;serif" w:hAnsi="Times New Roman;serif"/>
          <w:b/>
          <w:color w:val="000000"/>
          <w:sz w:val="24"/>
          <w:u w:val="single"/>
        </w:rPr>
        <w:t>Construction Requirements for Capital Improvements</w:t>
      </w:r>
      <w:r>
        <w:rPr>
          <w:rFonts w:ascii="Times New Roman;serif" w:hAnsi="Times New Roman;serif"/>
          <w:b w:val="false"/>
          <w:color w:val="000000"/>
          <w:sz w:val="24"/>
        </w:rPr>
        <w:t>. Tenant’s or any subtenant’s construction of Capital Improvements shall be performed in compliance with the following requirements which shall be applicable to Permitted Capital Improvements and Landlord Approved Capital Improvements except as indicated below: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Such construction shall not be commenced until 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provided, however, that (i) any such joinder shall be at no cost or expense to Landlord; and (ii) any plans required to be filed in connection with any such application in respect of any Landlord Approved Capital Improvements shall have been so approved by Landlord;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Such construction shall not impair the structural strength of any component of the applicable Facility or overburden the electrical, water, plumbing, HVAC or other building systems of any such component in a manner that would violate applicable building codes or prudent industry practices;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During and following completion of such construction, the parking and other amenities which are located in the applicable Facility or on the Land of such Facility shall remain adequate for the operation of such Facility for its Primary Intended Use and in no event shall such parking be less than that which is required by law (including any variances with respect thereto); provided, however, that to the extent additional parking is not already a part of a Capital Improvement, Tenant may construct additional parking on the Land in accordance with </w:t>
      </w:r>
      <w:r>
        <w:rPr>
          <w:rFonts w:ascii="Times New Roman;serif" w:hAnsi="Times New Roman;serif"/>
          <w:b/>
          <w:color w:val="000000"/>
          <w:sz w:val="24"/>
        </w:rPr>
        <w:t>Section 10.1(a)</w:t>
      </w:r>
      <w:r>
        <w:rPr>
          <w:rFonts w:ascii="Times New Roman;serif" w:hAnsi="Times New Roman;serif"/>
          <w:b w:val="false"/>
          <w:color w:val="000000"/>
          <w:sz w:val="24"/>
        </w:rPr>
        <w:t>; or Tenant may acquire off-site parking to serve such Facility as long as such parking shall be reasonably proximate to, and dedicated to, or otherwise made available to serve, such Facility;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All work done in connection with such construction shall be done as soon as reasonably practicable and using materials and resulting in work that is at least as good product and condition as the remaining areas of the applicable Facility and in conformity with all Legal Requirements, including, without limitation, any applicable non-discrimination laws;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Promptly following the completion of any Landlord Approved Capital Improvements only, Tenant shall deliver to Landlord “as built” drawings of such addition (or written confirmation from the relevant general contractor or architect that such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Improvement has been built in accordance with the plans and specifications), certified as accurate by the licensed architect or engineer selected by Tenant, and copies of any new or revised certificates of occupancy.</w:t>
      </w:r>
    </w:p>
    <w:p>
      <w:pPr>
        <w:pStyle w:val="TextBody"/>
        <w:bidi w:val="0"/>
        <w:spacing w:lineRule="auto" w:line="288" w:before="0" w:after="240"/>
        <w:ind w:left="0" w:right="0" w:firstLine="720"/>
        <w:jc w:val="left"/>
        <w:rPr/>
      </w:pPr>
      <w:r>
        <w:rPr>
          <w:rFonts w:ascii="Times New Roman;serif" w:hAnsi="Times New Roman;serif"/>
          <w:b/>
          <w:color w:val="000000"/>
          <w:sz w:val="24"/>
        </w:rPr>
        <w:t>10.3    </w:t>
      </w:r>
      <w:r>
        <w:rPr>
          <w:rFonts w:ascii="Times New Roman;serif" w:hAnsi="Times New Roman;serif"/>
          <w:b/>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10.4    </w:t>
      </w:r>
      <w:r>
        <w:rPr>
          <w:rFonts w:ascii="Times New Roman;serif" w:hAnsi="Times New Roman;serif"/>
          <w:b/>
          <w:color w:val="000000"/>
          <w:sz w:val="24"/>
          <w:u w:val="single"/>
        </w:rPr>
        <w:t>Ownership of Tenant Capital Improvements at end of Term</w:t>
      </w:r>
      <w:r>
        <w:rPr>
          <w:rFonts w:ascii="Times New Roman;serif" w:hAnsi="Times New Roman;serif"/>
          <w:b w:val="false"/>
          <w:color w:val="000000"/>
          <w:sz w:val="24"/>
        </w:rPr>
        <w:t>. Upon the expiration or earlier termination of this Master Lease, all Tenant Capital Improvements shall remain the property of Landlord.</w:t>
      </w:r>
    </w:p>
    <w:p>
      <w:pPr>
        <w:pStyle w:val="TextBody"/>
        <w:bidi w:val="0"/>
        <w:spacing w:lineRule="auto" w:line="288" w:before="0" w:after="240"/>
        <w:ind w:left="0" w:right="0" w:firstLine="720"/>
        <w:jc w:val="both"/>
        <w:rPr/>
      </w:pPr>
      <w:r>
        <w:rPr>
          <w:rFonts w:ascii="Times New Roman;serif" w:hAnsi="Times New Roman;serif"/>
          <w:b/>
          <w:color w:val="000000"/>
          <w:sz w:val="24"/>
        </w:rPr>
        <w:t>10.5    </w:t>
      </w:r>
      <w:r>
        <w:rPr>
          <w:rFonts w:ascii="Times New Roman;serif" w:hAnsi="Times New Roman;serif"/>
          <w:b/>
          <w:color w:val="000000"/>
          <w:sz w:val="24"/>
          <w:u w:val="single"/>
        </w:rPr>
        <w:t>Funding of Tenant Capital Improvements</w:t>
      </w:r>
      <w:r>
        <w:rPr>
          <w:rFonts w:ascii="Times New Roman;serif" w:hAnsi="Times New Roman;serif"/>
          <w:b w:val="false"/>
          <w:color w:val="000000"/>
          <w:sz w:val="24"/>
        </w:rPr>
        <w:t>. Landlord shall have the right, following a request from Tenant, to fund the cost of any proposed Tenant Capital Improvements on such arms-length terms and conditions as may be agreed to by Landlord and Tenant. In connection with any such funding, Landlord and Tenant may make agreed upon modifications to the Rent to reflect Landlord’s funding of the cost of such Tenant Capital Improvements.</w:t>
      </w:r>
    </w:p>
    <w:p>
      <w:pPr>
        <w:pStyle w:val="TextBody"/>
        <w:bidi w:val="0"/>
        <w:spacing w:lineRule="auto" w:line="288" w:before="0" w:after="240"/>
        <w:jc w:val="center"/>
        <w:rPr/>
      </w:pPr>
      <w:r>
        <w:rPr>
          <w:rFonts w:ascii="Times New Roman;serif" w:hAnsi="Times New Roman;serif"/>
          <w:b/>
          <w:color w:val="000000"/>
          <w:sz w:val="24"/>
        </w:rPr>
        <w:t>ARTICLE XI</w:t>
      </w:r>
      <w:r>
        <w:rPr>
          <w:rFonts w:ascii="Times New Roman;serif" w:hAnsi="Times New Roman;serif"/>
          <w:b/>
          <w:color w:val="000000"/>
          <w:sz w:val="24"/>
          <w:u w:val="single"/>
        </w:rPr>
        <w:br/>
        <w:br/>
        <w:t>NO LIENS</w:t>
      </w:r>
    </w:p>
    <w:p>
      <w:pPr>
        <w:pStyle w:val="TextBody"/>
        <w:bidi w:val="0"/>
        <w:spacing w:lineRule="auto" w:line="288" w:before="0" w:after="240"/>
        <w:ind w:left="0" w:right="0" w:firstLine="720"/>
        <w:jc w:val="both"/>
        <w:rPr/>
      </w:pPr>
      <w:r>
        <w:rPr>
          <w:rFonts w:ascii="Times New Roman;serif" w:hAnsi="Times New Roman;serif"/>
          <w:b/>
          <w:color w:val="000000"/>
          <w:sz w:val="24"/>
        </w:rPr>
        <w:t>11.1    </w:t>
      </w:r>
      <w:r>
        <w:rPr>
          <w:rFonts w:ascii="Times New Roman;serif" w:hAnsi="Times New Roman;serif"/>
          <w:b/>
          <w:color w:val="000000"/>
          <w:sz w:val="24"/>
          <w:u w:val="single"/>
        </w:rPr>
        <w:t>Liens</w:t>
      </w:r>
      <w:r>
        <w:rPr>
          <w:rFonts w:ascii="Times New Roman;serif" w:hAnsi="Times New Roman;serif"/>
          <w:b w:val="false"/>
          <w:color w:val="000000"/>
          <w:sz w:val="24"/>
        </w:rPr>
        <w:t xml:space="preserve">. (a) Subject to the provisions of </w:t>
      </w:r>
      <w:r>
        <w:rPr>
          <w:rFonts w:ascii="Times New Roman;serif" w:hAnsi="Times New Roman;serif"/>
          <w:b/>
          <w:color w:val="000000"/>
          <w:sz w:val="24"/>
        </w:rPr>
        <w:t>Article XII</w:t>
      </w:r>
      <w:r>
        <w:rPr>
          <w:color w:val="000000"/>
        </w:rPr>
        <w:t xml:space="preserve"> </w:t>
      </w:r>
      <w:r>
        <w:rPr>
          <w:rFonts w:ascii="Times New Roman;serif" w:hAnsi="Times New Roman;serif"/>
          <w:b w:val="false"/>
          <w:color w:val="000000"/>
          <w:sz w:val="24"/>
        </w:rPr>
        <w:t>relating to permitted contests, Tenant will not directly or indirectly create and will promptly discharge at its expense any lien, encumbrance, attachment, title retention agreement or claim (“</w:t>
      </w:r>
      <w:r>
        <w:rPr>
          <w:rFonts w:ascii="Times New Roman;serif" w:hAnsi="Times New Roman;serif"/>
          <w:b/>
          <w:color w:val="000000"/>
          <w:sz w:val="24"/>
        </w:rPr>
        <w:t>Lien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upon the Leased Property or any Capital Improvement thereto or upon the Gaming Licenses (including indirectly through a pledge of shares in the direct or indirect entity owning an interest in the Gaming Licenses except as permitted by </w:t>
      </w:r>
      <w:r>
        <w:rPr>
          <w:rFonts w:ascii="Times New Roman;serif" w:hAnsi="Times New Roman;serif"/>
          <w:b/>
          <w:color w:val="000000"/>
          <w:sz w:val="24"/>
        </w:rPr>
        <w:t>Article XVII</w:t>
      </w:r>
      <w:r>
        <w:rPr>
          <w:rFonts w:ascii="Times New Roman;serif" w:hAnsi="Times New Roman;serif"/>
          <w:b w:val="false"/>
          <w:color w:val="000000"/>
          <w:sz w:val="24"/>
        </w:rPr>
        <w:t xml:space="preserve">) or any attachment, levy, claim or encumbrance in respect of the Rent, excluding, however, (1) this Master Lease; (2) the matters that existed as of the Commencement Date (and any renewals of such existing matters that do not materially increase the scope of or amount secured by such Lien); (3) restrictions, liens and other encumbrances which are consented to in writing by Landlord (such consent not to be unreasonably withheld); (4) liens for Impositions which Tenant is not required to pay hereunder (if any); (5) subleases permitted by </w:t>
      </w:r>
      <w:r>
        <w:rPr>
          <w:rFonts w:ascii="Times New Roman;serif" w:hAnsi="Times New Roman;serif"/>
          <w:b/>
          <w:color w:val="000000"/>
          <w:sz w:val="24"/>
        </w:rPr>
        <w:t>Article XXII</w:t>
      </w:r>
      <w:r>
        <w:rPr>
          <w:rFonts w:ascii="Times New Roman;serif" w:hAnsi="Times New Roman;serif"/>
          <w:b w:val="false"/>
          <w:color w:val="000000"/>
          <w:sz w:val="24"/>
        </w:rPr>
        <w:t xml:space="preserve">; (6) liens for Impositions not yet delinquent or being contested in accordance with </w:t>
      </w:r>
      <w:r>
        <w:rPr>
          <w:rFonts w:ascii="Times New Roman;serif" w:hAnsi="Times New Roman;serif"/>
          <w:b/>
          <w:color w:val="000000"/>
          <w:sz w:val="24"/>
        </w:rPr>
        <w:t>Article XII</w:t>
      </w:r>
      <w:r>
        <w:rPr>
          <w:rFonts w:ascii="Times New Roman;serif" w:hAnsi="Times New Roman;serif"/>
          <w:b w:val="false"/>
          <w:color w:val="000000"/>
          <w:sz w:val="24"/>
        </w:rPr>
        <w:t xml:space="preserve">, provided, that no foreclosure or similar remedies with respect to such Impositions have been instituted and no notice as to the institution or commencement thereof has been issued except to the extent such institution or commencement is stayed no later than twenty (20) days after such notice is issued; (7) liens of mechanics, laborers, materialmen, suppliers or vendors for sums either disputed or not yet due; provided, any such liens are in the process of being contested as permitted by </w:t>
      </w:r>
      <w:r>
        <w:rPr>
          <w:rFonts w:ascii="Times New Roman;serif" w:hAnsi="Times New Roman;serif"/>
          <w:b/>
          <w:color w:val="000000"/>
          <w:sz w:val="24"/>
        </w:rPr>
        <w:t>Article XII</w:t>
      </w:r>
      <w:r>
        <w:rPr>
          <w:rFonts w:ascii="Times New Roman;serif" w:hAnsi="Times New Roman;serif"/>
          <w:b w:val="false"/>
          <w:color w:val="000000"/>
          <w:sz w:val="24"/>
        </w:rPr>
        <w:t xml:space="preserve">; (8) any liens created by Landlord; (9) liens related to equipment leases or equipment financing for Tenant’s Property which are used or useful in Tenant’s business on the Leased Property;(10)  liens granted as security for the obligations of Tenant under a Debt Agreement or completion guarantee; provided, however, in no event shall the foregoing be deemed or construed to permit Tenant to encumber its leasehold interest (or a subtenant to encumber its subleasehold interest) in the Leased Property or its direct or indirect interest (or the interest of any of its Subsidiaries or subtenants) in the Gaming Licenses (other than, in each case, to a Permitted Leasehold Mortgagee), without the prior written consent of Landlord, which consent may be granted or withheld in Landlord’s sole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discretion; (11)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with respect to any Facility, taken as a whole; (12) any Permitted Encumbrance not made in violation of this Lease; (13) licenses of patents, trademarks and other intellectual property rights granted by Tenant or any of its Subsidiaries in the ordinary course of business (14) other Liens securing Indebtedness outstanding in an aggregate principal amount of no more than Twenty-Five Million Dollars ($25,000,000) and (15) any matters which would not survive the Term or which may be terminated by Landlord (without cost to Landlord unless otherwise reimbursed by Tenant) upon termination of this Master Lease either pursuant to their terms or by operation of law. For the avoidance of doubt, the parties acknowledge and agree that Tenant has not granted any liens in favor of Landlord as security for its obligations hereunder and nothing contained herein shall be deemed or construed to prohibit the issuance of a lien on the Equity Interests in Tenant (it being agreed that any foreclosure by a lien holder on such interests in Tenant shall be subject to the restriction on Tenant Change of Control set forth in </w:t>
      </w:r>
      <w:r>
        <w:rPr>
          <w:rFonts w:ascii="Times New Roman;serif" w:hAnsi="Times New Roman;serif"/>
          <w:b/>
          <w:color w:val="000000"/>
          <w:sz w:val="24"/>
        </w:rPr>
        <w:t>Article XXII</w:t>
      </w:r>
      <w:r>
        <w:rPr>
          <w:rFonts w:ascii="Times New Roman;serif" w:hAnsi="Times New Roman;serif"/>
          <w:b w:val="false"/>
          <w:color w:val="000000"/>
          <w:sz w:val="24"/>
        </w:rPr>
        <w:t xml:space="preserve">) or to prohibit Tenant from pledging its Accounts and other Tenant’s Property and other property of Tenant (other than Tenant’s leasehold estate in the Leased Property to a Permitted Leasehold Mortgagee in accordance herewith), including fixtures and personal property installed by Tenant at the Facilities, as collateral in connection with financings from equipment lenders (or to Permitted Leasehold Mortgagees); provided, that Tenant shall in no event pledge to any Person that is not a Permitted Leasehold Mortgagee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 carpeting, internal wiring, elevators, or escalators at the Leased Property, but lien holders may have the right to remove (and Tenant shall have the right to grant a lien on) Gaming Equipment even if the removal thereof from the Leased Property could result in de minimis damage; provided, any such damage is repaired by the lien holder or Tenant in accordance with the terms of this Master Lease.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Master Lease is intended to constitute a “true lease” for all other purposes, including federal, state and local tax purposes, commercial purposes, and bankruptcy purposes and that Landlord shall be entitled to all the benefits of ownership of the Leased Property, including depreciation with respect to the Leased Property (but not with respect to any Tenant Capital Improvements, except as provided in the next sentence) for all federal, state and local tax purposes. Without prejudice to </w:t>
      </w:r>
      <w:r>
        <w:rPr>
          <w:rFonts w:ascii="Times New Roman;serif" w:hAnsi="Times New Roman;serif"/>
          <w:b/>
          <w:color w:val="000000"/>
          <w:sz w:val="24"/>
        </w:rPr>
        <w:t>Sections 10.1(b)(iii)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10.4</w:t>
      </w:r>
      <w:r>
        <w:rPr>
          <w:rFonts w:ascii="Times New Roman;serif" w:hAnsi="Times New Roman;serif"/>
          <w:b w:val="false"/>
          <w:color w:val="000000"/>
          <w:sz w:val="24"/>
        </w:rPr>
        <w:t xml:space="preserve">, Tenant shall be entitled to all benefits of ownership of any Tenant Capital Improvements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during the Term, including depreciation for all federal, state and local tax purposes, except to the extent of any Tenant Capital Improvements that are actually paid for by Landlord (it being understood that Landlord has no right or obligation to pay for any Tenant Capital Improvements). For the avoidance of doubt, the parties hereto acknowledge and agree that for all federal, state and local income tax purposes, the Park MGM Tenant Capital Improvements shall deemed to be the property of the Landlord and Landlord shall be entitled to all benefits of ownership of the Park MGM Tenant Capital Improvements, including depreciation.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At any time and from time to time upon the request of Landlord or Tenant, and at the expense of the requesting party, Tenant or Landlord, as applicable, shall promptly execute, acknowledge and deliver such further documents and do such other acts as the requesting party may reasonably request in order to effect fully this Master Lease or to more fully perfect or renew the rights of the requesting party with respect to the Leased Property. Upon the exercise by Landlord or Tenant of any power, right, privilege or remedy pursuant to this Master Lease which requires any consent, approval, recording, qualification or authorization of any governmental authority, Tenant or Landlord, as applicable, will execute and deliver, or will cause the execution and delivery of, all applications, certifications, instruments and other documents and papers that the exercising party may be required to obtain from such other party for such consent, approval, recording, qualification or authorization.</w:t>
      </w:r>
    </w:p>
    <w:p>
      <w:pPr>
        <w:pStyle w:val="TextBody"/>
        <w:bidi w:val="0"/>
        <w:spacing w:lineRule="auto" w:line="288" w:before="0" w:after="240"/>
        <w:ind w:left="0" w:right="0" w:firstLine="720"/>
        <w:jc w:val="both"/>
        <w:rPr/>
      </w:pPr>
      <w:r>
        <w:rPr>
          <w:rFonts w:ascii="Times New Roman;serif" w:hAnsi="Times New Roman;serif"/>
          <w:b/>
          <w:color w:val="000000"/>
          <w:sz w:val="24"/>
        </w:rPr>
        <w:t>11.2    </w:t>
      </w:r>
      <w:r>
        <w:rPr>
          <w:rFonts w:ascii="Times New Roman;serif" w:hAnsi="Times New Roman;serif"/>
          <w:b/>
          <w:color w:val="000000"/>
          <w:sz w:val="24"/>
          <w:u w:val="single"/>
        </w:rPr>
        <w:t>Landlord Encumbrance Obligations</w:t>
      </w:r>
      <w:r>
        <w:rPr>
          <w:rFonts w:ascii="Times New Roman;serif" w:hAnsi="Times New Roman;serif"/>
          <w:b w:val="false"/>
          <w:color w:val="000000"/>
          <w:sz w:val="24"/>
        </w:rPr>
        <w:t>. Landlord agrees that Landlord shall not voluntarily create or cause any Affiliate of Landlord to voluntarily create at any time any Lessor Lien. Landlord shall, at its own cost and expense, promptly take such action as may be reasonably necessary duly to discharge, or to cause to be discharged, all Lessor Liens attributable to it or any of its Affiliates whether or not the same were voluntarily created by Landlord or any Affiliate of Landlord (and Tenant shall not be responsible for any monetary or other obligations under or in connection with any Lessor Lien); provided, however, that Landlord shall not be required to so discharge any such Lessor Lien(s) (i) while the same is being contested in good faith by appropriate proceedings diligently prosecuted (so long as neither the Leased Property, nor any Capital Improvement thereto, nor any part or interest in either thereof, would be in any imminent danger of being sold, forfeited, attached or lost pending the outcome of such proceedings and provided that Tenant would not be in any imminent danger of civil or criminal liability on account thereof pending the outcome of such proceedings) or (ii) if such Lessor’s Lien(s) would not be reasonably expected to materially adversely affect the rights of Tenant under this Master Lease, impair in any material respect Tenant’s ability to perform its obligations under this Master Lease or impose additional obligations on Tenant under this Master Lease or result in the termination of this Master Lease. Landlord shall indemnify and hold harmless Tenant from and against any actual loss, cost or expense (including reasonable legal fees and expenses) which may be suffered or incurred by Tenant, any Operating Subtenant or their respective Affiliates as the result of Landlord’s failure to discharge and satisfy any such Lessor Lien to the extent Landlord is required to do so in accordance with the terms hereof.</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XII</w:t>
      </w:r>
      <w:r>
        <w:rPr>
          <w:rFonts w:ascii="Times New Roman;serif" w:hAnsi="Times New Roman;serif"/>
          <w:b/>
          <w:color w:val="000000"/>
          <w:sz w:val="24"/>
          <w:u w:val="single"/>
        </w:rPr>
        <w:br/>
        <w:br/>
        <w:t>PERMITTED CONTESTS</w:t>
      </w:r>
    </w:p>
    <w:p>
      <w:pPr>
        <w:pStyle w:val="TextBody"/>
        <w:bidi w:val="0"/>
        <w:spacing w:lineRule="auto" w:line="288" w:before="0" w:after="240"/>
        <w:ind w:left="0" w:right="0" w:firstLine="720"/>
        <w:jc w:val="both"/>
        <w:rPr/>
      </w:pPr>
      <w:r>
        <w:rPr>
          <w:rFonts w:ascii="Times New Roman;serif" w:hAnsi="Times New Roman;serif"/>
          <w:b/>
          <w:color w:val="000000"/>
          <w:sz w:val="24"/>
        </w:rPr>
        <w:t>12.1    </w:t>
      </w:r>
      <w:r>
        <w:rPr>
          <w:rFonts w:ascii="Times New Roman;serif" w:hAnsi="Times New Roman;serif"/>
          <w:b/>
          <w:color w:val="000000"/>
          <w:sz w:val="24"/>
          <w:u w:val="single"/>
        </w:rPr>
        <w:t>Permitted Contests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Tenant, upon prior Notice to Landlord, on its own or in Landlord’s name, at Tenant’s 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or Lien; provided, however, that (a) in the case of an unpaid Imposition or Lien, the commencement and continuation of such proceedings shall suspend the collection thereof from Landlord and from the Leased Property or any Capital Improvement thereto; (b) neither the Leased Property or any Capital Improvement thereto, the Rent therefrom nor any part or interest in either thereof would be in any imminent danger of being sold, forfeited, attached or lost pending the outcome of such proceedings; (c) in the case of a Legal Requirement, neither Landlord nor Tenant would be in any imminent danger of civil or criminal liability for failure to comply therewith pending the outcome of such proceedings; (d) in the case of a Legal Requirement, Imposition or Lien, Tenant shall give such reasonable security as may be required by Landlord to insure ultimate payment of the same and to prevent any sale or forfeiture of the Leased Property or any Capital Improvement thereto or the Rent by reason of such non-payment or noncompliance; (e) in the case of an Insurance Requirement, the coverage required by </w:t>
      </w:r>
      <w:r>
        <w:rPr>
          <w:rFonts w:ascii="Times New Roman;serif" w:hAnsi="Times New Roman;serif"/>
          <w:b/>
          <w:color w:val="000000"/>
          <w:sz w:val="24"/>
        </w:rPr>
        <w:t>Article XIII</w:t>
      </w:r>
      <w:r>
        <w:rPr>
          <w:color w:val="000000"/>
        </w:rPr>
        <w:t xml:space="preserve"> </w:t>
      </w:r>
      <w:r>
        <w:rPr>
          <w:rFonts w:ascii="Times New Roman;serif" w:hAnsi="Times New Roman;serif"/>
          <w:b w:val="false"/>
          <w:color w:val="000000"/>
          <w:sz w:val="24"/>
        </w:rPr>
        <w:t xml:space="preserve">shall be maintained; (f) Tenant shall keep Landlord reasonably informed as to the status of the proceedings; and (g)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w:t>
      </w:r>
      <w:r>
        <w:rPr>
          <w:rFonts w:ascii="Times New Roman;serif" w:hAnsi="Times New Roman;serif"/>
          <w:b/>
          <w:color w:val="000000"/>
          <w:sz w:val="24"/>
        </w:rPr>
        <w:t>Article XII</w:t>
      </w:r>
      <w:r>
        <w:rPr>
          <w:color w:val="000000"/>
        </w:rPr>
        <w:t xml:space="preserve"> </w:t>
      </w:r>
      <w:r>
        <w:rPr>
          <w:rFonts w:ascii="Times New Roman;serif" w:hAnsi="Times New Roman;serif"/>
          <w:b w:val="false"/>
          <w:color w:val="000000"/>
          <w:sz w:val="24"/>
        </w:rPr>
        <w:t>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Notice to Landlord of Tenant’s preference that Landlord not join in such proceeding.</w:t>
      </w:r>
    </w:p>
    <w:p>
      <w:pPr>
        <w:pStyle w:val="TextBody"/>
        <w:bidi w:val="0"/>
        <w:spacing w:lineRule="auto" w:line="288" w:before="0" w:after="240"/>
        <w:jc w:val="center"/>
        <w:rPr/>
      </w:pPr>
      <w:r>
        <w:rPr>
          <w:rFonts w:ascii="Times New Roman;serif" w:hAnsi="Times New Roman;serif"/>
          <w:b/>
          <w:color w:val="000000"/>
          <w:sz w:val="24"/>
        </w:rPr>
        <w:t>ARTICLE XIII</w:t>
      </w:r>
      <w:r>
        <w:rPr>
          <w:rFonts w:ascii="Times New Roman;serif" w:hAnsi="Times New Roman;serif"/>
          <w:b/>
          <w:color w:val="000000"/>
          <w:sz w:val="24"/>
          <w:u w:val="single"/>
        </w:rPr>
        <w:br/>
        <w:br/>
        <w:t>INSURANCE</w:t>
      </w:r>
    </w:p>
    <w:p>
      <w:pPr>
        <w:pStyle w:val="TextBody"/>
        <w:bidi w:val="0"/>
        <w:spacing w:lineRule="auto" w:line="288" w:before="0" w:after="240"/>
        <w:ind w:left="0" w:right="0" w:firstLine="720"/>
        <w:jc w:val="both"/>
        <w:rPr/>
      </w:pPr>
      <w:r>
        <w:rPr>
          <w:rFonts w:ascii="Times New Roman;serif" w:hAnsi="Times New Roman;serif"/>
          <w:b/>
          <w:color w:val="000000"/>
          <w:sz w:val="24"/>
        </w:rPr>
        <w:t>13.1    </w:t>
      </w:r>
      <w:r>
        <w:rPr>
          <w:rFonts w:ascii="Times New Roman;serif" w:hAnsi="Times New Roman;serif"/>
          <w:b/>
          <w:color w:val="000000"/>
          <w:sz w:val="24"/>
          <w:u w:val="single"/>
        </w:rPr>
        <w:t>General Insurance Requirements</w:t>
      </w:r>
      <w:r>
        <w:rPr>
          <w:rFonts w:ascii="Times New Roman;serif" w:hAnsi="Times New Roman;serif"/>
          <w:b w:val="false"/>
          <w:color w:val="000000"/>
          <w:sz w:val="24"/>
        </w:rPr>
        <w:t xml:space="preserve">. During the Term, Tenant or a Tenant Party shall at all times keep the Leased Property, and all property located in or on the Leased Property, including Capital Improvements, the Fixtures and Tenant’s Property, insured with the kinds and amounts of insurance described below. Each element of insurance described in this </w:t>
      </w:r>
      <w:r>
        <w:rPr>
          <w:rFonts w:ascii="Times New Roman;serif" w:hAnsi="Times New Roman;serif"/>
          <w:b/>
          <w:color w:val="000000"/>
          <w:sz w:val="24"/>
        </w:rPr>
        <w:t>Article XIII</w:t>
      </w:r>
      <w:r>
        <w:rPr>
          <w:color w:val="000000"/>
        </w:rPr>
        <w:t xml:space="preserve"> </w:t>
      </w:r>
      <w:r>
        <w:rPr>
          <w:rFonts w:ascii="Times New Roman;serif" w:hAnsi="Times New Roman;serif"/>
          <w:b w:val="false"/>
          <w:color w:val="000000"/>
          <w:sz w:val="24"/>
        </w:rPr>
        <w:t xml:space="preserve">shall be maintained with respect to the Leased Property of each Facility and Tenant’s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operations thereon. Such insurance shall be written by companies permitted to conduct business in the applicable State. All policies required under this Master Lease must name Landlord as an “additional named insured” or “additional insured” as appropriate. All business interruption policies shall name Landlord as “loss payee” with respect to Rent only. Property losses shall be payable to Landlord and/or Tenant as provided in </w:t>
      </w:r>
      <w:r>
        <w:rPr>
          <w:rFonts w:ascii="Times New Roman;serif" w:hAnsi="Times New Roman;serif"/>
          <w:b/>
          <w:color w:val="000000"/>
          <w:sz w:val="24"/>
        </w:rPr>
        <w:t>Article XIV</w:t>
      </w:r>
      <w:r>
        <w:rPr>
          <w:rFonts w:ascii="Times New Roman;serif" w:hAnsi="Times New Roman;serif"/>
          <w:b w:val="false"/>
          <w:color w:val="000000"/>
          <w:sz w:val="24"/>
        </w:rPr>
        <w:t>. In addition, the policies, as appropriate, shall name as an “additional named insured” or “additional insured” as appropriate, and “mortgagee/loss payee”, as their interest may appear, each Permitted Leasehold Mortgagee and as an “additional insured” and/or “mortgagee/loss payee” as their interest may appear, the holder of any mortgage, deed of trust or other security agreement (“</w:t>
      </w:r>
      <w:r>
        <w:rPr>
          <w:rFonts w:ascii="Times New Roman;serif" w:hAnsi="Times New Roman;serif"/>
          <w:b/>
          <w:color w:val="000000"/>
          <w:sz w:val="24"/>
        </w:rPr>
        <w:t>Facility Mortgagee</w:t>
      </w:r>
      <w:r>
        <w:rPr>
          <w:color w:val="000000"/>
        </w:rPr>
        <w:t>”</w:t>
      </w:r>
      <w:r>
        <w:rPr>
          <w:rFonts w:ascii="Times New Roman;serif" w:hAnsi="Times New Roman;serif"/>
          <w:b w:val="false"/>
          <w:color w:val="000000"/>
          <w:sz w:val="24"/>
        </w:rPr>
        <w:t xml:space="preserve">) securing any indebtedness or any other Encumbrance placed on the Leased Property in accordance with the provisions of </w:t>
      </w:r>
      <w:r>
        <w:rPr>
          <w:rFonts w:ascii="Times New Roman;serif" w:hAnsi="Times New Roman;serif"/>
          <w:b/>
          <w:color w:val="000000"/>
          <w:sz w:val="24"/>
        </w:rPr>
        <w:t>Article XXXI</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Facility Mortgage</w:t>
      </w:r>
      <w:r>
        <w:rPr>
          <w:color w:val="000000"/>
        </w:rPr>
        <w:t>”</w:t>
      </w:r>
      <w:r>
        <w:rPr>
          <w:rFonts w:ascii="Times New Roman;serif" w:hAnsi="Times New Roman;serif"/>
          <w:b w:val="false"/>
          <w:color w:val="000000"/>
          <w:sz w:val="24"/>
        </w:rPr>
        <w:t>) by way of 438BFU or other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 One Hundred Million Dollars ($100,000,000)</w:t>
      </w:r>
      <w:r>
        <w:rPr>
          <w:color w:val="000000"/>
        </w:rPr>
        <w:t xml:space="preserve"> </w:t>
      </w:r>
      <w:r>
        <w:rPr>
          <w:rFonts w:ascii="Times New Roman;serif" w:hAnsi="Times New Roman;serif"/>
          <w:b w:val="false"/>
          <w:color w:val="000000"/>
          <w:sz w:val="24"/>
        </w:rPr>
        <w:t xml:space="preserve">in which event no such consent shall be required. Evidence of insurance shall be deposited with Landlord and, if requested, with any Facility Mortgagee(s). The insurance policies required to be carried by Tenant or a Tenant Party hereunder shall insure against all the following risks with respect to the Facilities: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Loss or damage by fire, vandalism and malicious mischief, extended coverage perils commonly known as “All Risk,” and all physical loss perils normally included in such All Risk insurance, including, but not limited to, sprinkler leakage, collapse, windstorm and terrorism in an amount not less than One Billion Dollars ($1,000,000,000) and including a building ordinance coverage endorsement, provided, that Tenant shall have the right (i) to limit maximum insurance coverage for loss or damage by earthquake (including earth movement) to a minimum amount of Four Hundred Million Dollars ($400,000,000) or as may be reasonably requested by Landlord and commercially available, and (ii) to limit maximum insurance coverage for loss or damage by windstorm (including but not limited to named windstorms) to a minimum amount of Four Hundred Million Dollars ($400,000,000) or as may be reasonably requested by Landlord and commercially available; provided, further, that in the event the premium cost of any earthquake, flood, windstorm (including named windstorm) or terrorism peril coverages are available only for a premium that is more than 2.5 times the average premium paid by Tenant (or prior operator of Facilities) over the three years preceding the date of determination for the insurance policy contemplated by this </w:t>
      </w:r>
      <w:r>
        <w:rPr>
          <w:rFonts w:ascii="Times New Roman;serif" w:hAnsi="Times New Roman;serif"/>
          <w:b/>
          <w:color w:val="000000"/>
          <w:sz w:val="24"/>
        </w:rPr>
        <w:t>Section 13.1(a)</w:t>
      </w:r>
      <w:r>
        <w:rPr>
          <w:rFonts w:ascii="Times New Roman;serif" w:hAnsi="Times New Roman;serif"/>
          <w:b w:val="false"/>
          <w:color w:val="000000"/>
          <w:sz w:val="24"/>
        </w:rPr>
        <w:t>, then Tenant shall be entitled and required to purchase the maximum amount of insurance coverage it reasonably deems most efficient and prudent to purchase for such peril and Tenant shall not be required to spend additional funds to purchase additional coverages insuring against such risks; and provided, further, that certain property coverages other than earthquake, flood and windstorm may be sub-limited as long as each sub-limit (x) is commercially reasonable and prudent as determined by Tenant and (y) to the extent that the amount of such sub-limit is less than the amount of such sub-limit in effect as of the Commencement Date, such sub-limit is approved by Landlord, such approval not to be unreasonably withheld;</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Loss or damage by explosion of steam boilers, pressure vessels or similar apparatus, now or hereafter installed in each Facility, in such limits with respect to any one accident as may be reasonably requested by Landlord from time to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Flood (when any of the improvements comprising the Leased Property of a Facility is located in whole or in part within a designated 100-year flood plain area) in an amount not less than the greater of (i) the probable maximum loss of a 250 year event (as determined by a qualified engineer), and (ii) Two Hundred Million Dollars ($200,000,000), or such amount as may reasonably be requested by Landlord and commercially available;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w:t>
      </w:r>
      <w:r>
        <w:rPr>
          <w:rFonts w:ascii="Times New Roman;serif" w:hAnsi="Times New Roman;serif"/>
          <w:b/>
          <w:color w:val="000000"/>
          <w:sz w:val="24"/>
        </w:rPr>
        <w:t>Sections 13.1(a)</w:t>
      </w:r>
      <w:r>
        <w:rPr>
          <w:rFonts w:ascii="Times New Roman;serif" w:hAnsi="Times New Roman;serif"/>
          <w:b w:val="false"/>
          <w:color w:val="000000"/>
          <w:sz w:val="24"/>
        </w:rPr>
        <w:t xml:space="preserve">, </w:t>
      </w:r>
      <w:r>
        <w:rPr>
          <w:rFonts w:ascii="Times New Roman;serif" w:hAnsi="Times New Roman;serif"/>
          <w:b/>
          <w:color w:val="000000"/>
          <w:sz w:val="24"/>
        </w:rPr>
        <w:t>13.1(b)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13.1(c)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Claims for injury to persons or property damage under a policy of commercial general liability insurance including but not limited to coverage for premises/operations, blanket contractual liability, liquor liability, special events or activities to the extent insurable, independent contractors and personal injury with limits not less than Two Hundred Fifty Million Dollars ($250,000,000) each occurrence and Two Hundred Fifty Million Dollars ($250,000,000) in the annual aggregate, provided, that such requirements may be satisfied through the purchase of a primary general liability policy and excess liability policies;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Claims for bodily injury and property damage under a policy of business automobile liability including garage and garagekeepers liability and containing provisions and endorsements in accordance with state legal requirements, with primary limits not less than One Million Dollars ($1,000,000) per accident and excess limits provided in the excess liability policies referred to above;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During such time as Tenant or any subtenant is constructing any improvements at any Facility, Tenant, at its sole cost and expense, shall carry, or cause to be carried (a) workers’ compensation insurance and employers’ liability insurance covering all persons employed in connection with the improvements in statutory limits, (b) a completed operations endorsement to the commercial general liability insurance policy referred to above, (c) builder’s risk insurance, completed value form (or its equivalent), covering all physical loss, in an amount and subject to policy conditions satisfactory to Landlord, and (d) such other insurance, in such amounts, as Landlord deems reasonably necessary to protect Landlord’s interest in the Leased Property from any act or omission of Tenant’s or such subtenant’s contractors or subcontractors;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If any operations of Tenant or any subtenant require the use of any aircraft or watercraft that is owned, leased or chartered by Tenant or any subtenant with respect to the Leased Property, Tenant shall maintain or cause to be maintained aircraft or watercraft liability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insurance, as appropriate, with limits not less than Twenty-Five Million Dollars ($25,000,000) per occurrence for bodily injury and property damage including passengers and crew.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Tenant may provide or cause to be provided self-insured retentions for portions of the insurance contemplated under this </w:t>
      </w:r>
      <w:r>
        <w:rPr>
          <w:rFonts w:ascii="Times New Roman;serif" w:hAnsi="Times New Roman;serif"/>
          <w:b/>
          <w:color w:val="000000"/>
          <w:sz w:val="24"/>
        </w:rPr>
        <w:t>Section 13.1</w:t>
      </w:r>
      <w:r>
        <w:rPr>
          <w:color w:val="000000"/>
        </w:rPr>
        <w:t xml:space="preserve"> </w:t>
      </w:r>
      <w:r>
        <w:rPr>
          <w:rFonts w:ascii="Times New Roman;serif" w:hAnsi="Times New Roman;serif"/>
          <w:b w:val="false"/>
          <w:color w:val="000000"/>
          <w:sz w:val="24"/>
        </w:rPr>
        <w:t xml:space="preserve">in commercially reasonable amounts, it being agreed that the amounts of the self-insured retentions in effect as of the Commencement Date are commercially reasonable. Tenant may elect to increase Tenant’s self-insured retentions subject to the approval of Landlord, such approval not to be unreasonably withheld. Upon (i) the termination of this Master Lease with respect to any Facility pursuant to </w:t>
      </w:r>
      <w:r>
        <w:rPr>
          <w:rFonts w:ascii="Times New Roman;serif" w:hAnsi="Times New Roman;serif"/>
          <w:b/>
          <w:color w:val="000000"/>
          <w:sz w:val="24"/>
        </w:rPr>
        <w:t>Section 14.2</w:t>
      </w:r>
      <w:r>
        <w:rPr>
          <w:rFonts w:ascii="Times New Roman;serif" w:hAnsi="Times New Roman;serif"/>
          <w:b w:val="false"/>
          <w:color w:val="000000"/>
          <w:sz w:val="24"/>
        </w:rPr>
        <w:t xml:space="preserve">, (ii) the election of any Facility Mortgagee pursuant to </w:t>
      </w:r>
      <w:r>
        <w:rPr>
          <w:rFonts w:ascii="Times New Roman;serif" w:hAnsi="Times New Roman;serif"/>
          <w:b/>
          <w:color w:val="000000"/>
          <w:sz w:val="24"/>
        </w:rPr>
        <w:t>Section 14.1</w:t>
      </w:r>
      <w:r>
        <w:rPr>
          <w:color w:val="000000"/>
        </w:rPr>
        <w:t xml:space="preserve"> </w:t>
      </w:r>
      <w:r>
        <w:rPr>
          <w:rFonts w:ascii="Times New Roman;serif" w:hAnsi="Times New Roman;serif"/>
          <w:b w:val="false"/>
          <w:color w:val="000000"/>
          <w:sz w:val="24"/>
        </w:rPr>
        <w:t xml:space="preserve">to apply any proceeds payable under any property policy of insurance in accordance with the applicable Facility Mortgage, or (iii) any proceeds payable under any property policy of insurance being retained by Landlord pursuant to </w:t>
      </w:r>
      <w:r>
        <w:rPr>
          <w:rFonts w:ascii="Times New Roman;serif" w:hAnsi="Times New Roman;serif"/>
          <w:b/>
          <w:color w:val="000000"/>
          <w:sz w:val="24"/>
        </w:rPr>
        <w:t>Section 14.2(f)</w:t>
      </w:r>
      <w:r>
        <w:rPr>
          <w:rFonts w:ascii="Times New Roman;serif" w:hAnsi="Times New Roman;serif"/>
          <w:b w:val="false"/>
          <w:color w:val="000000"/>
          <w:sz w:val="24"/>
        </w:rPr>
        <w:t>, Tenant shall pay to Landlord the amount of any self-insured retentions.</w:t>
      </w:r>
    </w:p>
    <w:p>
      <w:pPr>
        <w:pStyle w:val="TextBody"/>
        <w:bidi w:val="0"/>
        <w:spacing w:lineRule="auto" w:line="288" w:before="0" w:after="240"/>
        <w:ind w:left="0" w:right="0" w:firstLine="720"/>
        <w:jc w:val="both"/>
        <w:rPr/>
      </w:pPr>
      <w:r>
        <w:rPr>
          <w:rFonts w:ascii="Times New Roman;serif" w:hAnsi="Times New Roman;serif"/>
          <w:b/>
          <w:color w:val="000000"/>
          <w:sz w:val="24"/>
        </w:rPr>
        <w:t>13.2    </w:t>
      </w:r>
      <w:r>
        <w:rPr>
          <w:rFonts w:ascii="Times New Roman;serif" w:hAnsi="Times New Roman;serif"/>
          <w:b/>
          <w:color w:val="000000"/>
          <w:sz w:val="24"/>
          <w:u w:val="single"/>
        </w:rPr>
        <w:t>Additional Insurance</w:t>
      </w:r>
      <w:r>
        <w:rPr>
          <w:rFonts w:ascii="Times New Roman;serif" w:hAnsi="Times New Roman;serif"/>
          <w:b/>
          <w:color w:val="000000"/>
          <w:sz w:val="24"/>
        </w:rPr>
        <w:t xml:space="preserve">. </w:t>
      </w:r>
      <w:r>
        <w:rPr>
          <w:rFonts w:ascii="Times New Roman;serif" w:hAnsi="Times New Roman;serif"/>
          <w:b w:val="false"/>
          <w:color w:val="000000"/>
          <w:sz w:val="24"/>
        </w:rPr>
        <w:t>In addition to the insurance described above, Tenant shall at all times maintain or cause to be maintained adequate workers’ compensation coverage and any other coverage required by Legal Requirements for all Persons employed by Tenant or any Operating Subtenant on the Leased Property in accordance with Legal Requirements.</w:t>
      </w:r>
    </w:p>
    <w:p>
      <w:pPr>
        <w:pStyle w:val="TextBody"/>
        <w:bidi w:val="0"/>
        <w:spacing w:lineRule="auto" w:line="288" w:before="0" w:after="240"/>
        <w:ind w:left="0" w:right="0" w:firstLine="720"/>
        <w:jc w:val="both"/>
        <w:rPr/>
      </w:pPr>
      <w:r>
        <w:rPr>
          <w:rFonts w:ascii="Times New Roman;serif" w:hAnsi="Times New Roman;serif"/>
          <w:b/>
          <w:color w:val="000000"/>
          <w:sz w:val="24"/>
        </w:rPr>
        <w:t>13.3    </w:t>
      </w:r>
      <w:r>
        <w:rPr>
          <w:rFonts w:ascii="Times New Roman;serif" w:hAnsi="Times New Roman;serif"/>
          <w:b/>
          <w:color w:val="000000"/>
          <w:sz w:val="24"/>
          <w:u w:val="single"/>
        </w:rPr>
        <w:t>Waiver of Subrogation</w:t>
      </w:r>
      <w:r>
        <w:rPr>
          <w:rFonts w:ascii="Times New Roman;serif" w:hAnsi="Times New Roman;serif"/>
          <w:b/>
          <w:color w:val="000000"/>
          <w:sz w:val="24"/>
        </w:rPr>
        <w:t xml:space="preserve">. </w:t>
      </w:r>
      <w:r>
        <w:rPr>
          <w:rFonts w:ascii="Times New Roman;serif" w:hAnsi="Times New Roman;serif"/>
          <w:b w:val="false"/>
          <w:color w:val="000000"/>
          <w:sz w:val="24"/>
        </w:rPr>
        <w:t>All insurance policies carried by either party covering the Leased Property or Tenant’s 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pStyle w:val="TextBody"/>
        <w:bidi w:val="0"/>
        <w:spacing w:lineRule="auto" w:line="288" w:before="0" w:after="240"/>
        <w:ind w:left="0" w:right="0" w:firstLine="720"/>
        <w:jc w:val="both"/>
        <w:rPr/>
      </w:pPr>
      <w:r>
        <w:rPr>
          <w:rFonts w:ascii="Times New Roman;serif" w:hAnsi="Times New Roman;serif"/>
          <w:b/>
          <w:color w:val="000000"/>
          <w:sz w:val="24"/>
        </w:rPr>
        <w:t>13.4    </w:t>
      </w:r>
      <w:r>
        <w:rPr>
          <w:rFonts w:ascii="Times New Roman;serif" w:hAnsi="Times New Roman;serif"/>
          <w:b/>
          <w:color w:val="000000"/>
          <w:sz w:val="24"/>
          <w:u w:val="single"/>
        </w:rPr>
        <w:t>Policy Requirements</w:t>
      </w:r>
      <w:r>
        <w:rPr>
          <w:rFonts w:ascii="Times New Roman;serif" w:hAnsi="Times New Roman;serif"/>
          <w:b/>
          <w:color w:val="000000"/>
          <w:sz w:val="24"/>
        </w:rPr>
        <w:t xml:space="preserve">. </w:t>
      </w:r>
      <w:r>
        <w:rPr>
          <w:rFonts w:ascii="Times New Roman;serif" w:hAnsi="Times New Roman;serif"/>
          <w:b w:val="false"/>
          <w:color w:val="000000"/>
          <w:sz w:val="24"/>
        </w:rPr>
        <w:t xml:space="preserve">All of the policies of insurance referred to in this </w:t>
      </w:r>
      <w:r>
        <w:rPr>
          <w:rFonts w:ascii="Times New Roman;serif" w:hAnsi="Times New Roman;serif"/>
          <w:b/>
          <w:color w:val="000000"/>
          <w:sz w:val="24"/>
        </w:rPr>
        <w:t>Article XIII</w:t>
      </w:r>
      <w:r>
        <w:rPr>
          <w:color w:val="000000"/>
        </w:rPr>
        <w:t xml:space="preserve"> </w:t>
      </w:r>
      <w:r>
        <w:rPr>
          <w:rFonts w:ascii="Times New Roman;serif" w:hAnsi="Times New Roman;serif"/>
          <w:b w:val="false"/>
          <w:color w:val="000000"/>
          <w:sz w:val="24"/>
        </w:rPr>
        <w:t xml:space="preserve">shall be written in form reasonably satisfactory to Landlord and any Facility Mortgagee and issued by insurance companies with a minimum Financial Strength Rating of “A-” and a Financial Size Rating of “VIII” or higher in the most recent version of Best’s Key Rating Guide, or a minimum rating of “A-” from Standard &amp; Poor’s or equivalent. If Tenant obtains and maintains the general liability insurance described in </w:t>
      </w:r>
      <w:r>
        <w:rPr>
          <w:rFonts w:ascii="Times New Roman;serif" w:hAnsi="Times New Roman;serif"/>
          <w:b/>
          <w:color w:val="000000"/>
          <w:sz w:val="24"/>
        </w:rPr>
        <w:t>Section 13.1(e)</w:t>
      </w:r>
      <w:r>
        <w:rPr>
          <w:color w:val="000000"/>
        </w:rPr>
        <w:t xml:space="preserve"> </w:t>
      </w:r>
      <w:r>
        <w:rPr>
          <w:rFonts w:ascii="Times New Roman;serif" w:hAnsi="Times New Roman;serif"/>
          <w:b w:val="false"/>
          <w:color w:val="000000"/>
          <w:sz w:val="24"/>
        </w:rPr>
        <w:t xml:space="preserve">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available on commercially reasonable terms, the agreement of each insurer, by endorsement on the policy or policies issued by it, or by independent instrument furnished to Landlord, that it will give to Landlord thirty (30) days’ (or ten (10) days’ in the case of non-payment of premium) Notice before the policy or policies in question shall be altered, allowed to expire or cancelled. Notwithstanding any provision of this </w:t>
      </w:r>
      <w:r>
        <w:rPr>
          <w:rFonts w:ascii="Times New Roman;serif" w:hAnsi="Times New Roman;serif"/>
          <w:b/>
          <w:color w:val="000000"/>
          <w:sz w:val="24"/>
        </w:rPr>
        <w:t>Article XIII</w:t>
      </w:r>
      <w:r>
        <w:rPr>
          <w:color w:val="000000"/>
        </w:rPr>
        <w:t xml:space="preserve"> </w:t>
      </w:r>
      <w:r>
        <w:rPr>
          <w:rFonts w:ascii="Times New Roman;serif" w:hAnsi="Times New Roman;serif"/>
          <w:b w:val="false"/>
          <w:color w:val="000000"/>
          <w:sz w:val="24"/>
        </w:rPr>
        <w:t xml:space="preserve">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and liability insurance policies when issued by the insurers providing such coverage. Notwithstanding the foregoing, Tenant may procure any of the policies required under this </w:t>
      </w:r>
      <w:r>
        <w:rPr>
          <w:rFonts w:ascii="Times New Roman;serif" w:hAnsi="Times New Roman;serif"/>
          <w:b/>
          <w:color w:val="000000"/>
          <w:sz w:val="24"/>
        </w:rPr>
        <w:t>Article XIII</w:t>
      </w:r>
      <w:r>
        <w:rPr>
          <w:color w:val="000000"/>
        </w:rPr>
        <w:t xml:space="preserve"> </w:t>
      </w:r>
      <w:r>
        <w:rPr>
          <w:rFonts w:ascii="Times New Roman;serif" w:hAnsi="Times New Roman;serif"/>
          <w:b w:val="false"/>
          <w:color w:val="000000"/>
          <w:sz w:val="24"/>
        </w:rPr>
        <w:t xml:space="preserve">from MGMM Insurance Company or any other captive insurance company that is an Affiliate of Tenant’s Parent regardless of the fact that such insurer is not “rated” as otherwise required under this </w:t>
      </w:r>
      <w:r>
        <w:rPr>
          <w:rFonts w:ascii="Times New Roman;serif" w:hAnsi="Times New Roman;serif"/>
          <w:b/>
          <w:color w:val="000000"/>
          <w:sz w:val="24"/>
        </w:rPr>
        <w:t>Section 13.4</w:t>
      </w:r>
      <w:r>
        <w:rPr>
          <w:rFonts w:ascii="Times New Roman;serif" w:hAnsi="Times New Roman;serif"/>
          <w:b w:val="false"/>
          <w:color w:val="000000"/>
          <w:sz w:val="24"/>
        </w:rPr>
        <w:t xml:space="preserve">; provided, that (i) Landlord has been provided (and continues to be provided annually and as otherwise reasonably requested by Landlord) with the applicable captive insurance company’s most recent financial statements and actuarial report, a list of such captive insurance company’s reinsurers and their subscribed amounts and such other information regarding the applicable captive insurance company as is reasonably requested by Landlord, (ii) Landlord has approved the use of such captive insurer, such approval not to be unreasonably withheld; provided, however, that Landlord’s consent shall not be required to the extent that such captive insurance company reinsures all of its exposures (including, for the avoidance of doubt, any such exposures that relate to properties other than the Facilities), other than with respect to terrorism risks (which shall be subject to the final two sentences of this </w:t>
      </w:r>
      <w:r>
        <w:rPr>
          <w:rFonts w:ascii="Times New Roman;serif" w:hAnsi="Times New Roman;serif"/>
          <w:b/>
          <w:color w:val="000000"/>
          <w:sz w:val="24"/>
        </w:rPr>
        <w:t>Section 13.4</w:t>
      </w:r>
      <w:r>
        <w:rPr>
          <w:rFonts w:ascii="Times New Roman;serif" w:hAnsi="Times New Roman;serif"/>
          <w:b w:val="false"/>
          <w:color w:val="000000"/>
          <w:sz w:val="24"/>
        </w:rPr>
        <w:t xml:space="preserve">), with insurers meeting the requirements of this </w:t>
      </w:r>
      <w:r>
        <w:rPr>
          <w:rFonts w:ascii="Times New Roman;serif" w:hAnsi="Times New Roman;serif"/>
          <w:b/>
          <w:color w:val="000000"/>
          <w:sz w:val="24"/>
        </w:rPr>
        <w:t>Section 13.4</w:t>
      </w:r>
      <w:r>
        <w:rPr>
          <w:rFonts w:ascii="Times New Roman;serif" w:hAnsi="Times New Roman;serif"/>
          <w:b w:val="false"/>
          <w:color w:val="000000"/>
          <w:sz w:val="24"/>
        </w:rPr>
        <w:t>. Notwithstanding the foregoing, Landlord shall be deemed to have approved the use of a captive insurance company for terrorism risk coverage that is not reinsured by other insurance companies to the extent consistent with Tenant’s terrorism risk insurance program in effect as of the Commencement Date. Any material increase in the level of un-reinsured terrorism risk shall require the consent of Landlord, which consent shall not be unreasonably withheld.</w:t>
      </w:r>
    </w:p>
    <w:p>
      <w:pPr>
        <w:pStyle w:val="TextBody"/>
        <w:bidi w:val="0"/>
        <w:spacing w:lineRule="auto" w:line="288" w:before="0" w:after="240"/>
        <w:ind w:left="0" w:right="0" w:firstLine="720"/>
        <w:jc w:val="both"/>
        <w:rPr/>
      </w:pPr>
      <w:r>
        <w:rPr>
          <w:rFonts w:ascii="Times New Roman;serif" w:hAnsi="Times New Roman;serif"/>
          <w:b/>
          <w:color w:val="000000"/>
          <w:sz w:val="24"/>
        </w:rPr>
        <w:t>13.5    </w:t>
      </w:r>
      <w:r>
        <w:rPr>
          <w:rFonts w:ascii="Times New Roman;serif" w:hAnsi="Times New Roman;serif"/>
          <w:b/>
          <w:color w:val="000000"/>
          <w:sz w:val="24"/>
          <w:u w:val="single"/>
        </w:rPr>
        <w:t>Increase in Limits</w:t>
      </w:r>
      <w:r>
        <w:rPr>
          <w:rFonts w:ascii="Times New Roman;serif" w:hAnsi="Times New Roman;serif"/>
          <w:b/>
          <w:color w:val="000000"/>
          <w:sz w:val="24"/>
        </w:rPr>
        <w:t xml:space="preserve">. </w:t>
      </w:r>
      <w:r>
        <w:rPr>
          <w:rFonts w:ascii="Times New Roman;serif" w:hAnsi="Times New Roman;serif"/>
          <w:b w:val="false"/>
          <w:color w:val="000000"/>
          <w:sz w:val="24"/>
        </w:rPr>
        <w:t xml:space="preserve">If, from time to time after the Commencement Date, but not more than once in any twenty-four (24) month period, Landlord determines in the exercise of its reasonable business judgment that the limits of the personal injury or property damage-public liability insurance then carried pursuant to </w:t>
      </w:r>
      <w:r>
        <w:rPr>
          <w:rFonts w:ascii="Times New Roman;serif" w:hAnsi="Times New Roman;serif"/>
          <w:b/>
          <w:color w:val="000000"/>
          <w:sz w:val="24"/>
        </w:rPr>
        <w:t>Section 13.1(e)</w:t>
      </w:r>
      <w:r>
        <w:rPr>
          <w:color w:val="000000"/>
        </w:rPr>
        <w:t xml:space="preserve"> </w:t>
      </w:r>
      <w:r>
        <w:rPr>
          <w:rFonts w:ascii="Times New Roman;serif" w:hAnsi="Times New Roman;serif"/>
          <w:b w:val="false"/>
          <w:color w:val="000000"/>
          <w:sz w:val="24"/>
        </w:rPr>
        <w:t xml:space="preserve">hereof are insufficient, Landlord may give Tenant Notice of acceptable limits for the insurance to be carried; provided, that in no event will Tenant be required to carry insurance in an amount which exceeds the product of (i) the amounts set forth in </w:t>
      </w:r>
      <w:r>
        <w:rPr>
          <w:rFonts w:ascii="Times New Roman;serif" w:hAnsi="Times New Roman;serif"/>
          <w:b/>
          <w:color w:val="000000"/>
          <w:sz w:val="24"/>
        </w:rPr>
        <w:t>Section 13.1(e)</w:t>
      </w:r>
      <w:r>
        <w:rPr>
          <w:color w:val="000000"/>
        </w:rPr>
        <w:t xml:space="preserve"> </w:t>
      </w:r>
      <w:r>
        <w:rPr>
          <w:rFonts w:ascii="Times New Roman;serif" w:hAnsi="Times New Roman;serif"/>
          <w:b w:val="false"/>
          <w:color w:val="000000"/>
          <w:sz w:val="24"/>
        </w:rPr>
        <w:t xml:space="preserve">hereof and (ii) the CPI Increase; and subject to the foregoing limitation, within ninety (90) days after the receipt of such Notice, the insurance shall thereafter be carried with limits as prescribed by Landlord until further increase pursuant to the provisions of this </w:t>
      </w:r>
      <w:r>
        <w:rPr>
          <w:rFonts w:ascii="Times New Roman;serif" w:hAnsi="Times New Roman;serif"/>
          <w:b/>
          <w:color w:val="000000"/>
          <w:sz w:val="24"/>
        </w:rPr>
        <w:t>Section 13.5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13.6    </w:t>
      </w:r>
      <w:r>
        <w:rPr>
          <w:rFonts w:ascii="Times New Roman;serif" w:hAnsi="Times New Roman;serif"/>
          <w:b/>
          <w:color w:val="000000"/>
          <w:sz w:val="24"/>
          <w:u w:val="single"/>
        </w:rPr>
        <w:t>Blanket Policy</w:t>
      </w:r>
      <w:r>
        <w:rPr>
          <w:rFonts w:ascii="Times New Roman;serif" w:hAnsi="Times New Roman;serif"/>
          <w:b/>
          <w:color w:val="000000"/>
          <w:sz w:val="24"/>
        </w:rPr>
        <w:t xml:space="preserve">. </w:t>
      </w:r>
      <w:r>
        <w:rPr>
          <w:rFonts w:ascii="Times New Roman;serif" w:hAnsi="Times New Roman;serif"/>
          <w:b w:val="false"/>
          <w:color w:val="000000"/>
          <w:sz w:val="24"/>
        </w:rPr>
        <w:t xml:space="preserve">Notwithstanding anything to the contrary contained in this </w:t>
      </w:r>
      <w:r>
        <w:rPr>
          <w:rFonts w:ascii="Times New Roman;serif" w:hAnsi="Times New Roman;serif"/>
          <w:b/>
          <w:color w:val="000000"/>
          <w:sz w:val="24"/>
        </w:rPr>
        <w:t>Article XIII</w:t>
      </w:r>
      <w:r>
        <w:rPr>
          <w:rFonts w:ascii="Times New Roman;serif" w:hAnsi="Times New Roman;serif"/>
          <w:b w:val="false"/>
          <w:color w:val="000000"/>
          <w:sz w:val="24"/>
        </w:rPr>
        <w:t xml:space="preserve">, Tenant’s obligations to carry the insurance provided for herein may be brought within the coverage of a so-called blanket policy or policies of insurance carried and maintained by Tenant with respect to the Facilities as well as other properties or assets owned or leased by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Tenant and/or its Affiliates that are not subject to this Master Lease; provided, that (i) the requirements of this </w:t>
      </w:r>
      <w:r>
        <w:rPr>
          <w:rFonts w:ascii="Times New Roman;serif" w:hAnsi="Times New Roman;serif"/>
          <w:b/>
          <w:color w:val="000000"/>
          <w:sz w:val="24"/>
        </w:rPr>
        <w:t>Article XIII</w:t>
      </w:r>
      <w:r>
        <w:rPr>
          <w:color w:val="000000"/>
        </w:rPr>
        <w:t xml:space="preserve"> </w:t>
      </w:r>
      <w:r>
        <w:rPr>
          <w:rFonts w:ascii="Times New Roman;serif" w:hAnsi="Times New Roman;serif"/>
          <w:b w:val="false"/>
          <w:color w:val="000000"/>
          <w:sz w:val="24"/>
        </w:rPr>
        <w:t xml:space="preserve">(including satisfaction of the Facility Mortgagee’s requirements and the approval of the Facility Mortgagee) are otherwise satisfied, (ii) Tenant maintains specific allocations acceptable to Landlord, (iii) limits reduced below amounts required in </w:t>
      </w:r>
      <w:r>
        <w:rPr>
          <w:rFonts w:ascii="Times New Roman;serif" w:hAnsi="Times New Roman;serif"/>
          <w:b/>
          <w:color w:val="000000"/>
          <w:sz w:val="24"/>
        </w:rPr>
        <w:t xml:space="preserve">Section 13.1 </w:t>
      </w:r>
      <w:r>
        <w:rPr>
          <w:rFonts w:ascii="Times New Roman;serif" w:hAnsi="Times New Roman;serif"/>
          <w:b w:val="false"/>
          <w:color w:val="000000"/>
          <w:sz w:val="24"/>
        </w:rPr>
        <w:t>due to reduction or exhaustion of aggregate limits from loss at properties or assets not subject to this Master Lease are replaced or reinstated as respects the Master Lease within sixty (60) days, and (iv) Landlord is otherwise reasonably satisfied that any such blanket policy affords Tenant and Landlord substantially the same protection that would be obtained from one or more policies of insurance that are not blanket policies. Landlord acknowledges that Tenant’s insurance as in effect on the Commencement Date satisfies each of the foregoing items (i), (ii) and (iv). For the avoidance of doubt, neither Landlord, nor any Facility Mortgagee shall have any rights whatsoever with respect to proceeds of such blanket policy to the extent such proceeds relate to properties or assets other than the Facilities.</w:t>
      </w:r>
    </w:p>
    <w:p>
      <w:pPr>
        <w:pStyle w:val="TextBody"/>
        <w:bidi w:val="0"/>
        <w:spacing w:lineRule="auto" w:line="288" w:before="0" w:after="240"/>
        <w:ind w:left="0" w:right="0" w:firstLine="720"/>
        <w:jc w:val="both"/>
        <w:rPr/>
      </w:pPr>
      <w:r>
        <w:rPr>
          <w:rFonts w:ascii="Times New Roman;serif" w:hAnsi="Times New Roman;serif"/>
          <w:b/>
          <w:color w:val="000000"/>
          <w:sz w:val="24"/>
        </w:rPr>
        <w:t>13.7    </w:t>
      </w:r>
      <w:r>
        <w:rPr>
          <w:rFonts w:ascii="Times New Roman;serif" w:hAnsi="Times New Roman;serif"/>
          <w:b/>
          <w:color w:val="000000"/>
          <w:sz w:val="24"/>
          <w:u w:val="single"/>
        </w:rPr>
        <w:t>No Separate Insurance</w:t>
      </w:r>
      <w:r>
        <w:rPr>
          <w:rFonts w:ascii="Times New Roman;serif" w:hAnsi="Times New Roman;serif"/>
          <w:b/>
          <w:color w:val="000000"/>
          <w:sz w:val="24"/>
        </w:rPr>
        <w:t xml:space="preserve">. </w:t>
      </w:r>
      <w:r>
        <w:rPr>
          <w:rFonts w:ascii="Times New Roman;serif" w:hAnsi="Times New Roman;serif"/>
          <w:b w:val="false"/>
          <w:color w:val="000000"/>
          <w:sz w:val="24"/>
        </w:rPr>
        <w:t xml:space="preserve">Tenant shall not, on Tenant’s own initiative or pursuant to the request or requirement of any third party, (i) take out separate insurance concurrent in form or contributing in the event of loss with that required in this </w:t>
      </w:r>
      <w:r>
        <w:rPr>
          <w:rFonts w:ascii="Times New Roman;serif" w:hAnsi="Times New Roman;serif"/>
          <w:b/>
          <w:color w:val="000000"/>
          <w:sz w:val="24"/>
        </w:rPr>
        <w:t>Article XIII</w:t>
      </w:r>
      <w:r>
        <w:rPr>
          <w:color w:val="000000"/>
        </w:rPr>
        <w:t xml:space="preserve"> </w:t>
      </w:r>
      <w:r>
        <w:rPr>
          <w:rFonts w:ascii="Times New Roman;serif" w:hAnsi="Times New Roman;serif"/>
          <w:b w:val="false"/>
          <w:color w:val="000000"/>
          <w:sz w:val="24"/>
        </w:rPr>
        <w:t xml:space="preserve">to be furnished by, or which may reasonably be required to be furnished by, Tenant or (ii) increase the amounts of any then existing insurance by securing an additional policy or additional policies, unless all parties having an insurable interest in the subject matter of the insurance, including in all cases Landlord and all Facility Mortgagees, are included therein as additional named insureds or additional insureds, as appropriate, and the 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 In addition, nothing contained herein shall limit Tenant’s ability to procure policies of insurance with limits in excess of the requirements set forth in this </w:t>
      </w:r>
      <w:r>
        <w:rPr>
          <w:rFonts w:ascii="Times New Roman;serif" w:hAnsi="Times New Roman;serif"/>
          <w:b/>
          <w:color w:val="000000"/>
          <w:sz w:val="24"/>
        </w:rPr>
        <w:t>Article XIII</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ARTICLE XIV</w:t>
      </w:r>
      <w:r>
        <w:rPr>
          <w:rFonts w:ascii="Times New Roman;serif" w:hAnsi="Times New Roman;serif"/>
          <w:b/>
          <w:color w:val="000000"/>
          <w:sz w:val="24"/>
          <w:u w:val="single"/>
        </w:rPr>
        <w:br/>
        <w:br/>
        <w:t>CASUALTY</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14.1    </w:t>
      </w:r>
      <w:r>
        <w:rPr>
          <w:rFonts w:ascii="Times New Roman;serif" w:hAnsi="Times New Roman;serif"/>
          <w:b/>
          <w:color w:val="000000"/>
          <w:sz w:val="24"/>
          <w:u w:val="single"/>
        </w:rPr>
        <w:t>Property Insurance Proceeds</w:t>
      </w:r>
      <w:r>
        <w:rPr>
          <w:rFonts w:ascii="Times New Roman;serif" w:hAnsi="Times New Roman;serif"/>
          <w:b/>
          <w:color w:val="000000"/>
          <w:sz w:val="24"/>
        </w:rPr>
        <w:t xml:space="preserve">. </w:t>
      </w:r>
      <w:r>
        <w:rPr>
          <w:rFonts w:ascii="Times New Roman;serif" w:hAnsi="Times New Roman;serif"/>
          <w:b w:val="false"/>
          <w:color w:val="000000"/>
          <w:sz w:val="24"/>
        </w:rPr>
        <w:t xml:space="preserve">All proceeds (except business interruption insurance proceeds not allocated to rent expenses which shall be payable to and retained by Tenant) payable by reason of any property loss or damage to the Leased Property, or any portion thereof, under any property policy of insurance required to be carried hereunder shall be paid to Facility Mortgagee or to an escrow account held by a third party depositary reasonably acceptable to Landlord and Tenant (pursuant to an escrow agreement acceptable to the parties and intended to implement the terms hereof) and made available to Tenant upon request for the reasonable costs of preservation, stabilization, emergency restoration, business interruption, reconstruction and repair, as the case may be, of any damage to or destruction of the Leased Property, or any portion thereof; provided, however, that the portion of such proceeds that are attributable to Tenant’s obligation to pay Rent shall be applied against Rent due by Tenant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hereunder as Rent becomes due; and provided, further, that if the total amount of proceeds payable net of the applicable deductibles is One Hundred Million Dollars ($100,000,000) or less, and, if no Event of Default has occurred and is continuing, the proceeds shall notwithstanding the foregoing provisions be paid to Tenant and, subject to the limitations set forth in this </w:t>
      </w:r>
      <w:r>
        <w:rPr>
          <w:rFonts w:ascii="Times New Roman;serif" w:hAnsi="Times New Roman;serif"/>
          <w:b/>
          <w:color w:val="000000"/>
          <w:sz w:val="24"/>
        </w:rPr>
        <w:t>Article XIV</w:t>
      </w:r>
      <w:r>
        <w:rPr>
          <w:color w:val="000000"/>
        </w:rPr>
        <w:t xml:space="preserve"> </w:t>
      </w:r>
      <w:r>
        <w:rPr>
          <w:rFonts w:ascii="Times New Roman;serif" w:hAnsi="Times New Roman;serif"/>
          <w:b w:val="false"/>
          <w:color w:val="000000"/>
          <w:sz w:val="24"/>
        </w:rPr>
        <w:t xml:space="preserve">used for the repair of any damage to the Leased Property, it being understood and agreed that Tenant shall have no obligation to rebuild any Tenant Capital Improvement (other than any Tenant Capital Improvement which Landlord has funded pursuant to </w:t>
      </w:r>
      <w:r>
        <w:rPr>
          <w:rFonts w:ascii="Times New Roman;serif" w:hAnsi="Times New Roman;serif"/>
          <w:b/>
          <w:color w:val="000000"/>
          <w:sz w:val="24"/>
        </w:rPr>
        <w:t>Section 10.5</w:t>
      </w:r>
      <w:r>
        <w:rPr>
          <w:rFonts w:ascii="Times New Roman;serif" w:hAnsi="Times New Roman;serif"/>
          <w:b w:val="false"/>
          <w:color w:val="000000"/>
          <w:sz w:val="24"/>
        </w:rPr>
        <w:t xml:space="preserve">); provided, further, that, in each case, the Leased Property and such Tenant Capital Improvements for which Landlord has paid are rebuilt in a manner at least substantially equivalent to either that existing on the date of this Master Lease or existing immediately prior to the casualty or as otherwise reasonably satisfactory to Landlord. Any excess proceeds of insurance remaining after the completion of the restoration or reconstruction of the Leased Property to substantially the condition described in the preceding sentence shall be paid to Tenant. All salvage resulting from any risk covered by insurance for damage or loss to the Leased Property shall belong to Landlord. Tenant shall have the right to prosecute and settle insurance claims, provided that Tenant shall consult with and involve Landlord in the process of adjusting any insurance claims under this </w:t>
      </w:r>
      <w:r>
        <w:rPr>
          <w:rFonts w:ascii="Times New Roman;serif" w:hAnsi="Times New Roman;serif"/>
          <w:b/>
          <w:color w:val="000000"/>
          <w:sz w:val="24"/>
        </w:rPr>
        <w:t>Article XIV</w:t>
      </w:r>
      <w:r>
        <w:rPr>
          <w:color w:val="000000"/>
        </w:rPr>
        <w:t xml:space="preserve"> </w:t>
      </w:r>
      <w:r>
        <w:rPr>
          <w:rFonts w:ascii="Times New Roman;serif" w:hAnsi="Times New Roman;serif"/>
          <w:b w:val="false"/>
          <w:color w:val="000000"/>
          <w:sz w:val="24"/>
        </w:rPr>
        <w:t>and any final settlement with the insurance company shall be subject to Landlord’s consent, such consent not to be unreasonably withheld.</w:t>
      </w:r>
    </w:p>
    <w:p>
      <w:pPr>
        <w:pStyle w:val="TextBody"/>
        <w:bidi w:val="0"/>
        <w:spacing w:lineRule="auto" w:line="288" w:before="0" w:after="240"/>
        <w:ind w:left="0" w:right="0" w:firstLine="720"/>
        <w:jc w:val="both"/>
        <w:rPr/>
      </w:pPr>
      <w:r>
        <w:rPr>
          <w:rFonts w:ascii="Times New Roman;serif" w:hAnsi="Times New Roman;serif"/>
          <w:b/>
          <w:color w:val="000000"/>
          <w:sz w:val="24"/>
        </w:rPr>
        <w:t>14.2    </w:t>
      </w:r>
      <w:r>
        <w:rPr>
          <w:rFonts w:ascii="Times New Roman;serif" w:hAnsi="Times New Roman;serif"/>
          <w:b/>
          <w:color w:val="000000"/>
          <w:sz w:val="24"/>
          <w:u w:val="single"/>
        </w:rPr>
        <w:t>Tenant’s Obligations Following Casualty</w:t>
      </w:r>
      <w:r>
        <w:rPr>
          <w:rFonts w:ascii="Times New Roman;serif" w:hAnsi="Times New Roman;serif"/>
          <w:b w:val="false"/>
          <w:color w:val="000000"/>
          <w:sz w:val="24"/>
        </w:rPr>
        <w:t xml:space="preserve">. (a) Subject to paragraphs (b), (c), (d), (e), (f) and (g) below, if a Facility and/or any Tenant Capital Improvements to a Facility are damaged, whether or not from a risk covered by insurance carried by Tenant, except as otherwise provided herein, (i) Tenant shall restore such Leased Property (excluding any Tenant Capital Improvement (other than any Tenant Capital Improvement which Landlord has funded pursuant to </w:t>
      </w:r>
      <w:r>
        <w:rPr>
          <w:rFonts w:ascii="Times New Roman;serif" w:hAnsi="Times New Roman;serif"/>
          <w:b/>
          <w:color w:val="000000"/>
          <w:sz w:val="24"/>
        </w:rPr>
        <w:t>Section 10.5</w:t>
      </w:r>
      <w:r>
        <w:rPr>
          <w:rFonts w:ascii="Times New Roman;serif" w:hAnsi="Times New Roman;serif"/>
          <w:b w:val="false"/>
          <w:color w:val="000000"/>
          <w:sz w:val="24"/>
        </w:rPr>
        <w:t xml:space="preserve">)), to substantially the condition required by </w:t>
      </w:r>
      <w:r>
        <w:rPr>
          <w:rFonts w:ascii="Times New Roman;serif" w:hAnsi="Times New Roman;serif"/>
          <w:b/>
          <w:color w:val="000000"/>
          <w:sz w:val="24"/>
        </w:rPr>
        <w:t>Section 14.1</w:t>
      </w:r>
      <w:r>
        <w:rPr>
          <w:rFonts w:ascii="Times New Roman;serif" w:hAnsi="Times New Roman;serif"/>
          <w:b w:val="false"/>
          <w:color w:val="000000"/>
          <w:sz w:val="24"/>
        </w:rPr>
        <w:t xml:space="preserve">, (ii) such damage shall not terminate this Master Lease and (iii) subject to </w:t>
      </w:r>
      <w:r>
        <w:rPr>
          <w:rFonts w:ascii="Times New Roman;serif" w:hAnsi="Times New Roman;serif"/>
          <w:b/>
          <w:color w:val="000000"/>
          <w:sz w:val="24"/>
        </w:rPr>
        <w:t>Section 14.5</w:t>
      </w:r>
      <w:r>
        <w:rPr>
          <w:rFonts w:ascii="Times New Roman;serif" w:hAnsi="Times New Roman;serif"/>
          <w:b w:val="false"/>
          <w:color w:val="000000"/>
          <w:sz w:val="24"/>
        </w:rPr>
        <w:t xml:space="preserve">, Landlord shall cause the Facility Mortgagee to make the proceeds of any insurance held in accordance with </w:t>
      </w:r>
      <w:r>
        <w:rPr>
          <w:rFonts w:ascii="Times New Roman;serif" w:hAnsi="Times New Roman;serif"/>
          <w:b/>
          <w:color w:val="000000"/>
          <w:sz w:val="24"/>
        </w:rPr>
        <w:t>Section 14.1</w:t>
      </w:r>
      <w:r>
        <w:rPr>
          <w:color w:val="000000"/>
        </w:rPr>
        <w:t xml:space="preserve"> </w:t>
      </w:r>
      <w:r>
        <w:rPr>
          <w:rFonts w:ascii="Times New Roman;serif" w:hAnsi="Times New Roman;serif"/>
          <w:b w:val="false"/>
          <w:color w:val="000000"/>
          <w:sz w:val="24"/>
        </w:rPr>
        <w:t xml:space="preserve">available to Tenant for such restoration in accordance with </w:t>
      </w:r>
      <w:r>
        <w:rPr>
          <w:rFonts w:ascii="Times New Roman;serif" w:hAnsi="Times New Roman;serif"/>
          <w:b/>
          <w:color w:val="000000"/>
          <w:sz w:val="24"/>
        </w:rPr>
        <w:t>Section 14.1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Notwithstanding the foregoing, in the event that any Facility is damaged and Tenant reasonably determines that the cost to restore such damage will exceed fifty percent (50%) of the</w:t>
      </w:r>
      <w:r>
        <w:rPr>
          <w:color w:val="000000"/>
        </w:rPr>
        <w:t xml:space="preserve"> </w:t>
      </w:r>
      <w:r>
        <w:rPr>
          <w:rFonts w:ascii="Times New Roman;serif" w:hAnsi="Times New Roman;serif"/>
          <w:b w:val="false"/>
          <w:color w:val="000000"/>
          <w:sz w:val="24"/>
        </w:rPr>
        <w:t xml:space="preserve">then fair market value of such Facility immediately prior to such Casualty Event, Tenant may elect within one (1) year after the date of such Casualty Event to terminate this Master Lease as to such Facility (but not as to any other Facility) as of the date on which Notice of such determination is delivered to Landlord in which event, Rent will abate in accordance with </w:t>
      </w:r>
      <w:r>
        <w:rPr>
          <w:rFonts w:ascii="Times New Roman;serif" w:hAnsi="Times New Roman;serif"/>
          <w:b/>
          <w:color w:val="000000"/>
          <w:sz w:val="24"/>
        </w:rPr>
        <w:t>Section 14.6</w:t>
      </w:r>
      <w:r>
        <w:rPr>
          <w:color w:val="000000"/>
        </w:rPr>
        <w:t xml:space="preserve"> </w:t>
      </w:r>
      <w:r>
        <w:rPr>
          <w:rFonts w:ascii="Times New Roman;serif" w:hAnsi="Times New Roman;serif"/>
          <w:b w:val="false"/>
          <w:color w:val="000000"/>
          <w:sz w:val="24"/>
        </w:rPr>
        <w:t>and all proceeds of insurance with respect to such Casualty Event (except business interruption not allocated to rent expenses which shall be payable to and retained by Tenant) shall be paid to Landlord.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In addition to the rights provided in paragraph (b) above, in the event that any Facility is damaged during the final two years of the then-current Term (after giving effect to any Renewal Notice that has been delivered or is delivered pursuant to the proviso below) and the cost to restore such damage will exceed ten percent (10%) of the</w:t>
      </w:r>
      <w:r>
        <w:rPr>
          <w:color w:val="000000"/>
        </w:rPr>
        <w:t xml:space="preserve"> </w:t>
      </w:r>
      <w:r>
        <w:rPr>
          <w:rFonts w:ascii="Times New Roman;serif" w:hAnsi="Times New Roman;serif"/>
          <w:b w:val="false"/>
          <w:color w:val="000000"/>
          <w:sz w:val="24"/>
        </w:rPr>
        <w:t>then fair market value</w:t>
      </w:r>
      <w:r>
        <w:rPr>
          <w:color w:val="000000"/>
        </w:rPr>
        <w:t xml:space="preserve"> </w:t>
      </w:r>
      <w:r>
        <w:rPr>
          <w:rFonts w:ascii="Times New Roman;serif" w:hAnsi="Times New Roman;serif"/>
          <w:b w:val="false"/>
          <w:color w:val="000000"/>
          <w:sz w:val="24"/>
        </w:rPr>
        <w:t xml:space="preserve">of such Facility immediately prior to such Casualty Event, either Landlord or Tenant may terminate this Master Lease as to such Facility (but not as to any other Facility) as of the date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damage, which termination right may be exercised by written notice to the other party no later than sixty (60) days following the determination of the cost reasonably expected to restore. If so terminated, Rent will continue unabated for the remainder of the Term and all proceeds of insurance with respect to such Casualty Event (except business interruption not allocated to rent expenses which shall be payable to and retained by Tenant) shall be paid to Landlord (including, for the avoidance of doubt, any proceeds paid to Tenant pursuant to the second proviso in </w:t>
      </w:r>
      <w:r>
        <w:rPr>
          <w:rFonts w:ascii="Times New Roman;serif" w:hAnsi="Times New Roman;serif"/>
          <w:b/>
          <w:color w:val="000000"/>
          <w:sz w:val="24"/>
        </w:rPr>
        <w:t>Section 14.1</w:t>
      </w:r>
      <w:r>
        <w:rPr>
          <w:rFonts w:ascii="Times New Roman;serif" w:hAnsi="Times New Roman;serif"/>
          <w:b w:val="false"/>
          <w:color w:val="000000"/>
          <w:sz w:val="24"/>
        </w:rPr>
        <w:t xml:space="preserve">); provided, however, such termination by Landlord shall not be effective in the event that Tenant elects, within sixty (60) days of Landlord’s election to terminate, to exercise Tenant’s next arising option for a Renewal Term. Any dispute between Landlord and Tenant with respect to fair market value or the costs of restoration will be determined by Experts pursuant to </w:t>
      </w:r>
      <w:r>
        <w:rPr>
          <w:rFonts w:ascii="Times New Roman;serif" w:hAnsi="Times New Roman;serif"/>
          <w:b/>
          <w:color w:val="000000"/>
          <w:sz w:val="24"/>
        </w:rPr>
        <w:t>Section 34.1</w:t>
      </w:r>
      <w:r>
        <w:rPr>
          <w:rFonts w:ascii="Times New Roman;serif" w:hAnsi="Times New Roman;serif"/>
          <w:b w:val="false"/>
          <w:color w:val="000000"/>
          <w:sz w:val="24"/>
        </w:rPr>
        <w:t xml:space="preserve">. If Tenant elects to terminate this Master Lease with respect to a Facility during the final two years of the then-current Term in accordance with this </w:t>
      </w:r>
      <w:r>
        <w:rPr>
          <w:rFonts w:ascii="Times New Roman;serif" w:hAnsi="Times New Roman;serif"/>
          <w:b/>
          <w:color w:val="000000"/>
          <w:sz w:val="24"/>
        </w:rPr>
        <w:t>Section 14.2</w:t>
      </w:r>
      <w:r>
        <w:rPr>
          <w:rFonts w:ascii="Times New Roman;serif" w:hAnsi="Times New Roman;serif"/>
          <w:b w:val="false"/>
          <w:color w:val="000000"/>
          <w:sz w:val="24"/>
        </w:rPr>
        <w:t>, Tenant shall be deemed to have forfeited Tenant’s right to exercise any further Renewal Terms.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If Tenant is required, or elects to, restore the affected Facility and the reasonably anticipated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 If Tenant elects, but is not required, to restore the affected Facility, Landlord shall only be required to make insurance proceeds available to Tenant for such restoration in accordance with </w:t>
      </w:r>
      <w:r>
        <w:rPr>
          <w:rFonts w:ascii="Times New Roman;serif" w:hAnsi="Times New Roman;serif"/>
          <w:b/>
          <w:color w:val="000000"/>
          <w:sz w:val="24"/>
        </w:rPr>
        <w:t>Section 14.1</w:t>
      </w:r>
      <w:r>
        <w:rPr>
          <w:color w:val="000000"/>
        </w:rPr>
        <w:t xml:space="preserve"> </w:t>
      </w:r>
      <w:r>
        <w:rPr>
          <w:rFonts w:ascii="Times New Roman;serif" w:hAnsi="Times New Roman;serif"/>
          <w:b w:val="false"/>
          <w:color w:val="000000"/>
          <w:sz w:val="24"/>
        </w:rPr>
        <w:t>if Tenant reasonably demonstrates that such restoration can be completed within four (4) years of the date on which Tenant can reasonably access the Facility for the purpose of commencing restoration.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If Tenant has not restored the affected Leased Property and the Primary Intended Use has not recommenced by the date that is the fourth (4th) anniversary of the date on which Tenant can reasonably access the Facility for the purpose of commencing restoration, all remaining insurance proceeds shall be paid to and retained by Landlord free and clear of any claim by or through Tenant unless Tenant is continuing to prosecute the rebuilding or restoration with reasonable diligence.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In the event that Tenant is neither required nor elects to repair and restore the Leased Property, all property insurance proceeds, other than proceeds reasonably attributed to any Tenant Capital Improvements (other than any Tenant Capital Improvement which Landlord has funded pursuant to </w:t>
      </w:r>
      <w:r>
        <w:rPr>
          <w:rFonts w:ascii="Times New Roman;serif" w:hAnsi="Times New Roman;serif"/>
          <w:b/>
          <w:color w:val="000000"/>
          <w:sz w:val="24"/>
        </w:rPr>
        <w:t>Section 10.5</w:t>
      </w:r>
      <w:r>
        <w:rPr>
          <w:rFonts w:ascii="Times New Roman;serif" w:hAnsi="Times New Roman;serif"/>
          <w:b w:val="false"/>
          <w:color w:val="000000"/>
          <w:sz w:val="24"/>
        </w:rPr>
        <w:t xml:space="preserve">) (and, subject to no Event of Default having occurred and being continuing, any business interruption proceeds in excess of Tenant’s Rent obligations hereunder), which proceeds shall be and remain the property of Tenant, shall be paid to and retained by Landlord free and clear of any claim by or through Tenant except as otherwise specifically provided below in this </w:t>
      </w:r>
      <w:r>
        <w:rPr>
          <w:rFonts w:ascii="Times New Roman;serif" w:hAnsi="Times New Roman;serif"/>
          <w:b/>
          <w:color w:val="000000"/>
          <w:sz w:val="24"/>
        </w:rPr>
        <w:t>Article XIV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In the event that (i) following a Casualty Event Tenant elects in accordance with </w:t>
      </w:r>
      <w:r>
        <w:rPr>
          <w:rFonts w:ascii="Times New Roman;serif" w:hAnsi="Times New Roman;serif"/>
          <w:b/>
          <w:color w:val="000000"/>
          <w:sz w:val="24"/>
        </w:rPr>
        <w:t xml:space="preserve">Section 14.2(b) </w:t>
      </w:r>
      <w:r>
        <w:rPr>
          <w:rFonts w:ascii="Times New Roman;serif" w:hAnsi="Times New Roman;serif"/>
          <w:b w:val="false"/>
          <w:color w:val="000000"/>
          <w:sz w:val="24"/>
        </w:rPr>
        <w:t xml:space="preserve">to terminate this Master Lease with respect to the affected Facility(ies) and (ii) the insurance proceeds payable to Landlord in accordance with </w:t>
      </w:r>
      <w:r>
        <w:rPr>
          <w:rFonts w:ascii="Times New Roman;serif" w:hAnsi="Times New Roman;serif"/>
          <w:b/>
          <w:color w:val="000000"/>
          <w:sz w:val="24"/>
        </w:rPr>
        <w:t>Section 14.2(f)</w:t>
      </w:r>
      <w:r>
        <w:rPr>
          <w:color w:val="000000"/>
        </w:rPr>
        <w:t xml:space="preserve"> </w:t>
      </w:r>
      <w:r>
        <w:rPr>
          <w:rFonts w:ascii="Times New Roman;serif" w:hAnsi="Times New Roman;serif"/>
          <w:b w:val="false"/>
          <w:color w:val="000000"/>
          <w:sz w:val="24"/>
        </w:rPr>
        <w:t xml:space="preserve">above with respect to such Casualty Event are less than the reasonable estimate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cost to repair and restore the Leased Property (excluding any Tenant Capital Improvement (other than any Tenant Capital Improvement which Landlord has funded pursuant to </w:t>
      </w:r>
      <w:r>
        <w:rPr>
          <w:rFonts w:ascii="Times New Roman;serif" w:hAnsi="Times New Roman;serif"/>
          <w:b/>
          <w:color w:val="000000"/>
          <w:sz w:val="24"/>
        </w:rPr>
        <w:t>Section 10.5</w:t>
      </w:r>
      <w:r>
        <w:rPr>
          <w:rFonts w:ascii="Times New Roman;serif" w:hAnsi="Times New Roman;serif"/>
          <w:b w:val="false"/>
          <w:color w:val="000000"/>
          <w:sz w:val="24"/>
        </w:rPr>
        <w:t>)) to substantially the same condition as existed immediately prior to the relevant Casualty Event (such difference being a “</w:t>
      </w:r>
      <w:r>
        <w:rPr>
          <w:rFonts w:ascii="Times New Roman;serif" w:hAnsi="Times New Roman;serif"/>
          <w:b/>
          <w:color w:val="000000"/>
          <w:sz w:val="24"/>
        </w:rPr>
        <w:t>Casualty Shortfall</w:t>
      </w:r>
      <w:r>
        <w:rPr>
          <w:color w:val="000000"/>
        </w:rPr>
        <w:t>”</w:t>
      </w:r>
      <w:r>
        <w:rPr>
          <w:rFonts w:ascii="Times New Roman;serif" w:hAnsi="Times New Roman;serif"/>
          <w:b w:val="false"/>
          <w:color w:val="000000"/>
          <w:sz w:val="24"/>
        </w:rPr>
        <w:t>), (x) Tenant shall have no responsibility for the first Twenty-Five Million Dollars ($25,000,000) of Casualty Shortfall with respect to any Casualty Event with respect to any individual Facility, and (y) with respect to any Casualty Shortfall with respect to any Casualty Event with respect to any individual Facility in excess of Twenty-Five Million Dollars ($25,000,000), Tenant shall pay to Landlord with respect to each such Facility an amount (the aggregate of such amounts for all affected Facilities, “</w:t>
      </w:r>
      <w:r>
        <w:rPr>
          <w:rFonts w:ascii="Times New Roman;serif" w:hAnsi="Times New Roman;serif"/>
          <w:b/>
          <w:color w:val="000000"/>
          <w:sz w:val="24"/>
        </w:rPr>
        <w:t>Tenant’s Portion of a Casualty Shortfall</w:t>
      </w:r>
      <w:r>
        <w:rPr>
          <w:color w:val="000000"/>
        </w:rPr>
        <w:t>”</w:t>
      </w:r>
      <w:r>
        <w:rPr>
          <w:rFonts w:ascii="Times New Roman;serif" w:hAnsi="Times New Roman;serif"/>
          <w:b w:val="false"/>
          <w:color w:val="000000"/>
          <w:sz w:val="24"/>
        </w:rPr>
        <w:t>) equal to the product of (x) one-half multiplied by (y) the difference between the amount of the Casualty Shortfall for such Casualty Event for such Facility less Twenty-Five Million Dollars ($25,000,000), and upon such payment of Tenant’s Portion of a Casualty Shortfall, Tenant shall have no further responsibility for such Casualty Shortfall and the same shall be borne by Landlord. Tenant may elect to pay to Landlord Tenant’s Portion of a Casualty Shortfall either (i) as a lump sum in cash due and payable within ninety (90) days</w:t>
      </w:r>
      <w:r>
        <w:rPr>
          <w:color w:val="000000"/>
        </w:rPr>
        <w:t xml:space="preserve"> </w:t>
      </w:r>
      <w:r>
        <w:rPr>
          <w:rFonts w:ascii="Times New Roman;serif" w:hAnsi="Times New Roman;serif"/>
          <w:b w:val="false"/>
          <w:color w:val="000000"/>
          <w:sz w:val="24"/>
        </w:rPr>
        <w:t xml:space="preserve">following the later to occur of (x) the date of final determination of the amount of the Casualty Shortfall and (y) the date Tenant elects to terminate the Master Lease with respect to the affected Facility, or (ii) as additional Rent over the remaining Term. If Tenant elects to pay Tenant’s Portion of a Casualty Shortfall over the remaining Term in accordance with the preceding clause (ii) the following shall apply. The amount necessary to fully amortize Tenant’s Portion of a Casualty Shortfall over the remaining Term (assuming all Renewal Terms are exercised) based on equal monthly payments with interest at the Assumed Rate shall be payable each month on each Payment Date as Additional Charges. If Tenant fails to exercise all remaining Renewal Terms or this Master Lease is terminated prior to its expiration, then the outstanding principal balance of the remaining Tenant’s Portion of a Casualty Shortfall as of the expiration of the Term based on the foregoing amortization calculation shall be payable by Tenant to Landlord as Additional Charges upon the expiration or termination of this Master Lease. For the avoidance of doubt, the provisions of this </w:t>
      </w:r>
      <w:r>
        <w:rPr>
          <w:rFonts w:ascii="Times New Roman;serif" w:hAnsi="Times New Roman;serif"/>
          <w:b/>
          <w:color w:val="000000"/>
          <w:sz w:val="24"/>
        </w:rPr>
        <w:t>Section 14.2(g)</w:t>
      </w:r>
      <w:r>
        <w:rPr>
          <w:color w:val="000000"/>
        </w:rPr>
        <w:t xml:space="preserve"> </w:t>
      </w:r>
      <w:r>
        <w:rPr>
          <w:rFonts w:ascii="Times New Roman;serif" w:hAnsi="Times New Roman;serif"/>
          <w:b w:val="false"/>
          <w:color w:val="000000"/>
          <w:sz w:val="24"/>
        </w:rPr>
        <w:t xml:space="preserve">shall not apply to any Casualty Event as to which </w:t>
      </w:r>
      <w:r>
        <w:rPr>
          <w:rFonts w:ascii="Times New Roman;serif" w:hAnsi="Times New Roman;serif"/>
          <w:b/>
          <w:color w:val="000000"/>
          <w:sz w:val="24"/>
        </w:rPr>
        <w:t>Section 14.2(c)</w:t>
      </w:r>
      <w:r>
        <w:rPr>
          <w:color w:val="000000"/>
        </w:rPr>
        <w:t xml:space="preserve"> </w:t>
      </w:r>
      <w:r>
        <w:rPr>
          <w:rFonts w:ascii="Times New Roman;serif" w:hAnsi="Times New Roman;serif"/>
          <w:b w:val="false"/>
          <w:color w:val="000000"/>
          <w:sz w:val="24"/>
        </w:rPr>
        <w:t xml:space="preserve">is applicable and Tenant shall have no responsibility for any Casualty Shortfall with respect to any Casualty Event as to which </w:t>
      </w:r>
      <w:r>
        <w:rPr>
          <w:rFonts w:ascii="Times New Roman;serif" w:hAnsi="Times New Roman;serif"/>
          <w:b/>
          <w:color w:val="000000"/>
          <w:sz w:val="24"/>
        </w:rPr>
        <w:t xml:space="preserve">Section 14.2(c) </w:t>
      </w:r>
      <w:r>
        <w:rPr>
          <w:rFonts w:ascii="Times New Roman;serif" w:hAnsi="Times New Roman;serif"/>
          <w:b w:val="false"/>
          <w:color w:val="000000"/>
          <w:sz w:val="24"/>
        </w:rPr>
        <w:t xml:space="preserve">is applicable. Notwithstanding the foregoing, Tenant may, following the determination of the amount of any Casualty Shortfall, in Tenant’s sole discretion, elect to continue to pay Rent through the remaining Term of this Master Lease (including extensions) without any abatement of Rent that would otherwise be applicable pursuant to </w:t>
      </w:r>
      <w:r>
        <w:rPr>
          <w:rFonts w:ascii="Times New Roman;serif" w:hAnsi="Times New Roman;serif"/>
          <w:b/>
          <w:color w:val="000000"/>
          <w:sz w:val="24"/>
        </w:rPr>
        <w:t xml:space="preserve">Section 14.6 </w:t>
      </w:r>
      <w:r>
        <w:rPr>
          <w:rFonts w:ascii="Times New Roman;serif" w:hAnsi="Times New Roman;serif"/>
          <w:b w:val="false"/>
          <w:color w:val="000000"/>
          <w:sz w:val="24"/>
        </w:rPr>
        <w:t xml:space="preserve">below as a result of a termination of this Master Lease with respect to the affected Facility(ies), in which case Tenant shall not be responsible for any portion of such Casualty Shortfall. In the event that Landlord and Tenant are unable to agree on the amount of any Casualty Shortfall, either Landlord or Tenant may elect to have such amount determined by an Expert in accordance with </w:t>
      </w:r>
      <w:r>
        <w:rPr>
          <w:rFonts w:ascii="Times New Roman;serif" w:hAnsi="Times New Roman;serif"/>
          <w:b/>
          <w:color w:val="000000"/>
          <w:sz w:val="24"/>
        </w:rPr>
        <w:t>Section 34.1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14.3    </w:t>
      </w:r>
      <w:r>
        <w:rPr>
          <w:rFonts w:ascii="Times New Roman;serif" w:hAnsi="Times New Roman;serif"/>
          <w:b/>
          <w:color w:val="000000"/>
          <w:sz w:val="24"/>
          <w:u w:val="single"/>
        </w:rPr>
        <w:t>No Abatement of Rent</w:t>
      </w:r>
      <w:r>
        <w:rPr>
          <w:rFonts w:ascii="Times New Roman;serif" w:hAnsi="Times New Roman;serif"/>
          <w:b w:val="false"/>
          <w:color w:val="000000"/>
          <w:sz w:val="24"/>
        </w:rPr>
        <w:t>. This Master Lease shall remain in full force and effect and Tenant’s obligation to pay the Rent, Additional Charges and all other charges required by this Master Lease shall remain unabated during the period required for adjusting insurance, satisfying Legal Requirements, repair and restoration.</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14.4    </w:t>
      </w:r>
      <w:r>
        <w:rPr>
          <w:rFonts w:ascii="Times New Roman;serif" w:hAnsi="Times New Roman;serif"/>
          <w:b/>
          <w:color w:val="000000"/>
          <w:sz w:val="24"/>
          <w:u w:val="single"/>
        </w:rPr>
        <w:t>Waiver</w:t>
      </w:r>
      <w:r>
        <w:rPr>
          <w:rFonts w:ascii="Times New Roman;serif" w:hAnsi="Times New Roman;serif"/>
          <w:b w:val="false"/>
          <w:color w:val="000000"/>
          <w:sz w:val="24"/>
        </w:rPr>
        <w:t xml:space="preserve">. Tenant waives any statutory rights of termination which may arise by reason of any damage or destruction of the Leased Property but such waiver shall not affect any contractual rights granted to Tenant under this </w:t>
      </w:r>
      <w:r>
        <w:rPr>
          <w:rFonts w:ascii="Times New Roman;serif" w:hAnsi="Times New Roman;serif"/>
          <w:b/>
          <w:color w:val="000000"/>
          <w:sz w:val="24"/>
        </w:rPr>
        <w:t>Article XIV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14.5    </w:t>
      </w:r>
      <w:r>
        <w:rPr>
          <w:rFonts w:ascii="Times New Roman;serif" w:hAnsi="Times New Roman;serif"/>
          <w:b/>
          <w:color w:val="000000"/>
          <w:sz w:val="24"/>
          <w:u w:val="single"/>
        </w:rPr>
        <w:t>Insurance Proceeds Paid to Facility Mortgagee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anything herein to the contrary, in the event that any Facility Mortgagee is entitled to any insurance proceeds, or any portion thereof, under the terms of any Facility Mortgage, such proceeds (except business interruption not allocated to rent expenses which shall be payable to and retained by Tenant) shall be applied, held and/or disbursed in accordance with the terms of the Facility Mortgage but in all events subject to Tenant’s right to such insurance proceeds (including Tenant’s right to receive all insurance proceeds for a Casualty Event less than One Hundred Million Dollars ($100,000,000) in accordance with </w:t>
      </w:r>
      <w:r>
        <w:rPr>
          <w:rFonts w:ascii="Times New Roman;serif" w:hAnsi="Times New Roman;serif"/>
          <w:b/>
          <w:color w:val="000000"/>
          <w:sz w:val="24"/>
        </w:rPr>
        <w:t>Section 14.1</w:t>
      </w:r>
      <w:r>
        <w:rPr>
          <w:rFonts w:ascii="Times New Roman;serif" w:hAnsi="Times New Roman;serif"/>
          <w:b w:val="false"/>
          <w:color w:val="000000"/>
          <w:sz w:val="24"/>
        </w:rPr>
        <w:t xml:space="preserve">) and provided, that, (i) in the event of a Casualty Event involving proceeds of One Hundred Million Dollars ($100,000,000) or more where Tenant elects within twelve (12) months of the date of the relevant Casualty Event to restore the affected Facility and Tenant reasonably demonstrates that such restoration can be completed within four (4) years of the date on which Tenant can reasonably access the Facility for the purpose of commencing restoration (after the date of such Casualty Event but without regard to the date on which Tenant elects to restore the affected Facility), or (ii) in the event of a Casualty Event involving proceeds of One Hundred Million Dollars ($100,000,000) or more where Tenant is required by this Master Lease to restore the affected Facility, Landlord will cause, subject to </w:t>
      </w:r>
      <w:r>
        <w:rPr>
          <w:rFonts w:ascii="Times New Roman;serif" w:hAnsi="Times New Roman;serif"/>
          <w:b/>
          <w:color w:val="000000"/>
          <w:sz w:val="24"/>
        </w:rPr>
        <w:t>Section 14.2(e)</w:t>
      </w:r>
      <w:r>
        <w:rPr>
          <w:rFonts w:ascii="Times New Roman;serif" w:hAnsi="Times New Roman;serif"/>
          <w:b w:val="false"/>
          <w:color w:val="000000"/>
          <w:sz w:val="24"/>
        </w:rPr>
        <w:t>, any Facility Mortgagee that has received, or thereafter does receive, insurance proceeds to make such proceeds available to Tenant for the reasonable costs of preservation, stabilization, emergency restoration, reconstruction and repair for the affected Facility.</w:t>
      </w:r>
    </w:p>
    <w:p>
      <w:pPr>
        <w:pStyle w:val="TextBody"/>
        <w:bidi w:val="0"/>
        <w:spacing w:lineRule="auto" w:line="288" w:before="0" w:after="240"/>
        <w:ind w:left="0" w:right="0" w:firstLine="720"/>
        <w:jc w:val="both"/>
        <w:rPr/>
      </w:pPr>
      <w:r>
        <w:rPr>
          <w:rFonts w:ascii="Times New Roman;serif" w:hAnsi="Times New Roman;serif"/>
          <w:b/>
          <w:color w:val="000000"/>
          <w:sz w:val="24"/>
        </w:rPr>
        <w:t>14.6    </w:t>
      </w:r>
      <w:r>
        <w:rPr>
          <w:rFonts w:ascii="Times New Roman;serif" w:hAnsi="Times New Roman;serif"/>
          <w:b/>
          <w:color w:val="000000"/>
          <w:sz w:val="24"/>
          <w:u w:val="single"/>
        </w:rPr>
        <w:t>Termination of Master Lease; Abatement of Rent</w:t>
      </w:r>
      <w:r>
        <w:rPr>
          <w:rFonts w:ascii="Times New Roman;serif" w:hAnsi="Times New Roman;serif"/>
          <w:b w:val="false"/>
          <w:color w:val="000000"/>
          <w:sz w:val="24"/>
        </w:rPr>
        <w:t xml:space="preserve">. In the event this Master Lease is terminated as to an affected Facility pursuant to </w:t>
      </w:r>
      <w:r>
        <w:rPr>
          <w:rFonts w:ascii="Times New Roman;serif" w:hAnsi="Times New Roman;serif"/>
          <w:b/>
          <w:color w:val="000000"/>
          <w:sz w:val="24"/>
        </w:rPr>
        <w:t>Section 8.2</w:t>
      </w:r>
      <w:r>
        <w:rPr>
          <w:color w:val="000000"/>
        </w:rPr>
        <w:t xml:space="preserve"> </w:t>
      </w:r>
      <w:r>
        <w:rPr>
          <w:rFonts w:ascii="Times New Roman;serif" w:hAnsi="Times New Roman;serif"/>
          <w:b w:val="false"/>
          <w:color w:val="000000"/>
          <w:sz w:val="24"/>
        </w:rPr>
        <w:t xml:space="preserve">(in respect of Landlord being in jeopardy of failing to comply with a regulatory requirement material to the continued operation of a Facility), </w:t>
      </w:r>
      <w:r>
        <w:rPr>
          <w:rFonts w:ascii="Times New Roman;serif" w:hAnsi="Times New Roman;serif"/>
          <w:b/>
          <w:color w:val="000000"/>
          <w:sz w:val="24"/>
        </w:rPr>
        <w:t>Section 14.2 (b)</w:t>
      </w:r>
      <w:r>
        <w:rPr>
          <w:color w:val="000000"/>
        </w:rPr>
        <w:t xml:space="preserve"> </w:t>
      </w:r>
      <w:r>
        <w:rPr>
          <w:rFonts w:ascii="Times New Roman;serif" w:hAnsi="Times New Roman;serif"/>
          <w:b w:val="false"/>
          <w:color w:val="000000"/>
          <w:sz w:val="24"/>
        </w:rPr>
        <w:t xml:space="preserve">(in the event that Landlord or Tenant elect to terminate the Master Lease with respect to a Facility following a Casualty Event), </w:t>
      </w:r>
      <w:r>
        <w:rPr>
          <w:rFonts w:ascii="Times New Roman;serif" w:hAnsi="Times New Roman;serif"/>
          <w:b/>
          <w:color w:val="000000"/>
          <w:sz w:val="24"/>
        </w:rPr>
        <w:t>Article XV</w:t>
      </w:r>
      <w:r>
        <w:rPr>
          <w:rFonts w:ascii="Times New Roman;serif" w:hAnsi="Times New Roman;serif"/>
          <w:b w:val="false"/>
          <w:color w:val="000000"/>
          <w:sz w:val="24"/>
        </w:rPr>
        <w:t>, or any other provision of this Master Lease which provides for termination of this Master Lease with respect to a Facility (a “</w:t>
      </w:r>
      <w:r>
        <w:rPr>
          <w:rFonts w:ascii="Times New Roman;serif" w:hAnsi="Times New Roman;serif"/>
          <w:b/>
          <w:color w:val="000000"/>
          <w:sz w:val="24"/>
        </w:rPr>
        <w:t>Leased Property Rent Adjustment Event</w:t>
      </w:r>
      <w:r>
        <w:rPr>
          <w:color w:val="000000"/>
        </w:rPr>
        <w:t>”</w:t>
      </w:r>
      <w:r>
        <w:rPr>
          <w:rFonts w:ascii="Times New Roman;serif" w:hAnsi="Times New Roman;serif"/>
          <w:b w:val="false"/>
          <w:color w:val="000000"/>
          <w:sz w:val="24"/>
        </w:rPr>
        <w:t>), then:</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(i)    the Rent due hereunder from and after the effective date of any such Leased Property Rent Adjustment Event shall be reduced by an amount equal to the Allocable Rent Amount with respect to any such affected Facility; and</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(ii)    Landlord shall retain any claim which Landlord may have against Tenant for failure to insure such Leased Property as required by </w:t>
      </w:r>
      <w:r>
        <w:rPr>
          <w:rFonts w:ascii="Times New Roman;serif" w:hAnsi="Times New Roman;serif"/>
          <w:b/>
          <w:color w:val="000000"/>
          <w:sz w:val="24"/>
        </w:rPr>
        <w:t>Article XIII</w:t>
      </w:r>
      <w:r>
        <w:rPr>
          <w:rFonts w:ascii="Times New Roman;serif" w:hAnsi="Times New Roman;serif"/>
          <w:b w:val="false"/>
          <w:color w:val="000000"/>
          <w:sz w:val="24"/>
        </w:rPr>
        <w:t xml:space="preserve">, except that any portion of Tenant’s Portion of a Casualty Shortfall that was paid as a result of Tenant’s failure to comply with </w:t>
      </w:r>
      <w:r>
        <w:rPr>
          <w:rFonts w:ascii="Times New Roman;serif" w:hAnsi="Times New Roman;serif"/>
          <w:b/>
          <w:color w:val="000000"/>
          <w:sz w:val="24"/>
        </w:rPr>
        <w:t xml:space="preserve">Article XIII </w:t>
      </w:r>
      <w:r>
        <w:rPr>
          <w:rFonts w:ascii="Times New Roman;serif" w:hAnsi="Times New Roman;serif"/>
          <w:b w:val="false"/>
          <w:color w:val="000000"/>
          <w:sz w:val="24"/>
        </w:rPr>
        <w:t>shall reduce any such liability on a dollar for dollar basis.</w:t>
      </w:r>
    </w:p>
    <w:p>
      <w:pPr>
        <w:pStyle w:val="TextBody"/>
        <w:bidi w:val="0"/>
        <w:spacing w:lineRule="auto" w:line="288" w:before="0" w:after="240"/>
        <w:ind w:left="0" w:right="0" w:firstLine="720"/>
        <w:jc w:val="both"/>
        <w:rPr/>
      </w:pPr>
      <w:r>
        <w:rPr>
          <w:rFonts w:ascii="Times New Roman;serif" w:hAnsi="Times New Roman;serif"/>
          <w:b/>
          <w:color w:val="000000"/>
          <w:sz w:val="24"/>
        </w:rPr>
        <w:t>14.7    </w:t>
      </w:r>
      <w:r>
        <w:rPr>
          <w:rFonts w:ascii="Times New Roman;serif" w:hAnsi="Times New Roman;serif"/>
          <w:b/>
          <w:color w:val="000000"/>
          <w:sz w:val="24"/>
          <w:u w:val="single"/>
        </w:rPr>
        <w:t>Multiple Facility Mortgagees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In any provisions of this </w:t>
      </w:r>
      <w:r>
        <w:rPr>
          <w:rFonts w:ascii="Times New Roman;serif" w:hAnsi="Times New Roman;serif"/>
          <w:b/>
          <w:color w:val="000000"/>
          <w:sz w:val="24"/>
        </w:rPr>
        <w:t>Article XIV, Article XV</w:t>
      </w:r>
      <w:r>
        <w:rPr>
          <w:color w:val="000000"/>
        </w:rPr>
        <w:t xml:space="preserve"> </w:t>
      </w:r>
      <w:r>
        <w:rPr>
          <w:rFonts w:ascii="Times New Roman;serif" w:hAnsi="Times New Roman;serif"/>
          <w:b w:val="false"/>
          <w:color w:val="000000"/>
          <w:sz w:val="24"/>
        </w:rPr>
        <w:t>or any other provision of this Master Lease providing for any determination, decision or election by a Facility Mortgagee, the determination, decision or election of the Facility Mortgagee of the highest priority with respect to the Facility in question shall be controlling.</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XV</w:t>
      </w:r>
      <w:r>
        <w:rPr>
          <w:rFonts w:ascii="Times New Roman;serif" w:hAnsi="Times New Roman;serif"/>
          <w:b/>
          <w:color w:val="000000"/>
          <w:sz w:val="24"/>
          <w:u w:val="single"/>
        </w:rPr>
        <w:br/>
        <w:br/>
        <w:t>CONDEMNATION</w:t>
      </w:r>
    </w:p>
    <w:p>
      <w:pPr>
        <w:pStyle w:val="TextBody"/>
        <w:bidi w:val="0"/>
        <w:spacing w:lineRule="auto" w:line="288" w:before="0" w:after="240"/>
        <w:ind w:left="0" w:right="0" w:firstLine="720"/>
        <w:jc w:val="left"/>
        <w:rPr/>
      </w:pPr>
      <w:r>
        <w:rPr>
          <w:rFonts w:ascii="Times New Roman;serif" w:hAnsi="Times New Roman;serif"/>
          <w:b/>
          <w:color w:val="000000"/>
          <w:sz w:val="24"/>
        </w:rPr>
        <w:t>15.1    </w:t>
      </w:r>
      <w:r>
        <w:rPr>
          <w:rFonts w:ascii="Times New Roman;serif" w:hAnsi="Times New Roman;serif"/>
          <w:b/>
          <w:color w:val="000000"/>
          <w:sz w:val="24"/>
          <w:u w:val="single"/>
        </w:rPr>
        <w:t>Condemnation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Total Taking</w:t>
      </w:r>
      <w:r>
        <w:rPr>
          <w:rFonts w:ascii="Times New Roman;serif" w:hAnsi="Times New Roman;serif"/>
          <w:b w:val="false"/>
          <w:color w:val="000000"/>
          <w:sz w:val="24"/>
        </w:rPr>
        <w:t xml:space="preserve">. If there is a permanent Condemnation of Leased Property with respect to all or substantially all of any Facility, this Master Lease shall terminate with respect to such Facility (but no other portion of the Leased Property) as of the day before the Date of Taking for such Facility and Rent will abate in accordance with </w:t>
      </w:r>
      <w:r>
        <w:rPr>
          <w:rFonts w:ascii="Times New Roman;serif" w:hAnsi="Times New Roman;serif"/>
          <w:b/>
          <w:color w:val="000000"/>
          <w:sz w:val="24"/>
        </w:rPr>
        <w:t>Section 14.6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Partial Taking</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If there is a Condemnation of a portion of a Facility, this Master Lease shall remain in effect if the affected Facility is not thereby rendered, in the reasonable determination of Tenant, Unsuitable for Its Primary Intended Use, but if such Facility is thereby rendered Unsuitable for Its Primary Intended Use, this Master Lease shall at Tenant’s option terminate with respect to such Facility as of the date on which Notice of such determination is delivered to Landlord and Rent will abate in accordance with </w:t>
      </w:r>
      <w:r>
        <w:rPr>
          <w:rFonts w:ascii="Times New Roman;serif" w:hAnsi="Times New Roman;serif"/>
          <w:b/>
          <w:color w:val="000000"/>
          <w:sz w:val="24"/>
        </w:rPr>
        <w:t>Section 14.6</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Notwithstanding the foregoing, in the event of a Condemnation of a portion of a Facility representing fifty (50%) or more of the fair market value of such Facility, Tenant may terminate this Master Lease as to such Facility (but not as to any other Facility) as of the date on which Notice of such termination is delivered to Landlord in which event, Rent will abate in accordance with </w:t>
      </w:r>
      <w:r>
        <w:rPr>
          <w:rFonts w:ascii="Times New Roman;serif" w:hAnsi="Times New Roman;serif"/>
          <w:b/>
          <w:color w:val="000000"/>
          <w:sz w:val="24"/>
        </w:rPr>
        <w:t>Section 14.6</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In the event of a Condemnation of a portion of a Facility representing ten percent (10%) or more of the fair market value of such Facility during the final two years of the then-current Term (after giving effect to any Renewal Notice that has been delivered or is delivered pursuant to the proviso below), either Landlord or Tenant may terminate this Master Lease as to such Facility (but not as to any other Facility) as of the day before the Date of Taking and Rent will continue unabated for the remainder of the Term; provided, however, such termination by Landlord shall not be effective in the event that Tenant elects, within sixty (60) days of Landlord’s election to terminate, to exercise Tenant’s next arising option for a Renewal Term. Any dispute between Landlord and Tenant with respect to the extent of a Condemnation will be determined by Experts pursuant to </w:t>
      </w:r>
      <w:r>
        <w:rPr>
          <w:rFonts w:ascii="Times New Roman;serif" w:hAnsi="Times New Roman;serif"/>
          <w:b/>
          <w:color w:val="000000"/>
          <w:sz w:val="24"/>
        </w:rPr>
        <w:t>Section 34.1</w:t>
      </w:r>
      <w:r>
        <w:rPr>
          <w:rFonts w:ascii="Times New Roman;serif" w:hAnsi="Times New Roman;serif"/>
          <w:b w:val="false"/>
          <w:color w:val="000000"/>
          <w:sz w:val="24"/>
        </w:rPr>
        <w:t xml:space="preserve">. If Tenant elects to terminate this Master Lease with respect to a Facility during the final two years of the then-current Term in accordance with this </w:t>
      </w:r>
      <w:r>
        <w:rPr>
          <w:rFonts w:ascii="Times New Roman;serif" w:hAnsi="Times New Roman;serif"/>
          <w:b/>
          <w:color w:val="000000"/>
          <w:sz w:val="24"/>
        </w:rPr>
        <w:t>Section 15.1</w:t>
      </w:r>
      <w:r>
        <w:rPr>
          <w:rFonts w:ascii="Times New Roman;serif" w:hAnsi="Times New Roman;serif"/>
          <w:b w:val="false"/>
          <w:color w:val="000000"/>
          <w:sz w:val="24"/>
        </w:rPr>
        <w:t>, Tenant shall be deemed to have forfeited Tenant’s right to exercise any further Renewal Terms.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Restoration</w:t>
      </w:r>
      <w:r>
        <w:rPr>
          <w:rFonts w:ascii="Times New Roman;serif" w:hAnsi="Times New Roman;serif"/>
          <w:b w:val="false"/>
          <w:color w:val="000000"/>
          <w:sz w:val="24"/>
        </w:rPr>
        <w:t xml:space="preserve">. If there is a partial Condemnation of a Facility and this Master Lease remains in full force and effect with respect to such Facility, Landlord shall make available to Tenant the </w:t>
      </w:r>
      <w:r>
        <w:rPr>
          <w:rFonts w:ascii="Times New Roman;serif" w:hAnsi="Times New Roman;serif"/>
          <w:b w:val="false"/>
          <w:color w:val="000000"/>
          <w:sz w:val="24"/>
          <w:u w:val="single"/>
        </w:rPr>
        <w:t>portion</w:t>
      </w:r>
      <w:r>
        <w:rPr>
          <w:color w:val="000000"/>
        </w:rPr>
        <w:t xml:space="preserve"> </w:t>
      </w:r>
      <w:r>
        <w:rPr>
          <w:rFonts w:ascii="Times New Roman;serif" w:hAnsi="Times New Roman;serif"/>
          <w:b w:val="false"/>
          <w:color w:val="000000"/>
          <w:sz w:val="24"/>
        </w:rPr>
        <w:t xml:space="preserve">of the Award applicable to restoration of the Leased Property,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period of ninety (90) days after the occurrence of the Condemnation, then the Rent for such Facility shall be proportionately reduced based on the relative values of the property taken by condemnation and the portion of the affected Facility remaining subject to the Master Lease. In the event that Landlord and Tenant are unable to agree on such relative values within such ninety (90) day period, either Landlord or Tenant may request that such relative values be determined by an Expert in accordance with </w:t>
      </w:r>
      <w:r>
        <w:rPr>
          <w:rFonts w:ascii="Times New Roman;serif" w:hAnsi="Times New Roman;serif"/>
          <w:b/>
          <w:color w:val="000000"/>
          <w:sz w:val="24"/>
        </w:rPr>
        <w:t>Section 34.1</w:t>
      </w:r>
      <w:r>
        <w:rPr>
          <w:rFonts w:ascii="Times New Roman;serif" w:hAnsi="Times New Roman;serif"/>
          <w:b w:val="false"/>
          <w:color w:val="000000"/>
          <w:sz w:val="24"/>
        </w:rPr>
        <w:t xml:space="preserve">. Tenant shall restore such Leased Property (as nearly as possible under the circumstances) to a complete architectural unit of the same general character and condition as such Leased Property existing immediately prior to such Condemnation. If Tenant has not so restored the affected Leased Property and the Primary Intended Use has not recommenced by the date that is the fourth (4th) anniversary of the date on which Tenant can reasonably access the Facility for the purpose of commencing restoration, any remaining Award shall be paid to and retained by Landlord free and clear of any claim by or through Tenant unless Tenant is continuing to prosecute the rebuilding or restoration with reasonable diligence. </w:t>
      </w:r>
    </w:p>
    <w:p>
      <w:pPr>
        <w:pStyle w:val="TextBody"/>
        <w:bidi w:val="0"/>
        <w:spacing w:lineRule="auto" w:line="288" w:before="0" w:after="240"/>
        <w:ind w:left="0" w:right="0" w:firstLine="720"/>
        <w:jc w:val="both"/>
        <w:rPr/>
      </w:pPr>
      <w:r>
        <w:rPr>
          <w:rFonts w:ascii="Times New Roman;serif" w:hAnsi="Times New Roman;serif"/>
          <w:b/>
          <w:color w:val="000000"/>
          <w:sz w:val="24"/>
        </w:rPr>
        <w:t>15.2    </w:t>
      </w:r>
      <w:r>
        <w:rPr>
          <w:rFonts w:ascii="Times New Roman;serif" w:hAnsi="Times New Roman;serif"/>
          <w:b/>
          <w:color w:val="000000"/>
          <w:sz w:val="24"/>
          <w:u w:val="single"/>
        </w:rPr>
        <w:t>Award Distribution</w:t>
      </w:r>
      <w:r>
        <w:rPr>
          <w:rFonts w:ascii="Times New Roman;serif" w:hAnsi="Times New Roman;serif"/>
          <w:b w:val="false"/>
          <w:color w:val="000000"/>
          <w:sz w:val="24"/>
        </w:rPr>
        <w:t xml:space="preserve">. Except as set forth below, the entire Award shall belong to and be paid to Landlord. Tenant shall, however, be entitled to pursue its own claim with respect to the Condemnation for Tenant’s lost profits value and moving expenses and, the portion of the Award, if any, allocated to any Tenant Capital Improvements (other than any Tenant Capital Improvement which Landlord has funded pursuant to </w:t>
      </w:r>
      <w:r>
        <w:rPr>
          <w:rFonts w:ascii="Times New Roman;serif" w:hAnsi="Times New Roman;serif"/>
          <w:b/>
          <w:color w:val="000000"/>
          <w:sz w:val="24"/>
        </w:rPr>
        <w:t>Section 10.5</w:t>
      </w:r>
      <w:r>
        <w:rPr>
          <w:rFonts w:ascii="Times New Roman;serif" w:hAnsi="Times New Roman;serif"/>
          <w:b w:val="false"/>
          <w:color w:val="000000"/>
          <w:sz w:val="24"/>
        </w:rPr>
        <w:t xml:space="preserve">, including the Park MGM Tenant Capital Improvements) and Tenant’s Property shall be and remain the property of Tenant free of any claim thereto by Landlord. For the avoidance of doubt, the portion of any Award allocated to the Park MGM Tenant Capital Improvements shall belong and be paid to Landlord. </w:t>
      </w:r>
    </w:p>
    <w:p>
      <w:pPr>
        <w:pStyle w:val="TextBody"/>
        <w:bidi w:val="0"/>
        <w:spacing w:lineRule="auto" w:line="288" w:before="0" w:after="240"/>
        <w:ind w:left="0" w:right="0" w:firstLine="720"/>
        <w:jc w:val="both"/>
        <w:rPr/>
      </w:pPr>
      <w:r>
        <w:rPr>
          <w:rFonts w:ascii="Times New Roman;serif" w:hAnsi="Times New Roman;serif"/>
          <w:b/>
          <w:color w:val="000000"/>
          <w:sz w:val="24"/>
        </w:rPr>
        <w:t>15.3    </w:t>
      </w:r>
      <w:r>
        <w:rPr>
          <w:rFonts w:ascii="Times New Roman;serif" w:hAnsi="Times New Roman;serif"/>
          <w:b/>
          <w:color w:val="000000"/>
          <w:sz w:val="24"/>
          <w:u w:val="single"/>
        </w:rPr>
        <w:t>Temporary Taking</w:t>
      </w:r>
      <w:r>
        <w:rPr>
          <w:rFonts w:ascii="Times New Roman;serif" w:hAnsi="Times New Roman;serif"/>
          <w:b w:val="false"/>
          <w:color w:val="000000"/>
          <w:sz w:val="24"/>
        </w:rPr>
        <w:t>. The taking of the Leased Property, or any part thereof, shall constitute a Condemnation only when the use and occupancy by the taking authority is reasonably expected to exceed 180 consecutive days (any such taking that does not constitute a Condemnation shall be referred to as a “</w:t>
      </w:r>
      <w:r>
        <w:rPr>
          <w:rFonts w:ascii="Times New Roman;serif" w:hAnsi="Times New Roman;serif"/>
          <w:b/>
          <w:color w:val="000000"/>
          <w:sz w:val="24"/>
        </w:rPr>
        <w:t>Temporary Taking</w:t>
      </w:r>
      <w:r>
        <w:rPr>
          <w:color w:val="000000"/>
        </w:rPr>
        <w:t>”</w:t>
      </w:r>
      <w:r>
        <w:rPr>
          <w:rFonts w:ascii="Times New Roman;serif" w:hAnsi="Times New Roman;serif"/>
          <w:b w:val="false"/>
          <w:color w:val="000000"/>
          <w:sz w:val="24"/>
        </w:rPr>
        <w:t>). During any Temporary Taking, all the provisions of this Master Lease shall remain in full force and effect and the Award allocable to the Term shall be paid to Tenant. Notwithstanding the foregoing or anything to the contrary contained herein and without prejudice to any of Tenant’s other rights under this Article XV, Tenant shall be entitled to receive all Awards with respect to any Condemnation which is not reasonably expected to exceed the earlier of (x) three (3) consecutive years and (y) the expiration of the then-current Term (e.g., a construction easement), and which, by its nature, is not reasonably expected to have a material adverse effect on the Leased Property or any applicable Facility.</w:t>
      </w:r>
    </w:p>
    <w:p>
      <w:pPr>
        <w:pStyle w:val="TextBody"/>
        <w:bidi w:val="0"/>
        <w:spacing w:lineRule="auto" w:line="288" w:before="0" w:after="240"/>
        <w:ind w:left="0" w:right="0" w:firstLine="720"/>
        <w:jc w:val="both"/>
        <w:rPr/>
      </w:pPr>
      <w:r>
        <w:rPr>
          <w:rFonts w:ascii="Times New Roman;serif" w:hAnsi="Times New Roman;serif"/>
          <w:b/>
          <w:color w:val="000000"/>
          <w:sz w:val="24"/>
        </w:rPr>
        <w:t>15.4    </w:t>
      </w:r>
      <w:r>
        <w:rPr>
          <w:rFonts w:ascii="Times New Roman;serif" w:hAnsi="Times New Roman;serif"/>
          <w:b/>
          <w:color w:val="000000"/>
          <w:sz w:val="24"/>
          <w:u w:val="single"/>
        </w:rPr>
        <w:t>No Abatement of Rent</w:t>
      </w:r>
      <w:r>
        <w:rPr>
          <w:rFonts w:ascii="Times New Roman;serif" w:hAnsi="Times New Roman;serif"/>
          <w:b w:val="false"/>
          <w:color w:val="000000"/>
          <w:sz w:val="24"/>
        </w:rPr>
        <w:t>. This Master Lease shall remain in full force and effect and Tenant’s obligation to pay the Rent, Additional Charges and all other charges required by this Master Lease shall remain unabated during the period required for claiming an Award, satisfying Legal Requirements and restoration.</w:t>
      </w:r>
    </w:p>
    <w:p>
      <w:pPr>
        <w:pStyle w:val="TextBody"/>
        <w:bidi w:val="0"/>
        <w:spacing w:lineRule="auto" w:line="288" w:before="0" w:after="240"/>
        <w:ind w:left="0" w:right="0" w:firstLine="720"/>
        <w:jc w:val="both"/>
        <w:rPr/>
      </w:pPr>
      <w:r>
        <w:rPr>
          <w:rFonts w:ascii="Times New Roman;serif" w:hAnsi="Times New Roman;serif"/>
          <w:b/>
          <w:color w:val="000000"/>
          <w:sz w:val="24"/>
        </w:rPr>
        <w:t>15.5    </w:t>
      </w:r>
      <w:r>
        <w:rPr>
          <w:rFonts w:ascii="Times New Roman;serif" w:hAnsi="Times New Roman;serif"/>
          <w:b/>
          <w:color w:val="000000"/>
          <w:sz w:val="24"/>
          <w:u w:val="single"/>
        </w:rPr>
        <w:t>Waiver</w:t>
      </w:r>
      <w:r>
        <w:rPr>
          <w:rFonts w:ascii="Times New Roman;serif" w:hAnsi="Times New Roman;serif"/>
          <w:b w:val="false"/>
          <w:color w:val="000000"/>
          <w:sz w:val="24"/>
        </w:rPr>
        <w:t xml:space="preserve">. Tenant waives any statutory rights of termination which may arise by reason of any Condemnation of the Leased Property but such waiver shall not affect any contractual rights granted to Tenant under this </w:t>
      </w:r>
      <w:r>
        <w:rPr>
          <w:rFonts w:ascii="Times New Roman;serif" w:hAnsi="Times New Roman;serif"/>
          <w:b/>
          <w:color w:val="000000"/>
          <w:sz w:val="24"/>
        </w:rPr>
        <w:t>Article XV</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15.6    </w:t>
      </w:r>
      <w:r>
        <w:rPr>
          <w:rFonts w:ascii="Times New Roman;serif" w:hAnsi="Times New Roman;serif"/>
          <w:b/>
          <w:color w:val="000000"/>
          <w:sz w:val="24"/>
          <w:u w:val="single"/>
        </w:rPr>
        <w:t>Award Paid to Facility Mortgagee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anything herein to the contrary, in the event that any Facility Mortgagee is entitled to any Award, or any portion thereof, under the terms of any Facility Mortgage, such Award shall be applied, held and/or disbursed in accordance with the terms of the Facility Mortgage; provided, that, (i) in the event of a Condemnation where Tenant elects within twelve (12) months of the date of the relevant Condemnation to restore the affected Facility and Tenant reasonably demonstrates that such restoration can be completed within four (4) years of the date on which Tenant can reasonably access the Facility for the purpose of commencing restoration (after the date of such Condemnation but without regard to the date on which Tenant elects to restore the affected Facility), or (ii) in the event of a Condemnation where Tenant is required by this Master Lease to restore the affected Facility, Landlord will cause, subject to the final sentence of </w:t>
      </w:r>
      <w:r>
        <w:rPr>
          <w:rFonts w:ascii="Times New Roman;serif" w:hAnsi="Times New Roman;serif"/>
          <w:b/>
          <w:color w:val="000000"/>
          <w:sz w:val="24"/>
        </w:rPr>
        <w:t>Section 15.1(c)</w:t>
      </w:r>
      <w:r>
        <w:rPr>
          <w:rFonts w:ascii="Times New Roman;serif" w:hAnsi="Times New Roman;serif"/>
          <w:b w:val="false"/>
          <w:color w:val="000000"/>
          <w:sz w:val="24"/>
        </w:rPr>
        <w:t>, any Facility Mortgagee that has received, or thereafter does receive, any Award to make such Award available to Tenant for the reasonable costs of preservation, stabilization, emergency restoration, reconstruction and repair for the affected Facility.</w:t>
      </w:r>
    </w:p>
    <w:p>
      <w:pPr>
        <w:pStyle w:val="TextBody"/>
        <w:bidi w:val="0"/>
        <w:spacing w:lineRule="auto" w:line="288" w:before="0" w:after="240"/>
        <w:ind w:left="0" w:right="0" w:firstLine="720"/>
        <w:jc w:val="both"/>
        <w:rPr/>
      </w:pPr>
      <w:r>
        <w:rPr>
          <w:rFonts w:ascii="Times New Roman;serif" w:hAnsi="Times New Roman;serif"/>
          <w:b/>
          <w:color w:val="000000"/>
          <w:sz w:val="24"/>
        </w:rPr>
        <w:t>15.7    </w:t>
      </w:r>
      <w:r>
        <w:rPr>
          <w:rFonts w:ascii="Times New Roman;serif" w:hAnsi="Times New Roman;serif"/>
          <w:b/>
          <w:color w:val="000000"/>
          <w:sz w:val="24"/>
          <w:u w:val="single"/>
        </w:rPr>
        <w:t>Termination of Master Lease; Abatement of Rent</w:t>
      </w:r>
      <w:r>
        <w:rPr>
          <w:rFonts w:ascii="Times New Roman;serif" w:hAnsi="Times New Roman;serif"/>
          <w:b w:val="false"/>
          <w:color w:val="000000"/>
          <w:sz w:val="24"/>
        </w:rPr>
        <w:t xml:space="preserve">. In the event this Master Lease is terminated with respect to the affected portion of the Leased Property as a result of a Condemnation pursuant to </w:t>
      </w:r>
      <w:r>
        <w:rPr>
          <w:rFonts w:ascii="Times New Roman;serif" w:hAnsi="Times New Roman;serif"/>
          <w:b/>
          <w:color w:val="000000"/>
          <w:sz w:val="24"/>
        </w:rPr>
        <w:t>Section 15.1(a)</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(b)(i)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(b)(ii)</w:t>
      </w:r>
      <w:r>
        <w:rPr>
          <w:rFonts w:ascii="Times New Roman;serif" w:hAnsi="Times New Roman;serif"/>
          <w:b w:val="false"/>
          <w:color w:val="000000"/>
          <w:sz w:val="24"/>
        </w:rPr>
        <w:t xml:space="preserve">, the Rent due hereunder from and after the effective date of such termination shall be reduced by an amount determined in the same manner as set forth in </w:t>
      </w:r>
      <w:r>
        <w:rPr>
          <w:rFonts w:ascii="Times New Roman;serif" w:hAnsi="Times New Roman;serif"/>
          <w:b/>
          <w:color w:val="000000"/>
          <w:sz w:val="24"/>
        </w:rPr>
        <w:t>Section 14.6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jc w:val="center"/>
        <w:rPr/>
      </w:pPr>
      <w:r>
        <w:rPr>
          <w:rFonts w:ascii="Times New Roman;serif" w:hAnsi="Times New Roman;serif"/>
          <w:b/>
          <w:color w:val="000000"/>
          <w:sz w:val="24"/>
        </w:rPr>
        <w:t>ARTICLE XVI</w:t>
      </w:r>
      <w:r>
        <w:rPr>
          <w:rFonts w:ascii="Times New Roman;serif" w:hAnsi="Times New Roman;serif"/>
          <w:b/>
          <w:color w:val="000000"/>
          <w:sz w:val="24"/>
          <w:u w:val="single"/>
        </w:rPr>
        <w:br/>
        <w:br/>
        <w:t>DEFAULT; REMEDIES</w:t>
      </w:r>
    </w:p>
    <w:p>
      <w:pPr>
        <w:pStyle w:val="TextBody"/>
        <w:bidi w:val="0"/>
        <w:spacing w:lineRule="auto" w:line="288" w:before="0" w:after="240"/>
        <w:ind w:left="0" w:right="0" w:firstLine="720"/>
        <w:jc w:val="both"/>
        <w:rPr/>
      </w:pPr>
      <w:r>
        <w:rPr>
          <w:rFonts w:ascii="Times New Roman;serif" w:hAnsi="Times New Roman;serif"/>
          <w:b/>
          <w:color w:val="000000"/>
          <w:sz w:val="24"/>
        </w:rPr>
        <w:t>16.1    </w:t>
      </w:r>
      <w:r>
        <w:rPr>
          <w:rFonts w:ascii="Times New Roman;serif" w:hAnsi="Times New Roman;serif"/>
          <w:b/>
          <w:color w:val="000000"/>
          <w:sz w:val="24"/>
          <w:u w:val="single"/>
        </w:rPr>
        <w:t>Events of Default</w:t>
      </w:r>
      <w:r>
        <w:rPr>
          <w:rFonts w:ascii="Times New Roman;serif" w:hAnsi="Times New Roman;serif"/>
          <w:b w:val="false"/>
          <w:color w:val="000000"/>
          <w:sz w:val="24"/>
        </w:rPr>
        <w:t>. (a) Any one or more of the following shall constitute an “</w:t>
      </w:r>
      <w:r>
        <w:rPr>
          <w:rFonts w:ascii="Times New Roman;serif" w:hAnsi="Times New Roman;serif"/>
          <w:b/>
          <w:color w:val="000000"/>
          <w:sz w:val="24"/>
        </w:rPr>
        <w:t>Event of Default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00000"/>
          <w:sz w:val="24"/>
        </w:rPr>
        <w:t>(i)    Tenant shall fail to pay any installment of Rent within five (5) Business Days of when due and such failure is not cured within three (3) Business Days</w:t>
      </w:r>
      <w:r>
        <w:rPr>
          <w:color w:val="000000"/>
        </w:rPr>
        <w:t xml:space="preserve"> </w:t>
      </w:r>
      <w:r>
        <w:rPr>
          <w:rFonts w:ascii="Times New Roman;serif" w:hAnsi="Times New Roman;serif"/>
          <w:b w:val="false"/>
          <w:color w:val="000000"/>
          <w:sz w:val="24"/>
        </w:rPr>
        <w:t xml:space="preserve">after Notice from Landlord of Tenant’s failure to pay such amount when due; provided, that Tenant shall be entitled to only one (1) such notice and additional three (3) Business Day cure period in any Lease Year; </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    Tenant shall fail to pay any Additional Charge when due and such failure is not cured within five (5) Business Days</w:t>
      </w:r>
      <w:r>
        <w:rPr>
          <w:color w:val="000000"/>
        </w:rPr>
        <w:t xml:space="preserve"> </w:t>
      </w:r>
      <w:r>
        <w:rPr>
          <w:rFonts w:ascii="Times New Roman;serif" w:hAnsi="Times New Roman;serif"/>
          <w:b w:val="false"/>
          <w:color w:val="000000"/>
          <w:sz w:val="24"/>
        </w:rPr>
        <w:t>after Notice from Landlord of Tenant’s failure to pay such amount when due;</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(iii)    a default shall occur under the Guaranty which is not cured within thirty (30) days after Notice from Landlord to Guarantor; </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(iv)    Tenant, Defaulting Operating Subtenants or Guarantor shall: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admit in writing its inability to pay its debts generally as they become due;</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file a petition in bankruptcy or a petition to take advantage of any insolvency 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make an assignment for the benefit of its creditors;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consent to the appointment of a receiver of itself or of the whole or any substantial part of its property;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file a petition or answer seeking reorganization or arrangement under the United States bankruptcy laws or any other applicable law or statute of the United States of America or any state thereof;</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(v)    Tenant, Defaulting Operating Subtenants or Guarantor shall be adjudicated as bankrupt or a court of competent jurisdiction shall enter an order or decree appointing, without the consent of Tenant, Defaulting Operating Subtenants or Guarantor, a receiver of Tenant or Guarantor or of the whole or substantially all of Tenant’s, Defaulting Operating Subtenants’ or Guarantor’s property, or approving a petition filed against Tenant, Defaulting Operating Subtenants or Guarantor seeking reorganization or arrangement of Tenant, Defaulting Operating Subtenants or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(vi)    Tenant, Defaulting Operating Subtenants or Guarantor shall be liquidated or dissolved (except that Guarantor may be liquidated or dissolved into Tenant or any other Person so long as its assets are distributed following such liquidation or dissolution to Tenant or such other Person); </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(vii)    the estate or interest of Tenant or any Operating Subtenant in the Leased Property or any part thereof shall be levied upon or attached as a result of a final, non-appealable judgment in any proceeding relating to more than Ten Million Dollars ($10,000,000) and the same shall not be vacated, discharged (or bonded or otherwise similarly secured) within the later of ninety (90) days after such final, non-appealable judgment is entered or thirty (30) days after receipt by Tenant of notice thereof from Landlord; provided, however, that such notice shall be in lieu of and not in addition to any notice required under applicable law; </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(viii)    except as permitted in accordance with </w:t>
      </w:r>
      <w:r>
        <w:rPr>
          <w:rFonts w:ascii="Times New Roman;serif" w:hAnsi="Times New Roman;serif"/>
          <w:b/>
          <w:color w:val="000000"/>
          <w:sz w:val="24"/>
        </w:rPr>
        <w:t>Section 7.2(d)</w:t>
      </w:r>
      <w:r>
        <w:rPr>
          <w:rFonts w:ascii="Times New Roman;serif" w:hAnsi="Times New Roman;serif"/>
          <w:b w:val="false"/>
          <w:color w:val="000000"/>
          <w:sz w:val="24"/>
        </w:rPr>
        <w:t xml:space="preserve">, Tenant voluntarily ceases operations for its Primary Intended Use at a Facility; </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(ix)    any representation made by Tenant pursuant to </w:t>
      </w:r>
      <w:r>
        <w:rPr>
          <w:rFonts w:ascii="Times New Roman;serif" w:hAnsi="Times New Roman;serif"/>
          <w:b/>
          <w:color w:val="000000"/>
          <w:sz w:val="24"/>
        </w:rPr>
        <w:t>Section 8.1</w:t>
      </w:r>
      <w:r>
        <w:rPr>
          <w:color w:val="000000"/>
        </w:rPr>
        <w:t xml:space="preserve"> </w:t>
      </w:r>
      <w:r>
        <w:rPr>
          <w:rFonts w:ascii="Times New Roman;serif" w:hAnsi="Times New Roman;serif"/>
          <w:b w:val="false"/>
          <w:color w:val="000000"/>
          <w:sz w:val="24"/>
        </w:rPr>
        <w:t xml:space="preserve">proves to be untrue when made in any material respect and the same materially and adversely affects Landlord; </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(x)    any applicable license (including Gaming Licenses) material to a Facility’s operation for its Primary Intended Use is at any time terminated or revoked or suspended for more than thirty (30) days (and causes cessation of gaming activity at a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Facility) and such termination, revocation or suspension is not stayed pending appeal and would reasonably be expected to have a material adverse effect on Tenant, the Facilities, or on the Leased Property, taken as a whole; provided, that the foregoing shall not constitute an Event of Default if Tenant would then be permitted to cease operating such Facility pursuant to </w:t>
      </w:r>
      <w:r>
        <w:rPr>
          <w:rFonts w:ascii="Times New Roman;serif" w:hAnsi="Times New Roman;serif"/>
          <w:b/>
          <w:color w:val="000000"/>
          <w:sz w:val="24"/>
        </w:rPr>
        <w:t>Section 7.2(d)</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(xi)    except to a permitted assignee pursuant to </w:t>
      </w:r>
      <w:r>
        <w:rPr>
          <w:rFonts w:ascii="Times New Roman;serif" w:hAnsi="Times New Roman;serif"/>
          <w:b/>
          <w:color w:val="000000"/>
          <w:sz w:val="24"/>
        </w:rPr>
        <w:t>Section 22.2</w:t>
      </w:r>
      <w:r>
        <w:rPr>
          <w:color w:val="000000"/>
        </w:rPr>
        <w:t xml:space="preserve"> </w:t>
      </w:r>
      <w:r>
        <w:rPr>
          <w:rFonts w:ascii="Times New Roman;serif" w:hAnsi="Times New Roman;serif"/>
          <w:b w:val="false"/>
          <w:color w:val="000000"/>
          <w:sz w:val="24"/>
        </w:rPr>
        <w:t xml:space="preserve">or a permitted subtenant, or with respect to the granting of a permitted pledge hereunder to a Permitted Leasehold Mortgagee, the sale or transfer, without Landlord’s consent, of all or any portion of any Gaming License or similar certificate or license relating to the Leased Property; </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(xii)    (1) a transfer of Tenant’s interest in this Lease (including pursuant to a Tenant Change of Control) shall have occurred without the consent of Landlord to the extent such consent is required under </w:t>
      </w:r>
      <w:r>
        <w:rPr>
          <w:rFonts w:ascii="Times New Roman;serif" w:hAnsi="Times New Roman;serif"/>
          <w:b/>
          <w:color w:val="000000"/>
          <w:sz w:val="24"/>
        </w:rPr>
        <w:t>Article XXII</w:t>
      </w:r>
      <w:r>
        <w:rPr>
          <w:color w:val="000000"/>
        </w:rPr>
        <w:t xml:space="preserve"> </w:t>
      </w:r>
      <w:r>
        <w:rPr>
          <w:rFonts w:ascii="Times New Roman;serif" w:hAnsi="Times New Roman;serif"/>
          <w:b w:val="false"/>
          <w:color w:val="000000"/>
          <w:sz w:val="24"/>
        </w:rPr>
        <w:t xml:space="preserve">or Tenant is otherwise in default of the provisions set forth in </w:t>
      </w:r>
      <w:r>
        <w:rPr>
          <w:rFonts w:ascii="Times New Roman;serif" w:hAnsi="Times New Roman;serif"/>
          <w:b/>
          <w:color w:val="000000"/>
          <w:sz w:val="24"/>
        </w:rPr>
        <w:t>Section 22.1</w:t>
      </w:r>
      <w:r>
        <w:rPr>
          <w:color w:val="000000"/>
        </w:rPr>
        <w:t xml:space="preserve"> </w:t>
      </w:r>
      <w:r>
        <w:rPr>
          <w:rFonts w:ascii="Times New Roman;serif" w:hAnsi="Times New Roman;serif"/>
          <w:b w:val="false"/>
          <w:color w:val="000000"/>
          <w:sz w:val="24"/>
        </w:rPr>
        <w:t xml:space="preserve">below and in either case the same is not cured within thirty (30) days after written notice from Landlord to Tenant, or (2) a transfer of Operating Subtenant’s interest in the Operating Sublease shall have occurred without the consent of Landlord to the extent such consent is required under </w:t>
      </w:r>
      <w:r>
        <w:rPr>
          <w:rFonts w:ascii="Times New Roman;serif" w:hAnsi="Times New Roman;serif"/>
          <w:b/>
          <w:color w:val="000000"/>
          <w:sz w:val="24"/>
        </w:rPr>
        <w:t>Article XXII</w:t>
      </w:r>
      <w:r>
        <w:rPr>
          <w:color w:val="000000"/>
        </w:rPr>
        <w:t xml:space="preserve"> </w:t>
      </w:r>
      <w:r>
        <w:rPr>
          <w:rFonts w:ascii="Times New Roman;serif" w:hAnsi="Times New Roman;serif"/>
          <w:b w:val="false"/>
          <w:color w:val="000000"/>
          <w:sz w:val="24"/>
        </w:rPr>
        <w:t>and the same is not cured within thirty (30) days after written notice from Landlord to Tenant or Operating Subtenant;</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(xiii)    if Tenant shall fail to observe or perform any other term, covenant or condition of this Master Lease in any material respect and such failure is not cured by Tenant within thirty (30) days after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provided, however, that such notice shall be in lieu of and not in addition to any notice required under applicable law; and</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(xiv)    breach by Tenant of the Financial Covenant set forth in </w:t>
      </w:r>
      <w:r>
        <w:rPr>
          <w:rFonts w:ascii="Times New Roman;serif" w:hAnsi="Times New Roman;serif"/>
          <w:b/>
          <w:color w:val="000000"/>
          <w:sz w:val="24"/>
        </w:rPr>
        <w:t>Section 23.3</w:t>
      </w:r>
      <w:r>
        <w:rPr>
          <w:color w:val="000000"/>
        </w:rPr>
        <w:t xml:space="preserve"> </w:t>
      </w:r>
      <w:r>
        <w:rPr>
          <w:rFonts w:ascii="Times New Roman;serif" w:hAnsi="Times New Roman;serif"/>
          <w:b w:val="false"/>
          <w:color w:val="000000"/>
          <w:sz w:val="24"/>
        </w:rPr>
        <w:t xml:space="preserve">hereof for two consecutive Test Periods ending on the last day of two consecutive fiscal quarters, commencing with the two consecutive Test Periods ending on September 30, 2022 and December 31, 2022 or, if the Commencement Date occurs after June 30, 2022, the two consecutive Test Periods ending on the last day of the first two full consecutive fiscal quarters occurring after the Commencement Date (e.g., if the Commencement Date is July 15, 2022, the Test Periods ending on December 31, 2022 and March 31, 2023), and failure of Tenant to deposit the required amount (which may be provided through cash, one or more Letters of Credit or combination thereof or such other form of credit support reasonably acceptable to Landlord) into the Covenant Security Escrow Account pursuant to the terms of </w:t>
      </w:r>
      <w:r>
        <w:rPr>
          <w:rFonts w:ascii="Times New Roman;serif" w:hAnsi="Times New Roman;serif"/>
          <w:b/>
          <w:color w:val="000000"/>
          <w:sz w:val="24"/>
        </w:rPr>
        <w:t>Section 23.3(b)</w:t>
      </w:r>
      <w:r>
        <w:rPr>
          <w:rFonts w:ascii="Times New Roman;serif" w:hAnsi="Times New Roman;serif"/>
          <w:b w:val="false"/>
          <w:color w:val="000000"/>
          <w:sz w:val="24"/>
        </w:rPr>
        <w:t xml:space="preserve">. For the avoidance of doubt, so long as Tenant complies with the requirement to deposit the required amount into the Covenant Security Escrow Account within the time period specified in </w:t>
      </w:r>
      <w:r>
        <w:rPr>
          <w:rFonts w:ascii="Times New Roman;serif" w:hAnsi="Times New Roman;serif"/>
          <w:b/>
          <w:color w:val="000000"/>
          <w:sz w:val="24"/>
        </w:rPr>
        <w:t>Section 23.3</w:t>
      </w:r>
      <w:r>
        <w:rPr>
          <w:rFonts w:ascii="Times New Roman;serif" w:hAnsi="Times New Roman;serif"/>
          <w:b w:val="false"/>
          <w:color w:val="000000"/>
          <w:sz w:val="24"/>
        </w:rPr>
        <w:t>, then breach of the Financial Covenant shall not constitute a Default or an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No Event of Default (other than a failure to make payment of money) shall be deemed to exist under </w:t>
      </w:r>
      <w:r>
        <w:rPr>
          <w:rFonts w:ascii="Times New Roman;serif" w:hAnsi="Times New Roman;serif"/>
          <w:b/>
          <w:color w:val="000000"/>
          <w:sz w:val="24"/>
        </w:rPr>
        <w:t>Section 16.1</w:t>
      </w:r>
      <w:r>
        <w:rPr>
          <w:color w:val="000000"/>
        </w:rPr>
        <w:t xml:space="preserve"> </w:t>
      </w:r>
      <w:r>
        <w:rPr>
          <w:rFonts w:ascii="Times New Roman;serif" w:hAnsi="Times New Roman;serif"/>
          <w:b w:val="false"/>
          <w:color w:val="000000"/>
          <w:sz w:val="24"/>
        </w:rPr>
        <w:t xml:space="preserve">during any time the curing thereof is prevented by an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Unavoidable Delay, provided, that upon the cessation of the Unavoidable Delay, Tenant remedies the default without further delay.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Notwithstanding the foregoing, in the event that Landlord believes that there has been a breach that would constitute an Event of Default under </w:t>
      </w:r>
      <w:r>
        <w:rPr>
          <w:rFonts w:ascii="Times New Roman;serif" w:hAnsi="Times New Roman;serif"/>
          <w:b/>
          <w:color w:val="000000"/>
          <w:sz w:val="24"/>
        </w:rPr>
        <w:t xml:space="preserve">Section 16.1(a) (ii), (iii), subclause (1) </w:t>
      </w:r>
      <w:r>
        <w:rPr>
          <w:rFonts w:ascii="Times New Roman;serif" w:hAnsi="Times New Roman;serif"/>
          <w:b w:val="false"/>
          <w:color w:val="000000"/>
          <w:sz w:val="24"/>
        </w:rPr>
        <w:t xml:space="preserve">of </w:t>
      </w:r>
      <w:r>
        <w:rPr>
          <w:rFonts w:ascii="Times New Roman;serif" w:hAnsi="Times New Roman;serif"/>
          <w:b/>
          <w:color w:val="000000"/>
          <w:sz w:val="24"/>
        </w:rPr>
        <w:t>(iv), (viii),</w:t>
      </w:r>
      <w:r>
        <w:rPr>
          <w:color w:val="000000"/>
        </w:rPr>
        <w:t xml:space="preserve"> </w:t>
      </w:r>
      <w:r>
        <w:rPr>
          <w:rFonts w:ascii="Times New Roman;serif" w:hAnsi="Times New Roman;serif"/>
          <w:b/>
          <w:color w:val="000000"/>
          <w:sz w:val="24"/>
        </w:rPr>
        <w:t>(ix), (x), (xi), (xii),</w:t>
      </w:r>
      <w:r>
        <w:rPr>
          <w:color w:val="000000"/>
        </w:rPr>
        <w:t xml:space="preserve"> </w:t>
      </w:r>
      <w:r>
        <w:rPr>
          <w:rFonts w:ascii="Times New Roman;serif" w:hAnsi="Times New Roman;serif"/>
          <w:b/>
          <w:color w:val="000000"/>
          <w:sz w:val="24"/>
        </w:rPr>
        <w:t xml:space="preserve">(xiii) </w:t>
      </w:r>
      <w:r>
        <w:rPr>
          <w:rFonts w:ascii="Times New Roman;serif" w:hAnsi="Times New Roman;serif"/>
          <w:b w:val="false"/>
          <w:color w:val="000000"/>
          <w:sz w:val="24"/>
        </w:rPr>
        <w:t>or</w:t>
      </w:r>
      <w:r>
        <w:rPr>
          <w:color w:val="000000"/>
        </w:rPr>
        <w:t xml:space="preserve"> </w:t>
      </w:r>
      <w:r>
        <w:rPr>
          <w:rFonts w:ascii="Times New Roman;serif" w:hAnsi="Times New Roman;serif"/>
          <w:b/>
          <w:color w:val="000000"/>
          <w:sz w:val="24"/>
        </w:rPr>
        <w:t xml:space="preserve">(xiv), </w:t>
      </w:r>
      <w:r>
        <w:rPr>
          <w:rFonts w:ascii="Times New Roman;serif" w:hAnsi="Times New Roman;serif"/>
          <w:b w:val="false"/>
          <w:color w:val="000000"/>
          <w:sz w:val="24"/>
        </w:rPr>
        <w:t xml:space="preserve">above, Landlord shall notify Tenant of such breach and, if Tenant disagrees as to the existence of such breach or that such breach would constitute an Event of Default, Landlord and Tenant shall submit the determination of whether or not there exists an Event of Default to Experts pursuant to </w:t>
      </w:r>
      <w:r>
        <w:rPr>
          <w:rFonts w:ascii="Times New Roman;serif" w:hAnsi="Times New Roman;serif"/>
          <w:b/>
          <w:color w:val="000000"/>
          <w:sz w:val="24"/>
        </w:rPr>
        <w:t>Section 34.1</w:t>
      </w:r>
      <w:r>
        <w:rPr>
          <w:rFonts w:ascii="Times New Roman;serif" w:hAnsi="Times New Roman;serif"/>
          <w:b w:val="false"/>
          <w:color w:val="000000"/>
          <w:sz w:val="24"/>
        </w:rPr>
        <w:t xml:space="preserve">. If the Expert determines that the matter in question is or would give rise to an Event of Default, Tenant shall have an additional thirty (30) day period to cure such breach before such breach constitutes an Event of Default, unless such breach cannot with due diligence be cured within a period of thirty (30) days, in which case such breach shall not be deemed to be an Event of Default if Tenant proceeds promptly and with due diligence to cure the breach and diligently completes the curing thereof within one hundred twenty (120) days after such determination. </w:t>
      </w:r>
    </w:p>
    <w:p>
      <w:pPr>
        <w:pStyle w:val="TextBody"/>
        <w:bidi w:val="0"/>
        <w:spacing w:lineRule="auto" w:line="288" w:before="0" w:after="240"/>
        <w:ind w:left="0" w:right="0" w:firstLine="720"/>
        <w:jc w:val="both"/>
        <w:rPr/>
      </w:pPr>
      <w:r>
        <w:rPr>
          <w:rFonts w:ascii="Times New Roman;serif" w:hAnsi="Times New Roman;serif"/>
          <w:b/>
          <w:color w:val="000000"/>
          <w:sz w:val="24"/>
        </w:rPr>
        <w:t>16.2    </w:t>
      </w:r>
      <w:r>
        <w:rPr>
          <w:rFonts w:ascii="Times New Roman;serif" w:hAnsi="Times New Roman;serif"/>
          <w:b/>
          <w:color w:val="000000"/>
          <w:sz w:val="24"/>
          <w:u w:val="single"/>
        </w:rPr>
        <w:t>Certain Remedies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If an Event of Default shall have occurred and be continuing, Landlord may (i) terminate this Master Lease by giving Tenant no less than ten (10) days’ Notice of such termination (and Tenant shall have the right to cure the event giving rise to the Event of Default during such ten (10) day period) and the Term shall terminate and all rights of Tenant under this Master Lease shall cease, (ii) seek damages as provided in </w:t>
      </w:r>
      <w:r>
        <w:rPr>
          <w:rFonts w:ascii="Times New Roman;serif" w:hAnsi="Times New Roman;serif"/>
          <w:b/>
          <w:color w:val="000000"/>
          <w:sz w:val="24"/>
        </w:rPr>
        <w:t>Section 16.3</w:t>
      </w:r>
      <w:r>
        <w:rPr>
          <w:color w:val="000000"/>
        </w:rPr>
        <w:t xml:space="preserve"> </w:t>
      </w:r>
      <w:r>
        <w:rPr>
          <w:rFonts w:ascii="Times New Roman;serif" w:hAnsi="Times New Roman;serif"/>
          <w:b w:val="false"/>
          <w:color w:val="000000"/>
          <w:sz w:val="24"/>
        </w:rPr>
        <w:t xml:space="preserve">hereof, and/or (iii)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Master Lease has been terminated pursuant to the first sentence of this </w:t>
      </w:r>
      <w:r>
        <w:rPr>
          <w:rFonts w:ascii="Times New Roman;serif" w:hAnsi="Times New Roman;serif"/>
          <w:b/>
          <w:color w:val="000000"/>
          <w:sz w:val="24"/>
        </w:rPr>
        <w:t>Section 16.2</w:t>
      </w:r>
      <w:r>
        <w:rPr>
          <w:rFonts w:ascii="Times New Roman;serif" w:hAnsi="Times New Roman;serif"/>
          <w:b w:val="false"/>
          <w:color w:val="000000"/>
          <w:sz w:val="24"/>
        </w:rPr>
        <w:t>, Tenant shall, to the extent permitted by law (including applicable Gaming Regulations), if required by Landlord to do so, immediately surrender to Landlord possession of all or any portion of the Leased Property (including any Tenant Capital Improvements)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Notwithstanding anything contained herein to the contrary, Landlord shall not be entitled to terminate this Master Lease by reason of an Event of Default (but Landlord may exercise all other rights and remedies), unless and until Landlord has, following the occurrence of an Event of Default, delivered a notice (“</w:t>
      </w:r>
      <w:r>
        <w:rPr>
          <w:rFonts w:ascii="Times New Roman;serif" w:hAnsi="Times New Roman;serif"/>
          <w:b/>
          <w:color w:val="000000"/>
          <w:sz w:val="24"/>
        </w:rPr>
        <w:t>Event of Default Notice</w:t>
      </w:r>
      <w:r>
        <w:rPr>
          <w:color w:val="000000"/>
        </w:rPr>
        <w:t>”</w:t>
      </w:r>
      <w:r>
        <w:rPr>
          <w:rFonts w:ascii="Times New Roman;serif" w:hAnsi="Times New Roman;serif"/>
          <w:b w:val="false"/>
          <w:color w:val="000000"/>
          <w:sz w:val="24"/>
        </w:rPr>
        <w:t>) to Tenant stating the Event of Default, and containing the following caption (in bold 16 point type):</w:t>
      </w:r>
    </w:p>
    <w:p>
      <w:pPr>
        <w:pStyle w:val="TextBody"/>
        <w:bidi w:val="0"/>
        <w:spacing w:lineRule="auto" w:line="288" w:before="0" w:after="240"/>
        <w:ind w:left="0" w:right="0" w:firstLine="2160"/>
        <w:jc w:val="both"/>
        <w:rPr>
          <w:color w:val="000000"/>
        </w:rPr>
      </w:pPr>
      <w:r>
        <w:rPr>
          <w:color w:val="000000"/>
        </w:rPr>
        <w:t>“</w:t>
      </w:r>
      <w:r>
        <w:rPr>
          <w:rFonts w:ascii="Times New Roman;serif" w:hAnsi="Times New Roman;serif"/>
          <w:b/>
          <w:color w:val="000000"/>
          <w:sz w:val="24"/>
        </w:rPr>
        <w:t xml:space="preserve">THIS IS AN EVENT OF DEFAULT NOTICE. FAILURE TO TAKE IMMEDIATE ACTION AND TO CURE THE EVENT(S) OF DEFAULT AS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SPECIFIED BELOW WITHIN TEN (10) DAYS OF RECEIPT OF THIS NOTICE MAY LEAD TO LANDLORD’S TERMINATION OF THE MASTER LEASE AND/OR THE EXERCISE OF OTHER REMEDIES THEREUNDER.”</w:t>
      </w:r>
    </w:p>
    <w:p>
      <w:pPr>
        <w:pStyle w:val="TextBody"/>
        <w:bidi w:val="0"/>
        <w:spacing w:lineRule="auto" w:line="288" w:before="0" w:after="240"/>
        <w:ind w:left="0" w:right="0" w:firstLine="720"/>
        <w:jc w:val="both"/>
        <w:rPr/>
      </w:pPr>
      <w:r>
        <w:rPr>
          <w:rFonts w:ascii="Times New Roman;serif" w:hAnsi="Times New Roman;serif"/>
          <w:b/>
          <w:color w:val="000000"/>
          <w:sz w:val="24"/>
        </w:rPr>
        <w:t>16.3    </w:t>
      </w:r>
      <w:r>
        <w:rPr>
          <w:rFonts w:ascii="Times New Roman;serif" w:hAnsi="Times New Roman;serif"/>
          <w:b/>
          <w:color w:val="000000"/>
          <w:sz w:val="24"/>
          <w:u w:val="single"/>
        </w:rPr>
        <w:t>Damages</w:t>
      </w:r>
      <w:r>
        <w:rPr>
          <w:rFonts w:ascii="Times New Roman;serif" w:hAnsi="Times New Roman;serif"/>
          <w:b w:val="false"/>
          <w:color w:val="000000"/>
          <w:sz w:val="24"/>
        </w:rPr>
        <w:t>. None of (i) the termination of this Master Lease, (ii) the repossession of the Leased Property (including any Capital Improvements to any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 Rent due and payable under this Master Lease to and including the date of such termination. Thereafter: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Tenant shall forthwith pay to Landlord, at Landlord’s option, as and for liquidated and agreed current damages, as Landlord’s sole monetary remedy (without prejudice to any rights of Landlord pursuant to </w:t>
      </w:r>
      <w:r>
        <w:rPr>
          <w:rFonts w:ascii="Times New Roman;serif" w:hAnsi="Times New Roman;serif"/>
          <w:b/>
          <w:color w:val="000000"/>
          <w:sz w:val="24"/>
        </w:rPr>
        <w:t xml:space="preserve">Article XXI, </w:t>
      </w:r>
      <w:r>
        <w:rPr>
          <w:rFonts w:ascii="Times New Roman;serif" w:hAnsi="Times New Roman;serif"/>
          <w:b w:val="false"/>
          <w:color w:val="000000"/>
          <w:sz w:val="24"/>
        </w:rPr>
        <w:t xml:space="preserve">the indemnity in the final proviso of </w:t>
      </w:r>
      <w:r>
        <w:rPr>
          <w:rFonts w:ascii="Times New Roman;serif" w:hAnsi="Times New Roman;serif"/>
          <w:b/>
          <w:color w:val="000000"/>
          <w:sz w:val="24"/>
        </w:rPr>
        <w:t>Section 5.1</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indemnity in the last sentence of </w:t>
      </w:r>
      <w:r>
        <w:rPr>
          <w:rFonts w:ascii="Times New Roman;serif" w:hAnsi="Times New Roman;serif"/>
          <w:b/>
          <w:color w:val="000000"/>
          <w:sz w:val="24"/>
        </w:rPr>
        <w:t>Section 12.1</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Section 16.2(a)</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 xml:space="preserve">Section 32.4 </w:t>
      </w:r>
      <w:r>
        <w:rPr>
          <w:rFonts w:ascii="Times New Roman;serif" w:hAnsi="Times New Roman;serif"/>
          <w:b w:val="false"/>
          <w:color w:val="000000"/>
          <w:sz w:val="24"/>
        </w:rPr>
        <w:t>or</w:t>
      </w:r>
      <w:r>
        <w:rPr>
          <w:color w:val="000000"/>
        </w:rPr>
        <w:t xml:space="preserve"> </w:t>
      </w:r>
      <w:r>
        <w:rPr>
          <w:rFonts w:ascii="Times New Roman;serif" w:hAnsi="Times New Roman;serif"/>
          <w:b/>
          <w:color w:val="000000"/>
          <w:sz w:val="24"/>
        </w:rPr>
        <w:t>Section 37.1</w:t>
      </w:r>
      <w:r>
        <w:rPr>
          <w:rFonts w:ascii="Times New Roman;serif" w:hAnsi="Times New Roman;serif"/>
          <w:b w:val="false"/>
          <w:color w:val="000000"/>
          <w:sz w:val="24"/>
        </w:rPr>
        <w:t>), for the occurrence of an Event of Default, either:</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(A)    the sum of:</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the worth at the time of award of the unpaid Rent which had been earned at the time of termination to the extent not previously paid by Tenant under this </w:t>
      </w:r>
      <w:r>
        <w:rPr>
          <w:rFonts w:ascii="Times New Roman;serif" w:hAnsi="Times New Roman;serif"/>
          <w:b/>
          <w:color w:val="000000"/>
          <w:sz w:val="24"/>
        </w:rPr>
        <w:t>Section 16.3</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worth at the time of award of the amount by which the unpaid Rent which would have been earned after termination until the time of award exceeds the amount of such rental loss that Tenant proves could have been reasonably avoided;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the worth at the time of award of the amount by which the unpaid Rent for the balance of the Term after the time of award exceeds the amount of such rental loss that Tenant proves could be reasonably avoided; </w:t>
      </w:r>
      <w:r>
        <w:rPr>
          <w:rFonts w:ascii="Times New Roman;serif" w:hAnsi="Times New Roman;serif"/>
          <w:b w:val="false"/>
          <w:i/>
          <w:color w:val="000000"/>
          <w:sz w:val="24"/>
        </w:rPr>
        <w:t>plus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any other amount reasonably necessary to compensate Landlord for all the detriment proximately caused by Tenant’s failure to perform its obligations under this Master Lease or which in the ordinary course of things would be likely to result therefrom.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As used in clauses (i) and (ii) above, the “worth at the time of award” shall be computed by allowing interest at the Overdue Rate. As used in clause (iii) above, the “worth at the time of award” shall be computed by discounting such amount at the discount rate of the Federal 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Bank of New York at the time of award plus one percent (1%) and reducing such amount by the portion of the unpaid Rent that Tenant proves could be reasonably avoided.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240"/>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(B)    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pStyle w:val="TextBody"/>
        <w:bidi w:val="0"/>
        <w:spacing w:lineRule="auto" w:line="288" w:before="0" w:after="240"/>
        <w:ind w:left="0" w:right="0" w:firstLine="720"/>
        <w:jc w:val="both"/>
        <w:rPr/>
      </w:pPr>
      <w:r>
        <w:rPr>
          <w:rFonts w:ascii="Times New Roman;serif" w:hAnsi="Times New Roman;serif"/>
          <w:b/>
          <w:color w:val="000000"/>
          <w:sz w:val="24"/>
        </w:rPr>
        <w:t>16.4    </w:t>
      </w:r>
      <w:r>
        <w:rPr>
          <w:rFonts w:ascii="Times New Roman;serif" w:hAnsi="Times New Roman;serif"/>
          <w:b/>
          <w:color w:val="000000"/>
          <w:sz w:val="24"/>
          <w:u w:val="single"/>
        </w:rPr>
        <w:t>Receiver</w:t>
      </w:r>
      <w:r>
        <w:rPr>
          <w:rFonts w:ascii="Times New Roman;serif" w:hAnsi="Times New Roman;serif"/>
          <w:b w:val="false"/>
          <w:color w:val="000000"/>
          <w:sz w:val="24"/>
        </w:rPr>
        <w:t>. Upon the occurrence and continuance of an Event of Default, and upon commencement of 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pStyle w:val="TextBody"/>
        <w:bidi w:val="0"/>
        <w:spacing w:lineRule="auto" w:line="288" w:before="0" w:after="240"/>
        <w:ind w:left="0" w:right="0" w:firstLine="720"/>
        <w:jc w:val="both"/>
        <w:rPr/>
      </w:pPr>
      <w:r>
        <w:rPr>
          <w:rFonts w:ascii="Times New Roman;serif" w:hAnsi="Times New Roman;serif"/>
          <w:b/>
          <w:color w:val="000000"/>
          <w:sz w:val="24"/>
        </w:rPr>
        <w:t>16.5    </w:t>
      </w:r>
      <w:r>
        <w:rPr>
          <w:rFonts w:ascii="Times New Roman;serif" w:hAnsi="Times New Roman;serif"/>
          <w:b/>
          <w:color w:val="000000"/>
          <w:sz w:val="24"/>
          <w:u w:val="single"/>
        </w:rPr>
        <w:t>Waiver</w:t>
      </w:r>
      <w:r>
        <w:rPr>
          <w:rFonts w:ascii="Times New Roman;serif" w:hAnsi="Times New Roman;serif"/>
          <w:b w:val="false"/>
          <w:color w:val="000000"/>
          <w:sz w:val="24"/>
        </w:rPr>
        <w:t xml:space="preserve">. If Landlord initiates judicial proceedings or if this Master Lease is terminated by Landlord pursuant to this </w:t>
      </w:r>
      <w:r>
        <w:rPr>
          <w:rFonts w:ascii="Times New Roman;serif" w:hAnsi="Times New Roman;serif"/>
          <w:b/>
          <w:color w:val="000000"/>
          <w:sz w:val="24"/>
        </w:rPr>
        <w:t>Article XVI</w:t>
      </w:r>
      <w:r>
        <w:rPr>
          <w:rFonts w:ascii="Times New Roman;serif" w:hAnsi="Times New Roman;serif"/>
          <w:b w:val="false"/>
          <w:color w:val="000000"/>
          <w:sz w:val="24"/>
        </w:rPr>
        <w:t>, Tenant waives, to the extent permitted by applicable law, (i) any right of redemption, re-entry or repossession; and (ii) the benefit of any laws now or hereafter in force exempting property from liability for rent or for debt.</w:t>
      </w:r>
    </w:p>
    <w:p>
      <w:pPr>
        <w:pStyle w:val="TextBody"/>
        <w:bidi w:val="0"/>
        <w:spacing w:lineRule="auto" w:line="288" w:before="0" w:after="240"/>
        <w:ind w:left="0" w:right="0" w:firstLine="720"/>
        <w:jc w:val="both"/>
        <w:rPr/>
      </w:pPr>
      <w:r>
        <w:rPr>
          <w:rFonts w:ascii="Times New Roman;serif" w:hAnsi="Times New Roman;serif"/>
          <w:b/>
          <w:color w:val="000000"/>
          <w:sz w:val="24"/>
        </w:rPr>
        <w:t>16.6    </w:t>
      </w:r>
      <w:r>
        <w:rPr>
          <w:rFonts w:ascii="Times New Roman;serif" w:hAnsi="Times New Roman;serif"/>
          <w:b/>
          <w:color w:val="000000"/>
          <w:sz w:val="24"/>
          <w:u w:val="single"/>
        </w:rPr>
        <w:t>Application of Funds</w:t>
      </w:r>
      <w:r>
        <w:rPr>
          <w:rFonts w:ascii="Times New Roman;serif" w:hAnsi="Times New Roman;serif"/>
          <w:b w:val="false"/>
          <w:color w:val="000000"/>
          <w:sz w:val="24"/>
        </w:rPr>
        <w:t>. Any payments received by Landlord under any of the provisions of this Master Lease 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pStyle w:val="TextBody"/>
        <w:bidi w:val="0"/>
        <w:spacing w:lineRule="auto" w:line="288" w:before="0" w:after="240"/>
        <w:jc w:val="center"/>
        <w:rPr/>
      </w:pPr>
      <w:r>
        <w:rPr>
          <w:rFonts w:ascii="Times New Roman;serif" w:hAnsi="Times New Roman;serif"/>
          <w:b/>
          <w:color w:val="000000"/>
          <w:sz w:val="24"/>
        </w:rPr>
        <w:t>ARTICLE XVII</w:t>
      </w:r>
      <w:r>
        <w:rPr>
          <w:rFonts w:ascii="Times New Roman;serif" w:hAnsi="Times New Roman;serif"/>
          <w:b/>
          <w:color w:val="000000"/>
          <w:sz w:val="24"/>
          <w:u w:val="single"/>
        </w:rPr>
        <w:br/>
        <w:br/>
        <w:t xml:space="preserve">TENANT’S FINANCING </w:t>
      </w:r>
    </w:p>
    <w:p>
      <w:pPr>
        <w:pStyle w:val="TextBody"/>
        <w:bidi w:val="0"/>
        <w:spacing w:lineRule="auto" w:line="288" w:before="0" w:after="240"/>
        <w:ind w:left="0" w:right="0" w:firstLine="720"/>
        <w:jc w:val="both"/>
        <w:rPr/>
      </w:pPr>
      <w:r>
        <w:rPr>
          <w:rFonts w:ascii="Times New Roman;serif" w:hAnsi="Times New Roman;serif"/>
          <w:b/>
          <w:color w:val="000000"/>
          <w:sz w:val="24"/>
        </w:rPr>
        <w:t>17.1    </w:t>
      </w:r>
      <w:r>
        <w:rPr>
          <w:rFonts w:ascii="Times New Roman;serif" w:hAnsi="Times New Roman;serif"/>
          <w:b/>
          <w:color w:val="000000"/>
          <w:sz w:val="24"/>
          <w:u w:val="single"/>
        </w:rPr>
        <w:t>Permitted Leasehold Mortgagees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On one or more occasions without Landlord’s prior consent, Tenant may mortgage or otherwise encumber Tenant’s estate in and to the Leased Property (the “</w:t>
      </w:r>
      <w:r>
        <w:rPr>
          <w:rFonts w:ascii="Times New Roman;serif" w:hAnsi="Times New Roman;serif"/>
          <w:b/>
          <w:color w:val="000000"/>
          <w:sz w:val="24"/>
        </w:rPr>
        <w:t>Leasehold Estate</w:t>
      </w:r>
      <w:r>
        <w:rPr>
          <w:color w:val="000000"/>
        </w:rPr>
        <w:t>”</w:t>
      </w:r>
      <w:r>
        <w:rPr>
          <w:rFonts w:ascii="Times New Roman;serif" w:hAnsi="Times New Roman;serif"/>
          <w:b w:val="false"/>
          <w:color w:val="000000"/>
          <w:sz w:val="24"/>
        </w:rPr>
        <w:t xml:space="preserve">) to one or more Permitted Leasehold Mortgagees under one or more Permitted Leasehold Mortgages and pledge its right, title and interest under this Master Lease as security for such Permitted Leasehold Mortgages or any Debt Agreement secured thereby; provided, that no Person shall be considered a Permitted Leasehold Mortgagee unless (1) such Person delivers to Landlord a written agreement providing (i) that (unless this Master Lease has been terminated as to a particular Facility) such Permitted Leasehold Mortgagee and any lenders for whom it acts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 representative, agent or trustee, will not use or dispose of any Gaming License for use at a location other than at the Facility to which such Gaming License relates as of the date such Person becomes a Permitted Leasehold Mortgagee (or, in the case of any Facility added to the Master Lease after such date, as of the date that such Facility is added to the Master Lease), and (ii) an express acknowledgement that, in the event of the exercise by the Permitted Leasehold Mortgagee of its rights under the Permitted Leasehold Mortgage, the Permitted Leasehold Mortgagee shall be required to (except for a transfer that meets the requirements of </w:t>
      </w:r>
      <w:r>
        <w:rPr>
          <w:rFonts w:ascii="Times New Roman;serif" w:hAnsi="Times New Roman;serif"/>
          <w:b/>
          <w:color w:val="000000"/>
          <w:sz w:val="24"/>
        </w:rPr>
        <w:t>Section 22.2(ii)</w:t>
      </w:r>
      <w:r>
        <w:rPr>
          <w:rFonts w:ascii="Times New Roman;serif" w:hAnsi="Times New Roman;serif"/>
          <w:b w:val="false"/>
          <w:color w:val="000000"/>
          <w:sz w:val="24"/>
        </w:rPr>
        <w:t xml:space="preserve">)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w:t>
      </w:r>
      <w:r>
        <w:rPr>
          <w:rFonts w:ascii="Times New Roman;serif" w:hAnsi="Times New Roman;serif"/>
          <w:b/>
          <w:color w:val="000000"/>
          <w:sz w:val="24"/>
        </w:rPr>
        <w:t>Article XXII</w:t>
      </w:r>
      <w:r>
        <w:rPr>
          <w:color w:val="000000"/>
        </w:rPr>
        <w:t xml:space="preserve"> </w:t>
      </w:r>
      <w:r>
        <w:rPr>
          <w:rFonts w:ascii="Times New Roman;serif" w:hAnsi="Times New Roman;serif"/>
          <w:b w:val="false"/>
          <w:color w:val="000000"/>
          <w:sz w:val="24"/>
        </w:rPr>
        <w:t xml:space="preserve">of this Master Lease, and (2) the underlying Permitted Leasehold Mortgage includes an express acknowledgement that any exercise of remedies thereunder that would affect the Leasehold Estate shall be subject to the terms of the Master Lease. Any Facility Mortgagee and its successors and assigns, by accepting any Facility Mortgage, shall be deemed without executing any further document or instrument, to have also agreed to recognize the rights of any Permitted Leasehold Mortgagee as provided in this </w:t>
      </w:r>
      <w:r>
        <w:rPr>
          <w:rFonts w:ascii="Times New Roman;serif" w:hAnsi="Times New Roman;serif"/>
          <w:b/>
          <w:color w:val="000000"/>
          <w:sz w:val="24"/>
        </w:rPr>
        <w:t>Article XVII</w:t>
      </w:r>
      <w:r>
        <w:rPr>
          <w:color w:val="000000"/>
        </w:rPr>
        <w:t xml:space="preserve"> </w:t>
      </w:r>
      <w:r>
        <w:rPr>
          <w:rFonts w:ascii="Times New Roman;serif" w:hAnsi="Times New Roman;serif"/>
          <w:b w:val="false"/>
          <w:color w:val="000000"/>
          <w:sz w:val="24"/>
        </w:rPr>
        <w:t>and to have agreed not to disturb such rights in any way except through the exercise of the rights expressly granted to Landlord in this Master Lease or available at law or in equity to Landlord by reason of the default by Tenant under this Master Lease.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Notice to Landlord</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(1) If Tenant shall, on one or more occasions, mortgage Tenant’s Leasehold Estate and if the holder of such Permitted Leasehold Mortgage shall provide Landlord with Notice of such Permitted Leasehold Mortgage together with a true copy of such Permitted Leasehold Mortgage and the name and address of the Permitted Leasehold Mortgagee, Landlord and Tenant agree that, following receipt of such Notice by Landlord, the provisions of this </w:t>
      </w:r>
      <w:r>
        <w:rPr>
          <w:rFonts w:ascii="Times New Roman;serif" w:hAnsi="Times New Roman;serif"/>
          <w:b/>
          <w:color w:val="000000"/>
          <w:sz w:val="24"/>
        </w:rPr>
        <w:t>Section 17.1</w:t>
      </w:r>
      <w:r>
        <w:rPr>
          <w:color w:val="000000"/>
        </w:rPr>
        <w:t xml:space="preserve"> </w:t>
      </w:r>
      <w:r>
        <w:rPr>
          <w:rFonts w:ascii="Times New Roman;serif" w:hAnsi="Times New Roman;serif"/>
          <w:b w:val="false"/>
          <w:color w:val="000000"/>
          <w:sz w:val="24"/>
        </w:rPr>
        <w:t>shall apply in respect to each such Permitted Leasehold Mortgage.</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(2)    In the event of any assignment of a Permitted Leasehold Mortgage or in the event of a change of address of a Permitted Leasehold Mortgagee or of an assignee of such Mortgage, Notice of the new name and address shall be provided to Landlord.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Tenant and the Permitted Leasehold Mortgagee of the rejection of such communication as not conforming with the provisions of this </w:t>
      </w:r>
      <w:r>
        <w:rPr>
          <w:rFonts w:ascii="Times New Roman;serif" w:hAnsi="Times New Roman;serif"/>
          <w:b/>
          <w:color w:val="000000"/>
          <w:sz w:val="24"/>
        </w:rPr>
        <w:t>Section 17.1</w:t>
      </w:r>
      <w:r>
        <w:rPr>
          <w:color w:val="000000"/>
        </w:rPr>
        <w:t xml:space="preserve"> </w:t>
      </w:r>
      <w:r>
        <w:rPr>
          <w:rFonts w:ascii="Times New Roman;serif" w:hAnsi="Times New Roman;serif"/>
          <w:b w:val="false"/>
          <w:color w:val="000000"/>
          <w:sz w:val="24"/>
        </w:rPr>
        <w:t>and specify the specific basis of such rejection.</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(iii)    After Landlord has received the notice provided for by subsection (b)(i) above, Tenant, upon being requested to do so by Landlord, shall with reasonable promptness provide Landlord with copies of the note or other obligation secured by such Permitted Leasehold Mortgage and of any other documents pertinent to the Permitted Leasehold Mortgage as specified by Landlord. If requested to do so by Landlord, Tenant shall thereafter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also provide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Default Notice</w:t>
      </w:r>
      <w:r>
        <w:rPr>
          <w:rFonts w:ascii="Times New Roman;serif" w:hAnsi="Times New Roman;serif"/>
          <w:b w:val="false"/>
          <w:color w:val="000000"/>
          <w:sz w:val="24"/>
        </w:rPr>
        <w:t xml:space="preserve">.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 xml:space="preserve">hereof. No such notice by Landlord to Tenant shall be deemed to have been duly given unless and until a copy thereof has been sent, in the manner prescribed in </w:t>
      </w:r>
      <w:r>
        <w:rPr>
          <w:rFonts w:ascii="Times New Roman;serif" w:hAnsi="Times New Roman;serif"/>
          <w:b/>
          <w:color w:val="000000"/>
          <w:sz w:val="24"/>
        </w:rPr>
        <w:t>Section 35.1</w:t>
      </w:r>
      <w:r>
        <w:rPr>
          <w:color w:val="000000"/>
        </w:rPr>
        <w:t xml:space="preserve"> </w:t>
      </w:r>
      <w:r>
        <w:rPr>
          <w:rFonts w:ascii="Times New Roman;serif" w:hAnsi="Times New Roman;serif"/>
          <w:b w:val="false"/>
          <w:color w:val="000000"/>
          <w:sz w:val="24"/>
        </w:rPr>
        <w:t xml:space="preserve">of this Master Lease, to every Permitted Leasehold Mortgagee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 xml:space="preserve">hereof. From and after such notice has been sent to a Permitted Leasehold Mortgagee, such Permitted Leasehold Mortgagee shall have the same period, after the giving of such notice upon its remedying any default or acts or omissions which are the subject matter of such notice or causing the same to be remedied, as is given Tenant after the giving of such notice to Tenant, plus in each instance, the additional periods of time specified in subsections (d) and (e) of this </w:t>
      </w:r>
      <w:r>
        <w:rPr>
          <w:rFonts w:ascii="Times New Roman;serif" w:hAnsi="Times New Roman;serif"/>
          <w:b/>
          <w:color w:val="000000"/>
          <w:sz w:val="24"/>
        </w:rPr>
        <w:t>Section 17.1</w:t>
      </w:r>
      <w:r>
        <w:rPr>
          <w:color w:val="000000"/>
        </w:rPr>
        <w:t xml:space="preserve"> </w:t>
      </w:r>
      <w:r>
        <w:rPr>
          <w:rFonts w:ascii="Times New Roman;serif" w:hAnsi="Times New Roman;serif"/>
          <w:b w:val="false"/>
          <w:color w:val="000000"/>
          <w:sz w:val="24"/>
        </w:rPr>
        <w:t>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Notice to Permitted Leasehold Mortgagee</w:t>
      </w:r>
      <w:r>
        <w:rPr>
          <w:rFonts w:ascii="Times New Roman;serif" w:hAnsi="Times New Roman;serif"/>
          <w:b w:val="false"/>
          <w:color w:val="000000"/>
          <w:sz w:val="24"/>
        </w:rPr>
        <w:t xml:space="preserve">.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Times New Roman;serif" w:hAnsi="Times New Roman;serif"/>
          <w:b/>
          <w:color w:val="000000"/>
          <w:sz w:val="24"/>
        </w:rPr>
        <w:t>Termination Notice</w:t>
      </w:r>
      <w:r>
        <w:rPr>
          <w:color w:val="000000"/>
        </w:rPr>
        <w:t>”</w:t>
      </w:r>
      <w:r>
        <w:rPr>
          <w:rFonts w:ascii="Times New Roman;serif" w:hAnsi="Times New Roman;serif"/>
          <w:b w:val="false"/>
          <w:color w:val="000000"/>
          <w:sz w:val="24"/>
        </w:rPr>
        <w:t xml:space="preserve">). The provisions of subsection (e) below of this </w:t>
      </w:r>
      <w:r>
        <w:rPr>
          <w:rFonts w:ascii="Times New Roman;serif" w:hAnsi="Times New Roman;serif"/>
          <w:b/>
          <w:color w:val="000000"/>
          <w:sz w:val="24"/>
        </w:rPr>
        <w:t>Section 17.1</w:t>
      </w:r>
      <w:r>
        <w:rPr>
          <w:color w:val="000000"/>
        </w:rPr>
        <w:t xml:space="preserve"> </w:t>
      </w:r>
      <w:r>
        <w:rPr>
          <w:rFonts w:ascii="Times New Roman;serif" w:hAnsi="Times New Roman;serif"/>
          <w:b w:val="false"/>
          <w:color w:val="000000"/>
          <w:sz w:val="24"/>
        </w:rPr>
        <w:t>shall apply if, during such thirty (30) or ninety (90) days (as the case may be) Termination Notice period, any Permitted Leasehold Mortgagee shall:</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notify Landlord of such Permitted Leasehold Mortgagee’s desire to nullify such Termination Notice; and</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comply or in good faith, with reasonable diligence and continuity, commence to comply with all nonmonetary requirements of this Master Lease then in default and reasonably susceptible of being complied with by such Permitted Leasehold Mortgagee, provided, however, that such Permitted Leasehold Mortgagee shall not be required during such ninety (90) day period to cure or commence to cure any default consisting of Tenant’s failure to satisfy and discharge any lien, charge or encumbrance against Tenant’s interest in this Master Lease or the Leased Property, or any of Tenant’s other assets junior in priority to the lien of the mortgage or other security documents held by such Permitted Leasehold Mortgagee or any matter which Permitted Leasehold Mortgagee is prevented from performing because of any injunction or stay applicable during any bankruptcy or other judicial proceeding;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Procedure on Default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If Landlord shall elect to terminate this Master Lease by reason of any Event of Default of Tenant that has occurred and is continuing, and a Permitted Leasehold Mortgagee shall have proceeded in the manner provided for by subsection (d) of this </w:t>
      </w:r>
      <w:r>
        <w:rPr>
          <w:rFonts w:ascii="Times New Roman;serif" w:hAnsi="Times New Roman;serif"/>
          <w:b/>
          <w:color w:val="000000"/>
          <w:sz w:val="24"/>
        </w:rPr>
        <w:t>Section 17.1</w:t>
      </w:r>
      <w:r>
        <w:rPr>
          <w:rFonts w:ascii="Times New Roman;serif" w:hAnsi="Times New Roman;serif"/>
          <w:b w:val="false"/>
          <w:color w:val="000000"/>
          <w:sz w:val="24"/>
        </w:rPr>
        <w:t>, the specified date for the termination of this Master Lease as fixed by Landlord in its Termination Notice shall be extended for a period of six (6) months; provided, that such Permitted Leasehold Mortgagee shall, during such six-month period (and during the period of any continuance referred to in subsection (e)(ii) below):</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pay or cause to be paid the Rent, Additional Charges and other monetary obligations of Tenant under this Master Lease as the same become due, and continue its good faith efforts to perform or cause to be performed all of Tenant’s other obligations under this Master Lease, excepting (A) obligations of Tenant to satisfy or otherwise discharge any lien, charge or encumbrance against Tenant’s interest in this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If at the end of such six (6) month period such Permitted Leasehold Mortgagee is complying with subsection (e)(i) above, this Master Lease shall not then terminate, and the time for completion by such Permitted Leasehold Mortgagee of its proceedings shall continue (provided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w:t>
      </w:r>
      <w:r>
        <w:rPr>
          <w:rFonts w:ascii="Times New Roman;serif" w:hAnsi="Times New Roman;serif"/>
          <w:b/>
          <w:color w:val="000000"/>
          <w:sz w:val="24"/>
        </w:rPr>
        <w:t>Section 17.1(d)</w:t>
      </w:r>
      <w:r>
        <w:rPr>
          <w:color w:val="000000"/>
        </w:rPr>
        <w:t xml:space="preserve"> </w:t>
      </w:r>
      <w:r>
        <w:rPr>
          <w:rFonts w:ascii="Times New Roman;serif" w:hAnsi="Times New Roman;serif"/>
          <w:b w:val="false"/>
          <w:color w:val="000000"/>
          <w:sz w:val="24"/>
        </w:rPr>
        <w:t xml:space="preserve">hereof, and (y) if such Permitted Leasehold Mortgagee is not so enjoined or stayed, thereafter for so long as such Permitted Leasehold Mortgagee proceeds to complete steps to acquire or sell 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w:t>
      </w:r>
      <w:r>
        <w:rPr>
          <w:rFonts w:ascii="Times New Roman;serif" w:hAnsi="Times New Roman;serif"/>
          <w:b/>
          <w:color w:val="000000"/>
          <w:sz w:val="24"/>
        </w:rPr>
        <w:t>Section 17.1(d)</w:t>
      </w:r>
      <w:r>
        <w:rPr>
          <w:color w:val="000000"/>
        </w:rPr>
        <w:t xml:space="preserve"> </w:t>
      </w:r>
      <w:r>
        <w:rPr>
          <w:rFonts w:ascii="Times New Roman;serif" w:hAnsi="Times New Roman;serif"/>
          <w:b w:val="false"/>
          <w:color w:val="000000"/>
          <w:sz w:val="24"/>
        </w:rPr>
        <w:t xml:space="preserve">hereof. Nothing in this subsection (e) of this </w:t>
      </w:r>
      <w:r>
        <w:rPr>
          <w:rFonts w:ascii="Times New Roman;serif" w:hAnsi="Times New Roman;serif"/>
          <w:b/>
          <w:color w:val="000000"/>
          <w:sz w:val="24"/>
        </w:rPr>
        <w:t>Section 17.1</w:t>
      </w:r>
      <w:r>
        <w:rPr>
          <w:rFonts w:ascii="Times New Roman;serif" w:hAnsi="Times New Roman;serif"/>
          <w:b w:val="false"/>
          <w:color w:val="000000"/>
          <w:sz w:val="24"/>
        </w:rPr>
        <w:t xml:space="preserve">, however, shall be construed to extend this Master Lease beyond the original term thereof as extended by any options to extend the Term of this Master Lease properly exercised by Tenant or a Permitted Leasehold Mortgagee in accordance with </w:t>
      </w:r>
      <w:r>
        <w:rPr>
          <w:rFonts w:ascii="Times New Roman;serif" w:hAnsi="Times New Roman;serif"/>
          <w:b/>
          <w:color w:val="000000"/>
          <w:sz w:val="24"/>
        </w:rPr>
        <w:t>Section 1.4</w:t>
      </w:r>
      <w:r>
        <w:rPr>
          <w:rFonts w:ascii="Times New Roman;serif" w:hAnsi="Times New Roman;serif"/>
          <w:b w:val="false"/>
          <w:color w:val="000000"/>
          <w:sz w:val="24"/>
        </w:rPr>
        <w:t xml:space="preserve">, nor to require a Permitted Leasehold Mortgagee to continue such foreclosure proceeding after the default has been cured. If the default shall be cured pursuant to the terms and within the time periods allowed in subsections (d) and (e) of this </w:t>
      </w:r>
      <w:r>
        <w:rPr>
          <w:rFonts w:ascii="Times New Roman;serif" w:hAnsi="Times New Roman;serif"/>
          <w:b/>
          <w:color w:val="000000"/>
          <w:sz w:val="24"/>
        </w:rPr>
        <w:t>Section 17.1</w:t>
      </w:r>
      <w:r>
        <w:rPr>
          <w:color w:val="000000"/>
        </w:rPr>
        <w:t xml:space="preserve"> </w:t>
      </w:r>
      <w:r>
        <w:rPr>
          <w:rFonts w:ascii="Times New Roman;serif" w:hAnsi="Times New Roman;serif"/>
          <w:b w:val="false"/>
          <w:color w:val="000000"/>
          <w:sz w:val="24"/>
        </w:rPr>
        <w:t>and the Permitted Leasehold Mortgagee shall discontinue such foreclosure proceedings, this Master Lease shall continue in full force and effect as if Tenant had not defaulted under this Master Lease.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If a Permitted Leasehold Mortgagee is complying with subsection (e)(i) of this </w:t>
      </w:r>
      <w:r>
        <w:rPr>
          <w:rFonts w:ascii="Times New Roman;serif" w:hAnsi="Times New Roman;serif"/>
          <w:b/>
          <w:color w:val="000000"/>
          <w:sz w:val="24"/>
        </w:rPr>
        <w:t>Section 17.1</w:t>
      </w:r>
      <w:r>
        <w:rPr>
          <w:rFonts w:ascii="Times New Roman;serif" w:hAnsi="Times New Roman;serif"/>
          <w:b w:val="false"/>
          <w:color w:val="000000"/>
          <w:sz w:val="24"/>
        </w:rPr>
        <w:t>, upon the acquisition of Tenant’s Leasehold Estate herein by a Discretionary Transferee this Master Lease shall continue in full force and effect as if Tenant had not defaulted under this Master Lease, provided, that such Discretionary Transferee cures all outstanding defaults that can be cured through the payment of money and all other defaults that are reasonably susceptible of being cured.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(iv)    For the purposes of this </w:t>
      </w:r>
      <w:r>
        <w:rPr>
          <w:rFonts w:ascii="Times New Roman;serif" w:hAnsi="Times New Roman;serif"/>
          <w:b/>
          <w:color w:val="000000"/>
          <w:sz w:val="24"/>
        </w:rPr>
        <w:t>Section 17.1</w:t>
      </w:r>
      <w:r>
        <w:rPr>
          <w:rFonts w:ascii="Times New Roman;serif" w:hAnsi="Times New Roman;serif"/>
          <w:b w:val="false"/>
          <w:color w:val="000000"/>
          <w:sz w:val="24"/>
        </w:rPr>
        <w:t xml:space="preserve">,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Mortgage, shall be subject to </w:t>
      </w:r>
      <w:r>
        <w:rPr>
          <w:rFonts w:ascii="Times New Roman;serif" w:hAnsi="Times New Roman;serif"/>
          <w:b/>
          <w:color w:val="000000"/>
          <w:sz w:val="24"/>
        </w:rPr>
        <w:t>Article XXII</w:t>
      </w:r>
      <w:r>
        <w:rPr>
          <w:color w:val="000000"/>
        </w:rPr>
        <w:t xml:space="preserve"> </w:t>
      </w:r>
      <w:r>
        <w:rPr>
          <w:rFonts w:ascii="Times New Roman;serif" w:hAnsi="Times New Roman;serif"/>
          <w:b w:val="false"/>
          <w:color w:val="000000"/>
          <w:sz w:val="24"/>
        </w:rPr>
        <w:t xml:space="preserve">hereof (including the requirement that such purchaser assume the performance of the terms, covenants or conditions on the part of Tenant to be performed hereunder and meet the qualifications of </w:t>
      </w:r>
      <w:r>
        <w:rPr>
          <w:rFonts w:ascii="Times New Roman;serif" w:hAnsi="Times New Roman;serif"/>
          <w:b/>
          <w:color w:val="000000"/>
          <w:sz w:val="24"/>
        </w:rPr>
        <w:t>Section 22.2</w:t>
      </w:r>
      <w:r>
        <w:rPr>
          <w:color w:val="000000"/>
        </w:rPr>
        <w:t xml:space="preserve"> </w:t>
      </w:r>
      <w:r>
        <w:rPr>
          <w:rFonts w:ascii="Times New Roman;serif" w:hAnsi="Times New Roman;serif"/>
          <w:b w:val="false"/>
          <w:color w:val="000000"/>
          <w:sz w:val="24"/>
        </w:rPr>
        <w:t xml:space="preserve">or be reasonably consented to by Landlord in accordance with </w:t>
      </w:r>
      <w:r>
        <w:rPr>
          <w:rFonts w:ascii="Times New Roman;serif" w:hAnsi="Times New Roman;serif"/>
          <w:b/>
          <w:color w:val="000000"/>
          <w:sz w:val="24"/>
        </w:rPr>
        <w:t>Section 22.1</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Any Permitted Leasehold Mortgagee or other acquirer of the Leasehold Estate of Tenant pursuant to foreclosure, assignment in lieu of foreclosure or other proceedings in accordance with the requirements of </w:t>
      </w:r>
      <w:r>
        <w:rPr>
          <w:rFonts w:ascii="Times New Roman;serif" w:hAnsi="Times New Roman;serif"/>
          <w:b/>
          <w:color w:val="000000"/>
          <w:sz w:val="24"/>
        </w:rPr>
        <w:t>Section 22.2(ii)</w:t>
      </w:r>
      <w:r>
        <w:rPr>
          <w:color w:val="000000"/>
        </w:rPr>
        <w:t xml:space="preserve"> </w:t>
      </w:r>
      <w:r>
        <w:rPr>
          <w:rFonts w:ascii="Times New Roman;serif" w:hAnsi="Times New Roman;serif"/>
          <w:b w:val="false"/>
          <w:color w:val="000000"/>
          <w:sz w:val="24"/>
        </w:rPr>
        <w:t xml:space="preserve">of this Master Lease may, upon acquiring Tenant’s Leasehold Estate, without further consent of Landlord, sell and assign the Leasehold Estate in accordance with the requirements of </w:t>
      </w:r>
      <w:r>
        <w:rPr>
          <w:rFonts w:ascii="Times New Roman;serif" w:hAnsi="Times New Roman;serif"/>
          <w:b/>
          <w:color w:val="000000"/>
          <w:sz w:val="24"/>
        </w:rPr>
        <w:t>Article XXII</w:t>
      </w:r>
      <w:r>
        <w:rPr>
          <w:color w:val="000000"/>
        </w:rPr>
        <w:t xml:space="preserve"> </w:t>
      </w:r>
      <w:r>
        <w:rPr>
          <w:rFonts w:ascii="Times New Roman;serif" w:hAnsi="Times New Roman;serif"/>
          <w:b w:val="false"/>
          <w:color w:val="000000"/>
          <w:sz w:val="24"/>
        </w:rPr>
        <w:t>of this Master Lease and enter into Permitted Leasehold Mortgages in the same manner as the original Tenant, subject to the terms hereof.</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    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w:t>
      </w:r>
      <w:r>
        <w:rPr>
          <w:rFonts w:ascii="Times New Roman;serif" w:hAnsi="Times New Roman;serif"/>
          <w:b/>
          <w:color w:val="000000"/>
          <w:sz w:val="24"/>
        </w:rPr>
        <w:t>Section 22.2(ii)</w:t>
      </w:r>
      <w:r>
        <w:rPr>
          <w:color w:val="000000"/>
        </w:rPr>
        <w:t xml:space="preserve"> </w:t>
      </w:r>
      <w:r>
        <w:rPr>
          <w:rFonts w:ascii="Times New Roman;serif" w:hAnsi="Times New Roman;serif"/>
          <w:b w:val="false"/>
          <w:color w:val="000000"/>
          <w:sz w:val="24"/>
        </w:rPr>
        <w:t xml:space="preserve">of this Master Lease or the transferee is reasonably consented to by Landlord in accordance with </w:t>
      </w:r>
      <w:r>
        <w:rPr>
          <w:rFonts w:ascii="Times New Roman;serif" w:hAnsi="Times New Roman;serif"/>
          <w:b/>
          <w:color w:val="000000"/>
          <w:sz w:val="24"/>
        </w:rPr>
        <w:t>Section 22.1</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New Lease</w:t>
      </w:r>
      <w:r>
        <w:rPr>
          <w:rFonts w:ascii="Times New Roman;serif" w:hAnsi="Times New Roman;serif"/>
          <w:b w:val="false"/>
          <w:color w:val="000000"/>
          <w:sz w:val="24"/>
        </w:rPr>
        <w:t xml:space="preserve">. In the event of the termination of this Master Lease other than due to a default as to which the Permitted Leasehold Mortgagee had the opportunity to, but did not, cure the default as set forth in </w:t>
      </w:r>
      <w:r>
        <w:rPr>
          <w:rFonts w:ascii="Times New Roman;serif" w:hAnsi="Times New Roman;serif"/>
          <w:b/>
          <w:color w:val="000000"/>
          <w:sz w:val="24"/>
        </w:rPr>
        <w:t>Sections 17.1(d)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17.1(e)</w:t>
      </w:r>
      <w:r>
        <w:rPr>
          <w:color w:val="000000"/>
        </w:rPr>
        <w:t xml:space="preserve"> </w:t>
      </w:r>
      <w:r>
        <w:rPr>
          <w:rFonts w:ascii="Times New Roman;serif" w:hAnsi="Times New Roman;serif"/>
          <w:b w:val="false"/>
          <w:color w:val="000000"/>
          <w:sz w:val="24"/>
        </w:rPr>
        <w:t>above, Landlord shall provide each Permitted Leasehold Mortgagee with Notice that this Master Lease has been terminated (“</w:t>
      </w:r>
      <w:r>
        <w:rPr>
          <w:rFonts w:ascii="Times New Roman;serif" w:hAnsi="Times New Roman;serif"/>
          <w:b/>
          <w:color w:val="000000"/>
          <w:sz w:val="24"/>
        </w:rPr>
        <w:t>Notice of Termination</w:t>
      </w:r>
      <w:r>
        <w:rPr>
          <w:color w:val="000000"/>
        </w:rPr>
        <w:t>”</w:t>
      </w:r>
      <w:r>
        <w:rPr>
          <w:rFonts w:ascii="Times New Roman;serif" w:hAnsi="Times New Roman;serif"/>
          <w:b w:val="false"/>
          <w:color w:val="000000"/>
          <w:sz w:val="24"/>
        </w:rPr>
        <w:t>), together with a statement of all sums which would at that time be due under this Master Lease but for such termination, and of all other defaults, if any, then known to Landlord. Landlord agrees to enter into a new lease (“</w:t>
      </w:r>
      <w:r>
        <w:rPr>
          <w:rFonts w:ascii="Times New Roman;serif" w:hAnsi="Times New Roman;serif"/>
          <w:b/>
          <w:color w:val="000000"/>
          <w:sz w:val="24"/>
        </w:rPr>
        <w:t>New Lease</w:t>
      </w:r>
      <w:r>
        <w:rPr>
          <w:color w:val="000000"/>
        </w:rPr>
        <w:t>”</w:t>
      </w:r>
      <w:r>
        <w:rPr>
          <w:rFonts w:ascii="Times New Roman;serif" w:hAnsi="Times New Roman;serif"/>
          <w:b w:val="false"/>
          <w:color w:val="000000"/>
          <w:sz w:val="24"/>
        </w:rPr>
        <w:t>) of the Leased Property with such Permitted Leasehold Mortgagee or its Permitted Leasehold Mortgagee Designee (in each case if a Discretionary Transferee) for the remainder of the Term (including any Renewal Terms) of this Master Lease, effective as of the date of termination, at the rent and additional rent, and upon the terms, covenants and conditions (including all options to renew but excluding requirements which have already been fulfilled) of this Master Lease, provided: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Master Lease given pursuant to this </w:t>
      </w:r>
      <w:r>
        <w:rPr>
          <w:rFonts w:ascii="Times New Roman;serif" w:hAnsi="Times New Roman;serif"/>
          <w:b/>
          <w:color w:val="000000"/>
          <w:sz w:val="24"/>
        </w:rPr>
        <w:t>Section 17.1(f)</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Master Lease but for such termination and, in addition thereto, all reasonable expenses, including reasonable attorney’s fees, which Landlord shall have incurred by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 of such termination and the execution and delivery of the New Lease and which have not otherwise been received by Landlord from Tenant or other party in interest under Tenant;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New Lease Priorities</w:t>
      </w:r>
      <w:r>
        <w:rPr>
          <w:rFonts w:ascii="Times New Roman;serif" w:hAnsi="Times New Roman;serif"/>
          <w:b w:val="false"/>
          <w:color w:val="000000"/>
          <w:sz w:val="24"/>
        </w:rPr>
        <w:t xml:space="preserve">. It is the intention of the parties that such New Lease shall continue to maintain the same priority as this Master Lease with regard to any Facility Mortgage or any other lien, charge or encumbrance created by the acts of Landlord on the Leased Property or any part thereof or this Master Lease (but Landlord shall not be deemed to make any representation or warranty to that effect). If more than one Permitted Leasehold Mortgagee shall request a New Lease pursuant to subsection (f)(i) of this </w:t>
      </w:r>
      <w:r>
        <w:rPr>
          <w:rFonts w:ascii="Times New Roman;serif" w:hAnsi="Times New Roman;serif"/>
          <w:b/>
          <w:color w:val="000000"/>
          <w:sz w:val="24"/>
        </w:rPr>
        <w:t>Section 17.1</w:t>
      </w:r>
      <w:r>
        <w:rPr>
          <w:rFonts w:ascii="Times New Roman;serif" w:hAnsi="Times New Roman;serif"/>
          <w:b w:val="false"/>
          <w:color w:val="000000"/>
          <w:sz w:val="24"/>
        </w:rPr>
        <w:t>,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Permitted Leasehold Mortgagee Need Not Cure Specified Defaults</w:t>
      </w:r>
      <w:r>
        <w:rPr>
          <w:rFonts w:ascii="Times New Roman;serif" w:hAnsi="Times New Roman;serif"/>
          <w:b w:val="false"/>
          <w:color w:val="000000"/>
          <w:sz w:val="24"/>
        </w:rPr>
        <w:t xml:space="preserve">.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w:t>
      </w:r>
      <w:r>
        <w:rPr>
          <w:rFonts w:ascii="Times New Roman;serif" w:hAnsi="Times New Roman;serif"/>
          <w:b/>
          <w:color w:val="000000"/>
          <w:sz w:val="24"/>
        </w:rPr>
        <w:t>Section 16.1(a)(iii), (iv), (v), (vi), (vii) (</w:t>
      </w:r>
      <w:r>
        <w:rPr>
          <w:rFonts w:ascii="Times New Roman;serif" w:hAnsi="Times New Roman;serif"/>
          <w:b w:val="false"/>
          <w:color w:val="000000"/>
          <w:sz w:val="24"/>
        </w:rPr>
        <w:t xml:space="preserve">if the levy or attachment is in favor of such Permitted Leasehold Mortgagee (provided,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w:t>
      </w:r>
      <w:r>
        <w:rPr>
          <w:rFonts w:ascii="Times New Roman;serif" w:hAnsi="Times New Roman;serif"/>
          <w:b/>
          <w:color w:val="000000"/>
          <w:sz w:val="24"/>
        </w:rPr>
        <w:t>or (ix)</w:t>
      </w:r>
      <w:r>
        <w:rPr>
          <w:color w:val="000000"/>
        </w:rPr>
        <w:t xml:space="preserve"> </w:t>
      </w:r>
      <w:r>
        <w:rPr>
          <w:rFonts w:ascii="Times New Roman;serif" w:hAnsi="Times New Roman;serif"/>
          <w:b w:val="false"/>
          <w:color w:val="000000"/>
          <w:sz w:val="24"/>
        </w:rPr>
        <w:t xml:space="preserve">and any other sections of this Master Lease which may impose conditions of default not susceptible to being cured by a Permitted Leasehold Mortgagee or a subsequent owner of the Leasehold Estate through foreclosure hereof), in order to comply with the provisions of </w:t>
      </w:r>
      <w:r>
        <w:rPr>
          <w:rFonts w:ascii="Times New Roman;serif" w:hAnsi="Times New Roman;serif"/>
          <w:b/>
          <w:color w:val="000000"/>
          <w:sz w:val="24"/>
        </w:rPr>
        <w:t>Sections 17.1(d)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17.1(e)</w:t>
      </w:r>
      <w:r>
        <w:rPr>
          <w:rFonts w:ascii="Times New Roman;serif" w:hAnsi="Times New Roman;serif"/>
          <w:b w:val="false"/>
          <w:color w:val="000000"/>
          <w:sz w:val="24"/>
        </w:rPr>
        <w:t xml:space="preserve">, or as a condition of entering into the New Lease provided for by </w:t>
      </w:r>
      <w:r>
        <w:rPr>
          <w:rFonts w:ascii="Times New Roman;serif" w:hAnsi="Times New Roman;serif"/>
          <w:b/>
          <w:color w:val="000000"/>
          <w:sz w:val="24"/>
        </w:rPr>
        <w:t>Section 17.1(f)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Contest of Event of Default</w:t>
      </w:r>
      <w:r>
        <w:rPr>
          <w:rFonts w:ascii="Times New Roman;serif" w:hAnsi="Times New Roman;serif"/>
          <w:b w:val="false"/>
          <w:color w:val="000000"/>
          <w:sz w:val="24"/>
        </w:rPr>
        <w:t xml:space="preserve">. Notwithstanding anything to the contrary contained in this Master Lease, any Permitted Leasehold Mortgagee (and if more than one, the Permitted Leasehold Mortgagee whose lien is most senior) may, in good faith, contest through appropriate proceedings whether an alleged non-monetary default in fact constitutes an Event of Default, and the cure period available under the terms hereof to such Permitted Leasehold Mortgagee shall be extended so long as such Permitted Leasehold Mortgagee shall be diligently pursuing such contest, provided, that: (i) such Permitted Leasehold Mortgagee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commenced such contest prior to the expiration of the applicable notice and cure period herein for such alleged non-monetary Event of Default; (ii) Tenant shall not be, or shall not have, separately contested such alleged non-monetary Event of Default; (iii) pending the outcome of such contest, such Permitted Leasehold Mortgagee shall make payment of all Rent due and payable hereunder, as and when due and payable, and shall make payment and shall otherwise cure all non-monetary Events of Default which are not being contested by such Permitted Leasehold Mortgagee within applicable cure periods provided herein for such non-monetary Events of Default; and (iv) such Permitted Leasehold Mortgagee shall make payment to Landlord of all reasonable attorneys’ fees and costs incurred by Landlord in connection with such contest in the event that such Permitted Leasehold Mortgagee is not successful in such contest.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Casualty Loss</w:t>
      </w:r>
      <w:r>
        <w:rPr>
          <w:rFonts w:ascii="Times New Roman;serif" w:hAnsi="Times New Roman;serif"/>
          <w:b w:val="false"/>
          <w:color w:val="000000"/>
          <w:sz w:val="24"/>
        </w:rPr>
        <w:t xml:space="preserve">. A standard mortgagee clause naming each Permitted Leasehold Mortgagee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Tenant (but not such proceeds, if any, payable jointly to Landlord and Tenant or to Landlord, to the Facility Mortgagee or to a third-party escrowee) pursuant to the provisions of this Master 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Arbitration; Legal Proceedings</w:t>
      </w:r>
      <w:r>
        <w:rPr>
          <w:rFonts w:ascii="Times New Roman;serif" w:hAnsi="Times New Roman;serif"/>
          <w:b w:val="false"/>
          <w:color w:val="000000"/>
          <w:sz w:val="24"/>
        </w:rPr>
        <w:t xml:space="preserve">. Landlord shall give prompt notice to each Permitted Leasehold Mortgagee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hereof) of any arbitration or legal proceedings between Landlord and Tenant involving obligations under this Master 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No Merger</w:t>
      </w:r>
      <w:r>
        <w:rPr>
          <w:rFonts w:ascii="Times New Roman;serif" w:hAnsi="Times New Roman;serif"/>
          <w:b w:val="false"/>
          <w:color w:val="000000"/>
          <w:sz w:val="24"/>
        </w:rPr>
        <w:t xml:space="preserve">. So long as any Permitted Leasehold Mortgage is in existence, unless all Permitted Leasehold Mortgagees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hereof shall otherwise expressly consent in writing,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Notices from Landlord to the Permitted Leasehold Mortgagee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 xml:space="preserve">hereof shall be provided in the method provided in </w:t>
      </w:r>
      <w:r>
        <w:rPr>
          <w:rFonts w:ascii="Times New Roman;serif" w:hAnsi="Times New Roman;serif"/>
          <w:b/>
          <w:color w:val="000000"/>
          <w:sz w:val="24"/>
        </w:rPr>
        <w:t>Section 35.1</w:t>
      </w:r>
      <w:r>
        <w:rPr>
          <w:color w:val="000000"/>
        </w:rPr>
        <w:t xml:space="preserve"> </w:t>
      </w:r>
      <w:r>
        <w:rPr>
          <w:rFonts w:ascii="Times New Roman;serif" w:hAnsi="Times New Roman;serif"/>
          <w:b w:val="false"/>
          <w:color w:val="000000"/>
          <w:sz w:val="24"/>
        </w:rPr>
        <w:t xml:space="preserve">hereof to the address or fax number furnished Landlord pursuant to subsection (b) of this </w:t>
      </w:r>
      <w:r>
        <w:rPr>
          <w:rFonts w:ascii="Times New Roman;serif" w:hAnsi="Times New Roman;serif"/>
          <w:b/>
          <w:color w:val="000000"/>
          <w:sz w:val="24"/>
        </w:rPr>
        <w:t>Section 17.1</w:t>
      </w:r>
      <w:r>
        <w:rPr>
          <w:rFonts w:ascii="Times New Roman;serif" w:hAnsi="Times New Roman;serif"/>
          <w:b w:val="false"/>
          <w:color w:val="000000"/>
          <w:sz w:val="24"/>
        </w:rPr>
        <w:t xml:space="preserve">, and those from the Permitted Leasehold Mortgagee to Landlord shall be mailed to the address designated pursuant to the provisions of </w:t>
      </w:r>
      <w:r>
        <w:rPr>
          <w:rFonts w:ascii="Times New Roman;serif" w:hAnsi="Times New Roman;serif"/>
          <w:b/>
          <w:color w:val="000000"/>
          <w:sz w:val="24"/>
        </w:rPr>
        <w:t>Section 35.1</w:t>
      </w:r>
      <w:r>
        <w:rPr>
          <w:color w:val="000000"/>
        </w:rPr>
        <w:t xml:space="preserve"> </w:t>
      </w:r>
      <w:r>
        <w:rPr>
          <w:rFonts w:ascii="Times New Roman;serif" w:hAnsi="Times New Roman;serif"/>
          <w:b w:val="false"/>
          <w:color w:val="000000"/>
          <w:sz w:val="24"/>
        </w:rPr>
        <w:t xml:space="preserve">hereof. Such notices, demands and requests shall be given in the manner described in this </w:t>
      </w:r>
      <w:r>
        <w:rPr>
          <w:rFonts w:ascii="Times New Roman;serif" w:hAnsi="Times New Roman;serif"/>
          <w:b/>
          <w:color w:val="000000"/>
          <w:sz w:val="24"/>
        </w:rPr>
        <w:t>Section 17.1</w:t>
      </w:r>
      <w:r>
        <w:rPr>
          <w:color w:val="000000"/>
        </w:rPr>
        <w:t xml:space="preserve"> </w:t>
      </w:r>
      <w:r>
        <w:rPr>
          <w:rFonts w:ascii="Times New Roman;serif" w:hAnsi="Times New Roman;serif"/>
          <w:b w:val="false"/>
          <w:color w:val="000000"/>
          <w:sz w:val="24"/>
        </w:rPr>
        <w:t xml:space="preserve">and in </w:t>
      </w:r>
      <w:r>
        <w:rPr>
          <w:rFonts w:ascii="Times New Roman;serif" w:hAnsi="Times New Roman;serif"/>
          <w:b/>
          <w:color w:val="000000"/>
          <w:sz w:val="24"/>
        </w:rPr>
        <w:t>Section 35.1</w:t>
      </w:r>
      <w:r>
        <w:rPr>
          <w:color w:val="000000"/>
        </w:rPr>
        <w:t xml:space="preserve"> </w:t>
      </w:r>
      <w:r>
        <w:rPr>
          <w:rFonts w:ascii="Times New Roman;serif" w:hAnsi="Times New Roman;serif"/>
          <w:b w:val="false"/>
          <w:color w:val="000000"/>
          <w:sz w:val="24"/>
        </w:rPr>
        <w:t>and shall in all respects be governed by the provisions of those sections.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 xml:space="preserve">. Notwithstanding any other provision hereof to the contrary, (i) Landlord agrees that any Permitted Leasehold Mortgagee’s liability to Landlord in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its capacity as Permitted Leasehold Mortgagee hereunder howsoever arising shall be limited to and enforceable only against such Permitted Leasehold Mortgagee’s interest in the Leasehold Estate and the other collateral granted to such Permitted Leasehold Mortgagee to secure the obligations under its Debt Agreement, and (ii) each Permitted Leasehold Mortgagee agrees that Landlord’s liability to such Permitted Leasehold Mortgagee hereunder howsoever arising shall be limited to and enforceable only against Landlord’s interest in the Leased Property subject to the applicable Permitted Leasehold Mortgage, and no recourse against Landlord shall be had against any other assets of Landlord whatsoever.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Sale Procedure</w:t>
      </w:r>
      <w:r>
        <w:rPr>
          <w:rFonts w:ascii="Times New Roman;serif" w:hAnsi="Times New Roman;serif"/>
          <w:b w:val="false"/>
          <w:color w:val="000000"/>
          <w:sz w:val="24"/>
        </w:rPr>
        <w:t xml:space="preserve">. If an Event of Default shall have occurred and be continuing, the Permitted Leasehold Mortgagee for which notice has been properly provided to Landlord pursuant to </w:t>
      </w:r>
      <w:r>
        <w:rPr>
          <w:rFonts w:ascii="Times New Roman;serif" w:hAnsi="Times New Roman;serif"/>
          <w:b/>
          <w:color w:val="000000"/>
          <w:sz w:val="24"/>
        </w:rPr>
        <w:t>Section 17.1(b)</w:t>
      </w:r>
      <w:r>
        <w:rPr>
          <w:color w:val="000000"/>
        </w:rPr>
        <w:t xml:space="preserve"> </w:t>
      </w:r>
      <w:r>
        <w:rPr>
          <w:rFonts w:ascii="Times New Roman;serif" w:hAnsi="Times New Roman;serif"/>
          <w:b w:val="false"/>
          <w:color w:val="000000"/>
          <w:sz w:val="24"/>
        </w:rPr>
        <w:t xml:space="preserve">hereof with the most senior lien on the Leasehold Estate shall have the right to make all determinations and agreements on behalf of Tenant under </w:t>
      </w:r>
      <w:r>
        <w:rPr>
          <w:rFonts w:ascii="Times New Roman;serif" w:hAnsi="Times New Roman;serif"/>
          <w:b/>
          <w:color w:val="000000"/>
          <w:sz w:val="24"/>
        </w:rPr>
        <w:t>Article XXXVI</w:t>
      </w:r>
      <w:r>
        <w:rPr>
          <w:color w:val="000000"/>
        </w:rPr>
        <w:t xml:space="preserve"> </w:t>
      </w:r>
      <w:r>
        <w:rPr>
          <w:rFonts w:ascii="Times New Roman;serif" w:hAnsi="Times New Roman;serif"/>
          <w:b w:val="false"/>
          <w:color w:val="000000"/>
          <w:sz w:val="24"/>
        </w:rPr>
        <w:t xml:space="preserve">(including, without limitation, requesting that the process described in </w:t>
      </w:r>
      <w:r>
        <w:rPr>
          <w:rFonts w:ascii="Times New Roman;serif" w:hAnsi="Times New Roman;serif"/>
          <w:b/>
          <w:color w:val="000000"/>
          <w:sz w:val="24"/>
        </w:rPr>
        <w:t>Article XXXVI</w:t>
      </w:r>
      <w:r>
        <w:rPr>
          <w:color w:val="000000"/>
        </w:rPr>
        <w:t xml:space="preserve"> </w:t>
      </w:r>
      <w:r>
        <w:rPr>
          <w:rFonts w:ascii="Times New Roman;serif" w:hAnsi="Times New Roman;serif"/>
          <w:b w:val="false"/>
          <w:color w:val="000000"/>
          <w:sz w:val="24"/>
        </w:rPr>
        <w:t xml:space="preserve">be commenced, the determination and agreement of the Tenant’s Property FMV and negotiation with Landlord with respect thereto), in each case, in accordance with and subject to the terms and provisions of </w:t>
      </w:r>
      <w:r>
        <w:rPr>
          <w:rFonts w:ascii="Times New Roman;serif" w:hAnsi="Times New Roman;serif"/>
          <w:b/>
          <w:color w:val="000000"/>
          <w:sz w:val="24"/>
        </w:rPr>
        <w:t>Article XXXVI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Third Party Beneficiary</w:t>
      </w:r>
      <w:r>
        <w:rPr>
          <w:rFonts w:ascii="Times New Roman;serif" w:hAnsi="Times New Roman;serif"/>
          <w:b w:val="false"/>
          <w:color w:val="000000"/>
          <w:sz w:val="24"/>
        </w:rPr>
        <w:t xml:space="preserve">. Each Permitted Leasehold Mortgagee (for so long as such Permitted Leasehold Mortgagee holds a Permitted Leasehold Mortgage) is an intended third-party beneficiary of this </w:t>
      </w:r>
      <w:r>
        <w:rPr>
          <w:rFonts w:ascii="Times New Roman;serif" w:hAnsi="Times New Roman;serif"/>
          <w:b/>
          <w:color w:val="000000"/>
          <w:sz w:val="24"/>
        </w:rPr>
        <w:t>Article XVII</w:t>
      </w:r>
      <w:r>
        <w:rPr>
          <w:color w:val="000000"/>
        </w:rPr>
        <w:t xml:space="preserve"> </w:t>
      </w:r>
      <w:r>
        <w:rPr>
          <w:rFonts w:ascii="Times New Roman;serif" w:hAnsi="Times New Roman;serif"/>
          <w:b w:val="false"/>
          <w:color w:val="000000"/>
          <w:sz w:val="24"/>
        </w:rPr>
        <w:t>entitled to enforce the same as if a party to this Master Lease.</w:t>
      </w:r>
    </w:p>
    <w:p>
      <w:pPr>
        <w:pStyle w:val="TextBody"/>
        <w:bidi w:val="0"/>
        <w:spacing w:lineRule="auto" w:line="288" w:before="0" w:after="240"/>
        <w:ind w:left="0" w:right="0" w:firstLine="720"/>
        <w:jc w:val="both"/>
        <w:rPr/>
      </w:pPr>
      <w:r>
        <w:rPr>
          <w:rFonts w:ascii="Times New Roman;serif" w:hAnsi="Times New Roman;serif"/>
          <w:b/>
          <w:color w:val="000000"/>
          <w:sz w:val="24"/>
        </w:rPr>
        <w:t>17.2    </w:t>
      </w:r>
      <w:r>
        <w:rPr>
          <w:rFonts w:ascii="Times New Roman;serif" w:hAnsi="Times New Roman;serif"/>
          <w:b/>
          <w:color w:val="000000"/>
          <w:sz w:val="24"/>
          <w:u w:val="single"/>
        </w:rPr>
        <w:t>Landlord’s Right to Cure Tenant’s Default</w:t>
      </w:r>
      <w:r>
        <w:rPr>
          <w:rFonts w:ascii="Times New Roman;serif" w:hAnsi="Times New Roman;serif"/>
          <w:b w:val="false"/>
          <w:color w:val="000000"/>
          <w:sz w:val="24"/>
        </w:rPr>
        <w:t>. If Tenant shall fail to make any payment or to perform any act required to be made or performed hereunder or takes any action prohibited hereunder and Tenant fails to cure the same within any cure period provided for herein, Landlord, without waiving or releasing any obligation or default, may, but shall be under no obligation to, make such payment or perform such act or remediate or cure such action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pStyle w:val="TextBody"/>
        <w:bidi w:val="0"/>
        <w:spacing w:lineRule="auto" w:line="288" w:before="0" w:after="240"/>
        <w:ind w:left="0" w:right="0" w:firstLine="720"/>
        <w:jc w:val="both"/>
        <w:rPr/>
      </w:pPr>
      <w:r>
        <w:rPr>
          <w:rFonts w:ascii="Times New Roman;serif" w:hAnsi="Times New Roman;serif"/>
          <w:b/>
          <w:color w:val="000000"/>
          <w:sz w:val="24"/>
        </w:rPr>
        <w:t>17.3    </w:t>
      </w:r>
      <w:r>
        <w:rPr>
          <w:rFonts w:ascii="Times New Roman;serif" w:hAnsi="Times New Roman;serif"/>
          <w:b/>
          <w:color w:val="000000"/>
          <w:sz w:val="24"/>
          <w:u w:val="single"/>
        </w:rPr>
        <w:t>Tenant’s Debt Agreements</w:t>
      </w:r>
      <w:r>
        <w:rPr>
          <w:rFonts w:ascii="Times New Roman;serif" w:hAnsi="Times New Roman;serif"/>
          <w:b w:val="false"/>
          <w:color w:val="000000"/>
          <w:sz w:val="24"/>
        </w:rPr>
        <w:t xml:space="preserve">. Tenant agrees that each and any agreement related to Material Indebtedness (or the principal or controlling agreement relating to such Material Indebtedness) in each case entered into after the Commencement Date will include a provision requiring the lender or lenders thereunder (or the Representative of such lenders) to provide a copy to Landlord of any notices issued by such lenders or the Representative of such lenders to Tenant of a Specified Debt Agreement Default. </w:t>
      </w:r>
    </w:p>
    <w:p>
      <w:pPr>
        <w:pStyle w:val="TextBody"/>
        <w:bidi w:val="0"/>
        <w:spacing w:lineRule="auto" w:line="288" w:before="0" w:after="240"/>
        <w:ind w:left="0" w:right="0" w:firstLine="720"/>
        <w:jc w:val="both"/>
        <w:rPr/>
      </w:pPr>
      <w:r>
        <w:rPr>
          <w:rFonts w:ascii="Times New Roman;serif" w:hAnsi="Times New Roman;serif"/>
          <w:b/>
          <w:color w:val="000000"/>
          <w:sz w:val="24"/>
        </w:rPr>
        <w:t>17.4    </w:t>
      </w:r>
      <w:r>
        <w:rPr>
          <w:rFonts w:ascii="Times New Roman;serif" w:hAnsi="Times New Roman;serif"/>
          <w:b/>
          <w:color w:val="000000"/>
          <w:sz w:val="24"/>
          <w:u w:val="single"/>
        </w:rPr>
        <w:t>Landlord Cooperation</w:t>
      </w:r>
      <w:r>
        <w:rPr>
          <w:rFonts w:ascii="Times New Roman;serif" w:hAnsi="Times New Roman;serif"/>
          <w:b w:val="false"/>
          <w:color w:val="000000"/>
          <w:sz w:val="24"/>
        </w:rPr>
        <w:t xml:space="preserve">. If, in connection with granting any Permitted Leasehold Mortgage or entering into a Debt Agreement, Tenant shall reasonably request reasonable cooperation from Landlord, Landlord shall provide the same at no cost or expense to Landlord, it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being understood and agreed that Tenant shall be required to reimburse Landlord for all such costs and expenses so incurred by Landlord, including, but not limited to, its reasonable attorneys’ fees. </w:t>
      </w:r>
    </w:p>
    <w:p>
      <w:pPr>
        <w:pStyle w:val="TextBody"/>
        <w:bidi w:val="0"/>
        <w:spacing w:lineRule="auto" w:line="288" w:before="0" w:after="240"/>
        <w:jc w:val="center"/>
        <w:rPr/>
      </w:pPr>
      <w:r>
        <w:rPr>
          <w:rFonts w:ascii="Times New Roman;serif" w:hAnsi="Times New Roman;serif"/>
          <w:b/>
          <w:color w:val="000000"/>
          <w:sz w:val="24"/>
        </w:rPr>
        <w:t>ARTICLE XVIII</w:t>
      </w:r>
      <w:r>
        <w:rPr>
          <w:rFonts w:ascii="Times New Roman;serif" w:hAnsi="Times New Roman;serif"/>
          <w:b/>
          <w:color w:val="000000"/>
          <w:sz w:val="24"/>
          <w:u w:val="single"/>
        </w:rPr>
        <w:br/>
        <w:br/>
        <w:t>SALE OF LEASED PROPERTY</w:t>
      </w:r>
    </w:p>
    <w:p>
      <w:pPr>
        <w:pStyle w:val="TextBody"/>
        <w:bidi w:val="0"/>
        <w:spacing w:lineRule="auto" w:line="288" w:before="0" w:after="240"/>
        <w:ind w:left="0" w:right="0" w:firstLine="720"/>
        <w:jc w:val="both"/>
        <w:rPr/>
      </w:pPr>
      <w:r>
        <w:rPr>
          <w:rFonts w:ascii="Times New Roman;serif" w:hAnsi="Times New Roman;serif"/>
          <w:b/>
          <w:color w:val="000000"/>
          <w:sz w:val="24"/>
        </w:rPr>
        <w:t>18.1    </w:t>
      </w:r>
      <w:r>
        <w:rPr>
          <w:rFonts w:ascii="Times New Roman;serif" w:hAnsi="Times New Roman;serif"/>
          <w:b/>
          <w:color w:val="000000"/>
          <w:sz w:val="24"/>
          <w:u w:val="single"/>
        </w:rPr>
        <w:t>Sale of the Leased Property</w:t>
      </w:r>
      <w:r>
        <w:rPr>
          <w:rFonts w:ascii="Times New Roman;serif" w:hAnsi="Times New Roman;serif"/>
          <w:b w:val="false"/>
          <w:color w:val="000000"/>
          <w:sz w:val="24"/>
        </w:rPr>
        <w:t xml:space="preserve">. Except solely as provided in the last sentence of this </w:t>
      </w:r>
      <w:r>
        <w:rPr>
          <w:rFonts w:ascii="Times New Roman;serif" w:hAnsi="Times New Roman;serif"/>
          <w:b/>
          <w:color w:val="000000"/>
          <w:sz w:val="24"/>
        </w:rPr>
        <w:t>Section 18.1</w:t>
      </w:r>
      <w:r>
        <w:rPr>
          <w:rFonts w:ascii="Times New Roman;serif" w:hAnsi="Times New Roman;serif"/>
          <w:b w:val="false"/>
          <w:color w:val="000000"/>
          <w:sz w:val="24"/>
        </w:rPr>
        <w:t xml:space="preserve">, Landlord shall not be restricted from selling all or any portion of the Leased Property (including by entering into a merger or other transaction or by any Landlord Change of Control or any other transaction at any tier of ownership). Any sale or other transfer by Landlord of all or any portion of the Leased Property shall be subject in each instance to all of the rights of Tenant under this Master Lease, and Landlord and Landlord’s successor or purchaser must comply with the provisions of </w:t>
      </w:r>
      <w:r>
        <w:rPr>
          <w:rFonts w:ascii="Times New Roman;serif" w:hAnsi="Times New Roman;serif"/>
          <w:b/>
          <w:color w:val="000000"/>
          <w:sz w:val="24"/>
        </w:rPr>
        <w:t xml:space="preserve">Section 8.2 </w:t>
      </w:r>
      <w:r>
        <w:rPr>
          <w:rFonts w:ascii="Times New Roman;serif" w:hAnsi="Times New Roman;serif"/>
          <w:b w:val="false"/>
          <w:color w:val="000000"/>
          <w:sz w:val="24"/>
        </w:rPr>
        <w:t>applicable to Landlord and, to the extent necessary, any purchaser or successor Landlord and/or other Related Person of purchaser or successor Landlord (or other Landlord Change of Control) must be approved by all applicable Gaming Authorities to ensure that there is not reasonably likely to be any material impact on the validity of any of the Gaming Licenses or the ability of Tenant to continue to use the Gaming Facilities for gaming activities in substantially the same manner as immediately prior to Landlord’s sale or other transfer.</w:t>
      </w:r>
    </w:p>
    <w:p>
      <w:pPr>
        <w:pStyle w:val="TextBody"/>
        <w:bidi w:val="0"/>
        <w:spacing w:lineRule="auto" w:line="288" w:before="0" w:after="0"/>
        <w:ind w:left="0" w:right="0" w:firstLine="720"/>
        <w:jc w:val="left"/>
        <w:rPr/>
      </w:pPr>
      <w:r>
        <w:rPr>
          <w:rFonts w:ascii="Times New Roman;serif" w:hAnsi="Times New Roman;serif"/>
          <w:b/>
          <w:color w:val="000000"/>
          <w:sz w:val="24"/>
        </w:rPr>
        <w:t>18.2    </w:t>
      </w:r>
      <w:r>
        <w:rPr>
          <w:rFonts w:ascii="Times New Roman;serif" w:hAnsi="Times New Roman;serif"/>
          <w:b/>
          <w:color w:val="000000"/>
          <w:sz w:val="24"/>
          <w:u w:val="single"/>
        </w:rPr>
        <w:t>Transfers to Tenant Competitors</w:t>
      </w:r>
      <w:r>
        <w:rPr>
          <w:rFonts w:ascii="Times New Roman;serif" w:hAnsi="Times New Roman;serif"/>
          <w:b w:val="false"/>
          <w:color w:val="000000"/>
          <w:sz w:val="24"/>
        </w:rPr>
        <w:t>. In the event that, and so long as, Landlord is a Tenant Competitor, then, notwithstanding anything herein to the contrary, the following shall apply:</w:t>
      </w:r>
    </w:p>
    <w:p>
      <w:pPr>
        <w:pStyle w:val="TextBody"/>
        <w:bidi w:val="0"/>
        <w:spacing w:lineRule="auto" w:line="288" w:before="0" w:after="240"/>
        <w:ind w:left="0" w:right="0" w:firstLine="1530"/>
        <w:jc w:val="both"/>
        <w:rPr/>
      </w:pPr>
      <w:r>
        <w:rPr>
          <w:rFonts w:ascii="Times New Roman;serif" w:hAnsi="Times New Roman;serif"/>
          <w:b w:val="false"/>
          <w:color w:val="000000"/>
          <w:sz w:val="24"/>
        </w:rPr>
        <w:t xml:space="preserve">(a)    Without limitation of </w:t>
      </w:r>
      <w:r>
        <w:rPr>
          <w:rFonts w:ascii="Times New Roman;serif" w:hAnsi="Times New Roman;serif"/>
          <w:b/>
          <w:color w:val="000000"/>
          <w:sz w:val="24"/>
        </w:rPr>
        <w:t>Section 23.1(c)</w:t>
      </w:r>
      <w:r>
        <w:rPr>
          <w:color w:val="000000"/>
        </w:rPr>
        <w:t xml:space="preserve"> </w:t>
      </w:r>
      <w:r>
        <w:rPr>
          <w:rFonts w:ascii="Times New Roman;serif" w:hAnsi="Times New Roman;serif"/>
          <w:b w:val="false"/>
          <w:color w:val="000000"/>
          <w:sz w:val="24"/>
        </w:rPr>
        <w:t xml:space="preserve">of this Master Lease, Tenant shall not be required (1) to deliver the information required to be delivered to Landlord pursuant to </w:t>
      </w:r>
      <w:r>
        <w:rPr>
          <w:rFonts w:ascii="Times New Roman;serif" w:hAnsi="Times New Roman;serif"/>
          <w:b/>
          <w:color w:val="000000"/>
          <w:sz w:val="24"/>
        </w:rPr>
        <w:t>Section 23.1(b)</w:t>
      </w:r>
      <w:r>
        <w:rPr>
          <w:color w:val="000000"/>
        </w:rPr>
        <w:t xml:space="preserve"> </w:t>
      </w:r>
      <w:r>
        <w:rPr>
          <w:rFonts w:ascii="Times New Roman;serif" w:hAnsi="Times New Roman;serif"/>
          <w:b w:val="false"/>
          <w:color w:val="000000"/>
          <w:sz w:val="24"/>
        </w:rPr>
        <w:t>hereof to the extent the same would give Landlord a “competitive” advantage with respect to markets in which Landlord and Tenant or Tenant’s Parent might be competing at any time (it being understood that Landlord shall retain audit rights with respect to such information to the extent required to confirm Tenant’s compliance with the terms of this Master Lease (and Landlord shall be permitted to comply with Securities Exchange Commission, Internal Revenue Service and other legal and regulatory requirements with regard to such information) and provided that appropriate measures are in place to ensure that only Landlord’s auditors (which for this purpose shall be a “big four” firm designated by Landlord) and attorneys (as reasonably approved by Tenant) (and not Landlord or any Affiliates of Landlord or any direct or indirect parent company of Landlord or any Affiliate of Landlord) are provided access to such information) or (2) to provide information that is subject to the quality assurance immunity or is subject to attorney-client privilege or the attorney work product doctrine.</w:t>
      </w:r>
    </w:p>
    <w:p>
      <w:pPr>
        <w:pStyle w:val="TextBody"/>
        <w:bidi w:val="0"/>
        <w:spacing w:lineRule="auto" w:line="288" w:before="0" w:after="240"/>
        <w:ind w:left="0" w:right="0" w:firstLine="1530"/>
        <w:jc w:val="both"/>
        <w:rPr>
          <w:rFonts w:ascii="Times New Roman;serif" w:hAnsi="Times New Roman;serif"/>
          <w:b w:val="false"/>
          <w:color w:val="000000"/>
          <w:sz w:val="24"/>
        </w:rPr>
      </w:pPr>
      <w:r>
        <w:rPr>
          <w:rFonts w:ascii="Times New Roman;serif" w:hAnsi="Times New Roman;serif"/>
          <w:b w:val="false"/>
          <w:color w:val="000000"/>
          <w:sz w:val="24"/>
        </w:rPr>
        <w:t xml:space="preserve">(b)    With respect to all consent, approval and decision-making rights granted to Landlord under this Master Lease relating to any competitively sensitive matters pertaining to the use and operation of the Leased Property and Tenant’s or any Operating Subtenant’s business conducted thereat (other than any right of Landlord to grant waivers and amend or modify any of the terms of this Master Lease), Landlord shall establish an independent committee to evaluate,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negotiate and approve such matters, independent from and without interference from Landlord’s management or Board of Directors. Any dispute over whether a particular decision should be determined by such independent committee shall be submitted for resolution by an Expert pursuant to </w:t>
      </w:r>
      <w:r>
        <w:rPr>
          <w:rFonts w:ascii="Times New Roman;serif" w:hAnsi="Times New Roman;serif"/>
          <w:b/>
          <w:color w:val="000000"/>
          <w:sz w:val="24"/>
        </w:rPr>
        <w:t>Section 34.1</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rFonts w:ascii="Times New Roman;serif" w:hAnsi="Times New Roman;serif"/>
          <w:b/>
          <w:color w:val="000000"/>
          <w:sz w:val="24"/>
        </w:rPr>
        <w:t>18.3    </w:t>
      </w:r>
      <w:r>
        <w:rPr>
          <w:rFonts w:ascii="Times New Roman;serif" w:hAnsi="Times New Roman;serif"/>
          <w:b/>
          <w:color w:val="000000"/>
          <w:sz w:val="24"/>
          <w:u w:val="single"/>
        </w:rPr>
        <w:t>Identity of Tenant Competitors</w:t>
      </w:r>
      <w:r>
        <w:rPr>
          <w:rFonts w:ascii="Times New Roman;serif" w:hAnsi="Times New Roman;serif"/>
          <w:b w:val="false"/>
          <w:color w:val="000000"/>
          <w:sz w:val="24"/>
        </w:rPr>
        <w:t>. From time to time (but not earlier than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Commencement Date and not more than once in any five (5) year period thereafter), each of Landlord and Tenant may provide written notice to the other (a “</w:t>
      </w:r>
      <w:r>
        <w:rPr>
          <w:rFonts w:ascii="Times New Roman;serif" w:hAnsi="Times New Roman;serif"/>
          <w:b/>
          <w:color w:val="000000"/>
          <w:sz w:val="24"/>
        </w:rPr>
        <w:t>Tenant Competitor Notice</w:t>
      </w:r>
      <w:r>
        <w:rPr>
          <w:color w:val="000000"/>
        </w:rPr>
        <w:t>”</w:t>
      </w:r>
      <w:r>
        <w:rPr>
          <w:rFonts w:ascii="Times New Roman;serif" w:hAnsi="Times New Roman;serif"/>
          <w:b w:val="false"/>
          <w:color w:val="000000"/>
          <w:sz w:val="24"/>
        </w:rPr>
        <w:t xml:space="preserve">) which identifies one or more Person(s) which such notifying party reasonably determines (a) is engaged in online gaming, sports betting or the operation of Gaming Facilities and is a competitor of Tenant, in which event such Person(s) would be deemed to be Tenant Competitors, or (b) no longer is engaged in online gaming, sports betting or the operation of Gaming Facilities or is no longer a competitor of Tenant, in which event such Person(s) would no longer be deemed to be Tenant Competitors. If the party receiving such Tenant Competitor Notice disagrees with the determination of whether a Person referenced in such Tenant Competitor Notice should, or should not, be deemed to be a Tenant Competitor, then any such dispute will be resolved by Experts pursuant to </w:t>
      </w:r>
      <w:r>
        <w:rPr>
          <w:rFonts w:ascii="Times New Roman;serif" w:hAnsi="Times New Roman;serif"/>
          <w:b/>
          <w:color w:val="000000"/>
          <w:sz w:val="24"/>
        </w:rPr>
        <w:t>Section 34.1</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ARTICLE XIX</w:t>
      </w:r>
      <w:r>
        <w:rPr>
          <w:rFonts w:ascii="Times New Roman;serif" w:hAnsi="Times New Roman;serif"/>
          <w:b/>
          <w:color w:val="000000"/>
          <w:sz w:val="24"/>
          <w:u w:val="single"/>
        </w:rPr>
        <w:br/>
        <w:br/>
        <w:t>HOLDING OVER</w:t>
      </w:r>
    </w:p>
    <w:p>
      <w:pPr>
        <w:pStyle w:val="TextBody"/>
        <w:bidi w:val="0"/>
        <w:spacing w:lineRule="auto" w:line="288" w:before="0" w:after="240"/>
        <w:ind w:left="0" w:right="0" w:firstLine="720"/>
        <w:jc w:val="both"/>
        <w:rPr/>
      </w:pPr>
      <w:r>
        <w:rPr>
          <w:rFonts w:ascii="Times New Roman;serif" w:hAnsi="Times New Roman;serif"/>
          <w:b/>
          <w:color w:val="000000"/>
          <w:sz w:val="24"/>
        </w:rPr>
        <w:t>19.1    </w:t>
      </w:r>
      <w:r>
        <w:rPr>
          <w:rFonts w:ascii="Times New Roman;serif" w:hAnsi="Times New Roman;serif"/>
          <w:b/>
          <w:color w:val="000000"/>
          <w:sz w:val="24"/>
          <w:u w:val="single"/>
        </w:rPr>
        <w:t>Holding Over</w:t>
      </w:r>
      <w:r>
        <w:rPr>
          <w:rFonts w:ascii="Times New Roman;serif" w:hAnsi="Times New Roman;serif"/>
          <w:b w:val="false"/>
          <w:color w:val="000000"/>
          <w:sz w:val="24"/>
        </w:rPr>
        <w:t>. If Tenant shall for any reason remain in possession of the Leased Property of a Facility after the expiration or earlier termination of the Term without the consent, or other than at the request, of Landlord, such possession shall be as a month-to-month tenant during which time Tenant shall pay as Rent each month twice the monthly Rent applicable to the prior Lease Year for such Facility, together with any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Master Lease.</w:t>
      </w:r>
    </w:p>
    <w:p>
      <w:pPr>
        <w:pStyle w:val="TextBody"/>
        <w:bidi w:val="0"/>
        <w:spacing w:lineRule="auto" w:line="288" w:before="0" w:after="240"/>
        <w:jc w:val="center"/>
        <w:rPr/>
      </w:pPr>
      <w:r>
        <w:rPr>
          <w:rFonts w:ascii="Times New Roman;serif" w:hAnsi="Times New Roman;serif"/>
          <w:b/>
          <w:color w:val="000000"/>
          <w:sz w:val="24"/>
        </w:rPr>
        <w:t>ARTICLE XX</w:t>
      </w:r>
      <w:r>
        <w:rPr>
          <w:rFonts w:ascii="Times New Roman;serif" w:hAnsi="Times New Roman;serif"/>
          <w:b/>
          <w:color w:val="000000"/>
          <w:sz w:val="24"/>
          <w:u w:val="single"/>
        </w:rPr>
        <w:br/>
        <w:br/>
        <w:t>RISK OF LOSS</w:t>
      </w:r>
    </w:p>
    <w:p>
      <w:pPr>
        <w:pStyle w:val="TextBody"/>
        <w:bidi w:val="0"/>
        <w:spacing w:lineRule="auto" w:line="288" w:before="0" w:after="240"/>
        <w:ind w:left="0" w:right="0" w:firstLine="720"/>
        <w:jc w:val="both"/>
        <w:rPr/>
      </w:pPr>
      <w:r>
        <w:rPr>
          <w:rFonts w:ascii="Times New Roman;serif" w:hAnsi="Times New Roman;serif"/>
          <w:b/>
          <w:color w:val="000000"/>
          <w:sz w:val="24"/>
        </w:rPr>
        <w:t>20.1    </w:t>
      </w:r>
      <w:r>
        <w:rPr>
          <w:rFonts w:ascii="Times New Roman;serif" w:hAnsi="Times New Roman;serif"/>
          <w:b/>
          <w:color w:val="000000"/>
          <w:sz w:val="24"/>
          <w:u w:val="single"/>
        </w:rPr>
        <w:t>Risk of Loss</w:t>
      </w:r>
      <w:r>
        <w:rPr>
          <w:rFonts w:ascii="Times New Roman;serif" w:hAnsi="Times New Roman;serif"/>
          <w:b w:val="false"/>
          <w:color w:val="000000"/>
          <w:sz w:val="24"/>
        </w:rPr>
        <w:t>. The risk of loss or of decrease in the enjoyment and beneficial use of the Leased Property as a 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XXI</w:t>
      </w:r>
      <w:r>
        <w:rPr>
          <w:rFonts w:ascii="Times New Roman;serif" w:hAnsi="Times New Roman;serif"/>
          <w:b/>
          <w:color w:val="000000"/>
          <w:sz w:val="24"/>
          <w:u w:val="single"/>
        </w:rPr>
        <w:br/>
        <w:br/>
        <w:t>INDEMNIFICATION</w:t>
      </w:r>
    </w:p>
    <w:p>
      <w:pPr>
        <w:pStyle w:val="TextBody"/>
        <w:bidi w:val="0"/>
        <w:spacing w:lineRule="auto" w:line="288" w:before="0" w:after="240"/>
        <w:ind w:left="0" w:right="0" w:firstLine="720"/>
        <w:jc w:val="both"/>
        <w:rPr/>
      </w:pPr>
      <w:r>
        <w:rPr>
          <w:rFonts w:ascii="Times New Roman;serif" w:hAnsi="Times New Roman;serif"/>
          <w:b/>
          <w:color w:val="000000"/>
          <w:sz w:val="24"/>
        </w:rPr>
        <w:t>21.1    </w:t>
      </w:r>
      <w:r>
        <w:rPr>
          <w:rFonts w:ascii="Times New Roman;serif" w:hAnsi="Times New Roman;serif"/>
          <w:b/>
          <w:color w:val="000000"/>
          <w:sz w:val="24"/>
          <w:u w:val="single"/>
        </w:rPr>
        <w:t>General Indemnification</w:t>
      </w:r>
      <w:r>
        <w:rPr>
          <w:rFonts w:ascii="Times New Roman;serif" w:hAnsi="Times New Roman;serif"/>
          <w:b w:val="false"/>
          <w:color w:val="000000"/>
          <w:sz w:val="24"/>
        </w:rPr>
        <w:t xml:space="preserve">. In addition to the other indemnities contained herein, and notwithstanding the 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imposed upon or incurred by or asserted against Landlord by reason of: (i) any accident, injury to or death of Persons or loss of or damage to property occurring on or about the Leased Property or adjoining sidewalks under the control of Tenant or any subtenant; (ii) any use, misuse, non-use, condition, maintenance or repair by Tenant or any subtenant of the Leased Property; (iii) any failure on the part of Tenant to perform or comply with any of the terms of this Master Lease;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(vi) the violation by Tenant or any subtenant of any Legal Requirement; and (vii) any matter arising out of Tenant’s (or any Operating Subtenant’s or any other subtenant’s or any manager’s) management, operation, use or possession of any Facility (or any part thereof) or any business or other activity carried on, at, from or in relation to any Facility (or any part thereof) (including any litigation, suit, proceeding or claim asserted against Landlord). Any amounts which become payable by Tenant to Landlord under this </w:t>
      </w:r>
      <w:r>
        <w:rPr>
          <w:rFonts w:ascii="Times New Roman;serif" w:hAnsi="Times New Roman;serif"/>
          <w:b/>
          <w:color w:val="000000"/>
          <w:sz w:val="24"/>
        </w:rPr>
        <w:t>Article XXI</w:t>
      </w:r>
      <w:r>
        <w:rPr>
          <w:color w:val="000000"/>
        </w:rPr>
        <w:t xml:space="preserve"> </w:t>
      </w:r>
      <w:r>
        <w:rPr>
          <w:rFonts w:ascii="Times New Roman;serif" w:hAnsi="Times New Roman;serif"/>
          <w:b w:val="false"/>
          <w:color w:val="000000"/>
          <w:sz w:val="24"/>
        </w:rPr>
        <w:t xml:space="preserve">shall be paid within ten (10) Business Days after receipt of Notice from Landlord requesting payment of the same, which notice may not be given until liability therefor has been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For purposes of this </w:t>
      </w:r>
      <w:r>
        <w:rPr>
          <w:rFonts w:ascii="Times New Roman;serif" w:hAnsi="Times New Roman;serif"/>
          <w:b/>
          <w:color w:val="000000"/>
          <w:sz w:val="24"/>
        </w:rPr>
        <w:t>Article XXI</w:t>
      </w:r>
      <w:r>
        <w:rPr>
          <w:rFonts w:ascii="Times New Roman;serif" w:hAnsi="Times New Roman;serif"/>
          <w:b w:val="false"/>
          <w:color w:val="000000"/>
          <w:sz w:val="24"/>
        </w:rPr>
        <w:t>, any acts or omissions of Tenant or any subtenant, or by their respective employees, agents, assignees, contractors, subcontractors or others acting for or on behalf of Tenant or any subtenant (whether or not they are negligent, intentional, willful or unlawful), shall be strictly attributable to Tenant.</w:t>
      </w:r>
    </w:p>
    <w:p>
      <w:pPr>
        <w:pStyle w:val="TextBody"/>
        <w:bidi w:val="0"/>
        <w:spacing w:lineRule="auto" w:line="288" w:before="0" w:after="240"/>
        <w:jc w:val="center"/>
        <w:rPr/>
      </w:pPr>
      <w:r>
        <w:rPr>
          <w:rFonts w:ascii="Times New Roman;serif" w:hAnsi="Times New Roman;serif"/>
          <w:b/>
          <w:color w:val="000000"/>
          <w:sz w:val="24"/>
        </w:rPr>
        <w:t>ARTICLE XXII</w:t>
      </w:r>
      <w:r>
        <w:rPr>
          <w:rFonts w:ascii="Times New Roman;serif" w:hAnsi="Times New Roman;serif"/>
          <w:b/>
          <w:color w:val="000000"/>
          <w:sz w:val="24"/>
          <w:u w:val="single"/>
        </w:rPr>
        <w:br/>
        <w:br/>
        <w:t>SUBLETTING AND ASSIGNMENT</w:t>
      </w:r>
    </w:p>
    <w:p>
      <w:pPr>
        <w:pStyle w:val="TextBody"/>
        <w:bidi w:val="0"/>
        <w:spacing w:lineRule="auto" w:line="288" w:before="0" w:after="240"/>
        <w:ind w:left="0" w:right="0" w:firstLine="720"/>
        <w:jc w:val="both"/>
        <w:rPr/>
      </w:pPr>
      <w:r>
        <w:rPr>
          <w:rFonts w:ascii="Times New Roman;serif" w:hAnsi="Times New Roman;serif"/>
          <w:b/>
          <w:color w:val="000000"/>
          <w:sz w:val="24"/>
        </w:rPr>
        <w:t>22.1    </w:t>
      </w:r>
      <w:r>
        <w:rPr>
          <w:rFonts w:ascii="Times New Roman;serif" w:hAnsi="Times New Roman;serif"/>
          <w:b/>
          <w:color w:val="000000"/>
          <w:sz w:val="24"/>
          <w:u w:val="single"/>
        </w:rPr>
        <w:t>Subletting and Assignment</w:t>
      </w:r>
      <w:r>
        <w:rPr>
          <w:rFonts w:ascii="Times New Roman;serif" w:hAnsi="Times New Roman;serif"/>
          <w:b w:val="false"/>
          <w:color w:val="000000"/>
          <w:sz w:val="24"/>
        </w:rPr>
        <w:t xml:space="preserve">. Tenant shall not, except as otherwise permitted pursuant to this Master Lease, without Landlord’s prior written consent, which shall not be unreasonably withheld, voluntarily or by operation of law assign (which term includes any transfer, sale, encumbering, pledge or other transfer or hypothecation and undergoing any Tenant Change of Control) in whole or in part this Master Lease or Tenant’s Leasehold Estate (or any Operating Subtenant’s subleasehold interest therein) with respect to any Facility or sublet all or any portion of any Facility. Tenant acknowledges that Landlord is relying upon the expertise of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Tenant in the operation of the Facilities and that Landlord entered into this Master Lease with the expectation that Tenant would remain in and operate such Facilities during the entire Term. Any Tenant Change of Control (other than a Tenant Change of Control pursuant to clause (ii) of the definition thereof) or transfer of any direct or indirect ownership interests in Tenant shall not constitute an assignment of Tenant’s interest in this Master Lease within the meaning of this </w:t>
      </w:r>
      <w:r>
        <w:rPr>
          <w:rFonts w:ascii="Times New Roman;serif" w:hAnsi="Times New Roman;serif"/>
          <w:b/>
          <w:color w:val="000000"/>
          <w:sz w:val="24"/>
        </w:rPr>
        <w:t>Article XXII</w:t>
      </w:r>
      <w:r>
        <w:rPr>
          <w:color w:val="000000"/>
        </w:rPr>
        <w:t xml:space="preserve"> </w:t>
      </w:r>
      <w:r>
        <w:rPr>
          <w:rFonts w:ascii="Times New Roman;serif" w:hAnsi="Times New Roman;serif"/>
          <w:b w:val="false"/>
          <w:color w:val="000000"/>
          <w:sz w:val="24"/>
        </w:rPr>
        <w:t xml:space="preserve">and shall not be prohibited, and the provisions requiring consent of Landlord contained herein shall not apply thereto, if and for so long as, Tenant remains wholly owned and Controlled, directly or indirectly, by Tenant’s Parent (it being understood, however, that a Tenant Change of Control pursuant to clause (ii) of the definition thereof shall be prohibited except as, and to the extent, provided in </w:t>
      </w:r>
      <w:r>
        <w:rPr>
          <w:rFonts w:ascii="Times New Roman;serif" w:hAnsi="Times New Roman;serif"/>
          <w:b/>
          <w:color w:val="000000"/>
          <w:sz w:val="24"/>
        </w:rPr>
        <w:t>Section 22.2(i)</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color w:val="000000"/>
          <w:sz w:val="24"/>
        </w:rPr>
        <w:t>22.2    </w:t>
      </w:r>
      <w:r>
        <w:rPr>
          <w:rFonts w:ascii="Times New Roman;serif" w:hAnsi="Times New Roman;serif"/>
          <w:b/>
          <w:color w:val="000000"/>
          <w:sz w:val="24"/>
          <w:u w:val="single"/>
        </w:rPr>
        <w:t>Permitted Assignments</w:t>
      </w:r>
      <w:r>
        <w:rPr>
          <w:rFonts w:ascii="Times New Roman;serif" w:hAnsi="Times New Roman;serif"/>
          <w:b w:val="false"/>
          <w:color w:val="000000"/>
          <w:sz w:val="24"/>
        </w:rPr>
        <w:t xml:space="preserve">. Notwithstanding the foregoing, and subject to </w:t>
      </w:r>
      <w:r>
        <w:rPr>
          <w:rFonts w:ascii="Times New Roman;serif" w:hAnsi="Times New Roman;serif"/>
          <w:b/>
          <w:color w:val="000000"/>
          <w:sz w:val="24"/>
        </w:rPr>
        <w:t xml:space="preserve">Section 40.1 </w:t>
      </w:r>
      <w:r>
        <w:rPr>
          <w:rFonts w:ascii="Times New Roman;serif" w:hAnsi="Times New Roman;serif"/>
          <w:b w:val="false"/>
          <w:color w:val="000000"/>
          <w:sz w:val="24"/>
        </w:rPr>
        <w:t xml:space="preserve">and subject to compliance with all applicable Gaming Regulations, Tenant may, without Landlord’s prior written consent: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assign this Master Lease to a Discretionary Transferee in conjunction with a sale by Tenant of all or substantially all of Tenant’s assets relating to the Facilities; provided, that (1) such Discretionary Transferee becomes party to and bound by this Master Lease and agrees in writing to assume the obligations of Tenant under this Master Lease without amendment or modification other than as provided below; (2) the Parent Company of such Discretionary Transferee, if any, has become a Guarantor and provides a Guaranty; (3) the use of the Leased Property continues to comply with the requirements of this Master Lease; and (4) Landlord shall have received executed copies of all documents for such assignment;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    (x) assign this Master Lease by way of foreclosure of the Leasehold Estate or an assignment-in-lieu of foreclosure to any Person (any such foreclosure or assignment, a “</w:t>
      </w:r>
      <w:r>
        <w:rPr>
          <w:rFonts w:ascii="Times New Roman;serif" w:hAnsi="Times New Roman;serif"/>
          <w:b/>
          <w:color w:val="000000"/>
          <w:sz w:val="24"/>
        </w:rPr>
        <w:t>Foreclosure Assignment</w:t>
      </w:r>
      <w:r>
        <w:rPr>
          <w:color w:val="000000"/>
        </w:rPr>
        <w:t>”</w:t>
      </w:r>
      <w:r>
        <w:rPr>
          <w:rFonts w:ascii="Times New Roman;serif" w:hAnsi="Times New Roman;serif"/>
          <w:b w:val="false"/>
          <w:color w:val="000000"/>
          <w:sz w:val="24"/>
        </w:rPr>
        <w:t>) or (y) undergo a Tenant Change of Control whereby a Person acquires beneficial ownership and control of one hundred percent (100%) of the Equity Interests in Tenant as a result of the purchase at a foreclosure of a permitted pledge of the Equity Interests in Tenant or an assignment in lieu of such foreclosure (a “</w:t>
      </w:r>
      <w:r>
        <w:rPr>
          <w:rFonts w:ascii="Times New Roman;serif" w:hAnsi="Times New Roman;serif"/>
          <w:b/>
          <w:color w:val="000000"/>
          <w:sz w:val="24"/>
        </w:rPr>
        <w:t>Foreclosure COC</w:t>
      </w:r>
      <w:r>
        <w:rPr>
          <w:color w:val="000000"/>
        </w:rPr>
        <w:t>”</w:t>
      </w:r>
      <w:r>
        <w:rPr>
          <w:rFonts w:ascii="Times New Roman;serif" w:hAnsi="Times New Roman;serif"/>
          <w:b w:val="false"/>
          <w:color w:val="000000"/>
          <w:sz w:val="24"/>
        </w:rPr>
        <w:t xml:space="preserve">) or (z) effect the first subsequent sale or assignment of the Leasehold Estate or Tenant Change of Control after a Foreclosure Assignment or a Foreclosure COC whereby a Person so acquires the Leasehold Estate or beneficial ownership and control of one hundred percent (100%) of the Equity Interests in Tenant or the Person who acquired the Leasehold Estate in connection with the Foreclosure Assignment, in each case, effected by a Permitted Leasehold Mortgagee or a Permitted Leasehold Mortgagee Foreclosing Party, in each case if (1) such Person is a Discretionary Transferee, (2) such Discretionary Transferee agrees in writing to assume the obligations of Tenant under this Master Lease without amendment or modification other than as provided below (which written assumption may be made by a Subsidiary of a Permitted Leasehold Mortgagee or a Permitted Leasehold Mortgagee Designee after a Foreclosure Assignment or Foreclosure COC) and (3) except in the case of a Permitted Leasehold Mortgagee Foreclosing Party, the Parent Company of (x) Tenant (after giving effect to the transfer or assignment) or (y) the entity that succeeds to the assets of Tenant, if any, has become a Guarantor and provided a Guaranty or, if such Discretionary Transferee does not have a Parent Company and such Discretionary Transferee has not assumed the obligations of Tenant under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Master Lease, such Discretionary Transferee has become a Guarantor and provided a Guaranty;</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assign Tenant’s Leasehold Estate in this Master Lease with respect to one or more individual Facilities to a Discretionary Transferee; provided, that (1) such Discretionary Transferee enters into a Separate Lease in accordance with </w:t>
      </w:r>
      <w:r>
        <w:rPr>
          <w:rFonts w:ascii="Times New Roman;serif" w:hAnsi="Times New Roman;serif"/>
          <w:b/>
          <w:color w:val="000000"/>
          <w:sz w:val="24"/>
        </w:rPr>
        <w:t xml:space="preserve">Section 1.5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 xml:space="preserve">(and in such event Landlord will also enter into such Separate Lease and appropriate documentation to delete the assigned Facility from this Master Lease); (2) the Parent Company of such Discretionary Transferee, if any, has become a Guarantor and provided a Guaranty, (3) the use of each Facility continues to comply with the requirements of this Master Lease; (4) Landlord shall have received executed copies of all documents for such assignment; and (5) in no event shall Tenant be permitted to assign its Leasehold Estate pursuant to this clause (iii) with respect to more than one (1) Facility which is located in Las Vegas, Nevada and (A) during the first fifteen (15) Lease Years, more than one (1) Facility that is not located in Las Vegas, Nevada and (B) during any Lease Year after the fifteenth (15th) Lease Year in addition to the rights set forth in the preceding clause (A) Tenant may assign Tenant’s Leasehold Estate with respect to one (1) additional Facility not located in Las Vegas, Nevada (for a total of two (2) such Facilities not located in Las Vegas, Nevada during the Term). Any termination of this Master Lease with respect to a Facility pursuant to the provisions of </w:t>
      </w:r>
      <w:r>
        <w:rPr>
          <w:rFonts w:ascii="Times New Roman;serif" w:hAnsi="Times New Roman;serif"/>
          <w:b/>
          <w:color w:val="000000"/>
          <w:sz w:val="24"/>
        </w:rPr>
        <w:t>Section 7.2(d)</w:t>
      </w:r>
      <w:r>
        <w:rPr>
          <w:color w:val="000000"/>
        </w:rPr>
        <w:t xml:space="preserve"> </w:t>
      </w:r>
      <w:r>
        <w:rPr>
          <w:rFonts w:ascii="Times New Roman;serif" w:hAnsi="Times New Roman;serif"/>
          <w:b w:val="false"/>
          <w:color w:val="000000"/>
          <w:sz w:val="24"/>
        </w:rPr>
        <w:t xml:space="preserve">shall count as an assignment of the applicable Facility for the purposes of clause (5) of this </w:t>
      </w:r>
      <w:r>
        <w:rPr>
          <w:rFonts w:ascii="Times New Roman;serif" w:hAnsi="Times New Roman;serif"/>
          <w:b/>
          <w:color w:val="000000"/>
          <w:sz w:val="24"/>
        </w:rPr>
        <w:t>Section 22.2(iii)</w:t>
      </w:r>
      <w:r>
        <w:rPr>
          <w:rFonts w:ascii="Times New Roman;serif" w:hAnsi="Times New Roman;serif"/>
          <w:b w:val="false"/>
          <w:color w:val="000000"/>
          <w:sz w:val="24"/>
        </w:rPr>
        <w:t xml:space="preserve">. In addition to the foregoing, the following provisions shall apply with respect to any Facility closed pursuant to the provisions of </w:t>
      </w:r>
      <w:r>
        <w:rPr>
          <w:rFonts w:ascii="Times New Roman;serif" w:hAnsi="Times New Roman;serif"/>
          <w:b/>
          <w:color w:val="000000"/>
          <w:sz w:val="24"/>
        </w:rPr>
        <w:t xml:space="preserve">Section 7.2(d) </w:t>
      </w:r>
      <w:r>
        <w:rPr>
          <w:rFonts w:ascii="Times New Roman;serif" w:hAnsi="Times New Roman;serif"/>
          <w:b w:val="false"/>
          <w:color w:val="000000"/>
          <w:sz w:val="24"/>
        </w:rPr>
        <w:t>(a “</w:t>
      </w:r>
      <w:r>
        <w:rPr>
          <w:rFonts w:ascii="Times New Roman;serif" w:hAnsi="Times New Roman;serif"/>
          <w:b/>
          <w:color w:val="000000"/>
          <w:sz w:val="24"/>
        </w:rPr>
        <w:t>Voluntarily Closed Facility</w:t>
      </w:r>
      <w:r>
        <w:rPr>
          <w:color w:val="000000"/>
        </w:rPr>
        <w:t>”</w:t>
      </w:r>
      <w:r>
        <w:rPr>
          <w:rFonts w:ascii="Times New Roman;serif" w:hAnsi="Times New Roman;serif"/>
          <w:b w:val="false"/>
          <w:color w:val="000000"/>
          <w:sz w:val="24"/>
        </w:rPr>
        <w:t xml:space="preserve">): (a) a Voluntarily Closed Facility shall be deemed to have been assigned (i.e., shall count as an assignment of the applicable Facility for the purposes of clause (5) of this </w:t>
      </w:r>
      <w:r>
        <w:rPr>
          <w:rFonts w:ascii="Times New Roman;serif" w:hAnsi="Times New Roman;serif"/>
          <w:b/>
          <w:color w:val="000000"/>
          <w:sz w:val="24"/>
        </w:rPr>
        <w:t>Section 22.2(iii)</w:t>
      </w:r>
      <w:r>
        <w:rPr>
          <w:rFonts w:ascii="Times New Roman;serif" w:hAnsi="Times New Roman;serif"/>
          <w:b w:val="false"/>
          <w:color w:val="000000"/>
          <w:sz w:val="24"/>
        </w:rPr>
        <w:t xml:space="preserve">) only if Tenant (x) does not timely deliver to Landlord Tenant’s Notice of Intent pursuant to </w:t>
      </w:r>
      <w:r>
        <w:rPr>
          <w:rFonts w:ascii="Times New Roman;serif" w:hAnsi="Times New Roman;serif"/>
          <w:b/>
          <w:color w:val="000000"/>
          <w:sz w:val="24"/>
        </w:rPr>
        <w:t>Section 7.2(d)</w:t>
      </w:r>
      <w:r>
        <w:rPr>
          <w:rFonts w:ascii="Times New Roman;serif" w:hAnsi="Times New Roman;serif"/>
          <w:b w:val="false"/>
          <w:color w:val="000000"/>
          <w:sz w:val="24"/>
        </w:rPr>
        <w:t xml:space="preserve">, stating that Tenant intends to again operate the Voluntarily Closed Facility or (y) timely delivers to Landlord Tenant’s Notice of Intent pursuant to </w:t>
      </w:r>
      <w:r>
        <w:rPr>
          <w:rFonts w:ascii="Times New Roman;serif" w:hAnsi="Times New Roman;serif"/>
          <w:b/>
          <w:color w:val="000000"/>
          <w:sz w:val="24"/>
        </w:rPr>
        <w:t>Section 7.2(d)</w:t>
      </w:r>
      <w:r>
        <w:rPr>
          <w:rFonts w:ascii="Times New Roman;serif" w:hAnsi="Times New Roman;serif"/>
          <w:b w:val="false"/>
          <w:color w:val="000000"/>
          <w:sz w:val="24"/>
        </w:rPr>
        <w:t xml:space="preserve">, stating that Tenant intends to again operate the Voluntarily Closed Facility, but does not thereafter (i) commence operation of the Voluntarily Closed Facility prior to the expiration of Tenant’s Recommencement Period, and (ii) continue to operate such Facility for at least ninety (90) consecutive days in accordance with the terms of this Master Lease; (b) if, during the Re-Tenanting Period (plus the Replacement Lease Closing Period, if applicable), (x) Landlord does not terminate this Master Lease with respect to the Voluntarily Closed Facility pursuant to the provisions of </w:t>
      </w:r>
      <w:r>
        <w:rPr>
          <w:rFonts w:ascii="Times New Roman;serif" w:hAnsi="Times New Roman;serif"/>
          <w:b/>
          <w:color w:val="000000"/>
          <w:sz w:val="24"/>
        </w:rPr>
        <w:t>Section 7.2(d)</w:t>
      </w:r>
      <w:r>
        <w:rPr>
          <w:color w:val="000000"/>
        </w:rPr>
        <w:t xml:space="preserve"> </w:t>
      </w:r>
      <w:r>
        <w:rPr>
          <w:rFonts w:ascii="Times New Roman;serif" w:hAnsi="Times New Roman;serif"/>
          <w:b w:val="false"/>
          <w:color w:val="000000"/>
          <w:sz w:val="24"/>
        </w:rPr>
        <w:t xml:space="preserve">or (y) (i) Tenant seeks approval from Landlord to reopen the Voluntarily Closed Facility (which approval Landlord may grant or withhold in its sole and absolute discretion), (ii) Landlord approves such reopening, (iii) Tenant commences operation of the Voluntarily Closed Facility prior to the date that is sixty (60) days after the date of Landlord’s approval of the reopening of the Voluntarily Closed Facility, and (iv) Tenant continues to operate such Facility for ninety (90) consecutive days in accordance with the terms of this Master Lease, then, in the case of either clause (x) or (y) of this clause (b), the applicable Voluntarily Closed Facility shall no longer be deemed to have been assigned (i.e., shall no longer count as an assignment of the applicable Facility for the purposes of clause (5) of this </w:t>
      </w:r>
      <w:r>
        <w:rPr>
          <w:rFonts w:ascii="Times New Roman;serif" w:hAnsi="Times New Roman;serif"/>
          <w:b/>
          <w:color w:val="000000"/>
          <w:sz w:val="24"/>
        </w:rPr>
        <w:t>Section 22.2(iii)</w:t>
      </w:r>
      <w:r>
        <w:rPr>
          <w:rFonts w:ascii="Times New Roman;serif" w:hAnsi="Times New Roman;serif"/>
          <w:b w:val="false"/>
          <w:color w:val="000000"/>
          <w:sz w:val="24"/>
        </w:rPr>
        <w:t xml:space="preserve">). For the avoidance of doubt, if (I) during the Re-Tenanting Period (plus the Replacement Lease Closing Period, if applicable), Landlord does not terminate this Master Lease with respect to the Voluntarily Closed Facility pursuant to the provisions of </w:t>
      </w:r>
      <w:r>
        <w:rPr>
          <w:rFonts w:ascii="Times New Roman;serif" w:hAnsi="Times New Roman;serif"/>
          <w:b/>
          <w:color w:val="000000"/>
          <w:sz w:val="24"/>
        </w:rPr>
        <w:t>Section 7.2(d)</w:t>
      </w:r>
      <w:r>
        <w:rPr>
          <w:rFonts w:ascii="Times New Roman;serif" w:hAnsi="Times New Roman;serif"/>
          <w:b w:val="false"/>
          <w:color w:val="000000"/>
          <w:sz w:val="24"/>
        </w:rPr>
        <w:t xml:space="preserve">, and thereafter, Landlord elects to provide to Tenant another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Voluntary Termination Notice, or (II) Tenant reopened the applicable Facility as provided in clause (b)(y) above, then, in each case, the applicable provisions of </w:t>
      </w:r>
      <w:r>
        <w:rPr>
          <w:rFonts w:ascii="Times New Roman;serif" w:hAnsi="Times New Roman;serif"/>
          <w:b/>
          <w:color w:val="000000"/>
          <w:sz w:val="24"/>
        </w:rPr>
        <w:t>Section 7.2(d)</w:t>
      </w:r>
      <w:r>
        <w:rPr>
          <w:color w:val="000000"/>
        </w:rPr>
        <w:t xml:space="preserve"> </w:t>
      </w:r>
      <w:r>
        <w:rPr>
          <w:rFonts w:ascii="Times New Roman;serif" w:hAnsi="Times New Roman;serif"/>
          <w:b w:val="false"/>
          <w:color w:val="000000"/>
          <w:sz w:val="24"/>
        </w:rPr>
        <w:t xml:space="preserve">and the applicable provisions of this </w:t>
      </w:r>
      <w:r>
        <w:rPr>
          <w:rFonts w:ascii="Times New Roman;serif" w:hAnsi="Times New Roman;serif"/>
          <w:b/>
          <w:color w:val="000000"/>
          <w:sz w:val="24"/>
        </w:rPr>
        <w:t>Section 22.2(iii)</w:t>
      </w:r>
      <w:r>
        <w:rPr>
          <w:color w:val="000000"/>
        </w:rPr>
        <w:t xml:space="preserve"> </w:t>
      </w:r>
      <w:r>
        <w:rPr>
          <w:rFonts w:ascii="Times New Roman;serif" w:hAnsi="Times New Roman;serif"/>
          <w:b w:val="false"/>
          <w:color w:val="000000"/>
          <w:sz w:val="24"/>
        </w:rPr>
        <w:t>shall again be applicable;</w:t>
      </w:r>
    </w:p>
    <w:p>
      <w:pPr>
        <w:pStyle w:val="TextBody"/>
        <w:bidi w:val="0"/>
        <w:spacing w:lineRule="auto" w:line="288" w:before="0" w:after="240"/>
        <w:ind w:left="0" w:right="0" w:firstLine="2160"/>
        <w:jc w:val="both"/>
        <w:rPr/>
      </w:pPr>
      <w:r>
        <w:rPr>
          <w:rFonts w:ascii="Times New Roman;serif" w:hAnsi="Times New Roman;serif"/>
          <w:b w:val="false"/>
          <w:color w:val="000000"/>
          <w:sz w:val="24"/>
        </w:rPr>
        <w:t>(iv)    assign this Master Lease, or Tenant’s Leasehold Estate in this Master Lease with respect to all, but not less than all, of the Facilities, to Tenant’s Parent, a wholly-owned Subsidiary of Tenant’s Parent or a wholly-owned Subsidiary of Tenant; provided, (1) such assignee becomes party to and bound by this Master Lease and agrees in writing to assume the obligations of Tenant under this Master Lease without amendment or modification other than as provided below; (2) Tenant remains fully liable hereunder; (3) the use of the Leased Property continues to comply with the requirements of this Master Lease; and (4) Landlord shall have received executed copies of all documents for such assignment;</w:t>
      </w:r>
      <w:r>
        <w:rPr>
          <w:color w:val="000000"/>
        </w:rPr>
        <w:t xml:space="preserve"> </w:t>
      </w:r>
      <w:r>
        <w:rPr>
          <w:rFonts w:ascii="Times New Roman;serif" w:hAnsi="Times New Roman;serif"/>
          <w:b w:val="false"/>
          <w:color w:val="000000"/>
          <w:sz w:val="24"/>
        </w:rPr>
        <w:t>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pledge or mortgage its Leasehold Estate to a Permitted Leasehold Mortgagee and/or pledge the direct or indirect Equity Interests in Tenant to a Permitted Leasehold Mortgagee.</w:t>
      </w:r>
    </w:p>
    <w:p>
      <w:pPr>
        <w:pStyle w:val="TextBody"/>
        <w:bidi w:val="0"/>
        <w:spacing w:lineRule="auto" w:line="288" w:before="0" w:after="240"/>
        <w:jc w:val="both"/>
        <w:rPr/>
      </w:pPr>
      <w:r>
        <w:rPr>
          <w:rFonts w:ascii="Times New Roman;serif" w:hAnsi="Times New Roman;serif"/>
          <w:b w:val="false"/>
          <w:color w:val="000000"/>
          <w:sz w:val="24"/>
        </w:rPr>
        <w:t xml:space="preserve">Upon the effectiveness of any assignment permitted pursuant to this </w:t>
      </w:r>
      <w:r>
        <w:rPr>
          <w:rFonts w:ascii="Times New Roman;serif" w:hAnsi="Times New Roman;serif"/>
          <w:b/>
          <w:color w:val="000000"/>
          <w:sz w:val="24"/>
        </w:rPr>
        <w:t>Section 22.2</w:t>
      </w:r>
      <w:r>
        <w:rPr>
          <w:rFonts w:ascii="Times New Roman;serif" w:hAnsi="Times New Roman;serif"/>
          <w:b w:val="false"/>
          <w:color w:val="000000"/>
          <w:sz w:val="24"/>
        </w:rPr>
        <w:t>, such Discretionary Transferee or Permitted Leasehold Mortgagee Foreclosing Party (and, if applicable, its Parent Company) and Landlord and Tenant shall make such amendments and other modifications to this Master Lease as are reasonably requested by either party to give effect to such assignment and such technical amendments as may be necessary or appropriate in the reasonable opinion of such requesting party in connection with such assignment. After giving effect to any such assignment, unless the context otherwise requires, references to Tenant and Tenant’s Parent hereunder shall be deemed to refer to the Discretionary Transferee (or Permitted Leasehold Mortgagee Foreclosing Party) or its Parent Company,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22.3    </w:t>
      </w:r>
      <w:r>
        <w:rPr>
          <w:rFonts w:ascii="Times New Roman;serif" w:hAnsi="Times New Roman;serif"/>
          <w:b/>
          <w:color w:val="000000"/>
          <w:sz w:val="24"/>
          <w:u w:val="single"/>
        </w:rPr>
        <w:t>Permitted Sublease Agreements</w:t>
      </w:r>
      <w:r>
        <w:rPr>
          <w:rFonts w:ascii="Times New Roman;serif" w:hAnsi="Times New Roman;serif"/>
          <w:b w:val="false"/>
          <w:color w:val="000000"/>
          <w:sz w:val="24"/>
        </w:rPr>
        <w:t xml:space="preserve">. Notwithstanding the provisions of </w:t>
      </w:r>
      <w:r>
        <w:rPr>
          <w:rFonts w:ascii="Times New Roman;serif" w:hAnsi="Times New Roman;serif"/>
          <w:b/>
          <w:color w:val="000000"/>
          <w:sz w:val="24"/>
        </w:rPr>
        <w:t>Section 22.1</w:t>
      </w:r>
      <w:r>
        <w:rPr>
          <w:rFonts w:ascii="Times New Roman;serif" w:hAnsi="Times New Roman;serif"/>
          <w:b w:val="false"/>
          <w:color w:val="000000"/>
          <w:sz w:val="24"/>
        </w:rPr>
        <w:t xml:space="preserve">, but subject to compliance with the provisions of this </w:t>
      </w:r>
      <w:r>
        <w:rPr>
          <w:rFonts w:ascii="Times New Roman;serif" w:hAnsi="Times New Roman;serif"/>
          <w:b/>
          <w:color w:val="000000"/>
          <w:sz w:val="24"/>
        </w:rPr>
        <w:t>Section 22.3</w:t>
      </w:r>
      <w:r>
        <w:rPr>
          <w:color w:val="000000"/>
        </w:rPr>
        <w:t xml:space="preserve"> </w:t>
      </w:r>
      <w:r>
        <w:rPr>
          <w:rFonts w:ascii="Times New Roman;serif" w:hAnsi="Times New Roman;serif"/>
          <w:b w:val="false"/>
          <w:color w:val="000000"/>
          <w:sz w:val="24"/>
        </w:rPr>
        <w:t xml:space="preserve">and of </w:t>
      </w:r>
      <w:r>
        <w:rPr>
          <w:rFonts w:ascii="Times New Roman;serif" w:hAnsi="Times New Roman;serif"/>
          <w:b/>
          <w:color w:val="000000"/>
          <w:sz w:val="24"/>
        </w:rPr>
        <w:t>Section 40.1</w:t>
      </w:r>
      <w:r>
        <w:rPr>
          <w:color w:val="000000"/>
        </w:rPr>
        <w:t xml:space="preserve"> </w:t>
      </w:r>
      <w:r>
        <w:rPr>
          <w:rFonts w:ascii="Times New Roman;serif" w:hAnsi="Times New Roman;serif"/>
          <w:b w:val="false"/>
          <w:color w:val="000000"/>
          <w:sz w:val="24"/>
        </w:rPr>
        <w:t>and compliance with all applicable Gaming Regulations, (a) Tenant or any Operating Subtenant may, without Landlord’s prior written consent: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    sublease the Leased Property or any Facility, or portion thereof to Tenant’s Parent, a wholly-owned Subsidiary of Tenant’s Parent, a wholly-owned Subsidiary of Tenant or any Operating Subtenant;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sublease any portion of any Facility (but not an entire Facility) to any Person; provided, that Tenant or any applicable Operating Subtenant does not sublet a Material Portion of any such Facility;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sublet a Facility in order to comply with </w:t>
      </w:r>
      <w:r>
        <w:rPr>
          <w:rFonts w:ascii="Times New Roman;serif" w:hAnsi="Times New Roman;serif"/>
          <w:b/>
          <w:color w:val="000000"/>
          <w:sz w:val="24"/>
        </w:rPr>
        <w:t>Section 8.2</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After an Event of Default has occurred and while it is continuing,</w:t>
      </w:r>
      <w:r>
        <w:rPr>
          <w:color w:val="000000"/>
        </w:rPr>
        <w:t xml:space="preserve"> </w:t>
      </w:r>
      <w:r>
        <w:rPr>
          <w:rFonts w:ascii="Times New Roman;serif" w:hAnsi="Times New Roman;serif"/>
          <w:b w:val="false"/>
          <w:color w:val="000000"/>
          <w:sz w:val="24"/>
        </w:rPr>
        <w:t xml:space="preserve">Landlord may collect rents from any subtenant and apply the net amount collected to the Rent, but no such collection shall be deemed (i) a waiver by Landlord of any of the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Master Lease, (ii) the acceptance by Landlord of such subtenant as a tenant or (iii) a release of Tenant from the future performance of its obligations hereunder.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If reasonably requested by Tenant in connection with a sublease permitted under this </w:t>
      </w:r>
      <w:r>
        <w:rPr>
          <w:rFonts w:ascii="Times New Roman;serif" w:hAnsi="Times New Roman;serif"/>
          <w:b/>
          <w:color w:val="000000"/>
          <w:sz w:val="24"/>
        </w:rPr>
        <w:t>Section 22.3</w:t>
      </w:r>
      <w:r>
        <w:rPr>
          <w:color w:val="000000"/>
        </w:rPr>
        <w:t xml:space="preserve"> </w:t>
      </w:r>
      <w:r>
        <w:rPr>
          <w:rFonts w:ascii="Times New Roman;serif" w:hAnsi="Times New Roman;serif"/>
          <w:b w:val="false"/>
          <w:color w:val="000000"/>
          <w:sz w:val="24"/>
        </w:rPr>
        <w:t xml:space="preserve">with a subtenant that is not an Affiliate of Tenant or in connection with a management agreement which is permitted under </w:t>
      </w:r>
      <w:r>
        <w:rPr>
          <w:rFonts w:ascii="Times New Roman;serif" w:hAnsi="Times New Roman;serif"/>
          <w:b/>
          <w:color w:val="000000"/>
          <w:sz w:val="24"/>
        </w:rPr>
        <w:t xml:space="preserve">Section 22.8 </w:t>
      </w:r>
      <w:r>
        <w:rPr>
          <w:rFonts w:ascii="Times New Roman;serif" w:hAnsi="Times New Roman;serif"/>
          <w:b w:val="false"/>
          <w:color w:val="000000"/>
          <w:sz w:val="24"/>
        </w:rPr>
        <w:t xml:space="preserve">with a manager that is not an Affiliate of Tenant, Landlord and such sublessee or manager, as applicable, shall enter into a nondisturbance and attornment agreement with respect to any sublease or management agreement, as applicable, which is entered into by Tenant in good faith with a subtenant or manager that is not an Affiliate of Tenant, such non-disturbance and attornment agreement to be substantially in the form attached hereto as </w:t>
      </w:r>
      <w:r>
        <w:rPr>
          <w:rFonts w:ascii="Times New Roman;serif" w:hAnsi="Times New Roman;serif"/>
          <w:b/>
          <w:color w:val="000000"/>
          <w:sz w:val="24"/>
        </w:rPr>
        <w:t>Exhibit F-1</w:t>
      </w:r>
      <w:r>
        <w:rPr>
          <w:color w:val="000000"/>
        </w:rPr>
        <w:t xml:space="preserve"> </w:t>
      </w:r>
      <w:r>
        <w:rPr>
          <w:rFonts w:ascii="Times New Roman;serif" w:hAnsi="Times New Roman;serif"/>
          <w:b w:val="false"/>
          <w:color w:val="000000"/>
          <w:sz w:val="24"/>
        </w:rPr>
        <w:t xml:space="preserve">(and if a Facility Mortgage is then in effect, Landlord shall use reasonable efforts to cause the Facility Mortgagee to enter into such non-disturbance and attornment agreement) whereby the subtenant or manager, as applicable, agrees to attorn to Landlord (or a Facility Mortgagee) and Landlord (and the Facility Mortgagee) agree to recognize such subtenant rights under its sublease or manager rights under its management agreement, as applicable.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Tenant shall have the right, without the consent of Landlord, to enter into subleases with terms, including extensions thereof, that do not exceed the then-existing Term with subtenants which will occupy space primarily for purposes such as, including without limitation, hotel use, meetings and conferences, e-sports, entertainment and experiences venues, show room, night/day clubs, retail sales, bars, food and beverage sales, race and gaming operations, sportsbooks, and other such uses within the Primary Intended Use (and provided Tenant or any applicable Operating Subtenant does not enter into a sublease with respect to a Material Portion of any such Facility). In addition, Tenant shall have the right to enter into subleases for purposes described in the preceding sentence with terms, including extensions thereof, that exceed the then-existing Term with Landlord’s consent, which consent Landlord shall not be unreasonably withheld, conditioned or delayed. Any sublease entered into pursuant to this </w:t>
      </w:r>
      <w:r>
        <w:rPr>
          <w:rFonts w:ascii="Times New Roman;serif" w:hAnsi="Times New Roman;serif"/>
          <w:b/>
          <w:color w:val="000000"/>
          <w:sz w:val="24"/>
        </w:rPr>
        <w:t>Section 22.3(d)</w:t>
      </w:r>
      <w:r>
        <w:rPr>
          <w:color w:val="000000"/>
        </w:rPr>
        <w:t xml:space="preserve"> </w:t>
      </w:r>
      <w:r>
        <w:rPr>
          <w:rFonts w:ascii="Times New Roman;serif" w:hAnsi="Times New Roman;serif"/>
          <w:b w:val="false"/>
          <w:color w:val="000000"/>
          <w:sz w:val="24"/>
        </w:rPr>
        <w:t xml:space="preserve">shall be entitled to the foregoing provisions of </w:t>
      </w:r>
      <w:r>
        <w:rPr>
          <w:rFonts w:ascii="Times New Roman;serif" w:hAnsi="Times New Roman;serif"/>
          <w:b/>
          <w:color w:val="000000"/>
          <w:sz w:val="24"/>
        </w:rPr>
        <w:t>Section 22.3(c)</w:t>
      </w:r>
      <w:r>
        <w:rPr>
          <w:color w:val="000000"/>
        </w:rPr>
        <w:t xml:space="preserve"> </w:t>
      </w:r>
      <w:r>
        <w:rPr>
          <w:rFonts w:ascii="Times New Roman;serif" w:hAnsi="Times New Roman;serif"/>
          <w:b w:val="false"/>
          <w:color w:val="000000"/>
          <w:sz w:val="24"/>
        </w:rPr>
        <w:t xml:space="preserve">regarding the right of such subtenant to a non-disturbance and attornment agreement. Landlord’s withholding of consent to any of the foregoing shall be deemed unreasonable if such sublease is on commercially reasonable terms at the time in question taking into consideration, among other things, the identity of the sublessee, the extent of sublessee’s investment in the subleased space, the term of such sublease and Landlord’s interest in the applicable Facility (including the resulting impact on Landlord’s ability to lease such Facility on commercially reasonably terms after the Term of this Master Lease).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The portion of any Facility that Tenant or any applicable Operating Subtenant does not sublease in order to comply with the requirement that Tenant or any applicable Operating Subtenant not sublet a Material Portion of such Facility shall also be the portion of such Facility with respect to which Tenant or any applicable Operating Subtenant does not enter into management agreements in order to comply with the similar requirement contained in </w:t>
      </w:r>
      <w:r>
        <w:rPr>
          <w:rFonts w:ascii="Times New Roman;serif" w:hAnsi="Times New Roman;serif"/>
          <w:b/>
          <w:color w:val="000000"/>
          <w:sz w:val="24"/>
        </w:rPr>
        <w:t>Section 22.8</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22.4    </w:t>
      </w:r>
      <w:r>
        <w:rPr>
          <w:rFonts w:ascii="Times New Roman;serif" w:hAnsi="Times New Roman;serif"/>
          <w:b/>
          <w:color w:val="000000"/>
          <w:sz w:val="24"/>
          <w:u w:val="single"/>
        </w:rPr>
        <w:t>Required Assignment and Subletting Provisions</w:t>
      </w:r>
      <w:r>
        <w:rPr>
          <w:rFonts w:ascii="Times New Roman;serif" w:hAnsi="Times New Roman;serif"/>
          <w:b w:val="false"/>
          <w:color w:val="000000"/>
          <w:sz w:val="24"/>
        </w:rPr>
        <w:t>. Any assignment and/or sublease must provide that: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in the case of a sublease, it shall be subject and subordinate to all of the terms and conditions of this Master Lease;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use of the applicable Facility (or portion thereof) shall not conflict with any Legal Requirement or any other provision of this Master Lease and any restrictions on Tenant’s activities at the relevant Facility shall also similarly apply to any sublessee’s activities at the relevant Facility;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except as otherwise provided herein, no subtenant or assignee shall be permitted to further sublet all or any part of the applicable Facility or assign this Master Lease or its sublease except insofar as the same would be permitted if it were a sublease by Tenant under this Master Lease (it being understood that any subtenant may pledge and mortgage its subleasehold estate (or allow the pledge of its Equity Interests) to a Permitted Leasehold Mortgagee);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in the case of a sublease, in the event of cancellation or termination of this Master Lease for any reason whatsoever or of the surrender of this Master Lease (whether voluntary, involuntary or by operation of law) prior to the expiration date of such sublease, including extensions and renewals granted thereunder, then, at Landlord’s option, the subtenant shall make full and complete attornment to Landlord for the balance of the term of the sublease, which the subtenant shall execute and deliver within thirty (30)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in the event the subtenant receives a Notice from Landlord stating that this Master Lease has been cancelled, surrendered or terminated, then, the subtenant shall thereafter be obligated to pay all rentals accruing under said sublease directly to Landlord (or as Landlord shall so direct); all rentals received from the subtenant by Landlord shall be credited against the amounts owing by Tenant under this Master Lease.</w:t>
      </w:r>
    </w:p>
    <w:p>
      <w:pPr>
        <w:pStyle w:val="TextBody"/>
        <w:bidi w:val="0"/>
        <w:spacing w:lineRule="auto" w:line="288" w:before="0" w:after="240"/>
        <w:jc w:val="both"/>
        <w:rPr/>
      </w:pPr>
      <w:r>
        <w:rPr>
          <w:rFonts w:ascii="Times New Roman;serif" w:hAnsi="Times New Roman;serif"/>
          <w:b w:val="false"/>
          <w:color w:val="000000"/>
          <w:sz w:val="24"/>
        </w:rPr>
        <w:t xml:space="preserve">Without limitation of the foregoing, (x) any sublease or other agreement or arrangement (including any Operating Sublease) allowing for occupancy or management with respect to a Facility entered into by and between any Tenant Party(ies) and any Affiliate(s) thereof on, prior to, or after the Commencement Date shall be subject and subordinate to all of the terms and conditions of this Master Lease, and each such agreement or arrangement hereafter made shall expressly so provide, and (y) no Operating Subtenant shall be permitted to assign its Operating Sublease other than to a Subsidiary of Tenant’s Parent and any such Operating Subtenant shall at all times remain a Subsidiary of Tenant’s Parent (it being understood that nothing in this clause (y) shall vitiate Tenant’s rights under </w:t>
      </w:r>
      <w:r>
        <w:rPr>
          <w:rFonts w:ascii="Times New Roman;serif" w:hAnsi="Times New Roman;serif"/>
          <w:b/>
          <w:color w:val="000000"/>
          <w:sz w:val="24"/>
        </w:rPr>
        <w:t>Section 22</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rFonts w:ascii="Times New Roman;serif" w:hAnsi="Times New Roman;serif"/>
          <w:b/>
          <w:color w:val="000000"/>
          <w:sz w:val="24"/>
        </w:rPr>
        <w:t>22.5    </w:t>
      </w:r>
      <w:r>
        <w:rPr>
          <w:rFonts w:ascii="Times New Roman;serif" w:hAnsi="Times New Roman;serif"/>
          <w:b/>
          <w:color w:val="000000"/>
          <w:sz w:val="24"/>
          <w:u w:val="single"/>
        </w:rPr>
        <w:t>Costs</w:t>
      </w:r>
      <w:r>
        <w:rPr>
          <w:rFonts w:ascii="Times New Roman;serif" w:hAnsi="Times New Roman;serif"/>
          <w:b w:val="false"/>
          <w:color w:val="000000"/>
          <w:sz w:val="24"/>
        </w:rPr>
        <w:t xml:space="preserve">. Tenant shall reimburse Landlord for Landlord’s reasonable costs and expenses incurred in conjunction with the processing and documentation of any assignment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subletting or management agreement (including any request for a subordination, non-disturbance and attornment agreement), including reasonable attorneys’, architects’, engineers’ or other consultants’ fees whether or not such sublease or assignment agreement is actually consummated.</w:t>
      </w:r>
    </w:p>
    <w:p>
      <w:pPr>
        <w:pStyle w:val="TextBody"/>
        <w:bidi w:val="0"/>
        <w:spacing w:lineRule="auto" w:line="288" w:before="0" w:after="240"/>
        <w:ind w:left="0" w:right="0" w:firstLine="720"/>
        <w:jc w:val="both"/>
        <w:rPr/>
      </w:pPr>
      <w:r>
        <w:rPr>
          <w:rFonts w:ascii="Times New Roman;serif" w:hAnsi="Times New Roman;serif"/>
          <w:b/>
          <w:color w:val="000000"/>
          <w:sz w:val="24"/>
        </w:rPr>
        <w:t>22.6    </w:t>
      </w:r>
      <w:r>
        <w:rPr>
          <w:rFonts w:ascii="Times New Roman;serif" w:hAnsi="Times New Roman;serif"/>
          <w:b/>
          <w:color w:val="000000"/>
          <w:sz w:val="24"/>
          <w:u w:val="single"/>
        </w:rPr>
        <w:t>No Release of Tenant’s Obligations; Exception</w:t>
      </w:r>
      <w:r>
        <w:rPr>
          <w:rFonts w:ascii="Times New Roman;serif" w:hAnsi="Times New Roman;serif"/>
          <w:b w:val="false"/>
          <w:color w:val="000000"/>
          <w:sz w:val="24"/>
        </w:rPr>
        <w:t xml:space="preserve">. No assignment (other than a permitted transfer pursuant to this </w:t>
      </w:r>
      <w:r>
        <w:rPr>
          <w:rFonts w:ascii="Times New Roman;serif" w:hAnsi="Times New Roman;serif"/>
          <w:b/>
          <w:color w:val="000000"/>
          <w:sz w:val="24"/>
        </w:rPr>
        <w:t>Article XXII</w:t>
      </w:r>
      <w:r>
        <w:rPr>
          <w:rFonts w:ascii="Times New Roman;serif" w:hAnsi="Times New Roman;serif"/>
          <w:b w:val="false"/>
          <w:color w:val="000000"/>
          <w:sz w:val="24"/>
        </w:rPr>
        <w:t xml:space="preserve">, in connection with a sale or assignment of the entire Leasehold Estate), subletting or management agreement shall relieve Tenant of its obligation to pay the Rent and to perform all of the other obligations to be performed by Tenant hereunder or reduce any such obligations. All obligations and other terms of this Master Lease applicable to Tenant and Tenant’s activities and properties shall also apply to each assignee of this Master Lease.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 (i) 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provided, that Tenant shall not be responsible for any additional obligations or liability arising as the result of any modification or amendment of this Master Lease by Landlord and any assignee of Tenant that is not an Affiliate of Tenant. Notwithstanding the foregoing, in the event of an assignment permitted under </w:t>
      </w:r>
      <w:r>
        <w:rPr>
          <w:rFonts w:ascii="Times New Roman;serif" w:hAnsi="Times New Roman;serif"/>
          <w:b/>
          <w:color w:val="000000"/>
          <w:sz w:val="24"/>
        </w:rPr>
        <w:t>Section 22.2(iii)</w:t>
      </w:r>
      <w:r>
        <w:rPr>
          <w:rFonts w:ascii="Times New Roman;serif" w:hAnsi="Times New Roman;serif"/>
          <w:b w:val="false"/>
          <w:color w:val="000000"/>
          <w:sz w:val="24"/>
        </w:rPr>
        <w:t xml:space="preserve">, Landlord will agree, with respect only to those Facilities so assigned, to release Tenant and Guarantor from their respective obligations solely pertaining to those Facilities so assigned under this Master Lease and any Guaranty, provided; that the assignment is to a Discretionary Transferee and the Parent Company of the Discretionary Transferee, if any, executes a Guaranty as required by </w:t>
      </w:r>
      <w:r>
        <w:rPr>
          <w:rFonts w:ascii="Times New Roman;serif" w:hAnsi="Times New Roman;serif"/>
          <w:b/>
          <w:color w:val="000000"/>
          <w:sz w:val="24"/>
        </w:rPr>
        <w:t>Section 22.2(iii)</w:t>
      </w:r>
      <w:r>
        <w:rPr>
          <w:rFonts w:ascii="Times New Roman;serif" w:hAnsi="Times New Roman;serif"/>
          <w:b w:val="false"/>
          <w:color w:val="000000"/>
          <w:sz w:val="24"/>
        </w:rPr>
        <w:t xml:space="preserve">. As a condition precedent to Landlord’s release of Tenant and/or Guarantor, the successor guarantor shall execute and deliver a Guaranty in substantially the same form and substance as the Guaranty being released and Landlord and such Discretionary Transferee, as the successor tenant, shall execute a new master lease with respect to the assigned Facilities in substantially the same form and substance as this Master Lease as provided in </w:t>
      </w:r>
      <w:r>
        <w:rPr>
          <w:rFonts w:ascii="Times New Roman;serif" w:hAnsi="Times New Roman;serif"/>
          <w:b/>
          <w:color w:val="000000"/>
          <w:sz w:val="24"/>
        </w:rPr>
        <w:t xml:space="preserve">Section 1.5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22.7    </w:t>
      </w:r>
      <w:r>
        <w:rPr>
          <w:rFonts w:ascii="Times New Roman;serif" w:hAnsi="Times New Roman;serif"/>
          <w:b/>
          <w:color w:val="000000"/>
          <w:sz w:val="24"/>
          <w:u w:val="single"/>
        </w:rPr>
        <w:t>Separate Lease; Rent Allocated</w:t>
      </w:r>
      <w:r>
        <w:rPr>
          <w:rFonts w:ascii="Times New Roman;serif" w:hAnsi="Times New Roman;serif"/>
          <w:b/>
          <w:color w:val="000000"/>
          <w:sz w:val="24"/>
        </w:rPr>
        <w:t xml:space="preserve">. </w:t>
      </w:r>
      <w:r>
        <w:rPr>
          <w:rFonts w:ascii="Times New Roman;serif" w:hAnsi="Times New Roman;serif"/>
          <w:b w:val="false"/>
          <w:color w:val="000000"/>
          <w:sz w:val="24"/>
        </w:rPr>
        <w:t xml:space="preserve">If reasonably requested by Tenant in connection with an assignment of Tenant’s Leasehold Estate with respect to one or more Facilities permitted under </w:t>
      </w:r>
      <w:r>
        <w:rPr>
          <w:rFonts w:ascii="Times New Roman;serif" w:hAnsi="Times New Roman;serif"/>
          <w:b/>
          <w:color w:val="000000"/>
          <w:sz w:val="24"/>
        </w:rPr>
        <w:t>Section 22.2(iii)</w:t>
      </w:r>
      <w:r>
        <w:rPr>
          <w:rFonts w:ascii="Times New Roman;serif" w:hAnsi="Times New Roman;serif"/>
          <w:b w:val="false"/>
          <w:color w:val="000000"/>
          <w:sz w:val="24"/>
        </w:rPr>
        <w:t>, Landlord will agree to enter into a replacement master lease with respect to the relevant Facility(ies) with the assignee thereof in form and substance substantially identical to this Master Lease (subject to such reasonable modifications as are reasonably agreed to by the parties in order to reflect a single asset gaming REIT lease transaction), with Rent equal to (or, if applicable, apportioned between such new master lease and this Master Lease based on) the Allocable Rent Amount</w:t>
      </w:r>
      <w:r>
        <w:rPr>
          <w:color w:val="000000"/>
        </w:rPr>
        <w:t xml:space="preserve"> </w:t>
      </w:r>
      <w:r>
        <w:rPr>
          <w:rFonts w:ascii="Times New Roman;serif" w:hAnsi="Times New Roman;serif"/>
          <w:b w:val="false"/>
          <w:color w:val="000000"/>
          <w:sz w:val="24"/>
        </w:rPr>
        <w:t xml:space="preserve">and to remove such Leased Property from this Master Lease, all in accordance with the procedure set forth in </w:t>
      </w:r>
      <w:r>
        <w:rPr>
          <w:rFonts w:ascii="Times New Roman;serif" w:hAnsi="Times New Roman;serif"/>
          <w:b/>
          <w:color w:val="000000"/>
          <w:sz w:val="24"/>
        </w:rPr>
        <w:t xml:space="preserve">Section 1.5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In such case, the Parent Company of the Discretionary Transferee, if any, shall deliver a Guaranty to Landlord with respect to all obligations under the Separate Lease, and Tenant and Guarantor shall have no further obligations under this Master Lease or the Guaranty with respect to the applicable Facility(ies). Notwithstanding </w:t>
      </w:r>
      <w:r>
        <w:rPr>
          <w:rFonts w:ascii="Times New Roman;serif" w:hAnsi="Times New Roman;serif"/>
          <w:b/>
          <w:color w:val="000000"/>
          <w:sz w:val="24"/>
        </w:rPr>
        <w:t>Section 1.5(e)</w:t>
      </w:r>
      <w:r>
        <w:rPr>
          <w:rFonts w:ascii="Times New Roman;serif" w:hAnsi="Times New Roman;serif"/>
          <w:b w:val="false"/>
          <w:color w:val="000000"/>
          <w:sz w:val="24"/>
        </w:rPr>
        <w:t xml:space="preserve">, any costs and expenses relating to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 Separate Lease entered into pursuant to </w:t>
      </w:r>
      <w:r>
        <w:rPr>
          <w:rFonts w:ascii="Times New Roman;serif" w:hAnsi="Times New Roman;serif"/>
          <w:b/>
          <w:color w:val="000000"/>
          <w:sz w:val="24"/>
        </w:rPr>
        <w:t>Section 22.2</w:t>
      </w:r>
      <w:r>
        <w:rPr>
          <w:color w:val="000000"/>
        </w:rPr>
        <w:t xml:space="preserve"> </w:t>
      </w:r>
      <w:r>
        <w:rPr>
          <w:rFonts w:ascii="Times New Roman;serif" w:hAnsi="Times New Roman;serif"/>
          <w:b w:val="false"/>
          <w:color w:val="000000"/>
          <w:sz w:val="24"/>
        </w:rPr>
        <w:t xml:space="preserve">shall be borne by Tenant and not by Landlord. </w:t>
      </w:r>
    </w:p>
    <w:p>
      <w:pPr>
        <w:pStyle w:val="TextBody"/>
        <w:bidi w:val="0"/>
        <w:spacing w:lineRule="auto" w:line="288" w:before="0" w:after="240"/>
        <w:ind w:left="0" w:right="0" w:firstLine="720"/>
        <w:jc w:val="both"/>
        <w:rPr/>
      </w:pPr>
      <w:r>
        <w:rPr>
          <w:rFonts w:ascii="Times New Roman;serif" w:hAnsi="Times New Roman;serif"/>
          <w:b/>
          <w:color w:val="000000"/>
          <w:sz w:val="24"/>
        </w:rPr>
        <w:t>22.8    </w:t>
      </w:r>
      <w:r>
        <w:rPr>
          <w:rFonts w:ascii="Times New Roman;serif" w:hAnsi="Times New Roman;serif"/>
          <w:b/>
          <w:color w:val="000000"/>
          <w:sz w:val="24"/>
          <w:u w:val="single"/>
        </w:rPr>
        <w:t>Management Agreements</w:t>
      </w:r>
      <w:r>
        <w:rPr>
          <w:rFonts w:ascii="Times New Roman;serif" w:hAnsi="Times New Roman;serif"/>
          <w:b w:val="false"/>
          <w:color w:val="000000"/>
          <w:sz w:val="24"/>
        </w:rPr>
        <w:t xml:space="preserve">. Tenant represents and warrants that </w:t>
      </w:r>
      <w:r>
        <w:rPr>
          <w:rFonts w:ascii="Times New Roman;serif" w:hAnsi="Times New Roman;serif"/>
          <w:b/>
          <w:color w:val="000000"/>
          <w:sz w:val="24"/>
        </w:rPr>
        <w:t>Schedule 5</w:t>
      </w:r>
      <w:r>
        <w:rPr>
          <w:color w:val="000000"/>
        </w:rPr>
        <w:t xml:space="preserve"> </w:t>
      </w:r>
      <w:r>
        <w:rPr>
          <w:rFonts w:ascii="Times New Roman;serif" w:hAnsi="Times New Roman;serif"/>
          <w:b w:val="false"/>
          <w:color w:val="000000"/>
          <w:sz w:val="24"/>
        </w:rPr>
        <w:t xml:space="preserve">contains a true, correct and complete list of all material management agreements or similar arrangements in effect with respect to the Leased Property on the Commencement Date. Nothing contained herein shall prohibit or restrict Tenant’s ability to hereafter enter into management agreements or similar arrangements (including any amendments thereto) with third parties or amend or modify existing management agreements or similar arrangements so long as the same are limited in duration to the then-existing Term provided that they do not relate to the entirety of any Facility and are expressly subordinate to this Master Lease (and provided Tenant or any applicable Operating Subtenant does not enter into management agreements or similar arrangements with respect to a Material Portion of any Facility). In addition, Tenant shall have the right to enter into management agreements or similar arrangements (including any amendments thereto) or amend or modify existing management agreements or similar arrangements that exceed the then-existing Term with third parties with Landlord’s consent, which consent shall not be unreasonably withheld, conditioned or delayed (it being understood, Landlord’s withholding of consent to any of the foregoing shall be deemed unreasonable if such management agreement is on commercially reasonable terms at the time in question taking into consideration, among other things, the identity of the manager, the term of such management agreement and Landlord’s interest in the applicable Facility (including the resulting impact on Landlord’s ability to lease such Facility on commercially reasonable terms after the Term of this Master Lease)). Any management agreement entered into pursuant to this </w:t>
      </w:r>
      <w:r>
        <w:rPr>
          <w:rFonts w:ascii="Times New Roman;serif" w:hAnsi="Times New Roman;serif"/>
          <w:b/>
          <w:color w:val="000000"/>
          <w:sz w:val="24"/>
        </w:rPr>
        <w:t>Section 22.8</w:t>
      </w:r>
      <w:r>
        <w:rPr>
          <w:color w:val="000000"/>
        </w:rPr>
        <w:t xml:space="preserve"> </w:t>
      </w:r>
      <w:r>
        <w:rPr>
          <w:rFonts w:ascii="Times New Roman;serif" w:hAnsi="Times New Roman;serif"/>
          <w:b w:val="false"/>
          <w:color w:val="000000"/>
          <w:sz w:val="24"/>
        </w:rPr>
        <w:t xml:space="preserve">shall be entitled to the provisions of </w:t>
      </w:r>
      <w:r>
        <w:rPr>
          <w:rFonts w:ascii="Times New Roman;serif" w:hAnsi="Times New Roman;serif"/>
          <w:b/>
          <w:color w:val="000000"/>
          <w:sz w:val="24"/>
        </w:rPr>
        <w:t>Section 22.3(c)</w:t>
      </w:r>
      <w:r>
        <w:rPr>
          <w:color w:val="000000"/>
        </w:rPr>
        <w:t xml:space="preserve"> </w:t>
      </w:r>
      <w:r>
        <w:rPr>
          <w:rFonts w:ascii="Times New Roman;serif" w:hAnsi="Times New Roman;serif"/>
          <w:b w:val="false"/>
          <w:color w:val="000000"/>
          <w:sz w:val="24"/>
        </w:rPr>
        <w:t xml:space="preserve">regarding the right of such manager to a non-disturbance and attornment agreement. The portion of any Facility with respect to which Tenant or any applicable Operating Subtenant does not enter into management agreements in order to comply with the requirement that it not enter into management agreements with respect to a Material Portion of such Facility shall also be the portion of such Facility that Tenant or any applicable Operating Subtenant does not sublease in order to comply with the similar requirement contained in </w:t>
      </w:r>
      <w:r>
        <w:rPr>
          <w:rFonts w:ascii="Times New Roman;serif" w:hAnsi="Times New Roman;serif"/>
          <w:b/>
          <w:color w:val="000000"/>
          <w:sz w:val="24"/>
        </w:rPr>
        <w:t>Section 22.3</w:t>
      </w:r>
      <w:r>
        <w:rPr>
          <w:rFonts w:ascii="Times New Roman;serif" w:hAnsi="Times New Roman;serif"/>
          <w:b w:val="false"/>
          <w:color w:val="000000"/>
          <w:sz w:val="24"/>
        </w:rPr>
        <w:t xml:space="preserve">. For the avoidance of doubt, all management agreements made or amended pursuant to this </w:t>
      </w:r>
      <w:r>
        <w:rPr>
          <w:rFonts w:ascii="Times New Roman;serif" w:hAnsi="Times New Roman;serif"/>
          <w:b/>
          <w:color w:val="000000"/>
          <w:sz w:val="24"/>
        </w:rPr>
        <w:t>Section 22.8</w:t>
      </w:r>
      <w:r>
        <w:rPr>
          <w:color w:val="000000"/>
        </w:rPr>
        <w:t xml:space="preserve"> </w:t>
      </w:r>
      <w:r>
        <w:rPr>
          <w:rFonts w:ascii="Times New Roman;serif" w:hAnsi="Times New Roman;serif"/>
          <w:b w:val="false"/>
          <w:color w:val="000000"/>
          <w:sz w:val="24"/>
        </w:rPr>
        <w:t xml:space="preserve">shall be subject to </w:t>
      </w:r>
      <w:r>
        <w:rPr>
          <w:rFonts w:ascii="Times New Roman;serif" w:hAnsi="Times New Roman;serif"/>
          <w:b/>
          <w:color w:val="000000"/>
          <w:sz w:val="24"/>
        </w:rPr>
        <w:t xml:space="preserve">Section 40.1 </w:t>
      </w:r>
      <w:r>
        <w:rPr>
          <w:rFonts w:ascii="Times New Roman;serif" w:hAnsi="Times New Roman;serif"/>
          <w:b w:val="false"/>
          <w:color w:val="000000"/>
          <w:sz w:val="24"/>
        </w:rPr>
        <w:t xml:space="preserve">and in compliance with all applicable Gaming Regulations. </w:t>
      </w:r>
    </w:p>
    <w:p>
      <w:pPr>
        <w:pStyle w:val="TextBody"/>
        <w:bidi w:val="0"/>
        <w:spacing w:lineRule="auto" w:line="288" w:before="0" w:after="240"/>
        <w:jc w:val="center"/>
        <w:rPr/>
      </w:pPr>
      <w:r>
        <w:rPr>
          <w:rFonts w:ascii="Times New Roman;serif" w:hAnsi="Times New Roman;serif"/>
          <w:b/>
          <w:color w:val="000000"/>
          <w:sz w:val="24"/>
        </w:rPr>
        <w:t>ARTICLE XXIII</w:t>
      </w:r>
      <w:r>
        <w:rPr>
          <w:rFonts w:ascii="Times New Roman;serif" w:hAnsi="Times New Roman;serif"/>
          <w:b/>
          <w:color w:val="000000"/>
          <w:sz w:val="24"/>
          <w:u w:val="single"/>
        </w:rPr>
        <w:br/>
        <w:br/>
        <w:t>REPORTING; CONFIDENTIALITY</w:t>
      </w:r>
    </w:p>
    <w:p>
      <w:pPr>
        <w:pStyle w:val="TextBody"/>
        <w:bidi w:val="0"/>
        <w:spacing w:lineRule="auto" w:line="288" w:before="0" w:after="240"/>
        <w:ind w:left="0" w:right="0" w:firstLine="720"/>
        <w:jc w:val="both"/>
        <w:rPr/>
      </w:pPr>
      <w:r>
        <w:rPr>
          <w:rFonts w:ascii="Times New Roman;serif" w:hAnsi="Times New Roman;serif"/>
          <w:b/>
          <w:color w:val="000000"/>
          <w:sz w:val="24"/>
        </w:rPr>
        <w:t>23.1    </w:t>
      </w:r>
      <w:r>
        <w:rPr>
          <w:rFonts w:ascii="Times New Roman;serif" w:hAnsi="Times New Roman;serif"/>
          <w:b/>
          <w:color w:val="000000"/>
          <w:sz w:val="24"/>
          <w:u w:val="single"/>
        </w:rPr>
        <w:t>Officer’s Certificate and Financial Statements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Officer’s Certificate</w:t>
      </w:r>
      <w:r>
        <w:rPr>
          <w:rFonts w:ascii="Times New Roman;serif" w:hAnsi="Times New Roman;serif"/>
          <w:b w:val="false"/>
          <w:color w:val="000000"/>
          <w:sz w:val="24"/>
        </w:rPr>
        <w:t xml:space="preserve">. Each of Landlord and Tenant shall, at any time and from time to time, but no more frequently than once per Lease Year, upon receipt of not less than ten (10) Business Days’ prior written request from the other party hereto, furnish a certificate executed by an appropriate officer with knowledge of the matters set forth therein in the form attached hereto as </w:t>
      </w:r>
      <w:r>
        <w:rPr>
          <w:rFonts w:ascii="Times New Roman;serif" w:hAnsi="Times New Roman;serif"/>
          <w:b/>
          <w:color w:val="000000"/>
          <w:sz w:val="24"/>
        </w:rPr>
        <w:t>Exhibit C</w:t>
      </w:r>
      <w:r>
        <w:rPr>
          <w:rFonts w:ascii="Times New Roman;serif" w:hAnsi="Times New Roman;serif"/>
          <w:b w:val="false"/>
          <w:color w:val="000000"/>
          <w:sz w:val="24"/>
        </w:rPr>
        <w:t xml:space="preserve">. Any such certificate furnished pursuant to this </w:t>
      </w:r>
      <w:r>
        <w:rPr>
          <w:rFonts w:ascii="Times New Roman;serif" w:hAnsi="Times New Roman;serif"/>
          <w:b/>
          <w:color w:val="000000"/>
          <w:sz w:val="24"/>
        </w:rPr>
        <w:t>Article XXIII</w:t>
      </w:r>
      <w:r>
        <w:rPr>
          <w:color w:val="000000"/>
        </w:rPr>
        <w:t xml:space="preserve"> </w:t>
      </w:r>
      <w:r>
        <w:rPr>
          <w:rFonts w:ascii="Times New Roman;serif" w:hAnsi="Times New Roman;serif"/>
          <w:b w:val="false"/>
          <w:color w:val="000000"/>
          <w:sz w:val="24"/>
        </w:rPr>
        <w:t xml:space="preserve">may be relied upon by the receiving party and any current or prospective Facility Mortgagee,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Permitted Leasehold Mortgagee, ground or underlying landlord or purchaser of the Leased Property.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Statements</w:t>
      </w:r>
      <w:r>
        <w:rPr>
          <w:rFonts w:ascii="Times New Roman;serif" w:hAnsi="Times New Roman;serif"/>
          <w:b w:val="false"/>
          <w:color w:val="000000"/>
          <w:sz w:val="24"/>
        </w:rPr>
        <w:t xml:space="preserve">. Tenant shall furnish the following statements to Landlord: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(I) In the event that Tenant’s Parent is a reporting company under the Exchange Act, on the earlier of five (5) Business Days following (x) each date specified in the Exchange Act and the SEC’s related rules and regulations (including any additional time permitted under Rule 12b-25 or any successor provision thereof) that the Tenant’s Parent is required to file SEC Reports (each a “</w:t>
      </w:r>
      <w:r>
        <w:rPr>
          <w:rFonts w:ascii="Times New Roman;serif" w:hAnsi="Times New Roman;serif"/>
          <w:b/>
          <w:color w:val="000000"/>
          <w:sz w:val="24"/>
        </w:rPr>
        <w:t>SEC Filing Deadline</w:t>
      </w:r>
      <w:r>
        <w:rPr>
          <w:color w:val="000000"/>
        </w:rPr>
        <w:t>”</w:t>
      </w:r>
      <w:r>
        <w:rPr>
          <w:rFonts w:ascii="Times New Roman;serif" w:hAnsi="Times New Roman;serif"/>
          <w:b w:val="false"/>
          <w:color w:val="000000"/>
          <w:sz w:val="24"/>
        </w:rPr>
        <w:t xml:space="preserve">) and (y) the date the Tenant’s Parent files its SEC Reports with the SEC or (II) in the event that Tenant’s Parent is not a reporting company under the Exchange Act, no later than five (5) Business Days prior to Landlord REIT’s applicable SEC requirements, if any, to file, or include in any of Landlord REIT’s SEC Reports, Tenant Parent’s Financial Statements: (A) Tenant’s Parent’s Financial Statements required to be included in such SEC Report or the SEC Report containing such Financial Statements; (B) a certificate, executed by a Responsible Officer of the Tenant or Tenant’s Parent certifying that no default has occurred under this Master Lease or, if such a default has occurred, specifying the nature and status of such default; and (C) (1) with respect to annual Financial Statements, a report with respect to Tenant’s Parent’s Financial Statements from Tenant’s Parent’s independent registered public accounting firm, which report shall not be subject to any qualification or exception expressing substantial doubt about the ability of the Tenant’s Parent and its subsidiaries to continue as a “going concern” or any exception as to the scope of such audit (excluding any qualification as to going concern relating to any debt maturities in the twelve month period following the date such report is delivered or any projected financial performance or covenant default in any Indebtedness or this Master Lease in such twelve month period) and that such Financial Statements have been prepared in accordance with GAAP and Tenant’s Parent’s accountants have examined such Financial Statements in accordance with the standards of the PCAOB (or generally accepted auditing standards, if not required to file SEC Reports at such time) and (2) with respect to quarterly Financial Statements, a certificate, executed by a Responsible Officer of the Tenant’s Parent, certifying that such Financial Statements fairly present, in all material respects, the financial position and results of operations of Tenant’s Parent and its Subsidiaries on a consolidated basis in accordance with GAAP as at such date and for such period (subject to normal year-end audit adjustments, the absence of footnotes and other informational disclosures customarily omitted from interim financial statements). Financial statements required to be delivered pursuant to this </w:t>
      </w:r>
      <w:r>
        <w:rPr>
          <w:rFonts w:ascii="Times New Roman;serif" w:hAnsi="Times New Roman;serif"/>
          <w:b/>
          <w:color w:val="000000"/>
          <w:sz w:val="24"/>
        </w:rPr>
        <w:t>Section 23.1(b)(i)</w:t>
      </w:r>
      <w:r>
        <w:rPr>
          <w:color w:val="000000"/>
        </w:rPr>
        <w:t xml:space="preserve"> </w:t>
      </w:r>
      <w:r>
        <w:rPr>
          <w:rFonts w:ascii="Times New Roman;serif" w:hAnsi="Times New Roman;serif"/>
          <w:b w:val="false"/>
          <w:color w:val="000000"/>
          <w:sz w:val="24"/>
        </w:rPr>
        <w:t>will be deemed delivered to the extent such documents are included in materials filed with the SEC and shall be deemed to have been delivered on the date such documents are publicly available on the SEC’s website;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Within seventy-five (75) days after the end of each of the Tenant’s Fiscal Years (commencing with the Fiscal Year ending December 31, 2022), (a) a budget and projection by fiscal month for the Fiscal Year in which the budget is delivered, including projected Net Revenue and EBITDAR with respect to each Facility, (b) a budget and projection by fiscal year for the second and third subsequent Fiscal Years, including projected Net Revenue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EBITDAR with respect to each Facility, and (c) a capital budget for each Facility for the Fiscal Year in which the budget is delivered and for the following Fiscal Year;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Within thirty (30) days after the end of each calendar month, the following items as they pertain to each Facility: occupancy percentages, including average daily rate and revenue per available room for the subject month, the monthly and year-to-date operating statements prepared for each calendar period, noting net revenue, operating expenses and operating income, and other information reasonably necessary and sufficient to fairly represent the financial position and results of operations of each Facility and its respective Operating Subtenant during such calendar period;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(iv)    Within sixty (60) days after the expiration of any calendar quarter, Tenant shall deliver to Landlord a Financial Covenant compliance report, which report shall include an Officer’s Certificate in substantially the form attached hereto as </w:t>
      </w:r>
      <w:r>
        <w:rPr>
          <w:rFonts w:ascii="Times New Roman;serif" w:hAnsi="Times New Roman;serif"/>
          <w:b/>
          <w:color w:val="000000"/>
          <w:sz w:val="24"/>
        </w:rPr>
        <w:t>Exhibit H</w:t>
      </w:r>
      <w:r>
        <w:rPr>
          <w:rFonts w:ascii="Times New Roman;serif" w:hAnsi="Times New Roman;serif"/>
          <w:b w:val="false"/>
          <w:color w:val="000000"/>
          <w:sz w:val="24"/>
        </w:rPr>
        <w:t xml:space="preserve">, certifying that the Financial Covenant is in compliance under </w:t>
      </w:r>
      <w:r>
        <w:rPr>
          <w:rFonts w:ascii="Times New Roman;serif" w:hAnsi="Times New Roman;serif"/>
          <w:b/>
          <w:color w:val="000000"/>
          <w:sz w:val="24"/>
        </w:rPr>
        <w:t>Section 23.3</w:t>
      </w:r>
      <w:r>
        <w:rPr>
          <w:color w:val="000000"/>
        </w:rPr>
        <w:t xml:space="preserve"> </w:t>
      </w:r>
      <w:r>
        <w:rPr>
          <w:rFonts w:ascii="Times New Roman;serif" w:hAnsi="Times New Roman;serif"/>
          <w:b w:val="false"/>
          <w:color w:val="000000"/>
          <w:sz w:val="24"/>
        </w:rPr>
        <w:t>together with reasonable detail evidencing such compliance;</w:t>
      </w:r>
      <w:r>
        <w:rPr>
          <w:color w:val="000000"/>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(a) commercially reasonable efforts to deliver such additional financial information and projections as may be reasonably requested by Landlord, so long as any reasonable out-of-pocket cost of Tenant or its Related Persons is borne by Landlord, in connection with syndications, private placements or public offerings by Landlord of debt securities or loans or equity or hybrid securities and (b) such additional information, Tenant’s Parent Financial Statements if not otherwise provided pursuant to </w:t>
      </w:r>
      <w:r>
        <w:rPr>
          <w:rFonts w:ascii="Times New Roman;serif" w:hAnsi="Times New Roman;serif"/>
          <w:b/>
          <w:color w:val="000000"/>
          <w:sz w:val="24"/>
        </w:rPr>
        <w:t>Section 23.1(b)(i)</w:t>
      </w:r>
      <w:r>
        <w:rPr>
          <w:rFonts w:ascii="Times New Roman;serif" w:hAnsi="Times New Roman;serif"/>
          <w:b w:val="false"/>
          <w:color w:val="000000"/>
          <w:sz w:val="24"/>
        </w:rPr>
        <w:t>, and unaudited quarterly financial information concerning the Leased Property, Tenant, and Tenant’s Parent as Landlord or its Affiliates may require for their filings with the SEC under both the Securities Act and the Exchange Act, including, but not limited to SEC Reports and registration statements to be filed by Landlord or its Affiliates during the Term of this Master Lease, the Internal Revenue Service and any other federal, state or local regulatory agency with jurisdiction over Landlord or its Subsidiaries;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    Prompt Notice to Landlord of any action, proposal or investigation by any agency or entity, or complaint to such agency or entity, (any of which is called a “</w:t>
      </w:r>
      <w:r>
        <w:rPr>
          <w:rFonts w:ascii="Times New Roman;serif" w:hAnsi="Times New Roman;serif"/>
          <w:b/>
          <w:color w:val="000000"/>
          <w:sz w:val="24"/>
        </w:rPr>
        <w:t>Proceeding</w:t>
      </w:r>
      <w:r>
        <w:rPr>
          <w:color w:val="000000"/>
        </w:rPr>
        <w:t>”</w:t>
      </w:r>
      <w:r>
        <w:rPr>
          <w:rFonts w:ascii="Times New Roman;serif" w:hAnsi="Times New Roman;serif"/>
          <w:b w:val="false"/>
          <w:color w:val="000000"/>
          <w:sz w:val="24"/>
        </w:rPr>
        <w:t xml:space="preserve">), known to Tenant, the result of which Proceeding would reasonably be expected to be to revoke or suspend or terminate or modify in a way materially adverse to Tenant, or fail to renew or fully continue in effect, any license or certificate or operating authority pursuant to which Tenant carries on any material part of the Primary Intended Use of all or any portion of the Leased Property;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    Upon request, not to be made more than once per fiscal quarter, an updated rent roll for each Facility;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(viii)    Tenant further agrees to provide the financial and operational reports to be delivered to Landlord under this Master Lease in such electronic format(s) as may reasonably be required by Landlord from time to time in order to (i) facilitate Landlord’s internal financial and reporting database, and (ii) permit Landlord to calculate any rent, fee or other payments due under Ground Leases. Tenant also agrees that Landlord shall have audit rights with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such information to the extent required to confirm Tenant’s compliance with the terms of this Master Lease (including, without limitation, calculation of Net Revenues).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Notwithstanding the foregoing provisions of this </w:t>
      </w:r>
      <w:r>
        <w:rPr>
          <w:rFonts w:ascii="Times New Roman;serif" w:hAnsi="Times New Roman;serif"/>
          <w:b/>
          <w:color w:val="000000"/>
          <w:sz w:val="24"/>
        </w:rPr>
        <w:t xml:space="preserve">Section 23.1 </w:t>
      </w:r>
      <w:r>
        <w:rPr>
          <w:rFonts w:ascii="Times New Roman;serif" w:hAnsi="Times New Roman;serif"/>
          <w:b w:val="false"/>
          <w:color w:val="000000"/>
          <w:sz w:val="24"/>
        </w:rPr>
        <w:t>or any other provision under this Master Lease, Tenant shall not be obligated under any circumstances (1) to provide information that is subject to (i) a bona fide confidentiality agreement, (ii) the quality assurance immunity, or (iii) attorney-client privilege or the attorney work product doctrine or (2) to provide information or assistance that could reasonably be expected to give Landlord or its Affiliates a “competitive” advantage with respect to markets in which Landlord or any of Landlord’s Affiliates and Tenant, Tenant’s Parent or any of Tenant’s Affiliates might be competing at any time (“</w:t>
      </w:r>
      <w:r>
        <w:rPr>
          <w:rFonts w:ascii="Times New Roman;serif" w:hAnsi="Times New Roman;serif"/>
          <w:b/>
          <w:color w:val="000000"/>
          <w:sz w:val="24"/>
        </w:rPr>
        <w:t>Restricted Information</w:t>
      </w:r>
      <w:r>
        <w:rPr>
          <w:color w:val="000000"/>
        </w:rPr>
        <w:t>”</w:t>
      </w:r>
      <w:r>
        <w:rPr>
          <w:rFonts w:ascii="Times New Roman;serif" w:hAnsi="Times New Roman;serif"/>
          <w:b w:val="false"/>
          <w:color w:val="000000"/>
          <w:sz w:val="24"/>
        </w:rPr>
        <w:t xml:space="preserve">) it being understood that Restricted Information shall not include revenue and expense information relevant to Landlord’s calculation and verification of (i) the Escalation amount and (ii) Tenant’s compliance with </w:t>
      </w:r>
      <w:r>
        <w:rPr>
          <w:rFonts w:ascii="Times New Roman;serif" w:hAnsi="Times New Roman;serif"/>
          <w:b/>
          <w:color w:val="000000"/>
          <w:sz w:val="24"/>
        </w:rPr>
        <w:t>Section 9.1(e)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23.3</w:t>
      </w:r>
      <w:r>
        <w:rPr>
          <w:color w:val="000000"/>
        </w:rPr>
        <w:t xml:space="preserve"> </w:t>
      </w:r>
      <w:r>
        <w:rPr>
          <w:rFonts w:ascii="Times New Roman;serif" w:hAnsi="Times New Roman;serif"/>
          <w:b w:val="false"/>
          <w:color w:val="000000"/>
          <w:sz w:val="24"/>
        </w:rPr>
        <w:t>hereof, provided that, the foregoing information shall be provided on a portfolio-wide (as opposed to Facility-by-Facility) basis, except where required by Landlord to be able to make submissions to, or otherwise to comply with requirements of, gaming and other regulatory authorities, in which case such additional information (including Facility-by-Facility performance information) will be provided by Tenant to Landlord to the extent so required (provided, that Landlord shall in such instance first execute a nondisclosure agreement in a form reasonably satisfactory to Tenant with respect to such information). Landlord shall retain audit rights with respect to Restricted Information to the extent required to confirm Tenant’s compliance with the terms of this Master Lease (and Landlord’s or its Affiliates compliance with SEC, Internal Revenue Service and other legal and regulatory requirements) and</w:t>
      </w:r>
      <w:r>
        <w:rPr>
          <w:color w:val="000000"/>
          <w:u w:val="single"/>
        </w:rPr>
        <w:t xml:space="preserve"> </w:t>
      </w:r>
      <w:r>
        <w:rPr>
          <w:rFonts w:ascii="Times New Roman;serif" w:hAnsi="Times New Roman;serif"/>
          <w:b w:val="false"/>
          <w:color w:val="000000"/>
          <w:sz w:val="24"/>
        </w:rPr>
        <w:t xml:space="preserve">provided, that appropriate measures are in place to ensure that only Landlord’s auditors and attorneys (and not Landlord or any of Landlord’s other Affiliates) are provided access to such information. In addition, Landlord shall not disclose any Restricted Information to any Person or any employee, officer or director of any Person (other than Landlord or a Subsidiary of Landlord, in each case, on a “need to know” basis) that directly or indirectly owns or operates any gaming business or is a Tenant Competitor; provided, further, that in no event shall Landlord disclose any Restricted Information or any other information that is Confidential Information (except as permitted by </w:t>
      </w:r>
      <w:r>
        <w:rPr>
          <w:rFonts w:ascii="Times New Roman;serif" w:hAnsi="Times New Roman;serif"/>
          <w:b/>
          <w:color w:val="000000"/>
          <w:sz w:val="24"/>
        </w:rPr>
        <w:t>Section 23.2(b)</w:t>
      </w:r>
      <w:r>
        <w:rPr>
          <w:rFonts w:ascii="Times New Roman;serif" w:hAnsi="Times New Roman;serif"/>
          <w:b w:val="false"/>
          <w:color w:val="000000"/>
          <w:sz w:val="24"/>
        </w:rPr>
        <w:t>) provided pursuant to this Master Lease to any Person involved in the ownership (directly or indirectly), management or operation of any Tenant Competitor.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In each case so long as the following does not place an unreasonable burden on Tenant and so long as any out-of-pocket cost of Tenant or its Related Persons is borne by Landlord, Tenant shall, and shall cause Tenant’s Parent and its direct and indirect Subsidiaries to, afford Landlord, Landlord’s Parent and their Related Persons reasonable access, within a reasonable period after request, during normal business hours to (A) the books and records pertaining to the original tax basis of the assets of Tenant’s Parent and its direct and indirect Subsidiaries related to the Leased Properties, including, without limitation: (i) the date each asset was placed in service, (ii) accumulated depreciation, (iii) depreciable lives and depreciation methods and conventions, (iv) information to determine depreciation under both MACRS and ADS, (v) detailed 704(c) schedules, reflecting the 704(c) layers for each asset by partner at the applicable subsidiary level and (vi) any other information as is reasonably requested to assist Landlord, Landlord’s Parent and their Related Persons in determining tax basis and tax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depreciation and tax allocations post transaction,</w:t>
      </w:r>
      <w:r>
        <w:rPr>
          <w:color w:val="000000"/>
        </w:rPr>
        <w:t xml:space="preserve"> </w:t>
      </w:r>
      <w:r>
        <w:rPr>
          <w:rFonts w:ascii="Times New Roman;serif" w:hAnsi="Times New Roman;serif"/>
          <w:b w:val="false"/>
          <w:color w:val="000000"/>
          <w:sz w:val="24"/>
        </w:rPr>
        <w:t xml:space="preserve">and (B) (i) by December 31 of each calendar year, a schedule listing the adjusted tax bases of assets retired or disposed during such year that was part of the initial Leased Property as of the Commencement Date and (ii) a final schedule listing the adjusted tax bases of assets retired or disposed during such year by June 30 of the following year. </w:t>
      </w:r>
      <w:r>
        <w:rPr>
          <w:color w:val="000000"/>
        </w:rPr>
        <w:t> </w:t>
      </w:r>
      <w:r>
        <w:rPr>
          <w:rFonts w:ascii="Times New Roman;serif" w:hAnsi="Times New Roman;serif"/>
          <w:b w:val="false"/>
          <w:color w:val="000000"/>
          <w:sz w:val="24"/>
        </w:rPr>
        <w:t>To the extent that Tenant or Tenant’s Parent requires the services of a cost segregation provider in order to prepare the reports described in clause (B)(i) or (B)(ii) above, such costs will be borne by the Landlord, subject to Landlord’s prior approval of such services and costs. Landlord and Tenant agree to cooperate to identify assets that will be subject to the reporting in this clause (B).</w:t>
      </w:r>
      <w:r>
        <w:rPr>
          <w:color w:val="000000"/>
        </w:rPr>
        <w:t xml:space="preserve"> </w:t>
      </w:r>
      <w:r>
        <w:rPr>
          <w:rFonts w:ascii="Times New Roman;serif" w:hAnsi="Times New Roman;serif"/>
          <w:b w:val="false"/>
          <w:color w:val="000000"/>
          <w:sz w:val="24"/>
        </w:rPr>
        <w:t>Upon request by Landlord, the information described in this paragraph shall be provided promptly in Microsoft Excel or such other reasonable format as determined by Tenant. In addition, each of Tenant’s Parent and its direct and indirect Subsidiaries shall use their respective reasonable efforts to cause their respective appropriate Related Persons to participate in meetings and telephone conferences with Landlord, Landlord’s Parent and/or their Related Persons at such times as may be reasonably requested during regular business hours.</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23.2    </w:t>
      </w:r>
      <w:r>
        <w:rPr>
          <w:rFonts w:ascii="Times New Roman;serif" w:hAnsi="Times New Roman;serif"/>
          <w:b/>
          <w:color w:val="000000"/>
          <w:sz w:val="24"/>
          <w:u w:val="single"/>
        </w:rPr>
        <w:t>Confidentiality; Public Offering Information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parties recognize and acknowledge that they may receive certain Confidential Information of the other party. Each party agrees that neither such party nor any of its Representatives acting on its behalf shall, during or within five (5) years after the termination or expiration of this Master Lease, directly or indirectly use any Confidential Information of the other party or disclose Confidential Information of the other party to any person for any reason or purpose whatsoever, except as reasonably required in order to comply with the obligations and otherwise as permitted under the provisions of this Master Lease. Notwithstanding the foregoing, in the event that a party or any of its Representatives is requested or becomes legally compelled (pursuant to any legal, governmental, administrative or regulatory order, authority or process) to disclose any Confidential Information of the other party, it will, to the extent reasonably practicable and not prohibited by law, provide the party to whom such Confidential Information belongs prompt Notice of the existence, terms or circumstances of such event so that the party to whom such Confidential Information belongs may seek a protective order or other appropriate remedy or waive compliance with the provisions of this </w:t>
      </w:r>
      <w:r>
        <w:rPr>
          <w:rFonts w:ascii="Times New Roman;serif" w:hAnsi="Times New Roman;serif"/>
          <w:b/>
          <w:color w:val="000000"/>
          <w:sz w:val="24"/>
        </w:rPr>
        <w:t>Section 23.2(a)</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In the event that such protective order or other remedy is not obtained or the party to whom such Confidential Information belongs waives compliance with this </w:t>
      </w:r>
      <w:r>
        <w:rPr>
          <w:rFonts w:ascii="Times New Roman;serif" w:hAnsi="Times New Roman;serif"/>
          <w:b/>
          <w:color w:val="000000"/>
          <w:sz w:val="24"/>
        </w:rPr>
        <w:t>Section 23.2(a)</w:t>
      </w:r>
      <w:r>
        <w:rPr>
          <w:rFonts w:ascii="Times New Roman;serif" w:hAnsi="Times New Roman;serif"/>
          <w:b w:val="false"/>
          <w:color w:val="000000"/>
          <w:sz w:val="24"/>
        </w:rPr>
        <w:t>,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(b)    Notwithstanding anything to the contrary in </w:t>
      </w:r>
      <w:r>
        <w:rPr>
          <w:rFonts w:ascii="Times New Roman;serif" w:hAnsi="Times New Roman;serif"/>
          <w:b/>
          <w:color w:val="000000"/>
          <w:sz w:val="24"/>
        </w:rPr>
        <w:t>Section 23.2(a)</w:t>
      </w:r>
      <w:r>
        <w:rPr>
          <w:rFonts w:ascii="Times New Roman;serif" w:hAnsi="Times New Roman;serif"/>
          <w:b w:val="false"/>
          <w:color w:val="000000"/>
          <w:sz w:val="24"/>
        </w:rPr>
        <w:t>, Tenant specifically agrees that Landlord may include financial information and such information concerning the operation of the Facilities (1) which is approved by Tenant in its sole discretion, (2) which is publicly available, (3) the EBITDAR to Rent Ratio of the Tenant Parties, or (4)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Landlord’s securities or loans or securities or loans of any direct or indirect parent entity of Landlord, and any other reporting requirements under applicable federal and state laws, including those of any successor to Landlord,</w:t>
      </w:r>
      <w:r>
        <w:rPr>
          <w:color w:val="000000"/>
          <w:u w:val="single"/>
        </w:rPr>
        <w:t xml:space="preserve"> </w:t>
      </w:r>
      <w:r>
        <w:rPr>
          <w:rFonts w:ascii="Times New Roman;serif" w:hAnsi="Times New Roman;serif"/>
          <w:b w:val="false"/>
          <w:color w:val="000000"/>
          <w:sz w:val="24"/>
        </w:rPr>
        <w:t xml:space="preserve">provided, that, with respect to matters permitted to be disclosed solely under clauses (1) and (4), the recipients thereof shall be obligated to maintain the confidentiality thereof pursuant to </w:t>
      </w:r>
      <w:r>
        <w:rPr>
          <w:rFonts w:ascii="Times New Roman;serif" w:hAnsi="Times New Roman;serif"/>
          <w:b/>
          <w:color w:val="000000"/>
          <w:sz w:val="24"/>
        </w:rPr>
        <w:t>Section 23.2(a)</w:t>
      </w:r>
      <w:r>
        <w:rPr>
          <w:color w:val="000000"/>
        </w:rPr>
        <w:t xml:space="preserve"> </w:t>
      </w:r>
      <w:r>
        <w:rPr>
          <w:rFonts w:ascii="Times New Roman;serif" w:hAnsi="Times New Roman;serif"/>
          <w:b w:val="false"/>
          <w:color w:val="000000"/>
          <w:sz w:val="24"/>
        </w:rPr>
        <w:t xml:space="preserve">or pursuant to confidentiality provisions substantially similar thereto and to comply with all federal, state and other securities laws applicable with respect to such information. Unless otherwise agreed by Tenant, neither Landlord nor Landlord’s Parent shall revise or change the wording of information previously publicly disclosed by Tenant and furnished to Landlord or Landlord’s Parent pursuant to </w:t>
      </w:r>
      <w:r>
        <w:rPr>
          <w:rFonts w:ascii="Times New Roman;serif" w:hAnsi="Times New Roman;serif"/>
          <w:b/>
          <w:color w:val="000000"/>
          <w:sz w:val="24"/>
        </w:rPr>
        <w:t>Section 23.1</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color w:val="000000"/>
          <w:sz w:val="24"/>
        </w:rPr>
        <w:t>Section 23.2</w:t>
      </w:r>
      <w:r>
        <w:rPr>
          <w:color w:val="000000"/>
        </w:rPr>
        <w:t xml:space="preserve"> </w:t>
      </w:r>
      <w:r>
        <w:rPr>
          <w:rFonts w:ascii="Times New Roman;serif" w:hAnsi="Times New Roman;serif"/>
          <w:b w:val="false"/>
          <w:color w:val="000000"/>
          <w:sz w:val="24"/>
        </w:rPr>
        <w:t>and Landlord’s Form 10-Q or Form 10-K (or supplemental information filed or furnished in connection therewith) shall not disclose the operational results of the Facilities prior to Tenant’s Parent’s, Tenant’s or their respective Affiliate’s public disclosure thereof so long as Tenant’s Parent, Tenant or such Affiliate reports such information in a timely manner consistent with historical practices and SEC disclosure requirements. Tenant agrees to provide such other reasonable information and, if necessary, reasonable participation in road shows and other presentations at Landlord’s or Landlord’s Parent’s sole cost and expense, with respect to Tenant and its Leased Property to facilitate a public or private debt or equity offering or syndication by Landlord or Landlord’s Parent or to satisfy Landlord’s or Landlord’s Parent’s SEC disclosure requirements.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Except as provided in clause (a) or (b) above, nothing herein shall permit the disclosure of Confidential Information regarding Tenant, Tenant’s Parent or their Affiliates to any Tenant Competitor.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Each of Landlord and/or Landlord’s Parent, on the one hand, and Tenant and/or Tenant’s Parent, on the other hand, shall cooperate with such other parties to provide such information and documentation as may be reasonably requested by such other parties in connection with or in furtherance of the accounting considerations for the classification of this Lease and any subsequent modifications thereto, including, without limitation, the implicit rate in this Master Lease, as determined in accordance with GAAP, and the corresponding supporting documentation necessary to satisfy accounting and audit requirements, including without limitation, residual value assumptions, valuation reports obtained from a qualified “Big 4” accounting firm, Grant Thornton or equivalent appraiser providing for the fair value of the Facilities and their economic useful lives, and other inputs into the implicit rate.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4"/>
        </w:rPr>
        <w:t>23.3    </w:t>
      </w:r>
      <w:r>
        <w:rPr>
          <w:rFonts w:ascii="Times New Roman;serif" w:hAnsi="Times New Roman;serif"/>
          <w:b/>
          <w:color w:val="000000"/>
          <w:sz w:val="24"/>
          <w:u w:val="single"/>
        </w:rPr>
        <w:t>Financial Covenants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Tenant’s Parent on a consolidated basis with Tenant shall maintain a ratio of (x) EBITDA (plus, without duplication, any rent expense associated with any ground leases pursuant to which Tenant’s Parent or any of its Subsidiaries leases real property, and rent expense under this Master Lease (as may be amended from time to time) or any similar lease) plus rent expense under any similar lease to (y) Rent plus cash rent paid under any similar lease,</w:t>
      </w:r>
      <w:r>
        <w:rPr>
          <w:color w:val="000000"/>
        </w:rPr>
        <w:t xml:space="preserve"> </w:t>
      </w:r>
      <w:r>
        <w:rPr>
          <w:rFonts w:ascii="Times New Roman;serif" w:hAnsi="Times New Roman;serif"/>
          <w:b w:val="false"/>
          <w:color w:val="000000"/>
          <w:sz w:val="24"/>
        </w:rPr>
        <w:t>determined on the last day of any fiscal quarter on a cumulative basis for the preceding Test Period (commencing with the Test Period ending on the later of September 30, 2022 and the last day of the first full calendar quarter commencing immediately following the Commencement Date (the “</w:t>
      </w:r>
      <w:r>
        <w:rPr>
          <w:rFonts w:ascii="Times New Roman;serif" w:hAnsi="Times New Roman;serif"/>
          <w:b/>
          <w:color w:val="000000"/>
          <w:sz w:val="24"/>
        </w:rPr>
        <w:t>First Test Period</w:t>
      </w:r>
      <w:r>
        <w:rPr>
          <w:color w:val="000000"/>
        </w:rPr>
        <w:t>”</w:t>
      </w:r>
      <w:r>
        <w:rPr>
          <w:rFonts w:ascii="Times New Roman;serif" w:hAnsi="Times New Roman;serif"/>
          <w:b w:val="false"/>
          <w:color w:val="000000"/>
          <w:sz w:val="24"/>
        </w:rPr>
        <w:t>)) of at least 1.1:1 (the foregoing required Tenant’s Parent EBITDA to Rent</w:t>
      </w:r>
      <w:r>
        <w:rPr>
          <w:color w:val="000000"/>
        </w:rPr>
        <w:t xml:space="preserve"> </w:t>
      </w:r>
      <w:r>
        <w:rPr>
          <w:rFonts w:ascii="Times New Roman;serif" w:hAnsi="Times New Roman;serif"/>
          <w:b w:val="false"/>
          <w:color w:val="000000"/>
          <w:sz w:val="24"/>
        </w:rPr>
        <w:t>ratio being referred to as the “</w:t>
      </w:r>
      <w:r>
        <w:rPr>
          <w:rFonts w:ascii="Times New Roman;serif" w:hAnsi="Times New Roman;serif"/>
          <w:b/>
          <w:color w:val="000000"/>
          <w:sz w:val="24"/>
        </w:rPr>
        <w:t>Coverage Ratio</w:t>
      </w:r>
      <w:r>
        <w:rPr>
          <w:rFonts w:ascii="Times New Roman;serif" w:hAnsi="Times New Roman;serif"/>
          <w:b w:val="false"/>
          <w:color w:val="000000"/>
          <w:sz w:val="24"/>
        </w:rPr>
        <w:t>,” and the test being referred to as the “</w:t>
      </w:r>
      <w:r>
        <w:rPr>
          <w:rFonts w:ascii="Times New Roman;serif" w:hAnsi="Times New Roman;serif"/>
          <w:b/>
          <w:color w:val="000000"/>
          <w:sz w:val="24"/>
        </w:rPr>
        <w:t>Financial Covenant</w:t>
      </w:r>
      <w:r>
        <w:rPr>
          <w:color w:val="000000"/>
        </w:rPr>
        <w:t>”</w:t>
      </w:r>
      <w:r>
        <w:rPr>
          <w:rFonts w:ascii="Times New Roman;serif" w:hAnsi="Times New Roman;serif"/>
          <w:b w:val="false"/>
          <w:color w:val="000000"/>
          <w:sz w:val="24"/>
        </w:rPr>
        <w:t xml:space="preserve">). In the event that Tenant’s interest in this Master Lease is assigned, the foregoing Financial Covenant shall apply on a consolidated basis to such successor Tenant and any parent entity(ies) of any successor Tenant that has provided a Guaranty.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If (commencing with the First Test Period or for any Test Period thereafter) Tenant fails to meet the Financial Covenant, then Tenant may, at Tenant’s option, within thirty (30) days after the earlier of the date Tenant delivers to Landlord the Officer’s Certificate required to be delivered pursuant to </w:t>
      </w:r>
      <w:r>
        <w:rPr>
          <w:rFonts w:ascii="Times New Roman;serif" w:hAnsi="Times New Roman;serif"/>
          <w:b/>
          <w:color w:val="000000"/>
          <w:sz w:val="24"/>
        </w:rPr>
        <w:t>Section 23.1(b)(iv)</w:t>
      </w:r>
      <w:r>
        <w:rPr>
          <w:color w:val="000000"/>
        </w:rPr>
        <w:t xml:space="preserve"> </w:t>
      </w:r>
      <w:r>
        <w:rPr>
          <w:rFonts w:ascii="Times New Roman;serif" w:hAnsi="Times New Roman;serif"/>
          <w:b w:val="false"/>
          <w:color w:val="000000"/>
          <w:sz w:val="24"/>
        </w:rPr>
        <w:t xml:space="preserve">of this Master Lease or the date by which the same is required to be delivered, that evidences the commencement of a Covenant Failure Period, cause an amount (which may be provided through cash, one or more Letters of Credit or combination thereof or such other form of credit support reasonably acceptable to Landlord) equal to (x) the Rent that would be payable for the period of one (1) calendar year or (y) solely in the event that Tenant’s failure to meet the Financial Covenant with respect to the applicable Test Periods precipitating such Covenant Failure Period was a Covenant Failure (Unavoidable Delay), the Rent that would be payable for the period of six (6) months, in each case commencing immediately subsequent to the date of such determination (taking into account the Escalation) to be deposited into a Covenant Security Escrow Account in accordance with irrevocable escrow instructions consistent with this paragraph and reasonably satisfactory to Landlord and Tenant. At all times until the Covenant Security Coverage Cure has occurred, the amount of the Covenant Security Escrow Account (or the amount of the Letters of Credit, or both) shall equal the Rent that would be payable for the next calendar year (or next six (6) months, as applicable) (taking into account the Escalation, as applicable), and Tenant shall increase the funds in the Covenant Security Escrow Account (or the amount of the Letters of Credit, or both) in order to satisfy any deficiency within five (5) Business Days’ notice from Landlord. In the event that Tenant has delivered a Renewal Notice and a Covenant Security Coverage Cure has not occurred, then Tenant shall be required to increase the funds in the Covenant Security Escrow Account (or the amount of the Letters of Credit, or both) in order to reflect the increase in the Rent (and any Escalation) for the next one year period or six (6) month period, as applicable. The amounts held in a Covenant Security Escrow Account shall remain in such account except to the extent that they are required to be released to Landlord or Tenant in accordance with this paragraph. Upon the date that Tenant delivers to Landlord and Officer’s Certificate pursuant to </w:t>
      </w:r>
      <w:r>
        <w:rPr>
          <w:rFonts w:ascii="Times New Roman;serif" w:hAnsi="Times New Roman;serif"/>
          <w:b/>
          <w:color w:val="000000"/>
          <w:sz w:val="24"/>
        </w:rPr>
        <w:t>Section 23.1(b)(iv)</w:t>
      </w:r>
      <w:r>
        <w:rPr>
          <w:color w:val="000000"/>
        </w:rPr>
        <w:t xml:space="preserve"> </w:t>
      </w:r>
      <w:r>
        <w:rPr>
          <w:rFonts w:ascii="Times New Roman;serif" w:hAnsi="Times New Roman;serif"/>
          <w:b w:val="false"/>
          <w:color w:val="000000"/>
          <w:sz w:val="24"/>
        </w:rPr>
        <w:t xml:space="preserve">of this Master Lease that evidences a Covenant Security Coverage Cure or the expiration or earlier termination of this Master Lease (other than a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termination as a result of an Event of Default by Tenant), if Tenant has deposited funds or Letters of Credit pursuant to the provisions of this </w:t>
      </w:r>
      <w:r>
        <w:rPr>
          <w:rFonts w:ascii="Times New Roman;serif" w:hAnsi="Times New Roman;serif"/>
          <w:b/>
          <w:color w:val="000000"/>
          <w:sz w:val="24"/>
        </w:rPr>
        <w:t>Section 23.3</w:t>
      </w:r>
      <w:r>
        <w:rPr>
          <w:rFonts w:ascii="Times New Roman;serif" w:hAnsi="Times New Roman;serif"/>
          <w:b w:val="false"/>
          <w:color w:val="000000"/>
          <w:sz w:val="24"/>
        </w:rPr>
        <w:t xml:space="preserve">, such funds or Letters of Credit (in each case, to the extent remaining) shall promptly be returned to Tenant by the escrow agent. If an Event of Default has occurred and is continuing, Landlord shall be entitled to receive the amount in the Covenant Security Escrow Account and such amount shall be applied to Landlord’s damages, pursuant to </w:t>
      </w:r>
      <w:r>
        <w:rPr>
          <w:rFonts w:ascii="Times New Roman;serif" w:hAnsi="Times New Roman;serif"/>
          <w:b/>
          <w:color w:val="000000"/>
          <w:sz w:val="24"/>
        </w:rPr>
        <w:t>Article XVI</w:t>
      </w:r>
      <w:r>
        <w:rPr>
          <w:rFonts w:ascii="Times New Roman;serif" w:hAnsi="Times New Roman;serif"/>
          <w:b w:val="false"/>
          <w:color w:val="000000"/>
          <w:sz w:val="24"/>
        </w:rPr>
        <w:t xml:space="preserve">. The irrevocable escrow instructions will provide for escrow agent to release funds to Landlord to Tenant only upon written demand to the escrow agent and the other party and failure of such other party to object to such release within five (5) Business Days thereafter. For the avoidance of doubt, the process described in this </w:t>
      </w:r>
      <w:r>
        <w:rPr>
          <w:rFonts w:ascii="Times New Roman;serif" w:hAnsi="Times New Roman;serif"/>
          <w:b/>
          <w:color w:val="000000"/>
          <w:sz w:val="24"/>
        </w:rPr>
        <w:t>Section 23.3</w:t>
      </w:r>
      <w:r>
        <w:rPr>
          <w:color w:val="000000"/>
        </w:rPr>
        <w:t xml:space="preserve"> </w:t>
      </w:r>
      <w:r>
        <w:rPr>
          <w:rFonts w:ascii="Times New Roman;serif" w:hAnsi="Times New Roman;serif"/>
          <w:b w:val="false"/>
          <w:color w:val="000000"/>
          <w:sz w:val="24"/>
        </w:rPr>
        <w:t xml:space="preserve">is not limited to one occurrence and could repeat multiple times during the Term. </w:t>
      </w:r>
    </w:p>
    <w:p>
      <w:pPr>
        <w:pStyle w:val="TextBody"/>
        <w:bidi w:val="0"/>
        <w:spacing w:lineRule="auto" w:line="288" w:before="0" w:after="240"/>
        <w:ind w:left="0" w:right="0" w:firstLine="720"/>
        <w:jc w:val="both"/>
        <w:rPr/>
      </w:pPr>
      <w:r>
        <w:rPr>
          <w:rFonts w:ascii="Times New Roman;serif" w:hAnsi="Times New Roman;serif"/>
          <w:b/>
          <w:color w:val="000000"/>
          <w:sz w:val="24"/>
        </w:rPr>
        <w:t>23.4    </w:t>
      </w:r>
      <w:r>
        <w:rPr>
          <w:rFonts w:ascii="Times New Roman;serif" w:hAnsi="Times New Roman;serif"/>
          <w:b/>
          <w:color w:val="000000"/>
          <w:sz w:val="24"/>
          <w:u w:val="single"/>
        </w:rPr>
        <w:t>Landlord Obligations</w:t>
      </w:r>
      <w:r>
        <w:rPr>
          <w:rFonts w:ascii="Times New Roman;serif" w:hAnsi="Times New Roman;serif"/>
          <w:b w:val="false"/>
          <w:color w:val="000000"/>
          <w:sz w:val="24"/>
        </w:rPr>
        <w:t xml:space="preserve">. Landlord acknowledges and agrees that certain of the information contained in the Financial Statements or any other information provided by Tenant may be non-public financial or operational Confidential Information with respect to Tenant and/or its Affiliates, including with respect to Tenant’s or any Operating Subtenant’s operation of the Leased Property. Landlord further agrees (i) to maintain the confidentiality of such non-public Confidential Information; provided, however, that notwithstanding the foregoing and notwithstanding anything to the contrary in </w:t>
      </w:r>
      <w:r>
        <w:rPr>
          <w:rFonts w:ascii="Times New Roman;serif" w:hAnsi="Times New Roman;serif"/>
          <w:b/>
          <w:color w:val="000000"/>
          <w:sz w:val="24"/>
        </w:rPr>
        <w:t>Section 23.2(a)</w:t>
      </w:r>
      <w:r>
        <w:rPr>
          <w:color w:val="000000"/>
        </w:rPr>
        <w:t xml:space="preserve"> </w:t>
      </w:r>
      <w:r>
        <w:rPr>
          <w:rFonts w:ascii="Times New Roman;serif" w:hAnsi="Times New Roman;serif"/>
          <w:b w:val="false"/>
          <w:color w:val="000000"/>
          <w:sz w:val="24"/>
        </w:rPr>
        <w:t xml:space="preserve">hereof or otherwise herein, Landlord shall have the right to share such information in compliance with </w:t>
      </w:r>
      <w:r>
        <w:rPr>
          <w:rFonts w:ascii="Times New Roman;serif" w:hAnsi="Times New Roman;serif"/>
          <w:b/>
          <w:color w:val="000000"/>
          <w:sz w:val="24"/>
        </w:rPr>
        <w:t>Section 23.2(b)</w:t>
      </w:r>
      <w:r>
        <w:rPr>
          <w:color w:val="000000"/>
        </w:rPr>
        <w:t xml:space="preserve"> </w:t>
      </w:r>
      <w:r>
        <w:rPr>
          <w:rFonts w:ascii="Times New Roman;serif" w:hAnsi="Times New Roman;serif"/>
          <w:b w:val="false"/>
          <w:color w:val="000000"/>
          <w:sz w:val="24"/>
        </w:rPr>
        <w:t>hereof and with Landlord’s officers, employees, directors, Facility Mortgagee, agents and lenders party to material debt instruments entered into by Landlord, actual or prospective arrangers, underwriters, investors or lenders with respect to Indebtedness or Equity Interests that may be issued by Landlord, rating agencies, accountants, attorneys and other consultants (the “</w:t>
      </w:r>
      <w:r>
        <w:rPr>
          <w:rFonts w:ascii="Times New Roman;serif" w:hAnsi="Times New Roman;serif"/>
          <w:b/>
          <w:color w:val="000000"/>
          <w:sz w:val="24"/>
        </w:rPr>
        <w:t>Landlord Representatives</w:t>
      </w:r>
      <w:r>
        <w:rPr>
          <w:color w:val="000000"/>
        </w:rPr>
        <w:t>”</w:t>
      </w:r>
      <w:r>
        <w:rPr>
          <w:rFonts w:ascii="Times New Roman;serif" w:hAnsi="Times New Roman;serif"/>
          <w:b w:val="false"/>
          <w:color w:val="000000"/>
          <w:sz w:val="24"/>
        </w:rPr>
        <w:t xml:space="preserve">), provided, that (x) such Landlord Representative is advised of the confidential nature of such Confidential Information and agrees to maintain the confidentiality thereof pursuant to </w:t>
      </w:r>
      <w:r>
        <w:rPr>
          <w:rFonts w:ascii="Times New Roman;serif" w:hAnsi="Times New Roman;serif"/>
          <w:b/>
          <w:color w:val="000000"/>
          <w:sz w:val="24"/>
        </w:rPr>
        <w:t>Section 23.2(a)</w:t>
      </w:r>
      <w:r>
        <w:rPr>
          <w:color w:val="000000"/>
        </w:rPr>
        <w:t xml:space="preserve"> </w:t>
      </w:r>
      <w:r>
        <w:rPr>
          <w:rFonts w:ascii="Times New Roman;serif" w:hAnsi="Times New Roman;serif"/>
          <w:b w:val="false"/>
          <w:color w:val="000000"/>
          <w:sz w:val="24"/>
        </w:rPr>
        <w:t xml:space="preserve">or pursuant to confidentiality provisions substantially similar thereto (or in accordance with the standard syndication process or customary market standards for dissemination of such type of information, including “click through” or other affirmative actions on the part of the recipient to receive such information) and to comply with all federal, state and other securities laws applicable with respect to such information and (y) such information shall not be disclosed to any Tenant Competitor and (ii) that neither it nor any Landlord Representative shall be permitted to engage in any transactions with respect to the stock or other equity or debt securities or syndicated loans of Tenant or Tenant’s Parent based on any such Confidential Information provided by or on behalf of Landlord or Landlord’s Parent (provided,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In connection therewith, Tenant agrees to maintain the confidentiality of any such Confidential Information; provided, however, Tenant shall have the right to share such information with Tenant’s Parent and Tenant and Tenant’s Parent’s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Parent, rating agencies, accountants, attorneys and other consultants (the “</w:t>
      </w:r>
      <w:r>
        <w:rPr>
          <w:rFonts w:ascii="Times New Roman;serif" w:hAnsi="Times New Roman;serif"/>
          <w:b/>
          <w:color w:val="000000"/>
          <w:sz w:val="24"/>
        </w:rPr>
        <w:t>Tenant Representatives</w:t>
      </w:r>
      <w:r>
        <w:rPr>
          <w:color w:val="000000"/>
        </w:rPr>
        <w:t>”</w:t>
      </w:r>
      <w:r>
        <w:rPr>
          <w:rFonts w:ascii="Times New Roman;serif" w:hAnsi="Times New Roman;serif"/>
          <w:b w:val="false"/>
          <w:color w:val="000000"/>
          <w:sz w:val="24"/>
        </w:rPr>
        <w:t xml:space="preserve">) so long as such Tenant Representative is advised of the confidential nature of such Confidential Information and agrees (i) to maintain the confidentiality thereof pursuant to </w:t>
      </w:r>
      <w:r>
        <w:rPr>
          <w:rFonts w:ascii="Times New Roman;serif" w:hAnsi="Times New Roman;serif"/>
          <w:b/>
          <w:color w:val="000000"/>
          <w:sz w:val="24"/>
        </w:rPr>
        <w:t>Section 23.2(a)</w:t>
      </w:r>
      <w:r>
        <w:rPr>
          <w:color w:val="000000"/>
        </w:rPr>
        <w:t xml:space="preserve"> </w:t>
      </w:r>
      <w:r>
        <w:rPr>
          <w:rFonts w:ascii="Times New Roman;serif" w:hAnsi="Times New Roman;serif"/>
          <w:b w:val="false"/>
          <w:color w:val="000000"/>
          <w:sz w:val="24"/>
        </w:rPr>
        <w:t>or pursuant to confidentiality provisions substantially similar thereto (or in accordance with the standard syndication process or customary market standards for dissemination of such type of information, including “click through” or other affirmative actions on the part of the recipient to receive such information) and to comply with all federal, state and other securities laws applicable with respect to such information and (ii) not to engage in any transactions with respect to the stock or other equity or debt securities or syndicated loans of Landlord or Landlord’s Parent based on any such Confidential Information provided by or on behalf of Tenant or Tenant’s Parent (provided, that this provision shall not govern the provision of information by Landlord or Landlord’s Parent).</w:t>
      </w:r>
    </w:p>
    <w:p>
      <w:pPr>
        <w:pStyle w:val="TextBody"/>
        <w:bidi w:val="0"/>
        <w:spacing w:lineRule="auto" w:line="288" w:before="0" w:after="240"/>
        <w:jc w:val="center"/>
        <w:rPr/>
      </w:pPr>
      <w:r>
        <w:rPr>
          <w:rFonts w:ascii="Times New Roman;serif" w:hAnsi="Times New Roman;serif"/>
          <w:b/>
          <w:color w:val="000000"/>
          <w:sz w:val="24"/>
        </w:rPr>
        <w:t>ARTICLE XXIV</w:t>
      </w:r>
      <w:r>
        <w:rPr>
          <w:rFonts w:ascii="Times New Roman;serif" w:hAnsi="Times New Roman;serif"/>
          <w:b/>
          <w:color w:val="000000"/>
          <w:sz w:val="24"/>
          <w:u w:val="single"/>
        </w:rPr>
        <w:br/>
        <w:br/>
        <w:t>LANDLORD’S RIGHT TO INSPECT</w:t>
      </w:r>
    </w:p>
    <w:p>
      <w:pPr>
        <w:pStyle w:val="TextBody"/>
        <w:bidi w:val="0"/>
        <w:spacing w:lineRule="auto" w:line="288" w:before="0" w:after="240"/>
        <w:ind w:left="0" w:right="0" w:firstLine="720"/>
        <w:jc w:val="both"/>
        <w:rPr/>
      </w:pPr>
      <w:r>
        <w:rPr>
          <w:rFonts w:ascii="Times New Roman;serif" w:hAnsi="Times New Roman;serif"/>
          <w:b/>
          <w:color w:val="000000"/>
          <w:sz w:val="24"/>
        </w:rPr>
        <w:t>24.1    </w:t>
      </w:r>
      <w:r>
        <w:rPr>
          <w:rFonts w:ascii="Times New Roman;serif" w:hAnsi="Times New Roman;serif"/>
          <w:b/>
          <w:color w:val="000000"/>
          <w:sz w:val="24"/>
          <w:u w:val="single"/>
        </w:rPr>
        <w:t>Landlord’s Right to Inspect</w:t>
      </w:r>
      <w:r>
        <w:rPr>
          <w:rFonts w:ascii="Times New Roman;serif" w:hAnsi="Times New Roman;serif"/>
          <w:b w:val="false"/>
          <w:color w:val="000000"/>
          <w:sz w:val="24"/>
        </w:rPr>
        <w:t>. Subject to any restrictions imposed by any Gaming Regulations or Gaming Authorities, upon reasonable advance notice to Tenant, Tenant shall permit Landlord and its authorized representatives to inspect its Leased Property during usual business hours. Landlord shall take care to minimize disturbance of the operations on the Leased Property, except in the case of emergency. Landlord shall indemnify and hold Tenant harmless from and against any claims, losses, costs or expenses arising as a result of Landlord’s or its representative’s entry onto the Leased Property.</w:t>
      </w:r>
    </w:p>
    <w:p>
      <w:pPr>
        <w:pStyle w:val="TextBody"/>
        <w:bidi w:val="0"/>
        <w:spacing w:lineRule="auto" w:line="288" w:before="0" w:after="240"/>
        <w:jc w:val="center"/>
        <w:rPr/>
      </w:pPr>
      <w:r>
        <w:rPr>
          <w:rFonts w:ascii="Times New Roman;serif" w:hAnsi="Times New Roman;serif"/>
          <w:b/>
          <w:color w:val="000000"/>
          <w:sz w:val="24"/>
        </w:rPr>
        <w:t>ARTICLE XXV</w:t>
      </w:r>
      <w:r>
        <w:rPr>
          <w:rFonts w:ascii="Times New Roman;serif" w:hAnsi="Times New Roman;serif"/>
          <w:b/>
          <w:color w:val="000000"/>
          <w:sz w:val="24"/>
          <w:u w:val="single"/>
        </w:rPr>
        <w:br/>
        <w:br/>
        <w:t>NO WAIVER</w:t>
      </w:r>
    </w:p>
    <w:p>
      <w:pPr>
        <w:pStyle w:val="TextBody"/>
        <w:bidi w:val="0"/>
        <w:spacing w:lineRule="auto" w:line="288" w:before="0" w:after="240"/>
        <w:ind w:left="0" w:right="0" w:firstLine="720"/>
        <w:jc w:val="both"/>
        <w:rPr/>
      </w:pPr>
      <w:r>
        <w:rPr>
          <w:rFonts w:ascii="Times New Roman;serif" w:hAnsi="Times New Roman;serif"/>
          <w:b/>
          <w:color w:val="000000"/>
          <w:sz w:val="24"/>
        </w:rPr>
        <w:t>25.1    </w:t>
      </w:r>
      <w:r>
        <w:rPr>
          <w:rFonts w:ascii="Times New Roman;serif" w:hAnsi="Times New Roman;serif"/>
          <w:b/>
          <w:color w:val="000000"/>
          <w:sz w:val="24"/>
          <w:u w:val="single"/>
        </w:rPr>
        <w:t>No Waiver</w:t>
      </w:r>
      <w:r>
        <w:rPr>
          <w:rFonts w:ascii="Times New Roman;serif" w:hAnsi="Times New Roman;serif"/>
          <w:b w:val="false"/>
          <w:color w:val="000000"/>
          <w:sz w:val="24"/>
        </w:rPr>
        <w:t>. No delay, omission or failure by Landlord or Tenant to insist upon the strict performance of any term hereof or to exercise any right, power or remedy hereunder and no acceptance of full or partial payment of Rent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pStyle w:val="TextBody"/>
        <w:bidi w:val="0"/>
        <w:spacing w:lineRule="auto" w:line="288" w:before="0" w:after="240"/>
        <w:jc w:val="center"/>
        <w:rPr/>
      </w:pPr>
      <w:r>
        <w:rPr>
          <w:rFonts w:ascii="Times New Roman;serif" w:hAnsi="Times New Roman;serif"/>
          <w:b/>
          <w:color w:val="000000"/>
          <w:sz w:val="24"/>
        </w:rPr>
        <w:t>ARTICLE XXVI</w:t>
      </w:r>
      <w:r>
        <w:rPr>
          <w:rFonts w:ascii="Times New Roman;serif" w:hAnsi="Times New Roman;serif"/>
          <w:b/>
          <w:color w:val="000000"/>
          <w:sz w:val="24"/>
          <w:u w:val="single"/>
        </w:rPr>
        <w:br/>
        <w:br/>
        <w:t>REMEDIES CUMULATIVE</w:t>
      </w:r>
    </w:p>
    <w:p>
      <w:pPr>
        <w:pStyle w:val="TextBody"/>
        <w:bidi w:val="0"/>
        <w:spacing w:lineRule="auto" w:line="288" w:before="0" w:after="240"/>
        <w:ind w:left="0" w:right="0" w:firstLine="720"/>
        <w:jc w:val="both"/>
        <w:rPr/>
      </w:pPr>
      <w:r>
        <w:rPr>
          <w:rFonts w:ascii="Times New Roman;serif" w:hAnsi="Times New Roman;serif"/>
          <w:b/>
          <w:color w:val="000000"/>
          <w:sz w:val="24"/>
        </w:rPr>
        <w:t>26.1    </w:t>
      </w:r>
      <w:r>
        <w:rPr>
          <w:rFonts w:ascii="Times New Roman;serif" w:hAnsi="Times New Roman;serif"/>
          <w:b/>
          <w:color w:val="000000"/>
          <w:sz w:val="24"/>
          <w:u w:val="single"/>
        </w:rPr>
        <w:t>Remedies Cumulative</w:t>
      </w:r>
      <w:r>
        <w:rPr>
          <w:rFonts w:ascii="Times New Roman;serif" w:hAnsi="Times New Roman;serif"/>
          <w:b w:val="false"/>
          <w:color w:val="000000"/>
          <w:sz w:val="24"/>
        </w:rPr>
        <w:t xml:space="preserve">. Unless otherwise provided herein and to the extent permitted by law, each legal, equitable or contractual right, power and remedy of Landlord now or hereafter provided either in this Master Lease or by statute or otherwise shall be cumulative and concurrent and shall be in addition to every other right, power and remedy and the exercise or beginning of the exercise by Landlord of any one or more of such rights, powers and remedies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preclude the simultaneous or subsequent exercise by Landlord of any or all of such other rights, powers and remedies.</w:t>
      </w:r>
    </w:p>
    <w:p>
      <w:pPr>
        <w:pStyle w:val="TextBody"/>
        <w:bidi w:val="0"/>
        <w:spacing w:lineRule="auto" w:line="288" w:before="0" w:after="240"/>
        <w:jc w:val="center"/>
        <w:rPr/>
      </w:pPr>
      <w:r>
        <w:rPr>
          <w:rFonts w:ascii="Times New Roman;serif" w:hAnsi="Times New Roman;serif"/>
          <w:b/>
          <w:color w:val="000000"/>
          <w:sz w:val="24"/>
        </w:rPr>
        <w:t>ARTICLE XXVII</w:t>
      </w:r>
      <w:r>
        <w:rPr>
          <w:rFonts w:ascii="Times New Roman;serif" w:hAnsi="Times New Roman;serif"/>
          <w:b/>
          <w:color w:val="000000"/>
          <w:sz w:val="24"/>
          <w:u w:val="single"/>
        </w:rPr>
        <w:br/>
        <w:br/>
        <w:t>ACCEPTANCE OF SURRENDER</w:t>
      </w:r>
    </w:p>
    <w:p>
      <w:pPr>
        <w:pStyle w:val="TextBody"/>
        <w:bidi w:val="0"/>
        <w:spacing w:lineRule="auto" w:line="288" w:before="0" w:after="240"/>
        <w:ind w:left="0" w:right="0" w:firstLine="720"/>
        <w:jc w:val="both"/>
        <w:rPr/>
      </w:pPr>
      <w:r>
        <w:rPr>
          <w:rFonts w:ascii="Times New Roman;serif" w:hAnsi="Times New Roman;serif"/>
          <w:b/>
          <w:color w:val="000000"/>
          <w:sz w:val="24"/>
        </w:rPr>
        <w:t>27.1    </w:t>
      </w:r>
      <w:r>
        <w:rPr>
          <w:rFonts w:ascii="Times New Roman;serif" w:hAnsi="Times New Roman;serif"/>
          <w:b/>
          <w:color w:val="000000"/>
          <w:sz w:val="24"/>
          <w:u w:val="single"/>
        </w:rPr>
        <w:t>Acceptance of Surrender</w:t>
      </w:r>
      <w:r>
        <w:rPr>
          <w:rFonts w:ascii="Times New Roman;serif" w:hAnsi="Times New Roman;serif"/>
          <w:b w:val="false"/>
          <w:color w:val="000000"/>
          <w:sz w:val="24"/>
        </w:rPr>
        <w:t>. No surrender to Landlord of this Master Lease or of any Leased Property or any 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pStyle w:val="TextBody"/>
        <w:bidi w:val="0"/>
        <w:spacing w:lineRule="auto" w:line="288" w:before="0" w:after="240"/>
        <w:jc w:val="center"/>
        <w:rPr/>
      </w:pPr>
      <w:r>
        <w:rPr>
          <w:rFonts w:ascii="Times New Roman;serif" w:hAnsi="Times New Roman;serif"/>
          <w:b/>
          <w:color w:val="000000"/>
          <w:sz w:val="24"/>
        </w:rPr>
        <w:t>ARTICLE XXVIII</w:t>
      </w:r>
      <w:r>
        <w:rPr>
          <w:rFonts w:ascii="Times New Roman;serif" w:hAnsi="Times New Roman;serif"/>
          <w:b/>
          <w:color w:val="000000"/>
          <w:sz w:val="24"/>
          <w:u w:val="single"/>
        </w:rPr>
        <w:br/>
        <w:br/>
        <w:t>NO MERGER</w:t>
      </w:r>
    </w:p>
    <w:p>
      <w:pPr>
        <w:pStyle w:val="TextBody"/>
        <w:bidi w:val="0"/>
        <w:spacing w:lineRule="auto" w:line="288" w:before="0" w:after="240"/>
        <w:ind w:left="0" w:right="0" w:firstLine="720"/>
        <w:jc w:val="both"/>
        <w:rPr/>
      </w:pPr>
      <w:r>
        <w:rPr>
          <w:rFonts w:ascii="Times New Roman;serif" w:hAnsi="Times New Roman;serif"/>
          <w:b/>
          <w:color w:val="000000"/>
          <w:sz w:val="24"/>
        </w:rPr>
        <w:t>28.1    </w:t>
      </w:r>
      <w:r>
        <w:rPr>
          <w:rFonts w:ascii="Times New Roman;serif" w:hAnsi="Times New Roman;serif"/>
          <w:b/>
          <w:color w:val="000000"/>
          <w:sz w:val="24"/>
          <w:u w:val="single"/>
        </w:rPr>
        <w:t>No Merger</w:t>
      </w:r>
      <w:r>
        <w:rPr>
          <w:rFonts w:ascii="Times New Roman;serif" w:hAnsi="Times New Roman;serif"/>
          <w:b w:val="false"/>
          <w:color w:val="000000"/>
          <w:sz w:val="24"/>
        </w:rPr>
        <w:t>. There shall be no merger of this Master Lease or of the Leasehold Estate created hereby by reason of the fact that the same Person may acquire, own or hold, directly or indirectly, (i) this Master Lease or the Leasehold Estate created hereby or any interest in this Master Lease or such Leasehold Estate and (ii) the fee estate in the Leased Property.</w:t>
      </w:r>
    </w:p>
    <w:p>
      <w:pPr>
        <w:pStyle w:val="TextBody"/>
        <w:bidi w:val="0"/>
        <w:spacing w:lineRule="auto" w:line="288" w:before="0" w:after="240"/>
        <w:jc w:val="center"/>
        <w:rPr/>
      </w:pPr>
      <w:r>
        <w:rPr>
          <w:rFonts w:ascii="Times New Roman;serif" w:hAnsi="Times New Roman;serif"/>
          <w:b/>
          <w:color w:val="000000"/>
          <w:sz w:val="24"/>
        </w:rPr>
        <w:t>ARTICLE XXIX</w:t>
      </w:r>
      <w:r>
        <w:rPr>
          <w:rFonts w:ascii="Times New Roman;serif" w:hAnsi="Times New Roman;serif"/>
          <w:b/>
          <w:color w:val="000000"/>
          <w:sz w:val="24"/>
          <w:u w:val="single"/>
        </w:rPr>
        <w:br/>
        <w:br/>
        <w:t>CONVEYANCE BY LANDLORD</w:t>
      </w:r>
    </w:p>
    <w:p>
      <w:pPr>
        <w:pStyle w:val="TextBody"/>
        <w:bidi w:val="0"/>
        <w:spacing w:lineRule="auto" w:line="288" w:before="0" w:after="240"/>
        <w:ind w:left="0" w:right="0" w:firstLine="720"/>
        <w:jc w:val="both"/>
        <w:rPr/>
      </w:pPr>
      <w:r>
        <w:rPr>
          <w:rFonts w:ascii="Times New Roman;serif" w:hAnsi="Times New Roman;serif"/>
          <w:b/>
          <w:color w:val="000000"/>
          <w:sz w:val="24"/>
        </w:rPr>
        <w:t>29.1    </w:t>
      </w:r>
      <w:r>
        <w:rPr>
          <w:rFonts w:ascii="Times New Roman;serif" w:hAnsi="Times New Roman;serif"/>
          <w:b/>
          <w:color w:val="000000"/>
          <w:sz w:val="24"/>
          <w:u w:val="single"/>
        </w:rPr>
        <w:t>Conveyance by Landlord</w:t>
      </w:r>
      <w:r>
        <w:rPr>
          <w:rFonts w:ascii="Times New Roman;serif" w:hAnsi="Times New Roman;serif"/>
          <w:b w:val="false"/>
          <w:color w:val="000000"/>
          <w:sz w:val="24"/>
        </w:rPr>
        <w:t xml:space="preserve">. If Landlord or any successor owner of the Leased Property shall convey the Leased Property in accordance with </w:t>
      </w:r>
      <w:r>
        <w:rPr>
          <w:rFonts w:ascii="Times New Roman;serif" w:hAnsi="Times New Roman;serif"/>
          <w:b/>
          <w:color w:val="000000"/>
          <w:sz w:val="24"/>
        </w:rPr>
        <w:t>Section 18.1</w:t>
      </w:r>
      <w:r>
        <w:rPr>
          <w:color w:val="000000"/>
        </w:rPr>
        <w:t xml:space="preserve"> </w:t>
      </w:r>
      <w:r>
        <w:rPr>
          <w:rFonts w:ascii="Times New Roman;serif" w:hAnsi="Times New Roman;serif"/>
          <w:b w:val="false"/>
          <w:color w:val="000000"/>
          <w:sz w:val="24"/>
        </w:rPr>
        <w:t>and the other terms 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Landlord under this Master Lease arising or accruing from and after the date of such conveyance or other transfer and all such future liabilities and obligations shall thereupon be binding upon the new owner.</w:t>
      </w:r>
    </w:p>
    <w:p>
      <w:pPr>
        <w:pStyle w:val="TextBody"/>
        <w:bidi w:val="0"/>
        <w:spacing w:lineRule="auto" w:line="288" w:before="0" w:after="240"/>
        <w:jc w:val="center"/>
        <w:rPr/>
      </w:pPr>
      <w:r>
        <w:rPr>
          <w:rFonts w:ascii="Times New Roman;serif" w:hAnsi="Times New Roman;serif"/>
          <w:b/>
          <w:color w:val="000000"/>
          <w:sz w:val="24"/>
        </w:rPr>
        <w:t>ARTICLE XXX</w:t>
      </w:r>
      <w:r>
        <w:rPr>
          <w:rFonts w:ascii="Times New Roman;serif" w:hAnsi="Times New Roman;serif"/>
          <w:b/>
          <w:color w:val="000000"/>
          <w:sz w:val="24"/>
          <w:u w:val="single"/>
        </w:rPr>
        <w:br/>
        <w:br/>
        <w:t>QUIET ENJOYMENT</w:t>
      </w:r>
    </w:p>
    <w:p>
      <w:pPr>
        <w:pStyle w:val="TextBody"/>
        <w:bidi w:val="0"/>
        <w:spacing w:lineRule="auto" w:line="288" w:before="0" w:after="240"/>
        <w:ind w:left="0" w:right="0" w:firstLine="720"/>
        <w:jc w:val="both"/>
        <w:rPr/>
      </w:pPr>
      <w:r>
        <w:rPr>
          <w:rFonts w:ascii="Times New Roman;serif" w:hAnsi="Times New Roman;serif"/>
          <w:b/>
          <w:color w:val="000000"/>
          <w:sz w:val="24"/>
        </w:rPr>
        <w:t>30.1    </w:t>
      </w:r>
      <w:r>
        <w:rPr>
          <w:rFonts w:ascii="Times New Roman;serif" w:hAnsi="Times New Roman;serif"/>
          <w:b/>
          <w:color w:val="000000"/>
          <w:sz w:val="24"/>
          <w:u w:val="single"/>
        </w:rPr>
        <w:t>Quiet Enjoyment</w:t>
      </w:r>
      <w:r>
        <w:rPr>
          <w:rFonts w:ascii="Times New Roman;serif" w:hAnsi="Times New Roman;serif"/>
          <w:b w:val="false"/>
          <w:color w:val="000000"/>
          <w:sz w:val="24"/>
        </w:rPr>
        <w:t xml:space="preserve">. So long as Tenant shall pay the Rent as the same becomes due and shall fully comply with all of the terms of this Master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specifically provided for in this Master Lease or consented to by Tenant in writing. No failure by Landlord to comply with the foregoing covenant shall give Tenant any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w:t>
      </w:r>
      <w:r>
        <w:rPr>
          <w:rFonts w:ascii="Times New Roman;serif" w:hAnsi="Times New Roman;serif"/>
          <w:b/>
          <w:color w:val="000000"/>
          <w:sz w:val="24"/>
        </w:rPr>
        <w:t>Article XXX</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ARTICLE XXXI</w:t>
      </w:r>
      <w:r>
        <w:rPr>
          <w:rFonts w:ascii="Times New Roman;serif" w:hAnsi="Times New Roman;serif"/>
          <w:b/>
          <w:color w:val="000000"/>
          <w:sz w:val="24"/>
          <w:u w:val="single"/>
        </w:rPr>
        <w:br/>
        <w:br/>
        <w:t>LANDLORD’S FINANCING</w:t>
      </w:r>
    </w:p>
    <w:p>
      <w:pPr>
        <w:pStyle w:val="TextBody"/>
        <w:bidi w:val="0"/>
        <w:spacing w:lineRule="auto" w:line="288" w:before="0" w:after="240"/>
        <w:ind w:left="0" w:right="0" w:firstLine="720"/>
        <w:jc w:val="both"/>
        <w:rPr/>
      </w:pPr>
      <w:r>
        <w:rPr>
          <w:rFonts w:ascii="Times New Roman;serif" w:hAnsi="Times New Roman;serif"/>
          <w:b/>
          <w:color w:val="000000"/>
          <w:sz w:val="24"/>
        </w:rPr>
        <w:t>31.1    </w:t>
      </w:r>
      <w:r>
        <w:rPr>
          <w:rFonts w:ascii="Times New Roman;serif" w:hAnsi="Times New Roman;serif"/>
          <w:b/>
          <w:color w:val="000000"/>
          <w:sz w:val="24"/>
          <w:u w:val="single"/>
        </w:rPr>
        <w:t>Landlord’s Financing</w:t>
      </w:r>
      <w:r>
        <w:rPr>
          <w:rFonts w:ascii="Times New Roman;serif" w:hAnsi="Times New Roman;serif"/>
          <w:b w:val="false"/>
          <w:color w:val="000000"/>
          <w:sz w:val="24"/>
        </w:rPr>
        <w:t>. Without the consent of Tenant, Landlord may from time to time, directly or indirectly, create or otherwise cause to exist any Facility Mortgage upon the Leased Property or any portion thereof or interest therein.</w:t>
      </w:r>
      <w:r>
        <w:rPr>
          <w:color w:val="000000"/>
        </w:rPr>
        <w:t xml:space="preserve"> </w:t>
      </w:r>
      <w:r>
        <w:rPr>
          <w:rFonts w:ascii="Times New Roman;serif" w:hAnsi="Times New Roman;serif"/>
          <w:b w:val="false"/>
          <w:color w:val="000000"/>
          <w:sz w:val="24"/>
        </w:rPr>
        <w:t xml:space="preserve">This Master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provided, however, that the subjection and subordination of this Master Lease and Tenant’s leasehold interest hereunder to any Facility Mortgage or any Foreclosure Purchaser (as defined below) including any Facility Mortgage in place at the time of execution of this Master Lease or contemporaneously herewith shall be conditioned upon the execution by the holder of each Facility Mortgage and delivery to Tenant of a subordination, nondisturbance and attornment agreement substantially in the form attached hereto as </w:t>
      </w:r>
      <w:r>
        <w:rPr>
          <w:rFonts w:ascii="Times New Roman;serif" w:hAnsi="Times New Roman;serif"/>
          <w:b/>
          <w:color w:val="000000"/>
          <w:sz w:val="24"/>
        </w:rPr>
        <w:t xml:space="preserve">Exhibit F-2 </w:t>
      </w:r>
      <w:r>
        <w:rPr>
          <w:rFonts w:ascii="Times New Roman;serif" w:hAnsi="Times New Roman;serif"/>
          <w:b w:val="false"/>
          <w:color w:val="000000"/>
          <w:sz w:val="24"/>
        </w:rPr>
        <w:t xml:space="preserve">or as otherwise satisfactory to Tenant and the Facility Mortgagee. Landlord shall deliver such a subordination, non-disturbance and attornment agreement to Tenant contemporaneously with the execution of this Master Lease with respect to any Facility Mortgage existing at the time of execution of this Master Lease. With respect to any Facility Mortgage on any vessel or barge, Landlord shall be required to deliver such subordination, nondisturbance and attornment agreement to Tenant from each holder of a Facility Mortgage on such vessel or barge prior to the recording or registration of such Facility Mortgage on such vessel or barge in a manner that would not, or the enforcement of remedies thereunder would not, affect or disturb the rights of Tenant under this Master Lease or the provisions of </w:t>
      </w:r>
      <w:r>
        <w:rPr>
          <w:rFonts w:ascii="Times New Roman;serif" w:hAnsi="Times New Roman;serif"/>
          <w:b/>
          <w:color w:val="000000"/>
          <w:sz w:val="24"/>
        </w:rPr>
        <w:t>Article XVII</w:t>
      </w:r>
      <w:r>
        <w:rPr>
          <w:color w:val="000000"/>
        </w:rPr>
        <w:t xml:space="preserve"> </w:t>
      </w:r>
      <w:r>
        <w:rPr>
          <w:rFonts w:ascii="Times New Roman;serif" w:hAnsi="Times New Roman;serif"/>
          <w:b w:val="false"/>
          <w:color w:val="000000"/>
          <w:sz w:val="24"/>
        </w:rPr>
        <w:t xml:space="preserve">which benefit any Permitted Leasehold Mortgagee, in the case of any Permitted Leasehold Mortgagee; provided, that upon the request of Landlord, such subordination, nondisturbance and attornment agreement shall be executed by Tenant as well as Landlord and be in substantially the form attached hereto as </w:t>
      </w:r>
      <w:r>
        <w:rPr>
          <w:rFonts w:ascii="Times New Roman;serif" w:hAnsi="Times New Roman;serif"/>
          <w:b/>
          <w:color w:val="000000"/>
          <w:sz w:val="24"/>
        </w:rPr>
        <w:t>Exhibit F-2</w:t>
      </w:r>
      <w:r>
        <w:rPr>
          <w:color w:val="000000"/>
        </w:rPr>
        <w:t xml:space="preserve"> </w:t>
      </w:r>
      <w:r>
        <w:rPr>
          <w:rFonts w:ascii="Times New Roman;serif" w:hAnsi="Times New Roman;serif"/>
          <w:b w:val="false"/>
          <w:color w:val="000000"/>
          <w:sz w:val="24"/>
        </w:rPr>
        <w:t>or as otherwise satisfactory to Tenant and the Facility Mortgagee. Each such subordination, nondisturbance and attornment agreement shall bind such holder of such Facility Mortgage and its successors and assigns as well as any person who acquires any portion of the Leased Property by assignment or in a foreclosure or similar proceeding or in a transfer in lieu of any such foreclosure or a successor owner of the Leased Property as well as their respective successors and assigns (each, a “</w:t>
      </w:r>
      <w:r>
        <w:rPr>
          <w:rFonts w:ascii="Times New Roman;serif" w:hAnsi="Times New Roman;serif"/>
          <w:b/>
          <w:color w:val="000000"/>
          <w:sz w:val="24"/>
        </w:rPr>
        <w:t>Foreclosure Purchaser</w:t>
      </w:r>
      <w:r>
        <w:rPr>
          <w:color w:val="000000"/>
        </w:rPr>
        <w:t>”</w:t>
      </w:r>
      <w:r>
        <w:rPr>
          <w:rFonts w:ascii="Times New Roman;serif" w:hAnsi="Times New Roman;serif"/>
          <w:b w:val="false"/>
          <w:color w:val="000000"/>
          <w:sz w:val="24"/>
        </w:rPr>
        <w:t xml:space="preserve">) and which shall provide that the holder of such Facility Mortgage, and any Foreclosure Purchaser shall not disturb Tenant’s leasehold interest or possession of the Leased Property in accordance with the terms hereof, or any of Tenant’s rights, privileges and options, and shall give effect to this Master Lease, including the provisions of </w:t>
      </w:r>
      <w:r>
        <w:rPr>
          <w:rFonts w:ascii="Times New Roman;serif" w:hAnsi="Times New Roman;serif"/>
          <w:b/>
          <w:color w:val="000000"/>
          <w:sz w:val="24"/>
        </w:rPr>
        <w:t>Article XVII</w:t>
      </w:r>
      <w:r>
        <w:rPr>
          <w:color w:val="000000"/>
        </w:rPr>
        <w:t xml:space="preserve"> </w:t>
      </w:r>
      <w:r>
        <w:rPr>
          <w:rFonts w:ascii="Times New Roman;serif" w:hAnsi="Times New Roman;serif"/>
          <w:b w:val="false"/>
          <w:color w:val="000000"/>
          <w:sz w:val="24"/>
        </w:rPr>
        <w:t xml:space="preserve">which benefit any Permitted Leasehold Mortgagee (as if such Facility Mortgagee or Foreclosure Purchaser were the landlord under this Master Lease (it being understood that if an Event of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Default has occurred and is continuing at such time such parties shall be subject to the terms and provisions hereof concerning the exercise of rights and remedies upon such Event of Default including the provisions of </w:t>
      </w:r>
      <w:r>
        <w:rPr>
          <w:rFonts w:ascii="Times New Roman;serif" w:hAnsi="Times New Roman;serif"/>
          <w:b/>
          <w:color w:val="000000"/>
          <w:sz w:val="24"/>
        </w:rPr>
        <w:t>Articles XVI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XXXVI</w:t>
      </w:r>
      <w:r>
        <w:rPr>
          <w:rFonts w:ascii="Times New Roman;serif" w:hAnsi="Times New Roman;serif"/>
          <w:b w:val="false"/>
          <w:color w:val="000000"/>
          <w:sz w:val="24"/>
        </w:rPr>
        <w:t xml:space="preserve">)). In connection with the foregoing and at the request of Landlord, Tenant shall promptly execute a subordination, nondisturbance and attornment agreement, in form and substance substantially in the form of </w:t>
      </w:r>
      <w:r>
        <w:rPr>
          <w:rFonts w:ascii="Times New Roman;serif" w:hAnsi="Times New Roman;serif"/>
          <w:b/>
          <w:color w:val="000000"/>
          <w:sz w:val="24"/>
        </w:rPr>
        <w:t>Exhibit F-2</w:t>
      </w:r>
      <w:r>
        <w:rPr>
          <w:color w:val="000000"/>
        </w:rPr>
        <w:t xml:space="preserve"> </w:t>
      </w:r>
      <w:r>
        <w:rPr>
          <w:rFonts w:ascii="Times New Roman;serif" w:hAnsi="Times New Roman;serif"/>
          <w:b w:val="false"/>
          <w:color w:val="000000"/>
          <w:sz w:val="24"/>
        </w:rPr>
        <w:t>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w:t>
      </w:r>
    </w:p>
    <w:p>
      <w:pPr>
        <w:pStyle w:val="TextBody"/>
        <w:bidi w:val="0"/>
        <w:spacing w:lineRule="auto" w:line="288" w:before="0" w:after="240"/>
        <w:ind w:left="0" w:right="0" w:firstLine="720"/>
        <w:jc w:val="both"/>
        <w:rPr/>
      </w:pPr>
      <w:r>
        <w:rPr>
          <w:rFonts w:ascii="Times New Roman;serif" w:hAnsi="Times New Roman;serif"/>
          <w:b/>
          <w:color w:val="000000"/>
          <w:sz w:val="24"/>
        </w:rPr>
        <w:t>31.2    </w:t>
      </w:r>
      <w:r>
        <w:rPr>
          <w:rFonts w:ascii="Times New Roman;serif" w:hAnsi="Times New Roman;serif"/>
          <w:b/>
          <w:color w:val="000000"/>
          <w:sz w:val="24"/>
          <w:u w:val="single"/>
        </w:rPr>
        <w:t>Attornment</w:t>
      </w:r>
      <w:r>
        <w:rPr>
          <w:rFonts w:ascii="Times New Roman;serif" w:hAnsi="Times New Roman;serif"/>
          <w:b w:val="false"/>
          <w:color w:val="000000"/>
          <w:sz w:val="24"/>
        </w:rPr>
        <w:t>. If Landlord’s interest in the Leased Property or any portion thereof or interest therein is sold, 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Business Days after request; and (b) the new owner or superior lessor shall not be (i) liable for any act or omission of Landlord under this Master Lease occurring prior to such sale, conveyance or termination; (ii) subject to any offset, abatement or reduction of rent because of any default of Landlord under this Master Lease occurring prior to such sale, conveyance or termination; (iii) bound by any previous material modification or amendment to this Master Lease or any previous prepayment of more than one month’s rent, unless such material modification, amendment or prepayment shall have been approved in writing by such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Master Lease unless such security deposit or other collateral has actually been delivered to such new owner or superior lessor.</w:t>
      </w:r>
    </w:p>
    <w:p>
      <w:pPr>
        <w:pStyle w:val="TextBody"/>
        <w:bidi w:val="0"/>
        <w:spacing w:lineRule="auto" w:line="288" w:before="0" w:after="240"/>
        <w:jc w:val="center"/>
        <w:rPr/>
      </w:pPr>
      <w:r>
        <w:rPr>
          <w:rFonts w:ascii="Times New Roman;serif" w:hAnsi="Times New Roman;serif"/>
          <w:b/>
          <w:color w:val="000000"/>
          <w:sz w:val="24"/>
        </w:rPr>
        <w:t>ARTICLE XXXII</w:t>
      </w:r>
      <w:r>
        <w:rPr>
          <w:rFonts w:ascii="Times New Roman;serif" w:hAnsi="Times New Roman;serif"/>
          <w:b/>
          <w:color w:val="000000"/>
          <w:sz w:val="24"/>
          <w:u w:val="single"/>
        </w:rPr>
        <w:br/>
        <w:br/>
        <w:t>HAZARDOUS SUBSTANCES</w:t>
      </w:r>
    </w:p>
    <w:p>
      <w:pPr>
        <w:pStyle w:val="TextBody"/>
        <w:bidi w:val="0"/>
        <w:spacing w:lineRule="auto" w:line="288" w:before="0" w:after="240"/>
        <w:ind w:left="0" w:right="0" w:firstLine="720"/>
        <w:jc w:val="both"/>
        <w:rPr/>
      </w:pPr>
      <w:r>
        <w:rPr>
          <w:rFonts w:ascii="Times New Roman;serif" w:hAnsi="Times New Roman;serif"/>
          <w:b/>
          <w:color w:val="000000"/>
          <w:sz w:val="24"/>
        </w:rPr>
        <w:t>32.1    </w:t>
      </w:r>
      <w:r>
        <w:rPr>
          <w:rFonts w:ascii="Times New Roman;serif" w:hAnsi="Times New Roman;serif"/>
          <w:b/>
          <w:color w:val="000000"/>
          <w:sz w:val="24"/>
          <w:u w:val="single"/>
        </w:rPr>
        <w:t>Hazardous Substances</w:t>
      </w:r>
      <w:r>
        <w:rPr>
          <w:rFonts w:ascii="Times New Roman;serif" w:hAnsi="Times New Roman;serif"/>
          <w:b w:val="false"/>
          <w:color w:val="000000"/>
          <w:sz w:val="24"/>
        </w:rPr>
        <w:t xml:space="preserve">. Tenant shall not allow any Hazardous Substance to be located in, on, under or about the Leased Property or incorporated in any Facility;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however, that Hazardous Substances may be brought, kept, used or disposed of in, on or about the Leased Property in quantities and for purposes similar to those brought, kept, used or disposed of in, on or about similar facilities used for purposes similar to the Primary Intended Use or in connection with the construction of facilities similar to the applicable Facility or to the extent in existence at any Facility and which are brought, kept,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pStyle w:val="TextBody"/>
        <w:bidi w:val="0"/>
        <w:spacing w:lineRule="auto" w:line="288" w:before="0" w:after="240"/>
        <w:ind w:left="0" w:right="0" w:firstLine="720"/>
        <w:jc w:val="both"/>
        <w:rPr/>
      </w:pPr>
      <w:r>
        <w:rPr>
          <w:rFonts w:ascii="Times New Roman;serif" w:hAnsi="Times New Roman;serif"/>
          <w:b/>
          <w:color w:val="000000"/>
          <w:sz w:val="24"/>
        </w:rPr>
        <w:t>32.2    </w:t>
      </w:r>
      <w:r>
        <w:rPr>
          <w:rFonts w:ascii="Times New Roman;serif" w:hAnsi="Times New Roman;serif"/>
          <w:b/>
          <w:color w:val="000000"/>
          <w:sz w:val="24"/>
          <w:u w:val="single"/>
        </w:rPr>
        <w:t>Notices</w:t>
      </w:r>
      <w:r>
        <w:rPr>
          <w:rFonts w:ascii="Times New Roman;serif" w:hAnsi="Times New Roman;serif"/>
          <w:b w:val="false"/>
          <w:color w:val="000000"/>
          <w:sz w:val="24"/>
        </w:rPr>
        <w:t xml:space="preserve">. Tenant shall provide to Landlord, within ten (10) Business Days after Tenant’s receipt thereof, a copy of any written notice or written notification with respect to, (i) any violation of a Legal Requirement relating to Hazardous Substances located in, on, or under the Leased Property or any adjacent property; (ii) any enforcement or other governmental or regulatory action instituted, completed or threatened with respect to the Leased Property relating to Hazardous Substances located in, on, or under the Leased Property; (iii) any claim made or threatened by any Person against Tenant or the Leased Property relating to damage, contribution, cost recovery, compensation, loss, or injury resulting from or claimed to result from any Hazardous Substance or violation of Environmental Law; and (iv) any reports which Tenant is aware of made to any federal, state or local environmental agency arising out of or in connection with the release of any Hazardous Substance in, on, under or removed from the Leased Property. </w:t>
      </w:r>
    </w:p>
    <w:p>
      <w:pPr>
        <w:pStyle w:val="TextBody"/>
        <w:bidi w:val="0"/>
        <w:spacing w:lineRule="auto" w:line="288" w:before="0" w:after="240"/>
        <w:ind w:left="0" w:right="0" w:firstLine="720"/>
        <w:jc w:val="both"/>
        <w:rPr/>
      </w:pPr>
      <w:r>
        <w:rPr>
          <w:rFonts w:ascii="Times New Roman;serif" w:hAnsi="Times New Roman;serif"/>
          <w:b/>
          <w:color w:val="000000"/>
          <w:sz w:val="24"/>
        </w:rPr>
        <w:t>32.3    </w:t>
      </w:r>
      <w:r>
        <w:rPr>
          <w:rFonts w:ascii="Times New Roman;serif" w:hAnsi="Times New Roman;serif"/>
          <w:b/>
          <w:color w:val="000000"/>
          <w:sz w:val="24"/>
          <w:u w:val="single"/>
        </w:rPr>
        <w:t>Remediation</w:t>
      </w:r>
      <w:r>
        <w:rPr>
          <w:rFonts w:ascii="Times New Roman;serif" w:hAnsi="Times New Roman;serif"/>
          <w:b w:val="false"/>
          <w:color w:val="000000"/>
          <w:sz w:val="24"/>
        </w:rPr>
        <w:t>. If Tenant becomes aware of a violation of any Legal Requirement relating to any Hazardous Substance in, on, under or about the Leased Property or any adjacent property, or if Tenant, Landlord or the Leased Property becomes subject to any order of any federal, state or local agency to repair, close, detoxify, decontaminate or otherwise remediate Hazardous Substance in, on, under or about the Leased Property, Tenant shall immediately notify 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pStyle w:val="TextBody"/>
        <w:bidi w:val="0"/>
        <w:spacing w:lineRule="auto" w:line="288" w:before="0" w:after="240"/>
        <w:ind w:left="0" w:right="0" w:firstLine="720"/>
        <w:jc w:val="both"/>
        <w:rPr/>
      </w:pPr>
      <w:r>
        <w:rPr>
          <w:rFonts w:ascii="Times New Roman;serif" w:hAnsi="Times New Roman;serif"/>
          <w:b/>
          <w:color w:val="000000"/>
          <w:sz w:val="24"/>
        </w:rPr>
        <w:t>32.4    </w:t>
      </w:r>
      <w:r>
        <w:rPr>
          <w:rFonts w:ascii="Times New Roman;serif" w:hAnsi="Times New Roman;serif"/>
          <w:b/>
          <w:color w:val="000000"/>
          <w:sz w:val="24"/>
          <w:u w:val="single"/>
        </w:rPr>
        <w:t>Indemnity</w:t>
      </w:r>
      <w:r>
        <w:rPr>
          <w:rFonts w:ascii="Times New Roman;serif" w:hAnsi="Times New Roman;serif"/>
          <w:b w:val="false"/>
          <w:color w:val="000000"/>
          <w:sz w:val="24"/>
        </w:rPr>
        <w:t>. Tenant shall indemnify, defend, protect, save, hold harmless, and reimburse Landlord for, from and against any and all costs, losses (including, losses of use or economic benefit or diminution in value), liabilities, damages, assessments, lawsuits, deficiencies, demands, claims and expenses (collectively, “</w:t>
      </w:r>
      <w:r>
        <w:rPr>
          <w:rFonts w:ascii="Times New Roman;serif" w:hAnsi="Times New Roman;serif"/>
          <w:b/>
          <w:color w:val="000000"/>
          <w:sz w:val="24"/>
        </w:rPr>
        <w:t>Environmental Costs</w:t>
      </w:r>
      <w:r>
        <w:rPr>
          <w:color w:val="000000"/>
        </w:rPr>
        <w:t>”</w:t>
      </w:r>
      <w:r>
        <w:rPr>
          <w:rFonts w:ascii="Times New Roman;serif" w:hAnsi="Times New Roman;serif"/>
          <w:b w:val="false"/>
          <w:color w:val="000000"/>
          <w:sz w:val="24"/>
        </w:rPr>
        <w:t>) (whether or not arising out of third-party claims and regardless of whether liability without fault is imposed, or sought to be imposed, on Landlord) incurred in connection with, arising out of or resulting from, directly or indirectly, the following, but only to the extent such occurs before or during (but not after) the Term and is not caused solely by the actions of Landlord: (i) the production, use, generation, storage, treatment, transporting, disposal, discharge, release or other handling or disposition of any Hazardous Substances from, in, on or about the Leased Property (collectively, “</w:t>
      </w:r>
      <w:r>
        <w:rPr>
          <w:rFonts w:ascii="Times New Roman;serif" w:hAnsi="Times New Roman;serif"/>
          <w:b/>
          <w:color w:val="000000"/>
          <w:sz w:val="24"/>
        </w:rPr>
        <w:t>Handling</w:t>
      </w:r>
      <w:r>
        <w:rPr>
          <w:color w:val="000000"/>
        </w:rPr>
        <w:t>”</w:t>
      </w:r>
      <w:r>
        <w:rPr>
          <w:rFonts w:ascii="Times New Roman;serif" w:hAnsi="Times New Roman;serif"/>
          <w:b w:val="false"/>
          <w:color w:val="000000"/>
          <w:sz w:val="24"/>
        </w:rPr>
        <w:t xml:space="preserve">), including the effects of such Handling of any Hazardous Substances on any Person or property within or outside the boundaries of the Leased Property, (ii) the presence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Hazardous Substances in, on, under or about the Leased Property and (iii) the violation of any Environmental Law. “Environmental Costs” include 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 expert fees, consultation fees, and court costs, and all amounts paid in investigating, defending or settling any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Without limiting the scope or generality of the foregoing, Tenant expressly agrees that, in the event of a breach by Tenant in its obligations under this </w:t>
      </w:r>
      <w:r>
        <w:rPr>
          <w:rFonts w:ascii="Times New Roman;serif" w:hAnsi="Times New Roman;serif"/>
          <w:b/>
          <w:color w:val="000000"/>
          <w:sz w:val="24"/>
        </w:rPr>
        <w:t>Section 32.4</w:t>
      </w:r>
      <w:r>
        <w:rPr>
          <w:color w:val="000000"/>
        </w:rPr>
        <w:t xml:space="preserve"> </w:t>
      </w:r>
      <w:r>
        <w:rPr>
          <w:rFonts w:ascii="Times New Roman;serif" w:hAnsi="Times New Roman;serif"/>
          <w:b w:val="false"/>
          <w:color w:val="000000"/>
          <w:sz w:val="24"/>
        </w:rPr>
        <w:t>that is not cured within any applicable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in investigating any and all matters relating to the Handling of any Hazardous Substances, in, on, from, under or about the Leased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bringing the Leased Property into compliance with all Legal Requirements;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removing, treating, storing, transporting, cleaning-up and/or disposing of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any claim is made by Landlord for reimbursement for Environmental Costs incurred by it hereunder, Tenant agrees to pay such claim promptly, and in any event to pay such claim within sixty (60) calendar days after receipt by Tenant of Notice thereof and any amount not so paid within such sixty (60) calendar day period shall bear interest at the Overdue Rate from the date due to the date paid in full.</w:t>
      </w:r>
    </w:p>
    <w:p>
      <w:pPr>
        <w:pStyle w:val="TextBody"/>
        <w:bidi w:val="0"/>
        <w:spacing w:lineRule="auto" w:line="288" w:before="0" w:after="240"/>
        <w:ind w:left="0" w:right="0" w:firstLine="720"/>
        <w:jc w:val="both"/>
        <w:rPr/>
      </w:pPr>
      <w:r>
        <w:rPr>
          <w:rFonts w:ascii="Times New Roman;serif" w:hAnsi="Times New Roman;serif"/>
          <w:b/>
          <w:color w:val="000000"/>
          <w:sz w:val="24"/>
        </w:rPr>
        <w:t>32.5    </w:t>
      </w:r>
      <w:r>
        <w:rPr>
          <w:rFonts w:ascii="Times New Roman;serif" w:hAnsi="Times New Roman;serif"/>
          <w:b/>
          <w:color w:val="000000"/>
          <w:sz w:val="24"/>
          <w:u w:val="single"/>
        </w:rPr>
        <w:t>Environmental Inspections</w:t>
      </w:r>
      <w:r>
        <w:rPr>
          <w:rFonts w:ascii="Times New Roman;serif" w:hAnsi="Times New Roman;serif"/>
          <w:b w:val="false"/>
          <w:color w:val="000000"/>
          <w:sz w:val="24"/>
        </w:rPr>
        <w:t xml:space="preserve">. In the event Landlord has a reasonable basis to believe that Tenant is in breach of its obligations under this </w:t>
      </w:r>
      <w:r>
        <w:rPr>
          <w:rFonts w:ascii="Times New Roman;serif" w:hAnsi="Times New Roman;serif"/>
          <w:b/>
          <w:color w:val="000000"/>
          <w:sz w:val="24"/>
        </w:rPr>
        <w:t>Article XXXII</w:t>
      </w:r>
      <w:r>
        <w:rPr>
          <w:rFonts w:ascii="Times New Roman;serif" w:hAnsi="Times New Roman;serif"/>
          <w:b w:val="false"/>
          <w:color w:val="000000"/>
          <w:sz w:val="24"/>
        </w:rPr>
        <w:t xml:space="preserve">, Landlord shall have the right, from time to time, during normal business hours and upon not less than five (5) days’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w:t>
      </w:r>
      <w:r>
        <w:rPr>
          <w:rFonts w:ascii="Times New Roman;serif" w:hAnsi="Times New Roman;serif"/>
          <w:b/>
          <w:color w:val="000000"/>
          <w:sz w:val="24"/>
        </w:rPr>
        <w:t>Section 32.5</w:t>
      </w:r>
      <w:r>
        <w:rPr>
          <w:color w:val="000000"/>
        </w:rPr>
        <w:t xml:space="preserve"> </w:t>
      </w:r>
      <w:r>
        <w:rPr>
          <w:rFonts w:ascii="Times New Roman;serif" w:hAnsi="Times New Roman;serif"/>
          <w:b w:val="false"/>
          <w:color w:val="000000"/>
          <w:sz w:val="24"/>
        </w:rPr>
        <w:t xml:space="preserve">shall be paid on demand as Additional Charges by Tenant to Landlord. Failure to conduct an environmental inspection or to detect unfavorable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this Master Lease. The obligations set forth in this </w:t>
      </w:r>
      <w:r>
        <w:rPr>
          <w:rFonts w:ascii="Times New Roman;serif" w:hAnsi="Times New Roman;serif"/>
          <w:b/>
          <w:color w:val="000000"/>
          <w:sz w:val="24"/>
        </w:rPr>
        <w:t>Article XXXII</w:t>
      </w:r>
      <w:r>
        <w:rPr>
          <w:color w:val="000000"/>
        </w:rPr>
        <w:t xml:space="preserve"> </w:t>
      </w:r>
      <w:r>
        <w:rPr>
          <w:rFonts w:ascii="Times New Roman;serif" w:hAnsi="Times New Roman;serif"/>
          <w:b w:val="false"/>
          <w:color w:val="000000"/>
          <w:sz w:val="24"/>
        </w:rPr>
        <w:t>shall survive the expiration or earlier termination of this Master Lease.</w:t>
      </w:r>
    </w:p>
    <w:p>
      <w:pPr>
        <w:pStyle w:val="TextBody"/>
        <w:bidi w:val="0"/>
        <w:spacing w:lineRule="auto" w:line="288" w:before="0" w:after="240"/>
        <w:jc w:val="center"/>
        <w:rPr/>
      </w:pPr>
      <w:r>
        <w:rPr>
          <w:rFonts w:ascii="Times New Roman;serif" w:hAnsi="Times New Roman;serif"/>
          <w:b/>
          <w:color w:val="000000"/>
          <w:sz w:val="24"/>
        </w:rPr>
        <w:t>ARTICLE XXXIII</w:t>
      </w:r>
      <w:r>
        <w:rPr>
          <w:rFonts w:ascii="Times New Roman;serif" w:hAnsi="Times New Roman;serif"/>
          <w:b/>
          <w:color w:val="000000"/>
          <w:sz w:val="24"/>
          <w:u w:val="single"/>
        </w:rPr>
        <w:br/>
        <w:br/>
        <w:t>MEMORANDUM OF LEASE</w:t>
      </w:r>
    </w:p>
    <w:p>
      <w:pPr>
        <w:pStyle w:val="TextBody"/>
        <w:bidi w:val="0"/>
        <w:spacing w:lineRule="auto" w:line="288" w:before="0" w:after="240"/>
        <w:ind w:left="0" w:right="0" w:firstLine="720"/>
        <w:jc w:val="both"/>
        <w:rPr/>
      </w:pPr>
      <w:r>
        <w:rPr>
          <w:rFonts w:ascii="Times New Roman;serif" w:hAnsi="Times New Roman;serif"/>
          <w:b/>
          <w:color w:val="000000"/>
          <w:sz w:val="24"/>
        </w:rPr>
        <w:t>33.1    </w:t>
      </w:r>
      <w:r>
        <w:rPr>
          <w:rFonts w:ascii="Times New Roman;serif" w:hAnsi="Times New Roman;serif"/>
          <w:b/>
          <w:color w:val="000000"/>
          <w:sz w:val="24"/>
          <w:u w:val="single"/>
        </w:rPr>
        <w:t>Memorandum of Lease</w:t>
      </w:r>
      <w:r>
        <w:rPr>
          <w:rFonts w:ascii="Times New Roman;serif" w:hAnsi="Times New Roman;serif"/>
          <w:b w:val="false"/>
          <w:color w:val="000000"/>
          <w:sz w:val="24"/>
        </w:rPr>
        <w:t xml:space="preserve">. Either party may request that the other party enter into one or more short form memoranda of this Master Lease, in the form attached hereto as </w:t>
      </w:r>
      <w:r>
        <w:rPr>
          <w:rFonts w:ascii="Times New Roman;serif" w:hAnsi="Times New Roman;serif"/>
          <w:b/>
          <w:color w:val="000000"/>
          <w:sz w:val="24"/>
        </w:rPr>
        <w:t>Exhibit G</w:t>
      </w:r>
      <w:r>
        <w:rPr>
          <w:rFonts w:ascii="Times New Roman;serif" w:hAnsi="Times New Roman;serif"/>
          <w:b w:val="false"/>
          <w:color w:val="000000"/>
          <w:sz w:val="24"/>
        </w:rPr>
        <w:t xml:space="preserve">. The party requesting the recordation of such memoranda shall be responsible for all costs and expenses of recording any such memorandum, and Tenant shall fully cooperate with Landlord in removing from record any such memorandum upon the expiration or earlier termination of the Term with respect to the applicable Facility. </w:t>
      </w:r>
    </w:p>
    <w:p>
      <w:pPr>
        <w:pStyle w:val="TextBody"/>
        <w:bidi w:val="0"/>
        <w:spacing w:lineRule="auto" w:line="288" w:before="0" w:after="240"/>
        <w:jc w:val="center"/>
        <w:rPr/>
      </w:pPr>
      <w:r>
        <w:rPr>
          <w:rFonts w:ascii="Times New Roman;serif" w:hAnsi="Times New Roman;serif"/>
          <w:b/>
          <w:color w:val="000000"/>
          <w:sz w:val="24"/>
        </w:rPr>
        <w:t>ARTICLE XXXIV</w:t>
      </w:r>
      <w:r>
        <w:rPr>
          <w:rFonts w:ascii="Times New Roman;serif" w:hAnsi="Times New Roman;serif"/>
          <w:b/>
          <w:color w:val="000000"/>
          <w:sz w:val="24"/>
          <w:u w:val="single"/>
        </w:rPr>
        <w:br/>
        <w:br/>
        <w:t>APPOINTING EXPERTS</w:t>
      </w:r>
    </w:p>
    <w:p>
      <w:pPr>
        <w:pStyle w:val="TextBody"/>
        <w:bidi w:val="0"/>
        <w:spacing w:lineRule="auto" w:line="288" w:before="0" w:after="240"/>
        <w:ind w:left="0" w:right="0" w:firstLine="720"/>
        <w:jc w:val="both"/>
        <w:rPr/>
      </w:pPr>
      <w:r>
        <w:rPr>
          <w:rFonts w:ascii="Times New Roman;serif" w:hAnsi="Times New Roman;serif"/>
          <w:b/>
          <w:color w:val="000000"/>
          <w:sz w:val="24"/>
        </w:rPr>
        <w:t>34.1    </w:t>
      </w:r>
      <w:r>
        <w:rPr>
          <w:rFonts w:ascii="Times New Roman;serif" w:hAnsi="Times New Roman;serif"/>
          <w:b/>
          <w:color w:val="000000"/>
          <w:sz w:val="24"/>
          <w:u w:val="single"/>
        </w:rPr>
        <w:t>Expert Dispute Resolution Process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In the event that the opinion of “Experts” is required under this Master Lease, Landlord and Tenant shall negotiate in good faith for no longer than ten (10) Business Days to appoint a single Expert. If Landlord and Tenant have not been able to reach agreement on such Person after such ten (10) Business Days of good faith negotiations, then Landlord and Tenant shall each within ten (10) Business Days after either party notifying the other of the need to appoint Experts and the subject matter of the dispute, appoint an Expert and Landlord’s and Tenant’s Experts shall, within ten (10) Business Days of their appointment, jointly appoint a third Expert (such three Experts, or such single Expert agreed upon by Landlord and Tenant, as applicable, shall be referred to herein as the “</w:t>
      </w:r>
      <w:r>
        <w:rPr>
          <w:rFonts w:ascii="Times New Roman;serif" w:hAnsi="Times New Roman;serif"/>
          <w:b/>
          <w:color w:val="000000"/>
          <w:sz w:val="24"/>
        </w:rPr>
        <w:t>Experts</w:t>
      </w:r>
      <w:r>
        <w:rPr>
          <w:color w:val="000000"/>
        </w:rPr>
        <w:t>”</w:t>
      </w:r>
      <w:r>
        <w:rPr>
          <w:rFonts w:ascii="Times New Roman;serif" w:hAnsi="Times New Roman;serif"/>
          <w:b w:val="false"/>
          <w:color w:val="000000"/>
          <w:sz w:val="24"/>
        </w:rPr>
        <w:t xml:space="preserve">). The three Experts so appointed, if applicable, shall make all decisions by majority vote of such Experts. If the two Experts so appointed are unable to appoint a third Expert within such ten (10) Business Day period, then either Landlord or Tenant may ask any court of competent jurisdiction to appoint the third Expert. If either Landlord or Tenant fails to timely appoint an Expert, the Expert appointed by the other party shall be the sole Expert in determining the relevant matter. Each Expert appointed hereunder shall have at least ten (10) years of experience valuing commercial real estate and/or in leasing or with respect to the matters to be determined, as applicable with respect to any of the matters to be determined by the Experts.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Once the Expert or Experts are selected, either by agreement of the parties or by selection of separate Experts followed by the appointment of a third Expert, the Experts will determine the matter in question, by proceeding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In the case of Experts required for the purposes of the definition of Allocable Rent Amount, Landlord and Tenant shall submit to the Experts their respective determinations of the relative fair value of each Facility in accordance with GAAP. The Experts will determine which determination of relative fair value most closely approximates the relative fair value of such Facility and may not select any other amount or make any other determination (and the Experts shall be so instructed). The Experts shall notify the parties within thirty (30) days of the submission of the matter to the Experts in writing of their decision as the conclusive determination of relative fair value.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In the case of Experts required for the purposes of </w:t>
      </w:r>
      <w:r>
        <w:rPr>
          <w:rFonts w:ascii="Times New Roman;serif" w:hAnsi="Times New Roman;serif"/>
          <w:b/>
          <w:color w:val="000000"/>
          <w:sz w:val="24"/>
        </w:rPr>
        <w:t>Section 3.5</w:t>
      </w:r>
      <w:r>
        <w:rPr>
          <w:color w:val="000000"/>
        </w:rPr>
        <w:t xml:space="preserve"> </w:t>
      </w:r>
      <w:r>
        <w:rPr>
          <w:rFonts w:ascii="Times New Roman;serif" w:hAnsi="Times New Roman;serif"/>
          <w:b w:val="false"/>
          <w:color w:val="000000"/>
          <w:sz w:val="24"/>
        </w:rPr>
        <w:t>hereof, Landlord and Tenant shall submit to the Experts their respective determinations of Fair Market Rent of each Appraiser. The Experts (applying the Fair Market Rent Assumptions) will determine which determination of Fair Market Rent most closely approximates Fair Market Rent and may not select any other amount or make any other determination (and the Experts shall be so instructed). The Experts shall notify the parties within thirty (30) days of the submission of the matter to the Experts in writing of their decision as the conclusive determination of Fair Market Rent.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In the case of Experts required for the purposes of </w:t>
      </w:r>
      <w:r>
        <w:rPr>
          <w:rFonts w:ascii="Times New Roman;serif" w:hAnsi="Times New Roman;serif"/>
          <w:b/>
          <w:color w:val="000000"/>
          <w:sz w:val="24"/>
        </w:rPr>
        <w:t>Section 4.1(g)</w:t>
      </w:r>
      <w:r>
        <w:rPr>
          <w:color w:val="000000"/>
        </w:rPr>
        <w:t xml:space="preserve"> </w:t>
      </w:r>
      <w:r>
        <w:rPr>
          <w:rFonts w:ascii="Times New Roman;serif" w:hAnsi="Times New Roman;serif"/>
          <w:b w:val="false"/>
          <w:color w:val="000000"/>
          <w:sz w:val="24"/>
        </w:rPr>
        <w:t xml:space="preserve">hereof, Landlord and Tenant shall submit to the Experts their respective determinations of the GRT Payment. The Experts will determine which determination of such GRT Payment is most appropriate and may not select any other determination of such GRT Payment or make any other determination (and the Experts shall be so instructed). The Experts shall notify the parties within thirty (30) days of the submission of the matter to the Experts in writing of their decision as the conclusive determination of the GRT Payment.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(iv)    In the case of Experts required for the purposes of </w:t>
      </w:r>
      <w:r>
        <w:rPr>
          <w:rFonts w:ascii="Times New Roman;serif" w:hAnsi="Times New Roman;serif"/>
          <w:b/>
          <w:color w:val="000000"/>
          <w:sz w:val="24"/>
        </w:rPr>
        <w:t>Section 5.1</w:t>
      </w:r>
      <w:r>
        <w:rPr>
          <w:color w:val="000000"/>
        </w:rPr>
        <w:t xml:space="preserve"> </w:t>
      </w:r>
      <w:r>
        <w:rPr>
          <w:rFonts w:ascii="Times New Roman;serif" w:hAnsi="Times New Roman;serif"/>
          <w:b w:val="false"/>
          <w:color w:val="000000"/>
          <w:sz w:val="24"/>
        </w:rPr>
        <w:t>hereof, Landlord and Tenant shall submit to the Experts their respective determinations of the allocation of Title Insurance Proceeds. The Experts will determine which determination of such allocation is most appropriate and may not select any other allocation or make any other determination (and the Experts shall be so instructed). The Experts shall notify the parties within thirty (30) days of the submission of the matter to the Experts in writing of their decision as the conclusive determination of the allocation of Title Insurance Proceeds.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In the case of Experts required for the purpose of </w:t>
      </w:r>
      <w:r>
        <w:rPr>
          <w:rFonts w:ascii="Times New Roman;serif" w:hAnsi="Times New Roman;serif"/>
          <w:b/>
          <w:color w:val="000000"/>
          <w:sz w:val="24"/>
        </w:rPr>
        <w:t>Section 14.2(b) or (c)</w:t>
      </w:r>
      <w:r>
        <w:rPr>
          <w:rFonts w:ascii="Times New Roman;serif" w:hAnsi="Times New Roman;serif"/>
          <w:b w:val="false"/>
          <w:color w:val="000000"/>
          <w:sz w:val="24"/>
        </w:rPr>
        <w:t xml:space="preserve">, Landlord and Tenant shall submit to the Experts their respective determinations for fair market value of the relevant Facility. The Experts may only select either the fair market value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fair market value as the conclusive determination of the fair market value.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    In the case of Experts required for the purpose of </w:t>
      </w:r>
      <w:r>
        <w:rPr>
          <w:rFonts w:ascii="Times New Roman;serif" w:hAnsi="Times New Roman;serif"/>
          <w:b/>
          <w:color w:val="000000"/>
          <w:sz w:val="24"/>
        </w:rPr>
        <w:t>Section 14.2(g)</w:t>
      </w:r>
      <w:r>
        <w:rPr>
          <w:rFonts w:ascii="Times New Roman;serif" w:hAnsi="Times New Roman;serif"/>
          <w:b w:val="false"/>
          <w:color w:val="000000"/>
          <w:sz w:val="24"/>
        </w:rPr>
        <w:t xml:space="preserve">, Landlord and Tenant shall submit to the Experts their respective determinations of the amount of the relevant Casualty Shortfall. The Experts may only select either the amount of the Casualty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Shortfall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amount of the Casualty Shortfall as the conclusive determination of the Casualty Shortfall</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(vii)    In the case of Experts required for the purpose of </w:t>
      </w:r>
      <w:r>
        <w:rPr>
          <w:rFonts w:ascii="Times New Roman;serif" w:hAnsi="Times New Roman;serif"/>
          <w:b/>
          <w:color w:val="000000"/>
          <w:sz w:val="24"/>
        </w:rPr>
        <w:t>Section 15.1</w:t>
      </w:r>
      <w:r>
        <w:rPr>
          <w:rFonts w:ascii="Times New Roman;serif" w:hAnsi="Times New Roman;serif"/>
          <w:b w:val="false"/>
          <w:color w:val="000000"/>
          <w:sz w:val="24"/>
        </w:rPr>
        <w:t xml:space="preserve">, Landlord and Tenant shall submit to the Experts their respective determinations of the percentage of a Facility taken by Condemnation and/or the fair market value of the relevant Facility. The Experts may only select either the percentage of a Facility and/or the fair market value set forth by Landlord or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percentage of a Facility and/or the fair market value as the conclusive determination of such percentage and/or fair market value.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(viii)    In the case of Experts required for the purpose of </w:t>
      </w:r>
      <w:r>
        <w:rPr>
          <w:rFonts w:ascii="Times New Roman;serif" w:hAnsi="Times New Roman;serif"/>
          <w:b/>
          <w:color w:val="000000"/>
          <w:sz w:val="24"/>
        </w:rPr>
        <w:t>Section 15.1(c)</w:t>
      </w:r>
      <w:r>
        <w:rPr>
          <w:rFonts w:ascii="Times New Roman;serif" w:hAnsi="Times New Roman;serif"/>
          <w:b w:val="false"/>
          <w:color w:val="000000"/>
          <w:sz w:val="24"/>
        </w:rPr>
        <w:t xml:space="preserve">, Landlord and Tenant shall submit to the Experts their respective determinations of the relative values of the property taken by Condemnation and the portion of the affected Facility remaining subject to the Master Lease. The Experts may only select either such relative values set forth by Landlord or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such relative values as the conclusive determination of such relative values.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(ix)    In the case of Experts required for the purpose of </w:t>
      </w:r>
      <w:r>
        <w:rPr>
          <w:rFonts w:ascii="Times New Roman;serif" w:hAnsi="Times New Roman;serif"/>
          <w:b/>
          <w:color w:val="000000"/>
          <w:sz w:val="24"/>
        </w:rPr>
        <w:t>Section 16.1</w:t>
      </w:r>
      <w:r>
        <w:rPr>
          <w:rFonts w:ascii="Times New Roman;serif" w:hAnsi="Times New Roman;serif"/>
          <w:b w:val="false"/>
          <w:color w:val="000000"/>
          <w:sz w:val="24"/>
        </w:rPr>
        <w:t xml:space="preserve">, Landlord and Tenant shall submit to the Experts their respective written descriptions of the events giving rise to Landlord’s belief that an Event of Default exists. The Experts may only determine whether or not the Event of Default alleged by Landlord has occurred and may not make any other determination (and the Experts shall be so instructed). The Experts shall notify the parties in writing within thirty (30) days of the submission of the matter to the Experts of their determination as to whether or not such an Event of Default has occurred as the conclusive determination of such matter.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(x)    In the case of Experts required for the purpose of </w:t>
      </w:r>
      <w:r>
        <w:rPr>
          <w:rFonts w:ascii="Times New Roman;serif" w:hAnsi="Times New Roman;serif"/>
          <w:b/>
          <w:color w:val="000000"/>
          <w:sz w:val="24"/>
        </w:rPr>
        <w:t>Section 18.2(b)</w:t>
      </w:r>
      <w:r>
        <w:rPr>
          <w:rFonts w:ascii="Times New Roman;serif" w:hAnsi="Times New Roman;serif"/>
          <w:b w:val="false"/>
          <w:color w:val="000000"/>
          <w:sz w:val="24"/>
        </w:rPr>
        <w:t xml:space="preserve">, Landlord and Tenant shall submit to the Experts their respective written descriptions of the events giving rise to whether a particular decision should be determined by an independent committee. The Experts may only determine whether or not such particular decision should be determined by an independent committee and may not make any other determination (and the Experts shall be so instructed). The Experts shall notify the parties in writing within thirty (30) days of the submission of the matter to the Experts of their determination as to whether or not such particular decision should be determined by an independent committee as the conclusive determination of such matter.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(xi)    In the case of Experts required for the purpose of </w:t>
      </w:r>
      <w:r>
        <w:rPr>
          <w:rFonts w:ascii="Times New Roman;serif" w:hAnsi="Times New Roman;serif"/>
          <w:b/>
          <w:color w:val="000000"/>
          <w:sz w:val="24"/>
        </w:rPr>
        <w:t>Section 18.3</w:t>
      </w:r>
      <w:r>
        <w:rPr>
          <w:rFonts w:ascii="Times New Roman;serif" w:hAnsi="Times New Roman;serif"/>
          <w:b w:val="false"/>
          <w:color w:val="000000"/>
          <w:sz w:val="24"/>
        </w:rPr>
        <w:t>, Landlord and Tenant shall submit to the Experts their respective determinations of whether a Person referenced in a Tenant Competitor Notice should, or should not, be deemed to be a Tenant Competitor.  The Experts may only determine whether or not a Person referenced in a Tenant Competitor Notice should, or should not, be deemed to be a Tenant Competitor, and may not make any other determination (and the Experts shall be so instructed).  The Experts shall notify the parties in writing within thirty (30) days of the submission of the matter to the Experts of their determination as to whether or not a Person referenced in a Tenant Competitor Notice should, or should not, be deemed to be a Tenant Competitor as the conclusive determination of such matter.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(xii)    In the case of Experts required for the purpose of </w:t>
      </w:r>
      <w:r>
        <w:rPr>
          <w:rFonts w:ascii="Times New Roman;serif" w:hAnsi="Times New Roman;serif"/>
          <w:b/>
          <w:color w:val="000000"/>
          <w:sz w:val="24"/>
        </w:rPr>
        <w:t>Section 36.1</w:t>
      </w:r>
      <w:r>
        <w:rPr>
          <w:rFonts w:ascii="Times New Roman;serif" w:hAnsi="Times New Roman;serif"/>
          <w:b w:val="false"/>
          <w:color w:val="000000"/>
          <w:sz w:val="24"/>
        </w:rPr>
        <w:t xml:space="preserve">, Landlord and Tenant shall submit to the Experts their respective determinations of the Tenant’s Property FMV. The Experts may only select either the Tenant’s Property FMV set forth by Landlord or Tenant and may not select any other amount or make any other determination (and the Experts shall be so instructed). The Experts shall notify the parties in writing within thirty (30) days of the submission of the matter to the Experts of their determination of the Tenant’s Property FMV as the conclusive determination of such matter.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In each case, the Experts will make the relevant determination by a “baseball arbitration” proceeding with the Experts limited to awarding only one or the other of the two positions submitted (and not any position in between or other compromise or ruling not consistent with one of the two positions submitted), which shall then be final and binding on the parties and not subject to appeal or court review. Either party may seek an order of a court of competent jurisdiction to enforce such determination. The Experts, in their sole discretion, shall consider any and all materials that they deem relevant, except that there shall be no live hearings and the parties shall not be permitted to take discovery. The Experts may submit written questions or information requests to the parties, and the parties may respond with written materials within a time frame set by the Experts to allow the Experts to make the relevant determination in the time allowed pursuant to this </w:t>
      </w:r>
      <w:r>
        <w:rPr>
          <w:rFonts w:ascii="Times New Roman;serif" w:hAnsi="Times New Roman;serif"/>
          <w:b/>
          <w:color w:val="000000"/>
          <w:sz w:val="24"/>
        </w:rPr>
        <w:t>Section 34.1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All communications between a party and the Experts shall also be copied to the other party. The parties shall cooperate in good faith to facilitate the valuation or other determination by the Experts.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Each of Landlord and Tenant shall pay the cost of the Expert appointed by it. The costs of the third Expert engaged with respect to any issue under </w:t>
      </w:r>
      <w:r>
        <w:rPr>
          <w:rFonts w:ascii="Times New Roman;serif" w:hAnsi="Times New Roman;serif"/>
          <w:b/>
          <w:color w:val="000000"/>
          <w:sz w:val="24"/>
        </w:rPr>
        <w:t>Section 34.1</w:t>
      </w:r>
      <w:r>
        <w:rPr>
          <w:color w:val="000000"/>
        </w:rPr>
        <w:t xml:space="preserve"> </w:t>
      </w:r>
      <w:r>
        <w:rPr>
          <w:rFonts w:ascii="Times New Roman;serif" w:hAnsi="Times New Roman;serif"/>
          <w:b w:val="false"/>
          <w:color w:val="000000"/>
          <w:sz w:val="24"/>
        </w:rPr>
        <w:t>of this Master Lease shall be borne by the party against whom the Experts rule on such issue. If Landlord pays such Expert and is the prevailing party, such costs shall be Additional Charges hereunder and if Tenant pays such Expert and is the prevailing party, such costs shall be a credit against the next Rent payment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XXXV</w:t>
      </w:r>
      <w:r>
        <w:rPr>
          <w:rFonts w:ascii="Times New Roman;serif" w:hAnsi="Times New Roman;serif"/>
          <w:b/>
          <w:color w:val="000000"/>
          <w:sz w:val="24"/>
          <w:u w:val="single"/>
        </w:rPr>
        <w:br/>
        <w:br/>
        <w:t>NOTICES</w:t>
      </w:r>
    </w:p>
    <w:p>
      <w:pPr>
        <w:pStyle w:val="TextBody"/>
        <w:bidi w:val="0"/>
        <w:spacing w:lineRule="auto" w:line="288" w:before="0" w:after="240"/>
        <w:ind w:left="0" w:right="0" w:firstLine="720"/>
        <w:jc w:val="both"/>
        <w:rPr/>
      </w:pPr>
      <w:r>
        <w:rPr>
          <w:rFonts w:ascii="Times New Roman;serif" w:hAnsi="Times New Roman;serif"/>
          <w:b/>
          <w:color w:val="000000"/>
          <w:sz w:val="24"/>
        </w:rPr>
        <w:t>35.1    </w:t>
      </w:r>
      <w:r>
        <w:rPr>
          <w:rFonts w:ascii="Times New Roman;serif" w:hAnsi="Times New Roman;serif"/>
          <w:b/>
          <w:color w:val="000000"/>
          <w:sz w:val="24"/>
          <w:u w:val="single"/>
        </w:rPr>
        <w:t>Notices</w:t>
      </w:r>
      <w:r>
        <w:rPr>
          <w:rFonts w:ascii="Times New Roman;serif" w:hAnsi="Times New Roman;serif"/>
          <w:b w:val="false"/>
          <w:color w:val="000000"/>
          <w:sz w:val="24"/>
        </w:rPr>
        <w:t xml:space="preserve">. Except as permitted in </w:t>
      </w:r>
      <w:r>
        <w:rPr>
          <w:rFonts w:ascii="Times New Roman;serif" w:hAnsi="Times New Roman;serif"/>
          <w:b/>
          <w:color w:val="000000"/>
          <w:sz w:val="24"/>
        </w:rPr>
        <w:t>Section 35.2</w:t>
      </w:r>
      <w:r>
        <w:rPr>
          <w:color w:val="000000"/>
        </w:rPr>
        <w:t xml:space="preserve"> </w:t>
      </w:r>
      <w:r>
        <w:rPr>
          <w:rFonts w:ascii="Times New Roman;serif" w:hAnsi="Times New Roman;serif"/>
          <w:b w:val="false"/>
          <w:color w:val="000000"/>
          <w:sz w:val="24"/>
        </w:rPr>
        <w:t>below, any notice, request or other communication to be given by any party hereunder shall be in writing and shall be sent by registered or certified mail, postage prepaid and return receipt requested, by hand delivery or nationally recognized express courier service to the following address:</w:t>
      </w:r>
    </w:p>
    <w:tbl>
      <w:tblPr>
        <w:tblW w:w="5996" w:type="dxa"/>
        <w:jc w:val="left"/>
        <w:tblInd w:w="0" w:type="dxa"/>
        <w:tblLayout w:type="fixed"/>
        <w:tblCellMar>
          <w:top w:w="28" w:type="dxa"/>
          <w:left w:w="28" w:type="dxa"/>
          <w:bottom w:w="28" w:type="dxa"/>
          <w:right w:w="28" w:type="dxa"/>
        </w:tblCellMar>
      </w:tblPr>
      <w:tblGrid>
        <w:gridCol w:w="124"/>
        <w:gridCol w:w="109"/>
        <w:gridCol w:w="109"/>
        <w:gridCol w:w="589"/>
        <w:gridCol w:w="589"/>
        <w:gridCol w:w="592"/>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 Tenant:</w:t>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MGM Lessee, LLC</w:t>
              <w:br/>
              <w:t>6385 S. Rainbow Boulevard, Suite 500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Las Vegas, NV 89118</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Corporate Legal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to:</w:t>
              <w:br/>
              <w:t>(that shall not</w:t>
              <w:br/>
              <w:t>constitute notice)</w:t>
            </w:r>
          </w:p>
        </w:tc>
        <w:tc>
          <w:tcPr>
            <w:tcW w:w="388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legalnotices@mgmresorts.com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With a copy to:</w:t>
              <w:br/>
              <w:t>(that shall not</w:t>
              <w:br/>
              <w:t>constitute notice)</w:t>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Weil, Gotshal &amp; Manges, LLP</w:t>
              <w:br/>
              <w:t>767 Fifth Avenue</w:t>
              <w:br/>
              <w:t>New York, NY 10153</w:t>
              <w:br/>
              <w:t>Attention: Michael Aiello</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Jannelle Seales</w:t>
              <w:br/>
              <w:t>Email: michael.aiello@weil.com</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jannelle.seales@weil.com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 Landlord:</w:t>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MGP Lessor, LLC</w:t>
              <w:br/>
              <w:t>c/o VICI Properties Inc.</w:t>
            </w:r>
          </w:p>
          <w:p>
            <w:pPr>
              <w:pStyle w:val="TableContents"/>
              <w:bidi w:val="0"/>
              <w:spacing w:lineRule="auto" w:line="288" w:before="0" w:after="0"/>
              <w:jc w:val="left"/>
              <w:rPr/>
            </w:pPr>
            <w:r>
              <w:rPr>
                <w:rFonts w:ascii="Times New Roman;serif" w:hAnsi="Times New Roman;serif"/>
                <w:b w:val="false"/>
                <w:color w:val="000000"/>
                <w:sz w:val="24"/>
              </w:rPr>
              <w:t>535 Madison Avenue, 28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corplaw@viciproperties.com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And with copy to</w:t>
              <w:br/>
              <w:t>(which shall not</w:t>
              <w:br/>
              <w:t>constitute notice):</w:t>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Kramer Levin Naftalis &amp; Frankel LLP</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1177 Avenue of the Americas</w:t>
              <w:br/>
              <w:t>New York, New York 10036</w:t>
              <w:br/>
              <w:t>Attention: Tzvi Rokeach</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trokeach@kramerlevin.com</w:t>
            </w:r>
          </w:p>
        </w:tc>
      </w:tr>
    </w:tbl>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A confirmatory copy of any such notice shall also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sent by email. Notwithstanding the foregoing or anything to the contrary contained in this Master Lease, Landlord shall accept delivery of any Specified Communications solely via email transmission to Landlord at corplaw@viciproperties.com with copies to VICILeaseAdmin@viciproperties.com; and further waives for all purposes any other delivery method prescribed in this Master Lease and any delivery of the same to any other Person.</w:t>
      </w:r>
    </w:p>
    <w:p>
      <w:pPr>
        <w:pStyle w:val="TextBody"/>
        <w:bidi w:val="0"/>
        <w:spacing w:lineRule="auto" w:line="288" w:before="0" w:after="240"/>
        <w:ind w:left="0" w:right="0" w:firstLine="720"/>
        <w:jc w:val="both"/>
        <w:rPr/>
      </w:pPr>
      <w:r>
        <w:rPr>
          <w:rFonts w:ascii="Times New Roman;serif" w:hAnsi="Times New Roman;serif"/>
          <w:b/>
          <w:color w:val="000000"/>
          <w:sz w:val="24"/>
        </w:rPr>
        <w:t>35.2    </w:t>
      </w:r>
      <w:r>
        <w:rPr>
          <w:rFonts w:ascii="Times New Roman;serif" w:hAnsi="Times New Roman;serif"/>
          <w:b/>
          <w:color w:val="000000"/>
          <w:sz w:val="24"/>
          <w:u w:val="single"/>
        </w:rPr>
        <w:t>Deemed Approval Period with respect to certain Items Requiring Consent</w:t>
      </w:r>
      <w:r>
        <w:rPr>
          <w:rFonts w:ascii="Times New Roman;serif" w:hAnsi="Times New Roman;serif"/>
          <w:b w:val="false"/>
          <w:color w:val="000000"/>
          <w:sz w:val="24"/>
        </w:rPr>
        <w:t xml:space="preserve">. Any request for consent to or approval of any plan, document, transaction, action, election, notification or similar matter set forth in this Master Lease that requires the consent or approval of Landlord, excluding </w:t>
      </w:r>
      <w:r>
        <w:rPr>
          <w:rFonts w:ascii="Times New Roman;serif" w:hAnsi="Times New Roman;serif"/>
          <w:b/>
          <w:color w:val="000000"/>
          <w:sz w:val="24"/>
        </w:rPr>
        <w:t>Articles XIV, XV and XVI</w:t>
      </w:r>
      <w:r>
        <w:rPr>
          <w:color w:val="000000"/>
        </w:rPr>
        <w:t xml:space="preserve"> </w:t>
      </w:r>
      <w:r>
        <w:rPr>
          <w:rFonts w:ascii="Times New Roman;serif" w:hAnsi="Times New Roman;serif"/>
          <w:b w:val="false"/>
          <w:color w:val="000000"/>
          <w:sz w:val="24"/>
        </w:rPr>
        <w:t>(each, an “</w:t>
      </w:r>
      <w:r>
        <w:rPr>
          <w:rFonts w:ascii="Times New Roman;serif" w:hAnsi="Times New Roman;serif"/>
          <w:b/>
          <w:color w:val="000000"/>
          <w:sz w:val="24"/>
        </w:rPr>
        <w:t>Item Subject to Deemed Consent</w:t>
      </w:r>
      <w:r>
        <w:rPr>
          <w:color w:val="000000"/>
        </w:rPr>
        <w:t>”</w:t>
      </w:r>
      <w:r>
        <w:rPr>
          <w:rFonts w:ascii="Times New Roman;serif" w:hAnsi="Times New Roman;serif"/>
          <w:b w:val="false"/>
          <w:color w:val="000000"/>
          <w:sz w:val="24"/>
        </w:rPr>
        <w:t xml:space="preserve">) shall be subject to the terms set forth in this </w:t>
      </w:r>
      <w:r>
        <w:rPr>
          <w:rFonts w:ascii="Times New Roman;serif" w:hAnsi="Times New Roman;serif"/>
          <w:b/>
          <w:color w:val="000000"/>
          <w:sz w:val="24"/>
        </w:rPr>
        <w:t>Section 35.2</w:t>
      </w:r>
      <w:r>
        <w:rPr>
          <w:rFonts w:ascii="Times New Roman;serif" w:hAnsi="Times New Roman;serif"/>
          <w:b w:val="false"/>
          <w:color w:val="000000"/>
          <w:sz w:val="24"/>
        </w:rPr>
        <w:t xml:space="preserve">. Tenant shall submit its request for such approval through a written notice in accordance with this Agreement. That notice shall include a reasonably detailed description of the applicable Item Subject to Deemed Consent, a copy of all material documents reflecting the terms and conditions of the applicable Item Subject to Deemed Consent, including the documentation required to be delivered under this Master Lease in connection with such request, and such additional information or documentation relating to the Item Subject to Deemed Consent as may be reasonably available to Tenant and that is reasonably necessary for the evaluation of the applicable Item Subject to Deemed Consent. Such request shall include in bold lettering the following statement: “FIRST NOTICE – THIS IS A REQUEST FOR LANDLORD’S CONSENT AND LANDLORD’S RESPONSE IS REQUESTED WITHIN TEN (10) BUSINESS DAYS OF RECEIPT OF THIS NOTICE PURSUANT TO THE TERMS OF THE LEASE BETWEEN THE UNDERSIGNED TENANT AND LANDLORD.” If Landlord does not respond to that first request within ten (10) Business Days following its receipt thereof (which response may be by e-mail and may consist of, among other things, a request for additional information reasonably available to Tenant or a qualified approval of the Item Subject to Deemed Consent subject to the satisfaction of specified reasonable conditions), Tenant may send an additional written request to Landlord with respect to the Item Subject to Deemed Consent which shall include in bold lettering the following statement “SECOND NOTICE – THIS IS A SECOND REQUEST FOR LANDLORD’S CONSENT AND LANDLORD’S RESPONSE IS REQUESTED WITHIN FIVE (5) BUSINESS DAYS OF RECEIPT OF THIS SECOND NOTICE PURSUANT TO THE TERMS OF THE LEASE BETWEEN THE UNDERSIGNED TENANT AND LANDLORD.” If Landlord does not respond to that second request within five (5) Business Days following its receipt thereof (which response may be by e-mail and may consist of, among other things, a request for additional information reasonably available to Tenant or a qualified approval of the Item Subject to Deemed Consent subject to the satisfaction of specified reasonable conditions), Tenant may send an additional written request to Landlord with respect to the Item Subject to Deemed Consent which shall include in bold lettering the following statement “THIS IS A THIRD AND FINAL REQUEST FOR LANDLORD’S CONSENT AND FAILURE TO RESPOND TO THIS THIRD REQUEST WITHIN THREE (3) BUSINESS DAYS WILL RESULT IN THE DEEMED APPROVAL OF THE REQUEST.” If Landlord does not respond to that third request within three (3) Business Days following its receipt thereof (which response may be by e-mail), then Landlord shall be deemed to have approved the applicable Item Subject to Deemed Consent as of the end of such three (3) Business Day period. Notwithstanding anything to the contrary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contained herein, with respect to a request for consent under </w:t>
      </w:r>
      <w:r>
        <w:rPr>
          <w:rFonts w:ascii="Times New Roman;serif" w:hAnsi="Times New Roman;serif"/>
          <w:b/>
          <w:color w:val="000000"/>
          <w:sz w:val="24"/>
        </w:rPr>
        <w:t>Section 8.3</w:t>
      </w:r>
      <w:r>
        <w:rPr>
          <w:rFonts w:ascii="Times New Roman;serif" w:hAnsi="Times New Roman;serif"/>
          <w:b w:val="false"/>
          <w:color w:val="000000"/>
          <w:sz w:val="24"/>
        </w:rPr>
        <w:t>, Tenant shall only be required to provide a first notice and second notice and a third notice shall not be required.</w:t>
      </w:r>
    </w:p>
    <w:p>
      <w:pPr>
        <w:pStyle w:val="TextBody"/>
        <w:bidi w:val="0"/>
        <w:spacing w:lineRule="auto" w:line="288" w:before="0" w:after="240"/>
        <w:ind w:left="0" w:right="0" w:firstLine="720"/>
        <w:jc w:val="both"/>
        <w:rPr/>
      </w:pPr>
      <w:r>
        <w:rPr>
          <w:rFonts w:ascii="Times New Roman;serif" w:hAnsi="Times New Roman;serif"/>
          <w:b/>
          <w:color w:val="000000"/>
          <w:sz w:val="24"/>
        </w:rPr>
        <w:t>35.3    </w:t>
      </w:r>
      <w:r>
        <w:rPr>
          <w:rFonts w:ascii="Times New Roman;serif" w:hAnsi="Times New Roman;serif"/>
          <w:b/>
          <w:color w:val="000000"/>
          <w:sz w:val="24"/>
          <w:u w:val="single"/>
        </w:rPr>
        <w:t>Unavoidable Delays</w:t>
      </w:r>
      <w:r>
        <w:rPr>
          <w:rFonts w:ascii="Times New Roman;serif" w:hAnsi="Times New Roman;serif"/>
          <w:b w:val="false"/>
          <w:color w:val="000000"/>
          <w:sz w:val="24"/>
        </w:rPr>
        <w:t>. Tenant shall notify Landlord promptly upon the occurrence of an event which constitutes an Unavoidable Delay, and shall keep Landlord apprised of the status of such Unavoidable Delay and the expiration thereof. Upon any Unavoidable Delay which Tenant can anticipate or otherwise mitigate the effect of on a commercially reasonable basis, Tenant shall undertake commercially reasonable actions to mitigate, or which are intended to mitigate, the effect of any such Unavoidable Delay.</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color w:val="000000"/>
          <w:sz w:val="24"/>
        </w:rPr>
        <w:t>ARTICLE XXXVI</w:t>
      </w:r>
      <w:r>
        <w:rPr>
          <w:rFonts w:ascii="Times New Roman;serif" w:hAnsi="Times New Roman;serif"/>
          <w:b/>
          <w:color w:val="000000"/>
          <w:sz w:val="24"/>
          <w:u w:val="single"/>
        </w:rPr>
        <w:br/>
        <w:br/>
        <w:t>TRANSITION UPON EXPIRATION OR TERMINATION</w:t>
      </w:r>
    </w:p>
    <w:p>
      <w:pPr>
        <w:pStyle w:val="TextBody"/>
        <w:bidi w:val="0"/>
        <w:spacing w:lineRule="auto" w:line="288" w:before="0" w:after="240"/>
        <w:ind w:left="0" w:right="0" w:firstLine="720"/>
        <w:jc w:val="both"/>
        <w:rPr/>
      </w:pPr>
      <w:r>
        <w:rPr>
          <w:rFonts w:ascii="Times New Roman;serif" w:hAnsi="Times New Roman;serif"/>
          <w:b/>
          <w:color w:val="000000"/>
          <w:sz w:val="24"/>
        </w:rPr>
        <w:t>36.1    </w:t>
      </w:r>
      <w:r>
        <w:rPr>
          <w:rFonts w:ascii="Times New Roman;serif" w:hAnsi="Times New Roman;serif"/>
          <w:b/>
          <w:color w:val="000000"/>
          <w:sz w:val="24"/>
          <w:u w:val="single"/>
        </w:rPr>
        <w:t>Transfer of Tenant’s Assets at the Facilities</w:t>
      </w:r>
      <w:r>
        <w:rPr>
          <w:rFonts w:ascii="Times New Roman;serif" w:hAnsi="Times New Roman;serif"/>
          <w:b w:val="false"/>
          <w:color w:val="000000"/>
          <w:sz w:val="24"/>
        </w:rPr>
        <w:t>. Upon the written notice (an “</w:t>
      </w:r>
      <w:r>
        <w:rPr>
          <w:rFonts w:ascii="Times New Roman;serif" w:hAnsi="Times New Roman;serif"/>
          <w:b/>
          <w:color w:val="000000"/>
          <w:sz w:val="24"/>
        </w:rPr>
        <w:t>End of Term Asset Transfer Notice</w:t>
      </w:r>
      <w:r>
        <w:rPr>
          <w:color w:val="000000"/>
        </w:rPr>
        <w:t>”</w:t>
      </w:r>
      <w:r>
        <w:rPr>
          <w:rFonts w:ascii="Times New Roman;serif" w:hAnsi="Times New Roman;serif"/>
          <w:b w:val="false"/>
          <w:color w:val="000000"/>
          <w:sz w:val="24"/>
        </w:rPr>
        <w:t>) of (i) upon expiration or earlier termination of the Term, Landlord or (ii) upon expiration of the Term at the end of all applicable Renewal Terms, Tenant, in each case at least six months prior to the expiration (or, if applicable, within ten (10) days following the earlier termination) of the Term, in the case of clause (i), Landlord may require that Tenant sell, or, in the case of clause (ii), Tenant may require that Landlord buy, as applicable, all tangible personal property constituting Tenant’s Property (including Gaming Equipment and hotel furniture, fixtures and equipment, but excluding, for the avoidance of doubt, Tenant’s business operations, Tenant’s Intellectual Property, Gaming Licenses, Excluded Assets, customer lists and other proprietary information used by Tenant in connection with its business operations and any Tenant Capital Improvements) (but including Corporate Shared Services Property to the extent transferable and necessary to satisfy the Operating Standard, and to the extent not transferable, Tenant will reasonably cooperate to transition such services provided with Corporate Shared Services Property to Landlord or Landlord’s designee in a manner that minimizes disruptions in operations at the Facilities) for consideration to be received by Tenant (or its Subsidiaries) from Landlord in an amount equal to the fair market value of such Tenant’s Property (the “</w:t>
      </w:r>
      <w:r>
        <w:rPr>
          <w:rFonts w:ascii="Times New Roman;serif" w:hAnsi="Times New Roman;serif"/>
          <w:b/>
          <w:color w:val="000000"/>
          <w:sz w:val="24"/>
        </w:rPr>
        <w:t>Tenant’s Property FMV</w:t>
      </w:r>
      <w:r>
        <w:rPr>
          <w:color w:val="000000"/>
        </w:rPr>
        <w:t>”</w:t>
      </w:r>
      <w:r>
        <w:rPr>
          <w:rFonts w:ascii="Times New Roman;serif" w:hAnsi="Times New Roman;serif"/>
          <w:b w:val="false"/>
          <w:color w:val="000000"/>
          <w:sz w:val="24"/>
        </w:rPr>
        <w:t xml:space="preserve">). Within ten (10) Business Days of Landlord’s delivery or receipt of an End of Term Asset Transfer Notice, Landlord shall notify Tenant in writing of Landlord’s good faith determination of the Tenant’s Property FMV. If Tenant disagrees with Landlord’s determination of the Tenant’s Property FMV, Tenant shall, within ten (10) Business Days of receipt of Landlord’s determination, notify Landlord in writing of Tenant’s determination of Tenant’s Property FMV. Landlord and Tenant shall negotiate in good faith to agree upon the Tenant’s Property FMV for an additional thirty (30) day period and if Landlord and Tenant are unable to agree during such 30 day period, the Tenant’s Property FMV will be determined by Experts in accordance with </w:t>
      </w:r>
      <w:r>
        <w:rPr>
          <w:rFonts w:ascii="Times New Roman;serif" w:hAnsi="Times New Roman;serif"/>
          <w:b/>
          <w:color w:val="000000"/>
          <w:sz w:val="24"/>
        </w:rPr>
        <w:t>Section 34.1.</w:t>
      </w:r>
      <w:r>
        <w:rPr>
          <w:color w:val="000000"/>
        </w:rPr>
        <w:t xml:space="preserve"> </w:t>
      </w:r>
      <w:r>
        <w:rPr>
          <w:rFonts w:ascii="Times New Roman;serif" w:hAnsi="Times New Roman;serif"/>
          <w:b w:val="false"/>
          <w:color w:val="000000"/>
          <w:sz w:val="24"/>
        </w:rPr>
        <w:t xml:space="preserve">Following the determination of the Tenant’s Property FMV, Landlord shall, on the later of ten (10) Business Days following such determination and the expiration of the Term, pay to Tenant or Tenant’s designee an amount equal to the Tenant’s Property FMV and Tenant shall sell, transfer and assign (subject to compliance with any applicable Gaming Regulations) all of Tenant’s right, title and interest in such Tenant’s Property to Landlord or Landlord’s designee free and clear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liens or encumbrances but on an “as-is” basis with no representations or warranties whatsoever. For the avoidance of doubt, it shall be a condition precedent to Tenant’s obligation to transfer any of Tenant’s Property pursuant to this </w:t>
      </w:r>
      <w:r>
        <w:rPr>
          <w:rFonts w:ascii="Times New Roman;serif" w:hAnsi="Times New Roman;serif"/>
          <w:b/>
          <w:color w:val="000000"/>
          <w:sz w:val="24"/>
        </w:rPr>
        <w:t xml:space="preserve">Article XXXVI </w:t>
      </w:r>
      <w:r>
        <w:rPr>
          <w:rFonts w:ascii="Times New Roman;serif" w:hAnsi="Times New Roman;serif"/>
          <w:b w:val="false"/>
          <w:color w:val="000000"/>
          <w:sz w:val="24"/>
        </w:rPr>
        <w:t>that the transferee shall comply with all Legal Requirements, including any Gaming Regulations with respect to the ownership of such property.</w:t>
      </w:r>
    </w:p>
    <w:p>
      <w:pPr>
        <w:pStyle w:val="TextBody"/>
        <w:bidi w:val="0"/>
        <w:spacing w:lineRule="auto" w:line="288" w:before="0" w:after="240"/>
        <w:jc w:val="center"/>
        <w:rPr/>
      </w:pPr>
      <w:r>
        <w:rPr>
          <w:rFonts w:ascii="Times New Roman;serif" w:hAnsi="Times New Roman;serif"/>
          <w:b/>
          <w:color w:val="000000"/>
          <w:sz w:val="24"/>
        </w:rPr>
        <w:t>ARTICLE XXXVII</w:t>
      </w:r>
      <w:r>
        <w:rPr>
          <w:rFonts w:ascii="Times New Roman;serif" w:hAnsi="Times New Roman;serif"/>
          <w:b/>
          <w:color w:val="000000"/>
          <w:sz w:val="24"/>
          <w:u w:val="single"/>
        </w:rPr>
        <w:br/>
        <w:br/>
        <w:t>ATTORNEY’S FEES</w:t>
      </w:r>
    </w:p>
    <w:p>
      <w:pPr>
        <w:pStyle w:val="TextBody"/>
        <w:bidi w:val="0"/>
        <w:spacing w:lineRule="auto" w:line="288" w:before="0" w:after="240"/>
        <w:ind w:left="0" w:right="0" w:firstLine="720"/>
        <w:jc w:val="both"/>
        <w:rPr/>
      </w:pPr>
      <w:r>
        <w:rPr>
          <w:rFonts w:ascii="Times New Roman;serif" w:hAnsi="Times New Roman;serif"/>
          <w:b/>
          <w:color w:val="000000"/>
          <w:sz w:val="24"/>
        </w:rPr>
        <w:t>37.1    </w:t>
      </w:r>
      <w:r>
        <w:rPr>
          <w:rFonts w:ascii="Times New Roman;serif" w:hAnsi="Times New Roman;serif"/>
          <w:b/>
          <w:color w:val="000000"/>
          <w:sz w:val="24"/>
          <w:u w:val="single"/>
        </w:rPr>
        <w:t>Attorneys’ Fees</w:t>
      </w:r>
      <w:r>
        <w:rPr>
          <w:rFonts w:ascii="Times New Roman;serif" w:hAnsi="Times New Roman;serif"/>
          <w:b w:val="false"/>
          <w:color w:val="000000"/>
          <w:sz w:val="24"/>
        </w:rPr>
        <w:t>. If Landlord or Tenant brings an action or other proceeding against the other to enforce or interpret any of the terms, covenants or conditions hereof or any instrument executed pursuant to this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Master Lease that specifically 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pStyle w:val="TextBody"/>
        <w:bidi w:val="0"/>
        <w:spacing w:lineRule="auto" w:line="288" w:before="0" w:after="240"/>
        <w:jc w:val="center"/>
        <w:rPr/>
      </w:pPr>
      <w:r>
        <w:rPr>
          <w:rFonts w:ascii="Times New Roman;serif" w:hAnsi="Times New Roman;serif"/>
          <w:b/>
          <w:color w:val="000000"/>
          <w:sz w:val="24"/>
        </w:rPr>
        <w:t>ARTICLE XXXVIII</w:t>
      </w:r>
      <w:r>
        <w:rPr>
          <w:rFonts w:ascii="Times New Roman;serif" w:hAnsi="Times New Roman;serif"/>
          <w:b/>
          <w:color w:val="000000"/>
          <w:sz w:val="24"/>
          <w:u w:val="single"/>
        </w:rPr>
        <w:br/>
        <w:br/>
        <w:t>BROKERS</w:t>
      </w:r>
    </w:p>
    <w:p>
      <w:pPr>
        <w:pStyle w:val="TextBody"/>
        <w:bidi w:val="0"/>
        <w:spacing w:lineRule="auto" w:line="288" w:before="0" w:after="240"/>
        <w:ind w:left="0" w:right="0" w:firstLine="720"/>
        <w:jc w:val="both"/>
        <w:rPr/>
      </w:pPr>
      <w:r>
        <w:rPr>
          <w:rFonts w:ascii="Times New Roman;serif" w:hAnsi="Times New Roman;serif"/>
          <w:b/>
          <w:color w:val="000000"/>
          <w:sz w:val="24"/>
        </w:rPr>
        <w:t>38.1    </w:t>
      </w:r>
      <w:r>
        <w:rPr>
          <w:rFonts w:ascii="Times New Roman;serif" w:hAnsi="Times New Roman;serif"/>
          <w:b/>
          <w:color w:val="000000"/>
          <w:sz w:val="24"/>
          <w:u w:val="single"/>
        </w:rPr>
        <w:t>Brokers</w:t>
      </w:r>
      <w:r>
        <w:rPr>
          <w:rFonts w:ascii="Times New Roman;serif" w:hAnsi="Times New Roman;serif"/>
          <w:b w:val="false"/>
          <w:color w:val="000000"/>
          <w:sz w:val="24"/>
        </w:rPr>
        <w:t>. Tenant warrants that it has not had any contact or dealings with any Person or real estate broker which would give rise to the payment of any 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pStyle w:val="TextBody"/>
        <w:bidi w:val="0"/>
        <w:spacing w:lineRule="auto" w:line="288" w:before="0" w:after="240"/>
        <w:jc w:val="center"/>
        <w:rPr/>
      </w:pPr>
      <w:r>
        <w:rPr>
          <w:rFonts w:ascii="Times New Roman;serif" w:hAnsi="Times New Roman;serif"/>
          <w:b/>
          <w:color w:val="000000"/>
          <w:sz w:val="24"/>
        </w:rPr>
        <w:t>ARTICLE XXXIX</w:t>
      </w:r>
      <w:r>
        <w:rPr>
          <w:rFonts w:ascii="Times New Roman;serif" w:hAnsi="Times New Roman;serif"/>
          <w:b/>
          <w:color w:val="000000"/>
          <w:sz w:val="24"/>
          <w:u w:val="single"/>
        </w:rPr>
        <w:br/>
        <w:br/>
        <w:t>OFAC</w:t>
      </w:r>
    </w:p>
    <w:p>
      <w:pPr>
        <w:pStyle w:val="TextBody"/>
        <w:bidi w:val="0"/>
        <w:spacing w:lineRule="auto" w:line="288" w:before="0" w:after="240"/>
        <w:ind w:left="0" w:right="0" w:firstLine="720"/>
        <w:jc w:val="left"/>
        <w:rPr/>
      </w:pPr>
      <w:r>
        <w:rPr>
          <w:rFonts w:ascii="Times New Roman;serif" w:hAnsi="Times New Roman;serif"/>
          <w:b/>
          <w:color w:val="000000"/>
          <w:sz w:val="24"/>
        </w:rPr>
        <w:t>39.1    </w:t>
      </w:r>
      <w:r>
        <w:rPr>
          <w:rFonts w:ascii="Times New Roman;serif" w:hAnsi="Times New Roman;serif"/>
          <w:b/>
          <w:color w:val="000000"/>
          <w:sz w:val="24"/>
          <w:u w:val="single"/>
        </w:rPr>
        <w:t>Sanctions Representations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Landlord and Tenant each hereby represent and warrant that neither they, nor, to their knowledge, any person that owns, directly or indirectly, any interest in Landlord or Tenant or any of Tenant’s affiliates as applicable, is (i) in material violation of any sanctions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program that is administered by the Office of Foreign Assets Control, U.S. Department of the Treasury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the U.S. Department of State, or any other agency of any government whose law applies to Landlord or Tenant (collectively, “</w:t>
      </w:r>
      <w:r>
        <w:rPr>
          <w:rFonts w:ascii="Times New Roman;serif" w:hAnsi="Times New Roman;serif"/>
          <w:b/>
          <w:color w:val="000000"/>
          <w:sz w:val="24"/>
        </w:rPr>
        <w:t>Sanctions Authority</w:t>
      </w:r>
      <w:r>
        <w:rPr>
          <w:color w:val="000000"/>
        </w:rPr>
        <w:t>”</w:t>
      </w:r>
      <w:r>
        <w:rPr>
          <w:rFonts w:ascii="Times New Roman;serif" w:hAnsi="Times New Roman;serif"/>
          <w:b w:val="false"/>
          <w:color w:val="000000"/>
          <w:sz w:val="24"/>
        </w:rPr>
        <w:t>); (ii) in material violation of the Trading with the Enemy Act, 50 U.S.C. App. § 5, the International Emergency Economic Powers Act, 50 U.S.C. §§ 1701-06, the U.S.A. Patriot Act, Public Law 107-56, Executive Order 13224 (September 23, 2001), if applicable, or any Executive Order of the President issued pursuant to such statutes; (iii) subject to any sanctions administered by any Sanctions Authority (collectively, “</w:t>
      </w:r>
      <w:r>
        <w:rPr>
          <w:rFonts w:ascii="Times New Roman;serif" w:hAnsi="Times New Roman;serif"/>
          <w:b/>
          <w:color w:val="000000"/>
          <w:sz w:val="24"/>
        </w:rPr>
        <w:t>Prohibited Persons</w:t>
      </w:r>
      <w:r>
        <w:rPr>
          <w:color w:val="000000"/>
        </w:rPr>
        <w:t>”</w:t>
      </w:r>
      <w:r>
        <w:rPr>
          <w:rFonts w:ascii="Times New Roman;serif" w:hAnsi="Times New Roman;serif"/>
          <w:b w:val="false"/>
          <w:color w:val="000000"/>
          <w:sz w:val="24"/>
        </w:rPr>
        <w:t xml:space="preserve">); or (iv) located in, or established under the laws of, any jurisdiction that is subject to an embargo administered by any Sanctions Authority.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Neither Landlord nor Tenant will, during the Term of this Master Lease, knowingly engage in any transactions or dealings with, or otherwise knowingly be associated with, any Prohibited Persons in connection with the ownership, or use or occupancy of, the Leased Property, as applicable. Tenant also shall not cause Landlord to violate any sanctions administered by any Sanctions Authority, including, but not limited to, OFAC. A breach of the representations (being untrue at any time during the Term) or covenants contained in this </w:t>
      </w:r>
      <w:r>
        <w:rPr>
          <w:rFonts w:ascii="Times New Roman;serif" w:hAnsi="Times New Roman;serif"/>
          <w:b/>
          <w:color w:val="000000"/>
          <w:sz w:val="24"/>
        </w:rPr>
        <w:t>Section 39.1</w:t>
      </w:r>
      <w:r>
        <w:rPr>
          <w:color w:val="000000"/>
        </w:rPr>
        <w:t xml:space="preserve"> </w:t>
      </w:r>
      <w:r>
        <w:rPr>
          <w:rFonts w:ascii="Times New Roman;serif" w:hAnsi="Times New Roman;serif"/>
          <w:b w:val="false"/>
          <w:color w:val="000000"/>
          <w:sz w:val="24"/>
        </w:rPr>
        <w:t>by Landlord or Tenant shall constitute a material breach of this Master Lease and shall entitle the other party to any and all remedies available hereunder, or at law or in equity.</w:t>
      </w:r>
    </w:p>
    <w:p>
      <w:pPr>
        <w:pStyle w:val="TextBody"/>
        <w:bidi w:val="0"/>
        <w:spacing w:lineRule="auto" w:line="288" w:before="0" w:after="240"/>
        <w:jc w:val="center"/>
        <w:rPr/>
      </w:pPr>
      <w:r>
        <w:rPr>
          <w:rFonts w:ascii="Times New Roman;serif" w:hAnsi="Times New Roman;serif"/>
          <w:b/>
          <w:color w:val="000000"/>
          <w:sz w:val="24"/>
        </w:rPr>
        <w:t>ARTICLE XL</w:t>
      </w:r>
      <w:r>
        <w:rPr>
          <w:rFonts w:ascii="Times New Roman;serif" w:hAnsi="Times New Roman;serif"/>
          <w:b/>
          <w:color w:val="000000"/>
          <w:sz w:val="24"/>
          <w:u w:val="single"/>
        </w:rPr>
        <w:br/>
        <w:br/>
        <w:t>REIT REQUIREMENTS</w:t>
      </w:r>
    </w:p>
    <w:p>
      <w:pPr>
        <w:pStyle w:val="TextBody"/>
        <w:bidi w:val="0"/>
        <w:spacing w:lineRule="auto" w:line="288" w:before="0" w:after="240"/>
        <w:ind w:left="0" w:right="0" w:firstLine="720"/>
        <w:jc w:val="both"/>
        <w:rPr/>
      </w:pPr>
      <w:r>
        <w:rPr>
          <w:rFonts w:ascii="Times New Roman;serif" w:hAnsi="Times New Roman;serif"/>
          <w:b/>
          <w:color w:val="000000"/>
          <w:sz w:val="24"/>
        </w:rPr>
        <w:t>40.1    </w:t>
      </w:r>
      <w:r>
        <w:rPr>
          <w:rFonts w:ascii="Times New Roman;serif" w:hAnsi="Times New Roman;serif"/>
          <w:b/>
          <w:color w:val="000000"/>
          <w:sz w:val="24"/>
          <w:u w:val="single"/>
        </w:rPr>
        <w:t>REIT Protection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parties hereto intend that Rent and other amounts paid by Tenant hereunder will qualify as “rents from real property” within the meaning of Section 856(d) of the Code, or any similar or successor provision thereto and this Master Lease shall be interpreted consistent with this intent.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Anything contained in this Master Lease to the contrary notwithstanding, Tenant shall not without Landlord’s advance written consent (which consent shall not be unreasonably withheld, conditioned or delayed) (i) sublet, assign or enter into a management arrangement for the Leased Property that is treated as an amount received for the use of or the right to use the Leased Property for purposes of Section 856(d) of the Code (as determined in the sole and absolute discretion of Landlord) to or with any Person in which Landlord REIT Affiliate owns an interest, directly or indirectly (by applying constructive ownership rules set forth in Section 856(d)(5) of the Code); or (ii) assign all or a portion of the Leasehold Estate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Landlord shall make reasonable best efforts to respond to any such request by Tenant (which request may be made solely through email transmission to Landlord at the email address set forth in </w:t>
      </w:r>
      <w:r>
        <w:rPr>
          <w:rFonts w:ascii="Times New Roman;serif" w:hAnsi="Times New Roman;serif"/>
          <w:b/>
          <w:color w:val="000000"/>
          <w:sz w:val="24"/>
        </w:rPr>
        <w:t>Section 35.1</w:t>
      </w:r>
      <w:r>
        <w:rPr>
          <w:color w:val="000000"/>
        </w:rPr>
        <w:t xml:space="preserve"> </w:t>
      </w:r>
      <w:r>
        <w:rPr>
          <w:rFonts w:ascii="Times New Roman;serif" w:hAnsi="Times New Roman;serif"/>
          <w:b w:val="false"/>
          <w:color w:val="000000"/>
          <w:sz w:val="24"/>
        </w:rPr>
        <w:t xml:space="preserve">notwithstanding anything to the contrary set forth in such section) for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consent to any arrangement described in this </w:t>
      </w:r>
      <w:r>
        <w:rPr>
          <w:rFonts w:ascii="Times New Roman;serif" w:hAnsi="Times New Roman;serif"/>
          <w:b/>
          <w:color w:val="000000"/>
          <w:sz w:val="24"/>
        </w:rPr>
        <w:t>Section 40.1(b)</w:t>
      </w:r>
      <w:r>
        <w:rPr>
          <w:color w:val="000000"/>
        </w:rPr>
        <w:t xml:space="preserve"> </w:t>
      </w:r>
      <w:r>
        <w:rPr>
          <w:rFonts w:ascii="Times New Roman;serif" w:hAnsi="Times New Roman;serif"/>
          <w:b w:val="false"/>
          <w:color w:val="000000"/>
          <w:sz w:val="24"/>
        </w:rPr>
        <w:t xml:space="preserve">within ten (10) Business Days. If Tenant fails to obtain Landlord’s consent as required pursuant to this </w:t>
      </w:r>
      <w:r>
        <w:rPr>
          <w:rFonts w:ascii="Times New Roman;serif" w:hAnsi="Times New Roman;serif"/>
          <w:b/>
          <w:color w:val="000000"/>
          <w:sz w:val="24"/>
        </w:rPr>
        <w:t>Section 40.1(b)</w:t>
      </w:r>
      <w:r>
        <w:rPr>
          <w:rFonts w:ascii="Times New Roman;serif" w:hAnsi="Times New Roman;serif"/>
          <w:b w:val="false"/>
          <w:color w:val="000000"/>
          <w:sz w:val="24"/>
        </w:rPr>
        <w:t xml:space="preserve">, then Tenant shall have the opportunity to cure such failure as provided by </w:t>
      </w:r>
      <w:r>
        <w:rPr>
          <w:rFonts w:ascii="Times New Roman;serif" w:hAnsi="Times New Roman;serif"/>
          <w:b/>
          <w:color w:val="000000"/>
          <w:sz w:val="24"/>
        </w:rPr>
        <w:t>Section 16.1(a)(xiii)</w:t>
      </w:r>
      <w:r>
        <w:rPr>
          <w:rFonts w:ascii="Times New Roman;serif" w:hAnsi="Times New Roman;serif"/>
          <w:b w:val="false"/>
          <w:color w:val="000000"/>
          <w:sz w:val="24"/>
        </w:rPr>
        <w:t>; provided, however, that Landlord shall waive the requirement for Tenant to cure such failure if (i) Tenant has acted in good faith and notifies Landlord of such failure promptly after becoming aware of such failure, and (ii) such failure, taken together with all other failures (including those waived pursuant to this sentence) and nonqualifying income items previously consented to by Landlord pursuant to this Section 40.1(b)) would not result in more than 0.5%</w:t>
      </w:r>
      <w:r>
        <w:rPr>
          <w:color w:val="000000"/>
        </w:rPr>
        <w:t xml:space="preserve"> </w:t>
      </w:r>
      <w:r>
        <w:rPr>
          <w:rFonts w:ascii="Times New Roman;serif" w:hAnsi="Times New Roman;serif"/>
          <w:b w:val="false"/>
          <w:color w:val="000000"/>
          <w:sz w:val="24"/>
        </w:rPr>
        <w:t xml:space="preserve">of the Rent under this Master Lease (or any replacement lease contemplated by </w:t>
      </w:r>
      <w:r>
        <w:rPr>
          <w:rFonts w:ascii="Times New Roman;serif" w:hAnsi="Times New Roman;serif"/>
          <w:b/>
          <w:color w:val="000000"/>
          <w:sz w:val="24"/>
        </w:rPr>
        <w:t>Section 22.2(iii)</w:t>
      </w:r>
      <w:r>
        <w:rPr>
          <w:rFonts w:ascii="Times New Roman;serif" w:hAnsi="Times New Roman;serif"/>
          <w:b w:val="false"/>
          <w:color w:val="000000"/>
          <w:sz w:val="24"/>
        </w:rPr>
        <w:t xml:space="preserve">) failing to qualify as “rents from real property” within the meaning of Section 856(d) of the Code during any taxable year of Landlord. The requirements of this </w:t>
      </w:r>
      <w:r>
        <w:rPr>
          <w:rFonts w:ascii="Times New Roman;serif" w:hAnsi="Times New Roman;serif"/>
          <w:b/>
          <w:color w:val="000000"/>
          <w:sz w:val="24"/>
        </w:rPr>
        <w:t>Section 40.1(b)</w:t>
      </w:r>
      <w:r>
        <w:rPr>
          <w:color w:val="000000"/>
        </w:rPr>
        <w:t xml:space="preserve"> </w:t>
      </w:r>
      <w:r>
        <w:rPr>
          <w:rFonts w:ascii="Times New Roman;serif" w:hAnsi="Times New Roman;serif"/>
          <w:b w:val="false"/>
          <w:color w:val="000000"/>
          <w:sz w:val="24"/>
        </w:rPr>
        <w:t xml:space="preserve">shall apply,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to any further sublease, assignment, or management contract by any subtenant, assignee, or manager.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Anything contained in this Master Lease to the contrary notwithstanding (except as provided in </w:t>
      </w:r>
      <w:r>
        <w:rPr>
          <w:rFonts w:ascii="Times New Roman;serif" w:hAnsi="Times New Roman;serif"/>
          <w:b/>
          <w:color w:val="000000"/>
          <w:sz w:val="24"/>
        </w:rPr>
        <w:t>Section 18.1</w:t>
      </w:r>
      <w:r>
        <w:rPr>
          <w:rFonts w:ascii="Times New Roman;serif" w:hAnsi="Times New Roman;serif"/>
          <w:b w:val="false"/>
          <w:color w:val="000000"/>
          <w:sz w:val="24"/>
        </w:rPr>
        <w:t>), the parties acknowledge and agree that Landlord, in its sole discretion, may assign this Master Lease or any interest herein to another Person (including without limitation, a “taxable REIT subsidiary” (within the meaning of Section 856(l) of the Code)) in order to maintain Landlord REIT Affiliate’s status as a “real estate investment trust” (within the meaning of Section 856(a) of the Code); provided, however, Landlord shall be required to (i) comply with any applicable legal requirements related to such transfer and (ii) give Tenant notice of any such assignment; and provided, further, that any such assignment shall be subject to all of the rights of Tenant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Anything contained in this Master Lease to the contrary notwithstanding, upon request of Landlord, Tenant shall cooperate with Landlord in good faith and at no cost or expense (other than de minimis cost) to Tenant, and provide such documentation and/or information as may be in Tenant’s possession or under Tenant’s control and otherwise readily available to Tenant as shall be reasonably requested by Landlord in connection with verification of Landlord REIT Affiliate’s “real estate investment trust” (within the meaning of Section 856(a) of the Code) compliance requirements. Upon the request of Landlord, but no more frequently than one (1) time per Fiscal Quarter, Tenant shall use reasonable best efforts to respond to inquiries by Landlord regarding REIT compliance and confirm to Landlord that Tenant has reviewed its transactions during the most recent fiscal quarter and is in compliance with the provisions set forth in </w:t>
      </w:r>
      <w:r>
        <w:rPr>
          <w:rFonts w:ascii="Times New Roman;serif" w:hAnsi="Times New Roman;serif"/>
          <w:b/>
          <w:color w:val="000000"/>
          <w:sz w:val="24"/>
        </w:rPr>
        <w:t>Section 40.1(a)</w:t>
      </w:r>
      <w:r>
        <w:rPr>
          <w:rFonts w:ascii="Times New Roman;serif" w:hAnsi="Times New Roman;serif"/>
          <w:b w:val="false"/>
          <w:color w:val="000000"/>
          <w:sz w:val="24"/>
        </w:rPr>
        <w:t>. If any Rent hereunder shall fail to qualify as “rent from real property” within the meaning of Section 856(d) of the Code (including by reason of any personal property in excess of the fifteen percent (15%) limit in Section 856(d)(2)(A)), the parties will cooperate in good faith to amend this Master Lease such that (or take such other action as reasonably required to ensure that) no such Rent fails to so qualify, provided that such amendment or action does not (i) increase Tenant’s monetary obligations under this Master Lease or (ii) materially and adversely increase Tenant’s nonmonetary obligations under this Master Lease or (iii) materially diminish Tenant’s rights under this Master Lease.</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XLI</w:t>
      </w:r>
      <w:r>
        <w:rPr>
          <w:rFonts w:ascii="Times New Roman;serif" w:hAnsi="Times New Roman;serif"/>
          <w:b/>
          <w:color w:val="000000"/>
          <w:sz w:val="24"/>
          <w:u w:val="single"/>
        </w:rPr>
        <w:br/>
        <w:br/>
        <w:t>MISCELLANEOUS</w:t>
      </w:r>
    </w:p>
    <w:p>
      <w:pPr>
        <w:pStyle w:val="TextBody"/>
        <w:bidi w:val="0"/>
        <w:spacing w:lineRule="auto" w:line="288" w:before="0" w:after="240"/>
        <w:ind w:left="0" w:right="0" w:firstLine="720"/>
        <w:jc w:val="both"/>
        <w:rPr/>
      </w:pPr>
      <w:r>
        <w:rPr>
          <w:rFonts w:ascii="Times New Roman;serif" w:hAnsi="Times New Roman;serif"/>
          <w:b/>
          <w:color w:val="000000"/>
          <w:sz w:val="24"/>
        </w:rPr>
        <w:t>41.1    </w:t>
      </w:r>
      <w:r>
        <w:rPr>
          <w:rFonts w:ascii="Times New Roman;serif" w:hAnsi="Times New Roman;serif"/>
          <w:b/>
          <w:color w:val="000000"/>
          <w:sz w:val="24"/>
          <w:u w:val="single"/>
        </w:rPr>
        <w:t>Survival</w:t>
      </w:r>
      <w:r>
        <w:rPr>
          <w:rFonts w:ascii="Times New Roman;serif" w:hAnsi="Times New Roman;serif"/>
          <w:b w:val="false"/>
          <w:color w:val="000000"/>
          <w:sz w:val="24"/>
        </w:rPr>
        <w:t>. Anything contained in this Master Lease to the contrary notwithstanding, all claims against, and liabilities and indemnities of Tenant or Landlord arising prior to the expiration or earlier termination of the Term shall survive such expiration or termination.</w:t>
      </w:r>
    </w:p>
    <w:p>
      <w:pPr>
        <w:pStyle w:val="TextBody"/>
        <w:bidi w:val="0"/>
        <w:spacing w:lineRule="auto" w:line="288" w:before="0" w:after="240"/>
        <w:ind w:left="0" w:right="0" w:firstLine="720"/>
        <w:jc w:val="both"/>
        <w:rPr/>
      </w:pPr>
      <w:r>
        <w:rPr>
          <w:rFonts w:ascii="Times New Roman;serif" w:hAnsi="Times New Roman;serif"/>
          <w:b/>
          <w:color w:val="000000"/>
          <w:sz w:val="24"/>
        </w:rPr>
        <w:t>41.2    </w:t>
      </w:r>
      <w:r>
        <w:rPr>
          <w:rFonts w:ascii="Times New Roman;serif" w:hAnsi="Times New Roman;serif"/>
          <w:b/>
          <w:color w:val="000000"/>
          <w:sz w:val="24"/>
          <w:u w:val="single"/>
        </w:rPr>
        <w:t>Severability</w:t>
      </w:r>
      <w:r>
        <w:rPr>
          <w:rFonts w:ascii="Times New Roman;serif" w:hAnsi="Times New Roman;serif"/>
          <w:b w:val="false"/>
          <w:color w:val="000000"/>
          <w:sz w:val="24"/>
        </w:rPr>
        <w:t>. If any term or provision of this Master Lease or any application thereof shall be held invalid or unenforceable, the remainder of this Master Lease and any other application of such term or provision shall not be affected thereby.</w:t>
      </w:r>
    </w:p>
    <w:p>
      <w:pPr>
        <w:pStyle w:val="TextBody"/>
        <w:bidi w:val="0"/>
        <w:spacing w:lineRule="auto" w:line="288" w:before="0" w:after="240"/>
        <w:ind w:left="0" w:right="0" w:firstLine="720"/>
        <w:jc w:val="both"/>
        <w:rPr/>
      </w:pPr>
      <w:r>
        <w:rPr>
          <w:rFonts w:ascii="Times New Roman;serif" w:hAnsi="Times New Roman;serif"/>
          <w:b/>
          <w:color w:val="000000"/>
          <w:sz w:val="24"/>
        </w:rPr>
        <w:t>41.3    </w:t>
      </w:r>
      <w:r>
        <w:rPr>
          <w:rFonts w:ascii="Times New Roman;serif" w:hAnsi="Times New Roman;serif"/>
          <w:b/>
          <w:color w:val="000000"/>
          <w:sz w:val="24"/>
          <w:u w:val="single"/>
        </w:rPr>
        <w:t>Non-Recourse</w:t>
      </w:r>
      <w:r>
        <w:rPr>
          <w:rFonts w:ascii="Times New Roman;serif" w:hAnsi="Times New Roman;serif"/>
          <w:b w:val="false"/>
          <w:color w:val="000000"/>
          <w:sz w:val="24"/>
        </w:rPr>
        <w:t>. Tenant specifically agrees to look solely to the Leased Property for recovery of any judgment from Landlord (and Landlord’s liability hereunder shall be limited solely to its interest in the Leased Property, and no recourse under or in respect of this Master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Landlord ever be liable to Tenant for any indirect or consequential damages suffered by Tenant from whatever cause. Neither Landlord nor Tenant shall be liable to the other, nor shall either make any claim against the other, for punitive damages.</w:t>
      </w:r>
    </w:p>
    <w:p>
      <w:pPr>
        <w:pStyle w:val="TextBody"/>
        <w:bidi w:val="0"/>
        <w:spacing w:lineRule="auto" w:line="288" w:before="0" w:after="240"/>
        <w:ind w:left="0" w:right="0" w:firstLine="720"/>
        <w:jc w:val="both"/>
        <w:rPr/>
      </w:pPr>
      <w:r>
        <w:rPr>
          <w:rFonts w:ascii="Times New Roman;serif" w:hAnsi="Times New Roman;serif"/>
          <w:b/>
          <w:color w:val="000000"/>
          <w:sz w:val="24"/>
        </w:rPr>
        <w:t>41.4    </w:t>
      </w:r>
      <w:r>
        <w:rPr>
          <w:rFonts w:ascii="Times New Roman;serif" w:hAnsi="Times New Roman;serif"/>
          <w:b/>
          <w:color w:val="000000"/>
          <w:sz w:val="24"/>
          <w:u w:val="single"/>
        </w:rPr>
        <w:t>Successors and Assigns</w:t>
      </w:r>
      <w:r>
        <w:rPr>
          <w:rFonts w:ascii="Times New Roman;serif" w:hAnsi="Times New Roman;serif"/>
          <w:b w:val="false"/>
          <w:color w:val="000000"/>
          <w:sz w:val="24"/>
        </w:rPr>
        <w:t xml:space="preserve">. This Master Lease shall be binding upon Landlord and its successors and assigns and, subject to the provisions of </w:t>
      </w:r>
      <w:r>
        <w:rPr>
          <w:rFonts w:ascii="Times New Roman;serif" w:hAnsi="Times New Roman;serif"/>
          <w:b/>
          <w:color w:val="000000"/>
          <w:sz w:val="24"/>
        </w:rPr>
        <w:t>Article XXII</w:t>
      </w:r>
      <w:r>
        <w:rPr>
          <w:rFonts w:ascii="Times New Roman;serif" w:hAnsi="Times New Roman;serif"/>
          <w:b w:val="false"/>
          <w:color w:val="000000"/>
          <w:sz w:val="24"/>
        </w:rPr>
        <w:t>, upon Tenant and its successors and assigns.</w:t>
      </w:r>
    </w:p>
    <w:p>
      <w:pPr>
        <w:pStyle w:val="TextBody"/>
        <w:bidi w:val="0"/>
        <w:spacing w:lineRule="auto" w:line="288" w:before="0" w:after="240"/>
        <w:ind w:left="0" w:right="0" w:firstLine="720"/>
        <w:jc w:val="both"/>
        <w:rPr/>
      </w:pPr>
      <w:r>
        <w:rPr>
          <w:rFonts w:ascii="Times New Roman;serif" w:hAnsi="Times New Roman;serif"/>
          <w:b/>
          <w:color w:val="000000"/>
          <w:sz w:val="24"/>
        </w:rPr>
        <w:t>41.5    </w:t>
      </w:r>
      <w:r>
        <w:rPr>
          <w:rFonts w:ascii="Times New Roman;serif" w:hAnsi="Times New Roman;serif"/>
          <w:b/>
          <w:color w:val="000000"/>
          <w:sz w:val="24"/>
          <w:u w:val="single"/>
        </w:rPr>
        <w:t>Governing Law</w:t>
      </w:r>
      <w:r>
        <w:rPr>
          <w:rFonts w:ascii="Times New Roman;serif" w:hAnsi="Times New Roman;serif"/>
          <w:b w:val="false"/>
          <w:color w:val="000000"/>
          <w:sz w:val="24"/>
        </w:rPr>
        <w:t xml:space="preserve">. THIS MASTER LEASE WAS NEGOTIATED IN THE STATE OF NEW YORK, WHICH STATE THE PARTIES AGREE HAS A SUBSTANTIAL RELATIONSHIP TO THE PARTIES AND TO THE UNDERLYING TRANSACTION EMBODIED HEREBY. ACCORDINGLY, IN ALL RESPECTS THIS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w:t>
      </w:r>
      <w:r>
        <w:rPr>
          <w:rFonts w:ascii="Times New Roman;serif" w:hAnsi="Times New Roman;serif"/>
          <w:b/>
          <w:color w:val="000000"/>
          <w:sz w:val="24"/>
        </w:rPr>
        <w:t>ARTICLE XVI</w:t>
      </w:r>
      <w:r>
        <w:rPr>
          <w:color w:val="000000"/>
        </w:rPr>
        <w:t xml:space="preserve"> </w:t>
      </w:r>
      <w:r>
        <w:rPr>
          <w:rFonts w:ascii="Times New Roman;serif" w:hAnsi="Times New Roman;serif"/>
          <w:b w:val="false"/>
          <w:color w:val="000000"/>
          <w:sz w:val="24"/>
        </w:rPr>
        <w:t>RELATING TO RECOVERY OF POSSESSION OF THE LEASED PROPERTY OF ANY FACILITY (SUCH AS AN ACTION FOR UNLAWFUL DETAINER, IN REM ACTION OR OTHER SIMILAR ACTION) SHALL BE CONSTRUED AND ENFORCED ACCORDING TO, AND GOVERNED BY, THE LAWS OF THE STATE IN WHICH THE LEASED PROPERTY IS LOCATED.</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41.6    </w:t>
      </w:r>
      <w:r>
        <w:rPr>
          <w:rFonts w:ascii="Times New Roman;serif" w:hAnsi="Times New Roman;serif"/>
          <w:b/>
          <w:color w:val="000000"/>
          <w:sz w:val="24"/>
          <w:u w:val="single"/>
        </w:rPr>
        <w:t>Waiver of Trial by Jury</w:t>
      </w:r>
      <w:r>
        <w:rPr>
          <w:rFonts w:ascii="Times New Roman;serif" w:hAnsi="Times New Roman;serif"/>
          <w:b w:val="false"/>
          <w:color w:val="000000"/>
          <w:sz w:val="24"/>
        </w:rPr>
        <w:t>. EACH OF LANDLORD AND TENANT ACKNOWLEDGES THAT IT HAS HAD THE ADVICE OF COUNSEL OF ITS CHOICE WITH RESPECT TO ITS RIGHTS TO TRIAL BY JURY UNDER THE CONSTITUTION OF THE UNITED STATES AND THE STATE. EACH OF LANDLORD AND TENANT HEREBY EXPRESSLY WAIVES ANY RIGHT TO TRIAL BY JURY OF ANY CLAIM, DEMAND, ACTION OR CAUSE OF ACTION (i) 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pStyle w:val="TextBody"/>
        <w:bidi w:val="0"/>
        <w:spacing w:lineRule="auto" w:line="288" w:before="0" w:after="240"/>
        <w:ind w:left="0" w:right="0" w:firstLine="720"/>
        <w:jc w:val="both"/>
        <w:rPr/>
      </w:pPr>
      <w:r>
        <w:rPr>
          <w:rFonts w:ascii="Times New Roman;serif" w:hAnsi="Times New Roman;serif"/>
          <w:b/>
          <w:color w:val="000000"/>
          <w:sz w:val="24"/>
        </w:rPr>
        <w:t>41.7    </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Master Lease and the Exhibits and Schedules hereto constitute the entire and final agreement of the parties with respect to the subject matter hereof, and may not be changed or modified except by an agreement in writing signed by the parties and, with respect to the provisions set forth in </w:t>
      </w:r>
      <w:r>
        <w:rPr>
          <w:rFonts w:ascii="Times New Roman;serif" w:hAnsi="Times New Roman;serif"/>
          <w:b/>
          <w:color w:val="000000"/>
          <w:sz w:val="24"/>
        </w:rPr>
        <w:t>Section 40.1</w:t>
      </w:r>
      <w:r>
        <w:rPr>
          <w:rFonts w:ascii="Times New Roman;serif" w:hAnsi="Times New Roman;serif"/>
          <w:b w:val="false"/>
          <w:color w:val="000000"/>
          <w:sz w:val="24"/>
        </w:rPr>
        <w:t>,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Master Lease.</w:t>
      </w:r>
    </w:p>
    <w:p>
      <w:pPr>
        <w:pStyle w:val="TextBody"/>
        <w:bidi w:val="0"/>
        <w:spacing w:lineRule="auto" w:line="288" w:before="0" w:after="240"/>
        <w:ind w:left="0" w:right="0" w:firstLine="720"/>
        <w:jc w:val="both"/>
        <w:rPr/>
      </w:pPr>
      <w:r>
        <w:rPr>
          <w:rFonts w:ascii="Times New Roman;serif" w:hAnsi="Times New Roman;serif"/>
          <w:b/>
          <w:color w:val="000000"/>
          <w:sz w:val="24"/>
        </w:rPr>
        <w:t>41.8    </w:t>
      </w:r>
      <w:r>
        <w:rPr>
          <w:rFonts w:ascii="Times New Roman;serif" w:hAnsi="Times New Roman;serif"/>
          <w:b/>
          <w:color w:val="000000"/>
          <w:sz w:val="24"/>
          <w:u w:val="single"/>
        </w:rPr>
        <w:t>Headings; Consent</w:t>
      </w:r>
      <w:r>
        <w:rPr>
          <w:rFonts w:ascii="Times New Roman;serif" w:hAnsi="Times New Roman;serif"/>
          <w:b w:val="false"/>
          <w:color w:val="000000"/>
          <w:sz w:val="24"/>
        </w:rPr>
        <w:t>. All titles and headings to sections, subsections, paragraphs or other divisions of this Master 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 When the consent of any party hereunder may not be unreasonably withheld, such consent also may not be unreasonably conditioned or delayed.</w:t>
      </w:r>
    </w:p>
    <w:p>
      <w:pPr>
        <w:pStyle w:val="TextBody"/>
        <w:bidi w:val="0"/>
        <w:spacing w:lineRule="auto" w:line="288" w:before="0" w:after="240"/>
        <w:ind w:left="0" w:right="0" w:firstLine="720"/>
        <w:jc w:val="left"/>
        <w:rPr/>
      </w:pPr>
      <w:r>
        <w:rPr>
          <w:rFonts w:ascii="Times New Roman;serif" w:hAnsi="Times New Roman;serif"/>
          <w:b/>
          <w:color w:val="000000"/>
          <w:sz w:val="24"/>
        </w:rPr>
        <w:t>41.9    </w:t>
      </w:r>
      <w:r>
        <w:rPr>
          <w:rFonts w:ascii="Times New Roman;serif" w:hAnsi="Times New Roman;serif"/>
          <w:b/>
          <w:color w:val="000000"/>
          <w:sz w:val="24"/>
          <w:u w:val="single"/>
        </w:rPr>
        <w:t>Counterparts</w:t>
      </w:r>
      <w:r>
        <w:rPr>
          <w:rFonts w:ascii="Times New Roman;serif" w:hAnsi="Times New Roman;serif"/>
          <w:b w:val="false"/>
          <w:color w:val="000000"/>
          <w:sz w:val="24"/>
        </w:rPr>
        <w:t>. This Master Lease may be executed in any number of counterparts and by facsimile or electronic signatures, each of which shall be a valid and binding original, but all of which together shall constitute one and the same instrument.</w:t>
      </w:r>
    </w:p>
    <w:p>
      <w:pPr>
        <w:pStyle w:val="TextBody"/>
        <w:bidi w:val="0"/>
        <w:spacing w:lineRule="auto" w:line="288" w:before="0" w:after="240"/>
        <w:ind w:left="0" w:right="0" w:firstLine="720"/>
        <w:jc w:val="both"/>
        <w:rPr/>
      </w:pPr>
      <w:r>
        <w:rPr>
          <w:rFonts w:ascii="Times New Roman;serif" w:hAnsi="Times New Roman;serif"/>
          <w:b/>
          <w:color w:val="000000"/>
          <w:sz w:val="24"/>
        </w:rPr>
        <w:t>41.10    </w:t>
      </w:r>
      <w:r>
        <w:rPr>
          <w:rFonts w:ascii="Times New Roman;serif" w:hAnsi="Times New Roman;serif"/>
          <w:b/>
          <w:color w:val="000000"/>
          <w:sz w:val="24"/>
          <w:u w:val="single"/>
        </w:rPr>
        <w:t>Interpretation</w:t>
      </w:r>
      <w:r>
        <w:rPr>
          <w:rFonts w:ascii="Times New Roman;serif" w:hAnsi="Times New Roman;serif"/>
          <w:b w:val="false"/>
          <w:color w:val="000000"/>
          <w:sz w:val="24"/>
        </w:rPr>
        <w:t>. Both Landlord and Tenant have been represented by counsel and this Master Lease and every provision hereof has been freely and fairly negotiated. Consequently, all provisions of this Master Lease shall be interpreted according to their fair meaning and shall not be strictly construed against any party.</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41.11    </w:t>
      </w:r>
      <w:r>
        <w:rPr>
          <w:rFonts w:ascii="Times New Roman;serif" w:hAnsi="Times New Roman;serif"/>
          <w:b/>
          <w:color w:val="000000"/>
          <w:sz w:val="24"/>
          <w:u w:val="single"/>
        </w:rPr>
        <w:t>Time of Essence</w:t>
      </w:r>
      <w:r>
        <w:rPr>
          <w:rFonts w:ascii="Times New Roman;serif" w:hAnsi="Times New Roman;serif"/>
          <w:b w:val="false"/>
          <w:color w:val="000000"/>
          <w:sz w:val="24"/>
        </w:rPr>
        <w:t>. TIME IS OF THE ESSENCE OF THIS MASTER LEASE AND EACH PROVISION HEREOF IN WHICH TIME OF PERFORMANCE IS ESTABLISHED.</w:t>
      </w:r>
    </w:p>
    <w:p>
      <w:pPr>
        <w:pStyle w:val="TextBody"/>
        <w:bidi w:val="0"/>
        <w:spacing w:lineRule="auto" w:line="288" w:before="0" w:after="240"/>
        <w:ind w:left="0" w:right="0" w:firstLine="720"/>
        <w:jc w:val="both"/>
        <w:rPr/>
      </w:pPr>
      <w:r>
        <w:rPr>
          <w:rFonts w:ascii="Times New Roman;serif" w:hAnsi="Times New Roman;serif"/>
          <w:b/>
          <w:color w:val="000000"/>
          <w:sz w:val="24"/>
        </w:rPr>
        <w:t>41.12    </w:t>
      </w:r>
      <w:r>
        <w:rPr>
          <w:rFonts w:ascii="Times New Roman;serif" w:hAnsi="Times New Roman;serif"/>
          <w:b/>
          <w:color w:val="000000"/>
          <w:sz w:val="24"/>
          <w:u w:val="single"/>
        </w:rPr>
        <w:t>Further Assurances</w:t>
      </w:r>
      <w:r>
        <w:rPr>
          <w:rFonts w:ascii="Times New Roman;serif" w:hAnsi="Times New Roman;serif"/>
          <w:b w:val="false"/>
          <w:color w:val="000000"/>
          <w:sz w:val="24"/>
        </w:rPr>
        <w:t xml:space="preserve">. The parties agree to promptly sign all documents reasonably requested to give effect to the provisions of this Master Lease. </w:t>
      </w:r>
    </w:p>
    <w:p>
      <w:pPr>
        <w:pStyle w:val="TextBody"/>
        <w:bidi w:val="0"/>
        <w:spacing w:lineRule="auto" w:line="288" w:before="0" w:after="240"/>
        <w:ind w:left="0" w:right="0" w:firstLine="720"/>
        <w:jc w:val="both"/>
        <w:rPr/>
      </w:pPr>
      <w:r>
        <w:rPr>
          <w:rFonts w:ascii="Times New Roman;serif" w:hAnsi="Times New Roman;serif"/>
          <w:b/>
          <w:color w:val="000000"/>
          <w:sz w:val="24"/>
        </w:rPr>
        <w:t>41.13    </w:t>
      </w:r>
      <w:r>
        <w:rPr>
          <w:rFonts w:ascii="Times New Roman;serif" w:hAnsi="Times New Roman;serif"/>
          <w:b/>
          <w:color w:val="000000"/>
          <w:sz w:val="24"/>
          <w:u w:val="single"/>
        </w:rPr>
        <w:t>Gaming Regulations</w:t>
      </w:r>
      <w:r>
        <w:rPr>
          <w:rFonts w:ascii="Times New Roman;serif" w:hAnsi="Times New Roman;serif"/>
          <w:b w:val="false"/>
          <w:color w:val="000000"/>
          <w:sz w:val="24"/>
        </w:rPr>
        <w:t>. (a) Notwithstanding anything to the contrary in this Master Lease, this Master Lease and any agreement formed pursuant to the terms hereof are subject to the Gaming Regulations and the laws involving the sale, distribution and possession of alcoholic beverages (the “</w:t>
      </w:r>
      <w:r>
        <w:rPr>
          <w:rFonts w:ascii="Times New Roman;serif" w:hAnsi="Times New Roman;serif"/>
          <w:b/>
          <w:color w:val="000000"/>
          <w:sz w:val="24"/>
        </w:rPr>
        <w:t>Liquor Laws</w:t>
      </w:r>
      <w:r>
        <w:rPr>
          <w:color w:val="000000"/>
        </w:rPr>
        <w:t>”</w:t>
      </w:r>
      <w:r>
        <w:rPr>
          <w:rFonts w:ascii="Times New Roman;serif" w:hAnsi="Times New Roman;serif"/>
          <w:b w:val="false"/>
          <w:color w:val="000000"/>
          <w:sz w:val="24"/>
        </w:rPr>
        <w:t>). Without limiting the foregoing, Landlord, and its respective Related Persons, successors and assigns acknowledges that (i) it is subject to being called forward by the Gaming Authority or governmental authority enforcing the Liquor Laws (the “</w:t>
      </w:r>
      <w:r>
        <w:rPr>
          <w:rFonts w:ascii="Times New Roman;serif" w:hAnsi="Times New Roman;serif"/>
          <w:b/>
          <w:color w:val="000000"/>
          <w:sz w:val="24"/>
        </w:rPr>
        <w:t>Liquor Authority</w:t>
      </w:r>
      <w:r>
        <w:rPr>
          <w:color w:val="000000"/>
        </w:rPr>
        <w:t>”</w:t>
      </w:r>
      <w:r>
        <w:rPr>
          <w:rFonts w:ascii="Times New Roman;serif" w:hAnsi="Times New Roman;serif"/>
          <w:b w:val="false"/>
          <w:color w:val="000000"/>
          <w:sz w:val="24"/>
        </w:rPr>
        <w:t>), in each of their discretion, for licensing or a finding of suitability or to file or provide other information, and (ii) all rights, remedies and powers under this Master Lease and any agreement formed pursuant to the terms hereof, including with respect to the entry into and ownership and operation of the Gaming Facilities, and Landlord’s right to possession or control of Gaming Equipment, alcoholic beverages or a Gaming License or liquor license, may be exercised only to the extent that the exercise thereof does not violate any applicable provisions of the Gaming Regulations and Liquor Laws and only to the extent that required approvals (including prior approvals) are obtained from the requisite Gaming Authority and/or Liquor Authority.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anything to the contrary in this Master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and/or the Facilities, including, without limitation, the provision of such documents or other information as may be requested by any such Gaming Authorities and/or Liquor Authorities relating to Tenant, Landlord, Tenant’s or Landlord’s successors and assigns or to this Master Lease or any agreement formed pursuant to the terms hereof. </w:t>
      </w:r>
    </w:p>
    <w:p>
      <w:pPr>
        <w:pStyle w:val="TextBody"/>
        <w:bidi w:val="0"/>
        <w:spacing w:lineRule="auto" w:line="288" w:before="0" w:after="240"/>
        <w:ind w:left="0" w:right="0" w:firstLine="720"/>
        <w:jc w:val="both"/>
        <w:rPr/>
      </w:pPr>
      <w:r>
        <w:rPr>
          <w:rFonts w:ascii="Times New Roman;serif" w:hAnsi="Times New Roman;serif"/>
          <w:b/>
          <w:color w:val="000000"/>
          <w:sz w:val="24"/>
        </w:rPr>
        <w:t>41.14    </w:t>
      </w:r>
      <w:r>
        <w:rPr>
          <w:rFonts w:ascii="Times New Roman;serif" w:hAnsi="Times New Roman;serif"/>
          <w:b/>
          <w:color w:val="000000"/>
          <w:sz w:val="24"/>
          <w:u w:val="single"/>
        </w:rPr>
        <w:t>Regulatory Requirements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New Jersey Approval by Casino Control Commission</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This Master Lease and the parties, in each case as it relates to Borgata Hotel Casino &amp; Spa, Atlantic City, New Jersey (“</w:t>
      </w:r>
      <w:r>
        <w:rPr>
          <w:rFonts w:ascii="Times New Roman;serif" w:hAnsi="Times New Roman;serif"/>
          <w:b/>
          <w:color w:val="000000"/>
          <w:sz w:val="24"/>
        </w:rPr>
        <w:t>Borgata</w:t>
      </w:r>
      <w:r>
        <w:rPr>
          <w:color w:val="000000"/>
        </w:rPr>
        <w:t>”</w:t>
      </w:r>
      <w:r>
        <w:rPr>
          <w:rFonts w:ascii="Times New Roman;serif" w:hAnsi="Times New Roman;serif"/>
          <w:b w:val="false"/>
          <w:color w:val="000000"/>
          <w:sz w:val="24"/>
        </w:rPr>
        <w:t>) only, are subject to compliance with the requirements of the New Jersey Casino Control Act, N.J.S.A. 5:12-1 et seq., (the “</w:t>
      </w:r>
      <w:r>
        <w:rPr>
          <w:rFonts w:ascii="Times New Roman;serif" w:hAnsi="Times New Roman;serif"/>
          <w:b/>
          <w:color w:val="000000"/>
          <w:sz w:val="24"/>
        </w:rPr>
        <w:t>Act</w:t>
      </w:r>
      <w:r>
        <w:rPr>
          <w:color w:val="000000"/>
        </w:rPr>
        <w:t>”</w:t>
      </w:r>
      <w:r>
        <w:rPr>
          <w:rFonts w:ascii="Times New Roman;serif" w:hAnsi="Times New Roman;serif"/>
          <w:b w:val="false"/>
          <w:color w:val="000000"/>
          <w:sz w:val="24"/>
        </w:rPr>
        <w:t>), and the regulations promulgated thereunder.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    In accordance with the requirements of N.J.S.A. 5:12-82c, this Master Lease and any further amendments thereto must be filed with the New Jersey Casino Control Commission (“</w:t>
      </w:r>
      <w:r>
        <w:rPr>
          <w:rFonts w:ascii="Times New Roman;serif" w:hAnsi="Times New Roman;serif"/>
          <w:b/>
          <w:color w:val="000000"/>
          <w:sz w:val="24"/>
        </w:rPr>
        <w:t>Commission</w:t>
      </w:r>
      <w:r>
        <w:rPr>
          <w:color w:val="000000"/>
        </w:rPr>
        <w:t>”</w:t>
      </w:r>
      <w:r>
        <w:rPr>
          <w:rFonts w:ascii="Times New Roman;serif" w:hAnsi="Times New Roman;serif"/>
          <w:b w:val="false"/>
          <w:color w:val="000000"/>
          <w:sz w:val="24"/>
        </w:rPr>
        <w:t>) and the New Jersey Division of Gaming Enforcement (“</w:t>
      </w:r>
      <w:r>
        <w:rPr>
          <w:rFonts w:ascii="Times New Roman;serif" w:hAnsi="Times New Roman;serif"/>
          <w:b/>
          <w:color w:val="000000"/>
          <w:sz w:val="24"/>
        </w:rPr>
        <w:t>Division</w:t>
      </w:r>
      <w:r>
        <w:rPr>
          <w:color w:val="000000"/>
        </w:rPr>
        <w:t>”</w:t>
      </w:r>
      <w:r>
        <w:rPr>
          <w:rFonts w:ascii="Times New Roman;serif" w:hAnsi="Times New Roman;serif"/>
          <w:b w:val="false"/>
          <w:color w:val="000000"/>
          <w:sz w:val="24"/>
        </w:rPr>
        <w:t>) and, to the extent that this Master Lease and any further amendment thereto relates to Borgata, the same is effective as to Borgata only if approved by the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In accordance with the requirements of N.J.S.A. 5:12-82c(10), with respect to Borgata only, each party to this Master Lease is jointly and severally liable for all acts, omissions and violations of the Act by any party, regardless of actual knowledge of such act, omission or violation. Notwithstanding the foregoing, the party violating the Act shall indemnify the non-violating party for any liability incurred by the non-violating party as a result of any such violation in a manner consistent with Article XXI of this Master Lease; provided, however, that neither party shall be required to indemnify the other party for any liabilities relating to, arising out of or resulting from any required sale of Borgata pursuant to paragraphs (vi-ix) of this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41.14(a)</w:t>
      </w:r>
      <w:r>
        <w:rPr>
          <w:color w:val="000000"/>
        </w:rPr>
        <w:t xml:space="preserve"> </w:t>
      </w:r>
      <w:r>
        <w:rPr>
          <w:rFonts w:ascii="Times New Roman;serif" w:hAnsi="Times New Roman;serif"/>
          <w:b w:val="false"/>
          <w:color w:val="000000"/>
          <w:sz w:val="24"/>
        </w:rPr>
        <w:t xml:space="preserve">below (including, without limitation, the payment of the Borgata Fair Market Value, as finally determined in accordance with this </w:t>
      </w:r>
      <w:r>
        <w:rPr>
          <w:rFonts w:ascii="Times New Roman;serif" w:hAnsi="Times New Roman;serif"/>
          <w:b/>
          <w:color w:val="000000"/>
          <w:sz w:val="24"/>
        </w:rPr>
        <w:t>Section 41.14(a)</w:t>
      </w:r>
      <w:r>
        <w:rPr>
          <w:rFonts w:ascii="Times New Roman;serif" w:hAnsi="Times New Roman;serif"/>
          <w:b w:val="false"/>
          <w:color w:val="000000"/>
          <w:sz w:val="24"/>
        </w:rPr>
        <w:t>, or any closing costs associated therewith).</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In accordance with the requirements of N.J.S.A. 5:12-104b, this Master Lease, as it relates to Borgata only, may be reviewed by the Division on the basis of the reasonableness of the terms of this Master Lease, including the terms of compensation, and of the qualifications of the owners, officers, employees, and directors of Landlord, which qualifications shall be reviewed according to the standards enumerated in N.J.S.A. 5:12-86. If the Division disapproves of this Master Lease as it relates to Borgata only, or the owners, officers, employees, and directors of Sublandlord, the Division may require the termination of this Master Lease with respect to Borgata only; provided, that any such termination shall not apply or effect in any way any of the Leased Property other than Borgata. In the event of any such termination, the Master Lease shall no longer apply to Borgata.</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In accordance with the requirements of N.J.S.A. 5:12-104b, the Master Lease as it relates to Borgata only may be terminated by the Commission without liability on the part of Tenant or Landlord if the Commission disapproves of the Master Lease, as it relates to the Borgata only, pursuant to the Commission’s authority under the Act; provided, that any such termination shall not apply or effect in any way any of the Leased Property other than Borgata. In the event of any such termination, this Master Lease shall no longer apply to Borgata.</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    In accordance with the requirements of N.J.S.A. 5:12-82c(5), if at any time during the term of this Master Lease (so long as Borgata remains a Facility under this Master Lease), the Landlord or any person associated with Landlord (other than Tenant or any Operating Subtenant), is found by the Commission or the Director of the Division to be unsuitable to be associated with a casino enterprise in New Jersey, and is not removed from such association in a manner acceptable to the Commission or the Director of the Division, as applicable, then upon written notice delivered by Tenant to Landlord (the “</w:t>
      </w:r>
      <w:r>
        <w:rPr>
          <w:rFonts w:ascii="Times New Roman;serif" w:hAnsi="Times New Roman;serif"/>
          <w:b/>
          <w:color w:val="000000"/>
          <w:sz w:val="24"/>
        </w:rPr>
        <w:t>Borgata Purchase Notice</w:t>
      </w:r>
      <w:r>
        <w:rPr>
          <w:color w:val="000000"/>
        </w:rPr>
        <w:t>”</w:t>
      </w:r>
      <w:r>
        <w:rPr>
          <w:rFonts w:ascii="Times New Roman;serif" w:hAnsi="Times New Roman;serif"/>
          <w:b w:val="false"/>
          <w:color w:val="000000"/>
          <w:sz w:val="24"/>
        </w:rPr>
        <w:t xml:space="preserve">), following such final unstayed decision of the Commission or the Director of the Division, as applicable, which provides that a purchase of Landlord’s fee and leasehold interest in Borgata is required, Tenant may elect either (a) to require Landlord to sell all (but not less than all) of Landlord’s fee and leasehold interest in Borgata (but no other Facility under this Master Lease) to a third party in the manner provided in, and subject to, </w:t>
      </w:r>
      <w:r>
        <w:rPr>
          <w:rFonts w:ascii="Times New Roman;serif" w:hAnsi="Times New Roman;serif"/>
          <w:b/>
          <w:color w:val="000000"/>
          <w:sz w:val="24"/>
        </w:rPr>
        <w:t>Section 1.5</w:t>
      </w:r>
      <w:r>
        <w:rPr>
          <w:color w:val="000000"/>
        </w:rPr>
        <w:t xml:space="preserve"> </w:t>
      </w:r>
      <w:r>
        <w:rPr>
          <w:rFonts w:ascii="Times New Roman;serif" w:hAnsi="Times New Roman;serif"/>
          <w:b w:val="false"/>
          <w:color w:val="000000"/>
          <w:sz w:val="24"/>
        </w:rPr>
        <w:t xml:space="preserve">of this Master Lease (except that such sale shall be required, and not at the election, of Landlord); provided, that the Commission or the Director of the Division, as applicable, does not object, or (b) to purchase all (but not less than all) of Landlord’s fee and leasehold interest in Borgata (but no other Facility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under this Master Lease) for an amount equal to 100% of the Borgata Fair Market Value (as finally determined in accordance with paragraph (vii) of this </w:t>
      </w:r>
      <w:r>
        <w:rPr>
          <w:rFonts w:ascii="Times New Roman;serif" w:hAnsi="Times New Roman;serif"/>
          <w:b/>
          <w:color w:val="000000"/>
          <w:sz w:val="24"/>
        </w:rPr>
        <w:t>Section 41.14(a)</w:t>
      </w:r>
      <w:r>
        <w:rPr>
          <w:color w:val="000000"/>
        </w:rPr>
        <w:t xml:space="preserve"> </w:t>
      </w:r>
      <w:r>
        <w:rPr>
          <w:rFonts w:ascii="Times New Roman;serif" w:hAnsi="Times New Roman;serif"/>
          <w:b w:val="false"/>
          <w:color w:val="000000"/>
          <w:sz w:val="24"/>
        </w:rPr>
        <w:t>below), which amount shall be payable in cash.</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(vii)    The “</w:t>
      </w:r>
      <w:r>
        <w:rPr>
          <w:rFonts w:ascii="Times New Roman;serif" w:hAnsi="Times New Roman;serif"/>
          <w:b/>
          <w:color w:val="000000"/>
          <w:sz w:val="24"/>
        </w:rPr>
        <w:t>Borgata Fair Market Value</w:t>
      </w:r>
      <w:r>
        <w:rPr>
          <w:color w:val="000000"/>
        </w:rPr>
        <w:t xml:space="preserve">” </w:t>
      </w:r>
      <w:r>
        <w:rPr>
          <w:rFonts w:ascii="Times New Roman;serif" w:hAnsi="Times New Roman;serif"/>
          <w:b w:val="false"/>
          <w:color w:val="000000"/>
          <w:sz w:val="24"/>
        </w:rPr>
        <w:t xml:space="preserve">shall be an amount equal to the fair market value of Borgata based on the amount that would be paid by a willing purchaser to a willing seller if neither were under any compulsion to buy or sell. If the parties are unable to mutually agree upon the Borgata Fair Market Value within thirty (30) days after delivery of the Borgata Purchase Notice, the Borgata Fair Market Value will be determined by Experts appointed in accordance with </w:t>
      </w:r>
      <w:r>
        <w:rPr>
          <w:rFonts w:ascii="Times New Roman;serif" w:hAnsi="Times New Roman;serif"/>
          <w:b/>
          <w:color w:val="000000"/>
          <w:sz w:val="24"/>
        </w:rPr>
        <w:t>Section 34.1</w:t>
      </w:r>
      <w:r>
        <w:rPr>
          <w:color w:val="000000"/>
        </w:rPr>
        <w:t xml:space="preserve"> </w:t>
      </w:r>
      <w:r>
        <w:rPr>
          <w:rFonts w:ascii="Times New Roman;serif" w:hAnsi="Times New Roman;serif"/>
          <w:b w:val="false"/>
          <w:color w:val="000000"/>
          <w:sz w:val="24"/>
        </w:rPr>
        <w:t>in which case Landlord and Tenant shall each submit to the Experts their respective determinations of the Borgata Fair Market Value. The Experts may only select either the Borgata Fair Market Value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Borgata Fair Market Value as the conclusive determination of the Borgata Fair Market Value.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(viii)    In the event that Tenant has elected to purchase Borgata, the closing of the purchase and sale of Borgata shall occur not later than ninety (90) days after determination of the Borgata Fair Market Value, or such other time as may be directed by the New Jersey Gaming Authorities. At such closing, the Landlord shall deliver to the Tenant all fee and leasehold title to Borgata, free and clear of any liens, claims or other encumbrances other than (A) any liens and encumbrances that were created or in place as of the Commencement Date and (B) any liens and encumbrances caused by Tenant or as permitted by the Master Lease. Landlord shall use all its commercially reasonable efforts to deliver title to Borgata in the condition required in this </w:t>
      </w:r>
      <w:r>
        <w:rPr>
          <w:rFonts w:ascii="Times New Roman;serif" w:hAnsi="Times New Roman;serif"/>
          <w:b/>
          <w:color w:val="000000"/>
          <w:sz w:val="24"/>
        </w:rPr>
        <w:t>Section 41.14(a)(viii)</w:t>
      </w:r>
      <w:r>
        <w:rPr>
          <w:rFonts w:ascii="Times New Roman;serif" w:hAnsi="Times New Roman;serif"/>
          <w:b w:val="false"/>
          <w:color w:val="000000"/>
          <w:sz w:val="24"/>
        </w:rPr>
        <w:t xml:space="preserve">. All closing costs and expenses, including any applicable real property transfer taxes or fees, of conveying Borgata to Tenant shall be allocated between Landlord and Tenant in the manner the same are customarily allocated between a seller and buyer of similar real property located in the State of New Jersey. Upon such closing the Master Lease, as it relates to Borgata only, shall automatically terminate and be of no further force and effect, and Rent under the Master Lease from and after the date of such closing shall be reduced in the manner set forth in </w:t>
      </w:r>
      <w:r>
        <w:rPr>
          <w:rFonts w:ascii="Times New Roman;serif" w:hAnsi="Times New Roman;serif"/>
          <w:b/>
          <w:color w:val="000000"/>
          <w:sz w:val="24"/>
        </w:rPr>
        <w:t>Section 14.6</w:t>
      </w:r>
      <w:r>
        <w:rPr>
          <w:color w:val="000000"/>
        </w:rPr>
        <w:t xml:space="preserve"> </w:t>
      </w:r>
      <w:r>
        <w:rPr>
          <w:rFonts w:ascii="Times New Roman;serif" w:hAnsi="Times New Roman;serif"/>
          <w:b w:val="false"/>
          <w:color w:val="000000"/>
          <w:sz w:val="24"/>
        </w:rPr>
        <w:t xml:space="preserve">of this Master Lease. Nothing in this </w:t>
      </w:r>
      <w:r>
        <w:rPr>
          <w:rFonts w:ascii="Times New Roman;serif" w:hAnsi="Times New Roman;serif"/>
          <w:b/>
          <w:color w:val="000000"/>
          <w:sz w:val="24"/>
        </w:rPr>
        <w:t>Section 41.14(a)</w:t>
      </w:r>
      <w:r>
        <w:rPr>
          <w:color w:val="000000"/>
        </w:rPr>
        <w:t xml:space="preserve"> </w:t>
      </w:r>
      <w:r>
        <w:rPr>
          <w:rFonts w:ascii="Times New Roman;serif" w:hAnsi="Times New Roman;serif"/>
          <w:b w:val="false"/>
          <w:color w:val="000000"/>
          <w:sz w:val="24"/>
        </w:rPr>
        <w:t xml:space="preserve">shall be deemed to supersede any provision of this Master Lease which expressly survives the termination of this Master Lease, and nothing contained in this </w:t>
      </w:r>
      <w:r>
        <w:rPr>
          <w:rFonts w:ascii="Times New Roman;serif" w:hAnsi="Times New Roman;serif"/>
          <w:b/>
          <w:color w:val="000000"/>
          <w:sz w:val="24"/>
        </w:rPr>
        <w:t>Section 41.14(a)</w:t>
      </w:r>
      <w:r>
        <w:rPr>
          <w:color w:val="000000"/>
        </w:rPr>
        <w:t xml:space="preserve"> </w:t>
      </w:r>
      <w:r>
        <w:rPr>
          <w:rFonts w:ascii="Times New Roman;serif" w:hAnsi="Times New Roman;serif"/>
          <w:b w:val="false"/>
          <w:color w:val="000000"/>
          <w:sz w:val="24"/>
        </w:rPr>
        <w:t>shall be deemed to release either party from any obligation or liability relating to any Facility other than Borgata or any obligation or liability relating to Borgata which shall have arisen under this Master Lease prior to the effective date of the sale to Tenant of Borgata.</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(ix)    In the event that Tenant has elected to require Landlord to sell Borgata to a third-party, in connection with the closing of the purchase and sale of Borgata from Landlord to such third-party, Tenant and such third-party shall enter into a Separate Lease and the Master Lease shall be amended in accordance with </w:t>
      </w:r>
      <w:r>
        <w:rPr>
          <w:rFonts w:ascii="Times New Roman;serif" w:hAnsi="Times New Roman;serif"/>
          <w:b/>
          <w:color w:val="000000"/>
          <w:sz w:val="24"/>
        </w:rPr>
        <w:t>Section 1.5</w:t>
      </w:r>
      <w:r>
        <w:rPr>
          <w:color w:val="000000"/>
        </w:rPr>
        <w:t xml:space="preserve"> </w:t>
      </w:r>
      <w:r>
        <w:rPr>
          <w:rFonts w:ascii="Times New Roman;serif" w:hAnsi="Times New Roman;serif"/>
          <w:b w:val="false"/>
          <w:color w:val="000000"/>
          <w:sz w:val="24"/>
        </w:rPr>
        <w:t>of this Master Lease to reflect the removal of Borgata from this Master Lease.</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u w:val="single"/>
        </w:rPr>
        <w:t>Maryland Regulatory Requirements.</w:t>
      </w:r>
      <w:r>
        <w:rPr>
          <w:color w:val="000000"/>
        </w:rPr>
        <w:t xml:space="preserve"> </w:t>
      </w:r>
      <w:r>
        <w:rPr>
          <w:rFonts w:ascii="Times New Roman;serif" w:hAnsi="Times New Roman;serif"/>
          <w:b w:val="false"/>
          <w:color w:val="000000"/>
          <w:sz w:val="24"/>
        </w:rPr>
        <w:t>This Master Lease does not</w:t>
      </w:r>
      <w:r>
        <w:rPr>
          <w:color w:val="000000"/>
        </w:rPr>
        <w:t xml:space="preserve"> </w:t>
      </w:r>
      <w:r>
        <w:rPr>
          <w:rFonts w:ascii="Times New Roman;serif" w:hAnsi="Times New Roman;serif"/>
          <w:b w:val="false"/>
          <w:color w:val="000000"/>
          <w:sz w:val="24"/>
        </w:rPr>
        <w:t xml:space="preserve">(i) create any property right in the video lottery operation license awarded or issued to MGM National Harbor, LLC and/or any other license awarded or issued under MD Code, State Government, §9-1A-01 et seq.; (ii) accrue any monetary value to the privilege of participation in video lottery; or transfer any license issued under MD Code, State Government, §9-1A-01 et seq., including, for the avoidance of doubt, the video lottery operation license and/or the sports wagering facility license awarded and/or issued to MGM National Harbor, LLC. Notwithstanding anything to the contrary in this Master Lease, the participation in video lottery and/or sports wagering operations shall be conditioned solely on the continuing individual qualifications of the person who seeks the privilege.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u w:val="single"/>
        </w:rPr>
        <w:t>Massachusetts Regulatory Requirements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2880"/>
        <w:jc w:val="both"/>
        <w:rPr/>
      </w:pPr>
      <w:r>
        <w:rPr>
          <w:rFonts w:ascii="Times New Roman;serif" w:hAnsi="Times New Roman;serif"/>
          <w:b w:val="false"/>
          <w:color w:val="000000"/>
          <w:sz w:val="24"/>
        </w:rPr>
        <w:t>(i)    Springfield’s inclusion as a Leased Property of this Master Lease required certain Massachusetts regulatory filings and approvals including applications to determine suitability of MGP and each of its subsidiaries and controlled affiliates as determined by the Massachusetts Gaming Commission (“</w:t>
      </w:r>
      <w:r>
        <w:rPr>
          <w:rFonts w:ascii="Times New Roman;serif" w:hAnsi="Times New Roman;serif"/>
          <w:b/>
          <w:color w:val="000000"/>
          <w:sz w:val="24"/>
        </w:rPr>
        <w:t>Commission</w:t>
      </w:r>
      <w:r>
        <w:rPr>
          <w:color w:val="000000"/>
        </w:rPr>
        <w:t>”</w:t>
      </w:r>
      <w:r>
        <w:rPr>
          <w:rFonts w:ascii="Times New Roman;serif" w:hAnsi="Times New Roman;serif"/>
          <w:b w:val="false"/>
          <w:color w:val="000000"/>
          <w:sz w:val="24"/>
        </w:rPr>
        <w:t>) pursuant to 205 CMR 115 and Interim Authorization pursuant to 205 CMR 116.10. Springfield’s Interim Authorization as Leased Property of this Master Lease is subject to the Commission’s right to order that Springfield be transferred to the Amended and Restated Springfield Nominee Trust if the Commission has reasonable cause to believe that MGP or any of its subsidiaries or controlled affiliates may be found unsuitable. Landlord and Tenant agree to cooperate with the Commission’s ongoing final determination of MGP’s suitability and follow all lawful directives from the Commission.</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    Landlord and Tenant acknowledge and agree to the provisions of Section 2.7 of the Master Transaction Agreement dated as of May 11, 2021 by and among Landlord, Tenant, Blue Tarp reDevelopment, LLC (“</w:t>
      </w:r>
      <w:r>
        <w:rPr>
          <w:rFonts w:ascii="Times New Roman;serif" w:hAnsi="Times New Roman;serif"/>
          <w:b/>
          <w:color w:val="000000"/>
          <w:sz w:val="24"/>
        </w:rPr>
        <w:t>Blue Tarp</w:t>
      </w:r>
      <w:r>
        <w:rPr>
          <w:color w:val="000000"/>
        </w:rPr>
        <w:t>”</w:t>
      </w:r>
      <w:r>
        <w:rPr>
          <w:rFonts w:ascii="Times New Roman;serif" w:hAnsi="Times New Roman;serif"/>
          <w:b w:val="false"/>
          <w:color w:val="000000"/>
          <w:sz w:val="24"/>
        </w:rPr>
        <w:t>), MGP Lessor Holdings, LLC, the Operating Partnership, Tenant’s Parent and MGP REIT (the “</w:t>
      </w:r>
      <w:r>
        <w:rPr>
          <w:rFonts w:ascii="Times New Roman;serif" w:hAnsi="Times New Roman;serif"/>
          <w:b/>
          <w:color w:val="000000"/>
          <w:sz w:val="24"/>
        </w:rPr>
        <w:t>Springfield MTA</w:t>
      </w:r>
      <w:r>
        <w:rPr>
          <w:color w:val="000000"/>
        </w:rPr>
        <w:t>”</w:t>
      </w:r>
      <w:r>
        <w:rPr>
          <w:rFonts w:ascii="Times New Roman;serif" w:hAnsi="Times New Roman;serif"/>
          <w:b w:val="false"/>
          <w:color w:val="000000"/>
          <w:sz w:val="24"/>
        </w:rPr>
        <w:t xml:space="preserve">). In the event that Springfield is at any time required, for regulatory requirements, to be transferred to Blue Tarp or the Trust (as defined in the Springfield MTA), Landlord agrees to be bound by such requirements and to convey Springfield in accordance with the Springfield MTA. Upon such conveyance, Springfield shall cease to be demised pursuant to the Master Lease and the provisions of </w:t>
      </w:r>
      <w:r>
        <w:rPr>
          <w:rFonts w:ascii="Times New Roman;serif" w:hAnsi="Times New Roman;serif"/>
          <w:b/>
          <w:color w:val="000000"/>
          <w:sz w:val="24"/>
        </w:rPr>
        <w:t xml:space="preserve">Section 1.5 </w:t>
      </w:r>
      <w:r>
        <w:rPr>
          <w:rFonts w:ascii="Times New Roman;serif" w:hAnsi="Times New Roman;serif"/>
          <w:b w:val="false"/>
          <w:color w:val="000000"/>
          <w:sz w:val="24"/>
        </w:rPr>
        <w:t xml:space="preserve">of the Master Lease with respect to a Removal Facility will apply thereto. Notwithstanding </w:t>
      </w:r>
      <w:r>
        <w:rPr>
          <w:rFonts w:ascii="Times New Roman;serif" w:hAnsi="Times New Roman;serif"/>
          <w:b/>
          <w:color w:val="000000"/>
          <w:sz w:val="24"/>
        </w:rPr>
        <w:t>Section 1.5(e)</w:t>
      </w:r>
      <w:r>
        <w:rPr>
          <w:rFonts w:ascii="Times New Roman;serif" w:hAnsi="Times New Roman;serif"/>
          <w:b w:val="false"/>
          <w:color w:val="000000"/>
          <w:sz w:val="24"/>
        </w:rPr>
        <w:t xml:space="preserve">, any costs and expenses relating to a Separate Lease entered into pursuant to this </w:t>
      </w:r>
      <w:r>
        <w:rPr>
          <w:rFonts w:ascii="Times New Roman;serif" w:hAnsi="Times New Roman;serif"/>
          <w:b/>
          <w:color w:val="000000"/>
          <w:sz w:val="24"/>
        </w:rPr>
        <w:t>Section 41.14(c)</w:t>
      </w:r>
      <w:r>
        <w:rPr>
          <w:color w:val="000000"/>
        </w:rPr>
        <w:t xml:space="preserve"> </w:t>
      </w:r>
      <w:r>
        <w:rPr>
          <w:rFonts w:ascii="Times New Roman;serif" w:hAnsi="Times New Roman;serif"/>
          <w:b w:val="false"/>
          <w:color w:val="000000"/>
          <w:sz w:val="24"/>
        </w:rPr>
        <w:t>shall be borne by Tenant and not by Landlord.</w:t>
      </w:r>
    </w:p>
    <w:p>
      <w:pPr>
        <w:pStyle w:val="TextBody"/>
        <w:bidi w:val="0"/>
        <w:spacing w:lineRule="auto" w:line="288" w:before="0" w:after="240"/>
        <w:ind w:left="0" w:right="0" w:firstLine="720"/>
        <w:jc w:val="both"/>
        <w:rPr/>
      </w:pPr>
      <w:r>
        <w:rPr>
          <w:rFonts w:ascii="Times New Roman;serif" w:hAnsi="Times New Roman;serif"/>
          <w:b/>
          <w:color w:val="000000"/>
          <w:sz w:val="24"/>
        </w:rPr>
        <w:t>41.15    </w:t>
      </w:r>
      <w:r>
        <w:rPr>
          <w:rFonts w:ascii="Times New Roman;serif" w:hAnsi="Times New Roman;serif"/>
          <w:b/>
          <w:color w:val="000000"/>
          <w:sz w:val="24"/>
          <w:u w:val="single"/>
        </w:rPr>
        <w:t>Certain Provisions of Nevada Law</w:t>
      </w:r>
      <w:r>
        <w:rPr>
          <w:rFonts w:ascii="Times New Roman;serif" w:hAnsi="Times New Roman;serif"/>
          <w:b w:val="false"/>
          <w:color w:val="000000"/>
          <w:sz w:val="24"/>
        </w:rPr>
        <w:t>. Promptly upon Tenant’s request, Landlord shall, pursuant to Section 108.2405(1)(b) of the Nevada Revised Statutes (“</w:t>
      </w:r>
      <w:r>
        <w:rPr>
          <w:rFonts w:ascii="Times New Roman;serif" w:hAnsi="Times New Roman;serif"/>
          <w:b/>
          <w:color w:val="000000"/>
          <w:sz w:val="24"/>
        </w:rPr>
        <w:t>NRS</w:t>
      </w:r>
      <w:r>
        <w:rPr>
          <w:color w:val="000000"/>
        </w:rPr>
        <w:t>”</w:t>
      </w:r>
      <w:r>
        <w:rPr>
          <w:rFonts w:ascii="Times New Roman;serif" w:hAnsi="Times New Roman;serif"/>
          <w:b w:val="false"/>
          <w:color w:val="000000"/>
          <w:sz w:val="24"/>
        </w:rPr>
        <w:t xml:space="preserve">), record an additional or amended written notice of waiver of Landlord's rights set forth in NRS 108.234 with respect to all works of improvement with the office of the recorder of Clark County, Nevada. Pursuant to NRS 108.2405(2), Landlord shall serve such notice and any previously recorded notice by certified mail, return receipt requested, upon the prime contractor of each work of improvement and all other lien claimants who may give the owner a notice of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lien pursuant to NRS 108.245, within ten (10) days after Landlord's receipt of a notice of right to lien or ten (10) days after the date on which the notice of waiver is recorded, whichever is later.</w:t>
      </w:r>
    </w:p>
    <w:p>
      <w:pPr>
        <w:pStyle w:val="TextBody"/>
        <w:bidi w:val="0"/>
        <w:spacing w:lineRule="auto" w:line="288" w:before="0" w:after="240"/>
        <w:ind w:left="0" w:right="0" w:firstLine="720"/>
        <w:jc w:val="both"/>
        <w:rPr/>
      </w:pPr>
      <w:r>
        <w:rPr>
          <w:rFonts w:ascii="Times New Roman;serif" w:hAnsi="Times New Roman;serif"/>
          <w:b/>
          <w:color w:val="000000"/>
          <w:sz w:val="24"/>
        </w:rPr>
        <w:t>41.16    </w:t>
      </w:r>
      <w:r>
        <w:rPr>
          <w:rFonts w:ascii="Times New Roman;serif" w:hAnsi="Times New Roman;serif"/>
          <w:b/>
          <w:color w:val="000000"/>
          <w:sz w:val="24"/>
          <w:u w:val="single"/>
        </w:rPr>
        <w:t>Sale/Leaseback Accounting</w:t>
      </w:r>
      <w:r>
        <w:rPr>
          <w:rFonts w:ascii="Times New Roman;serif" w:hAnsi="Times New Roman;serif"/>
          <w:b w:val="false"/>
          <w:color w:val="000000"/>
          <w:sz w:val="24"/>
        </w:rPr>
        <w:t>. Landlord and Tenant agree to enter into any modifications to this Master Lease or such other agreements reasonably necessary, in the opinion of a “Big Four” accounting firm, to achieve “sale/leaseback accounting treatment” for Tenant; provided, that such modifications do not materially increase either party’s obligations, or materially diminish either parties rights, under the Master Lease or affect the other party’s tax or accounting treatment of the transactions contemplated by this Master Lease.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LIST OF FACILITIES </w:t>
      </w:r>
    </w:p>
    <w:tbl>
      <w:tblPr>
        <w:tblW w:w="10205" w:type="dxa"/>
        <w:jc w:val="left"/>
        <w:tblInd w:w="0" w:type="dxa"/>
        <w:tblLayout w:type="fixed"/>
        <w:tblCellMar>
          <w:top w:w="28" w:type="dxa"/>
          <w:left w:w="28" w:type="dxa"/>
          <w:bottom w:w="28" w:type="dxa"/>
          <w:right w:w="28" w:type="dxa"/>
        </w:tblCellMar>
      </w:tblPr>
      <w:tblGrid>
        <w:gridCol w:w="1746"/>
        <w:gridCol w:w="1450"/>
        <w:gridCol w:w="1463"/>
        <w:gridCol w:w="1628"/>
        <w:gridCol w:w="1619"/>
        <w:gridCol w:w="2299"/>
      </w:tblGrid>
      <w:tr>
        <w:trPr/>
        <w:tc>
          <w:tcPr>
            <w:tcW w:w="17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top w:val="single" w:sz="6" w:space="0" w:color="000000"/>
              <w:left w:val="single" w:sz="6"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 of Facility</w:t>
            </w:r>
          </w:p>
        </w:tc>
        <w:tc>
          <w:tcPr>
            <w:tcW w:w="55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Address of Facility</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Beau Rivage</w:t>
            </w:r>
          </w:p>
        </w:tc>
        <w:tc>
          <w:tcPr>
            <w:tcW w:w="5546"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875 Beach Blvd., Biloxi, Harrison County, MS 39530</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Borgata Hotel Casino &amp; Spa </w:t>
            </w:r>
          </w:p>
        </w:tc>
        <w:tc>
          <w:tcPr>
            <w:tcW w:w="5546"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 Borgata Way, Atlantic City, Atlantic County, NJ 08401</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Empire City Casino and Yonkers Raceway, Yonkers, New York</w:t>
            </w:r>
          </w:p>
        </w:tc>
        <w:tc>
          <w:tcPr>
            <w:tcW w:w="5546"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810 Yonkers Ave, Yonkers, Westchester County, NY 10704</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Excalibur Hotel and Casino</w:t>
            </w:r>
          </w:p>
        </w:tc>
        <w:tc>
          <w:tcPr>
            <w:tcW w:w="55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3850 and 3858 Las Vegas Blvd. South, Las Vegas, Clark County, NV 89109</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Luxor Hotel and Casino</w:t>
            </w:r>
          </w:p>
        </w:tc>
        <w:tc>
          <w:tcPr>
            <w:tcW w:w="55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3900 Las Vegas Blvd. South, Las Vegas, Clark County, NV 89119</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MGM Grand Detroit Hotel and Casino</w:t>
            </w:r>
          </w:p>
        </w:tc>
        <w:tc>
          <w:tcPr>
            <w:tcW w:w="55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1777 Third Street, Detroit, Wayne County, MI 48226</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MGM National Harbor Resort &amp; Casino </w:t>
            </w:r>
          </w:p>
        </w:tc>
        <w:tc>
          <w:tcPr>
            <w:tcW w:w="5546"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 MGM National Ave., Forest Heights, Prince George’s County, MD 20745</w:t>
            </w:r>
          </w:p>
        </w:tc>
      </w:tr>
      <w:tr>
        <w:trPr/>
        <w:tc>
          <w:tcPr>
            <w:tcW w:w="4659" w:type="dxa"/>
            <w:gridSpan w:val="3"/>
            <w:tcBorders>
              <w:top w:val="single" w:sz="6" w:space="0" w:color="000000"/>
              <w:left w:val="single" w:sz="6"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MGM Springfield</w:t>
            </w:r>
          </w:p>
        </w:tc>
        <w:tc>
          <w:tcPr>
            <w:tcW w:w="5546"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One MGM Way, Springfield, Hampden County, MA 01103</w:t>
            </w:r>
          </w:p>
        </w:tc>
      </w:tr>
      <w:tr>
        <w:trPr/>
        <w:tc>
          <w:tcPr>
            <w:tcW w:w="46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New York-New York Hotel and Casino</w:t>
            </w:r>
          </w:p>
        </w:tc>
        <w:tc>
          <w:tcPr>
            <w:tcW w:w="55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3790 Las Vegas Blvd. South, Las Vegas, Clark County, NV 89109</w:t>
            </w:r>
          </w:p>
        </w:tc>
      </w:tr>
      <w:tr>
        <w:trPr/>
        <w:tc>
          <w:tcPr>
            <w:tcW w:w="46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Park MGM</w:t>
            </w:r>
            <w:r>
              <w:rPr>
                <w:color w:val="000000"/>
              </w:rPr>
              <w:t xml:space="preserve"> </w:t>
            </w:r>
          </w:p>
        </w:tc>
        <w:tc>
          <w:tcPr>
            <w:tcW w:w="554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3770 Las Vegas Blvd. South, Las Vegas, Clark County, NV 89109 </w:t>
            </w:r>
          </w:p>
        </w:tc>
      </w:tr>
      <w:tr>
        <w:trPr/>
        <w:tc>
          <w:tcPr>
            <w:tcW w:w="4659" w:type="dxa"/>
            <w:gridSpan w:val="3"/>
            <w:tcBorders>
              <w:top w:val="single" w:sz="6" w:space="0" w:color="000000"/>
              <w:left w:val="single" w:sz="6" w:space="0" w:color="000000"/>
              <w:bottom w:val="single" w:sz="6"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Park</w:t>
            </w:r>
          </w:p>
        </w:tc>
        <w:tc>
          <w:tcPr>
            <w:tcW w:w="554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3778 Las Vegas Blvd. South, Las Vegas, Clark County, NV 89109</w:t>
            </w:r>
          </w:p>
        </w:tc>
      </w:tr>
    </w:tbl>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89560"/>
                <wp:effectExtent l="0" t="0" r="0" b="0"/>
                <wp:wrapNone/>
                <wp:docPr id="205" name="Frame20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34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31.3</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89560"/>
                <wp:effectExtent l="0" t="0" r="0" b="0"/>
                <wp:wrapNone/>
                <wp:docPr id="206" name="Frame20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31.4</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89560"/>
                <wp:effectExtent l="0" t="0" r="0" b="0"/>
                <wp:wrapNone/>
                <wp:docPr id="207" name="Frame20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34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89560"/>
                <wp:effectExtent l="0" t="0" r="0" b="0"/>
                <wp:wrapNone/>
                <wp:docPr id="208" name="Frame20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Company for the quarterly period ended March 31,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89560"/>
                <wp:effectExtent l="0" t="0" r="0" b="0"/>
                <wp:wrapNone/>
                <wp:docPr id="209" name="Frame20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Company for the quarterly period ended March 31,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34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32.3</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89560"/>
                <wp:effectExtent l="0" t="0" r="0" b="0"/>
                <wp:wrapNone/>
                <wp:docPr id="210" name="Frame20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Partnership for the quarterly period ended March 31,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Partnership. </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32.4</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89560"/>
                <wp:effectExtent l="0" t="0" r="0" b="0"/>
                <wp:wrapNone/>
                <wp:docPr id="211" name="Frame21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w:t>
      </w:r>
      <w:r>
        <w:rPr>
          <w:rFonts w:ascii="Times New Roman;serif" w:hAnsi="Times New Roman;serif"/>
          <w:b w:val="false"/>
          <w:color w:val="000000"/>
          <w:sz w:val="20"/>
        </w:rPr>
        <w:t xml:space="preserve">the accompanying Quarterly Report on Form 10-Q of the Partnership for the quarterly period ended March 31, 2026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Partnership. </w:t>
      </w:r>
    </w:p>
    <w:tbl>
      <w:tblPr>
        <w:tblW w:w="434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89560"/>
                <wp:effectExtent l="0" t="0" r="0" b="0"/>
                <wp:wrapNone/>
                <wp:docPr id="212" name="Frame21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0001705696/000170569626000034/vici-20251231.htm" TargetMode="External"/><Relationship Id="rId4" Type="http://schemas.openxmlformats.org/officeDocument/2006/relationships/hyperlink" Target="https://www.sec.gov/ix?doc=/Archives/edgar/data/0001705696/000170569626000034/vici-20251231.htm" TargetMode="External"/><Relationship Id="rId5" Type="http://schemas.openxmlformats.org/officeDocument/2006/relationships/hyperlink" Target="https://www.sec.gov/ix?doc=/Archives/edgar/data/0001705696/000170569626000034/vici-20251231.htm" TargetMode="External"/><Relationship Id="rId6" Type="http://schemas.openxmlformats.org/officeDocument/2006/relationships/hyperlink" Target="https://www.sec.gov/ix?doc=/Archives/edgar/data/0001705696/000170569626000034/vici-20251231.htm" TargetMode="External"/><Relationship Id="rId7" Type="http://schemas.openxmlformats.org/officeDocument/2006/relationships/hyperlink" Target="https://www.sec.gov/ix?doc=/Archives/edgar/data/0001705696/000170569626000034/vici-20251231.htm" TargetMode="External"/><Relationship Id="rId8" Type="http://schemas.openxmlformats.org/officeDocument/2006/relationships/hyperlink" Target="https://www.sec.gov/ix?doc=/Archives/edgar/data/0001705696/000170569626000034/vici-202512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157</Pages>
  <Words>101845</Words>
  <Characters>549713</Characters>
  <CharactersWithSpaces>649473</CharactersWithSpaces>
  <Paragraphs>5599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