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840"/>
        <w:spacing w:after="0"/>
        <w:rPr>
          <w:sz w:val="20"/>
          <w:szCs w:val="20"/>
          <w:color w:val="auto"/>
        </w:rPr>
      </w:pPr>
      <w:r>
        <w:rPr>
          <w:rFonts w:ascii="Arial" w:cs="Arial" w:eastAsia="Arial" w:hAnsi="Arial"/>
          <w:sz w:val="11"/>
          <w:szCs w:val="11"/>
          <w:color w:val="auto"/>
        </w:rPr>
        <w:t>_____________________________</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1" w:lineRule="exact"/>
        <w:rPr>
          <w:sz w:val="24"/>
          <w:szCs w:val="24"/>
          <w:color w:val="auto"/>
        </w:rPr>
      </w:pPr>
    </w:p>
    <w:p>
      <w:pPr>
        <w:ind w:left="4840"/>
        <w:spacing w:after="0"/>
        <w:rPr>
          <w:sz w:val="20"/>
          <w:szCs w:val="20"/>
          <w:color w:val="auto"/>
        </w:rPr>
      </w:pPr>
      <w:r>
        <w:rPr>
          <w:rFonts w:ascii="Arial" w:cs="Arial" w:eastAsia="Arial" w:hAnsi="Arial"/>
          <w:sz w:val="11"/>
          <w:szCs w:val="11"/>
          <w:color w:val="auto"/>
        </w:rPr>
        <w:t>_____________________________</w:t>
      </w:r>
    </w:p>
    <w:p>
      <w:pPr>
        <w:spacing w:after="0" w:line="77" w:lineRule="exact"/>
        <w:rPr>
          <w:sz w:val="24"/>
          <w:szCs w:val="24"/>
          <w:color w:val="auto"/>
        </w:rPr>
      </w:pPr>
    </w:p>
    <w:p>
      <w:pPr>
        <w:ind w:left="1740" w:hanging="598"/>
        <w:spacing w:after="0"/>
        <w:tabs>
          <w:tab w:leader="none" w:pos="17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2022</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46" w:lineRule="exact"/>
        <w:rPr>
          <w:sz w:val="24"/>
          <w:szCs w:val="24"/>
          <w:color w:val="auto"/>
        </w:rPr>
      </w:pPr>
    </w:p>
    <w:p>
      <w:pPr>
        <w:ind w:left="3680" w:right="1260" w:hanging="2538"/>
        <w:spacing w:after="0" w:line="375" w:lineRule="auto"/>
        <w:tabs>
          <w:tab w:leader="none" w:pos="173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_________ to 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001-38372 (VICI Properties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333-264352-01 (VICI Properties L.P.)</w:t>
      </w:r>
    </w:p>
    <w:p>
      <w:pPr>
        <w:spacing w:after="0" w:line="7" w:lineRule="exact"/>
        <w:rPr>
          <w:sz w:val="24"/>
          <w:szCs w:val="24"/>
          <w:color w:val="auto"/>
        </w:rPr>
      </w:pPr>
    </w:p>
    <w:p>
      <w:pPr>
        <w:ind w:left="4840"/>
        <w:spacing w:after="0"/>
        <w:rPr>
          <w:sz w:val="20"/>
          <w:szCs w:val="20"/>
          <w:color w:val="auto"/>
        </w:rPr>
      </w:pPr>
      <w:r>
        <w:rPr>
          <w:rFonts w:ascii="Arial" w:cs="Arial" w:eastAsia="Arial" w:hAnsi="Arial"/>
          <w:sz w:val="11"/>
          <w:szCs w:val="11"/>
          <w:color w:val="auto"/>
        </w:rPr>
        <w:t>_____________________________</w:t>
      </w:r>
    </w:p>
    <w:p>
      <w:pPr>
        <w:spacing w:after="0" w:line="19" w:lineRule="exact"/>
        <w:rPr>
          <w:sz w:val="24"/>
          <w:szCs w:val="24"/>
          <w:color w:val="auto"/>
        </w:rPr>
      </w:pPr>
    </w:p>
    <w:p>
      <w:pPr>
        <w:ind w:left="4360"/>
        <w:spacing w:after="0"/>
        <w:rPr>
          <w:sz w:val="20"/>
          <w:szCs w:val="20"/>
          <w:color w:val="auto"/>
        </w:rPr>
      </w:pPr>
      <w:r>
        <w:rPr>
          <w:rFonts w:ascii="Arial" w:cs="Arial" w:eastAsia="Arial" w:hAnsi="Arial"/>
          <w:sz w:val="29"/>
          <w:szCs w:val="29"/>
          <w:b w:val="1"/>
          <w:bCs w:val="1"/>
          <w:color w:val="auto"/>
        </w:rPr>
        <w:t>VICI Properties Inc.</w:t>
      </w:r>
    </w:p>
    <w:p>
      <w:pPr>
        <w:spacing w:after="0" w:line="58" w:lineRule="exact"/>
        <w:rPr>
          <w:sz w:val="24"/>
          <w:szCs w:val="24"/>
          <w:color w:val="auto"/>
        </w:rPr>
      </w:pPr>
    </w:p>
    <w:p>
      <w:pPr>
        <w:ind w:left="4360"/>
        <w:spacing w:after="0"/>
        <w:rPr>
          <w:sz w:val="20"/>
          <w:szCs w:val="20"/>
          <w:color w:val="auto"/>
        </w:rPr>
      </w:pPr>
      <w:r>
        <w:rPr>
          <w:rFonts w:ascii="Arial" w:cs="Arial" w:eastAsia="Arial" w:hAnsi="Arial"/>
          <w:sz w:val="29"/>
          <w:szCs w:val="29"/>
          <w:b w:val="1"/>
          <w:bCs w:val="1"/>
          <w:color w:val="auto"/>
        </w:rPr>
        <w:t>VICI Properties L.P.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ind w:left="4840"/>
        <w:spacing w:after="0"/>
        <w:rPr>
          <w:sz w:val="20"/>
          <w:szCs w:val="20"/>
          <w:color w:val="auto"/>
        </w:rPr>
      </w:pPr>
      <w:r>
        <w:rPr>
          <w:rFonts w:ascii="Arial" w:cs="Arial" w:eastAsia="Arial" w:hAnsi="Arial"/>
          <w:sz w:val="11"/>
          <w:szCs w:val="11"/>
          <w:color w:val="auto"/>
        </w:rPr>
        <w:t>_____________________________</w:t>
      </w:r>
    </w:p>
    <w:p>
      <w:pPr>
        <w:spacing w:after="0" w:line="19" w:lineRule="exact"/>
        <w:rPr>
          <w:sz w:val="24"/>
          <w:szCs w:val="24"/>
          <w:color w:val="auto"/>
        </w:rPr>
      </w:pPr>
    </w:p>
    <w:tbl>
      <w:tblPr>
        <w:tblLayout w:type="fixed"/>
        <w:tblInd w:w="400" w:type="dxa"/>
        <w:tblCellMar>
          <w:top w:w="0" w:type="dxa"/>
          <w:left w:w="0" w:type="dxa"/>
          <w:bottom w:w="0" w:type="dxa"/>
          <w:right w:w="0" w:type="dxa"/>
        </w:tblCellMar>
      </w:tblPr>
      <w:tr>
        <w:trPr>
          <w:trHeight w:val="229"/>
        </w:trPr>
        <w:tc>
          <w:tcPr>
            <w:tcW w:w="4040" w:type="dxa"/>
            <w:vAlign w:val="bottom"/>
          </w:tcPr>
          <w:p>
            <w:pPr>
              <w:jc w:val="center"/>
              <w:ind w:right="236"/>
              <w:spacing w:after="0"/>
              <w:rPr>
                <w:sz w:val="20"/>
                <w:szCs w:val="20"/>
                <w:color w:val="auto"/>
              </w:rPr>
            </w:pPr>
            <w:r>
              <w:rPr>
                <w:rFonts w:ascii="Arial" w:cs="Arial" w:eastAsia="Arial" w:hAnsi="Arial"/>
                <w:sz w:val="18"/>
                <w:szCs w:val="18"/>
                <w:b w:val="1"/>
                <w:bCs w:val="1"/>
                <w:color w:val="auto"/>
                <w:w w:val="96"/>
              </w:rPr>
              <w:t>Maryland</w:t>
            </w:r>
          </w:p>
        </w:tc>
        <w:tc>
          <w:tcPr>
            <w:tcW w:w="2740" w:type="dxa"/>
            <w:vAlign w:val="bottom"/>
          </w:tcPr>
          <w:p>
            <w:pPr>
              <w:ind w:left="320"/>
              <w:spacing w:after="0"/>
              <w:rPr>
                <w:sz w:val="20"/>
                <w:szCs w:val="20"/>
                <w:color w:val="auto"/>
              </w:rPr>
            </w:pPr>
            <w:r>
              <w:rPr>
                <w:rFonts w:ascii="Arial" w:cs="Arial" w:eastAsia="Arial" w:hAnsi="Arial"/>
                <w:sz w:val="18"/>
                <w:szCs w:val="18"/>
                <w:b w:val="1"/>
                <w:bCs w:val="1"/>
                <w:color w:val="auto"/>
              </w:rPr>
              <w:t>(VICI Properties Inc.)</w:t>
            </w:r>
          </w:p>
        </w:tc>
        <w:tc>
          <w:tcPr>
            <w:tcW w:w="2900" w:type="dxa"/>
            <w:vAlign w:val="bottom"/>
          </w:tcPr>
          <w:p>
            <w:pPr>
              <w:jc w:val="center"/>
              <w:ind w:left="636"/>
              <w:spacing w:after="0"/>
              <w:rPr>
                <w:sz w:val="20"/>
                <w:szCs w:val="20"/>
                <w:color w:val="auto"/>
              </w:rPr>
            </w:pPr>
            <w:r>
              <w:rPr>
                <w:rFonts w:ascii="Arial" w:cs="Arial" w:eastAsia="Arial" w:hAnsi="Arial"/>
                <w:sz w:val="18"/>
                <w:szCs w:val="18"/>
                <w:b w:val="1"/>
                <w:bCs w:val="1"/>
                <w:color w:val="auto"/>
                <w:w w:val="89"/>
              </w:rPr>
              <w:t>81-4177147</w:t>
            </w:r>
          </w:p>
        </w:tc>
      </w:tr>
      <w:tr>
        <w:trPr>
          <w:trHeight w:val="225"/>
        </w:trPr>
        <w:tc>
          <w:tcPr>
            <w:tcW w:w="4040" w:type="dxa"/>
            <w:vAlign w:val="bottom"/>
          </w:tcPr>
          <w:p>
            <w:pPr>
              <w:jc w:val="center"/>
              <w:ind w:right="236"/>
              <w:spacing w:after="0"/>
              <w:rPr>
                <w:sz w:val="20"/>
                <w:szCs w:val="20"/>
                <w:color w:val="auto"/>
              </w:rPr>
            </w:pPr>
            <w:r>
              <w:rPr>
                <w:rFonts w:ascii="Arial" w:cs="Arial" w:eastAsia="Arial" w:hAnsi="Arial"/>
                <w:sz w:val="18"/>
                <w:szCs w:val="18"/>
                <w:b w:val="1"/>
                <w:bCs w:val="1"/>
                <w:color w:val="auto"/>
                <w:w w:val="91"/>
              </w:rPr>
              <w:t>Delaware</w:t>
            </w:r>
          </w:p>
        </w:tc>
        <w:tc>
          <w:tcPr>
            <w:tcW w:w="2740" w:type="dxa"/>
            <w:vAlign w:val="bottom"/>
          </w:tcPr>
          <w:p>
            <w:pPr>
              <w:ind w:left="320"/>
              <w:spacing w:after="0"/>
              <w:rPr>
                <w:sz w:val="20"/>
                <w:szCs w:val="20"/>
                <w:color w:val="auto"/>
              </w:rPr>
            </w:pPr>
            <w:r>
              <w:rPr>
                <w:rFonts w:ascii="Arial" w:cs="Arial" w:eastAsia="Arial" w:hAnsi="Arial"/>
                <w:sz w:val="18"/>
                <w:szCs w:val="18"/>
                <w:b w:val="1"/>
                <w:bCs w:val="1"/>
                <w:color w:val="auto"/>
              </w:rPr>
              <w:t>(VICI Properties L.P.)</w:t>
            </w:r>
          </w:p>
        </w:tc>
        <w:tc>
          <w:tcPr>
            <w:tcW w:w="2900" w:type="dxa"/>
            <w:vAlign w:val="bottom"/>
          </w:tcPr>
          <w:p>
            <w:pPr>
              <w:jc w:val="center"/>
              <w:ind w:left="636"/>
              <w:spacing w:after="0"/>
              <w:rPr>
                <w:sz w:val="20"/>
                <w:szCs w:val="20"/>
                <w:color w:val="auto"/>
              </w:rPr>
            </w:pPr>
            <w:r>
              <w:rPr>
                <w:rFonts w:ascii="Arial" w:cs="Arial" w:eastAsia="Arial" w:hAnsi="Arial"/>
                <w:sz w:val="18"/>
                <w:szCs w:val="18"/>
                <w:b w:val="1"/>
                <w:bCs w:val="1"/>
                <w:color w:val="auto"/>
                <w:w w:val="89"/>
              </w:rPr>
              <w:t>35-2576503</w:t>
            </w:r>
          </w:p>
        </w:tc>
      </w:tr>
      <w:tr>
        <w:trPr>
          <w:trHeight w:val="186"/>
        </w:trPr>
        <w:tc>
          <w:tcPr>
            <w:tcW w:w="4040" w:type="dxa"/>
            <w:vAlign w:val="bottom"/>
          </w:tcPr>
          <w:p>
            <w:pPr>
              <w:jc w:val="center"/>
              <w:ind w:right="236"/>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740" w:type="dxa"/>
            <w:vAlign w:val="bottom"/>
          </w:tcPr>
          <w:p>
            <w:pPr>
              <w:spacing w:after="0"/>
              <w:rPr>
                <w:sz w:val="16"/>
                <w:szCs w:val="16"/>
                <w:color w:val="auto"/>
              </w:rPr>
            </w:pPr>
          </w:p>
        </w:tc>
        <w:tc>
          <w:tcPr>
            <w:tcW w:w="2900" w:type="dxa"/>
            <w:vAlign w:val="bottom"/>
          </w:tcPr>
          <w:p>
            <w:pPr>
              <w:jc w:val="center"/>
              <w:ind w:left="616"/>
              <w:spacing w:after="0"/>
              <w:rPr>
                <w:sz w:val="20"/>
                <w:szCs w:val="20"/>
                <w:color w:val="auto"/>
              </w:rPr>
            </w:pPr>
            <w:r>
              <w:rPr>
                <w:rFonts w:ascii="Arial" w:cs="Arial" w:eastAsia="Arial" w:hAnsi="Arial"/>
                <w:sz w:val="14"/>
                <w:szCs w:val="14"/>
                <w:b w:val="1"/>
                <w:bCs w:val="1"/>
                <w:color w:val="auto"/>
                <w:w w:val="95"/>
              </w:rPr>
              <w:t>(I.R.S. Employer Identification No.)</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535 Madison Avenue, 20th Floor New York, New York 10022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(646) 949-4631</w:t>
      </w:r>
    </w:p>
    <w:p>
      <w:pPr>
        <w:spacing w:after="0" w:line="26" w:lineRule="exact"/>
        <w:rPr>
          <w:sz w:val="24"/>
          <w:szCs w:val="24"/>
          <w:color w:val="auto"/>
        </w:rPr>
      </w:pPr>
    </w:p>
    <w:p>
      <w:pPr>
        <w:ind w:left="4840"/>
        <w:spacing w:after="0"/>
        <w:rPr>
          <w:sz w:val="20"/>
          <w:szCs w:val="20"/>
          <w:color w:val="auto"/>
        </w:rPr>
      </w:pPr>
      <w:r>
        <w:rPr>
          <w:rFonts w:ascii="Arial" w:cs="Arial" w:eastAsia="Arial" w:hAnsi="Arial"/>
          <w:sz w:val="11"/>
          <w:szCs w:val="11"/>
          <w:color w:val="auto"/>
        </w:rPr>
        <w:t>_____________________________</w:t>
      </w:r>
    </w:p>
    <w:p>
      <w:pPr>
        <w:spacing w:after="0" w:line="95" w:lineRule="exact"/>
        <w:rPr>
          <w:sz w:val="24"/>
          <w:szCs w:val="24"/>
          <w:color w:val="auto"/>
        </w:rPr>
      </w:pPr>
    </w:p>
    <w:tbl>
      <w:tblPr>
        <w:tblLayout w:type="fixed"/>
        <w:tblInd w:w="340" w:type="dxa"/>
        <w:tblCellMar>
          <w:top w:w="0" w:type="dxa"/>
          <w:left w:w="0" w:type="dxa"/>
          <w:bottom w:w="0" w:type="dxa"/>
          <w:right w:w="0" w:type="dxa"/>
        </w:tblCellMar>
      </w:tblPr>
      <w:tr>
        <w:trPr>
          <w:trHeight w:val="206"/>
        </w:trPr>
        <w:tc>
          <w:tcPr>
            <w:tcW w:w="424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233"/>
        </w:trPr>
        <w:tc>
          <w:tcPr>
            <w:tcW w:w="390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b w:val="1"/>
                <w:bCs w:val="1"/>
                <w:color w:val="auto"/>
                <w:w w:val="88"/>
              </w:rPr>
              <w:t>Title of each class</w:t>
            </w:r>
          </w:p>
        </w:tc>
        <w:tc>
          <w:tcPr>
            <w:tcW w:w="340" w:type="dxa"/>
            <w:vAlign w:val="bottom"/>
          </w:tcPr>
          <w:p>
            <w:pPr>
              <w:spacing w:after="0"/>
              <w:rPr>
                <w:sz w:val="20"/>
                <w:szCs w:val="20"/>
                <w:color w:val="auto"/>
              </w:rPr>
            </w:pPr>
          </w:p>
        </w:tc>
        <w:tc>
          <w:tcPr>
            <w:tcW w:w="25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92"/>
              </w:rPr>
              <w:t>Trading Symbol</w:t>
            </w:r>
          </w:p>
        </w:tc>
        <w:tc>
          <w:tcPr>
            <w:tcW w:w="340" w:type="dxa"/>
            <w:vAlign w:val="bottom"/>
          </w:tcPr>
          <w:p>
            <w:pPr>
              <w:spacing w:after="0"/>
              <w:rPr>
                <w:sz w:val="20"/>
                <w:szCs w:val="20"/>
                <w:color w:val="auto"/>
              </w:rPr>
            </w:pPr>
          </w:p>
        </w:tc>
        <w:tc>
          <w:tcPr>
            <w:tcW w:w="378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7"/>
        </w:trPr>
        <w:tc>
          <w:tcPr>
            <w:tcW w:w="4240" w:type="dxa"/>
            <w:vAlign w:val="bottom"/>
            <w:gridSpan w:val="2"/>
          </w:tcPr>
          <w:p>
            <w:pPr>
              <w:jc w:val="center"/>
              <w:ind w:right="40"/>
              <w:spacing w:after="0"/>
              <w:rPr>
                <w:sz w:val="20"/>
                <w:szCs w:val="20"/>
                <w:color w:val="auto"/>
              </w:rPr>
            </w:pPr>
            <w:r>
              <w:rPr>
                <w:rFonts w:ascii="Arial" w:cs="Arial" w:eastAsia="Arial" w:hAnsi="Arial"/>
                <w:sz w:val="16"/>
                <w:szCs w:val="16"/>
                <w:color w:val="auto"/>
                <w:w w:val="92"/>
              </w:rPr>
              <w:t>Common stock, $0.01 par value</w:t>
            </w:r>
          </w:p>
        </w:tc>
        <w:tc>
          <w:tcPr>
            <w:tcW w:w="2880" w:type="dxa"/>
            <w:vAlign w:val="bottom"/>
            <w:gridSpan w:val="2"/>
          </w:tcPr>
          <w:p>
            <w:pPr>
              <w:jc w:val="center"/>
              <w:ind w:right="20"/>
              <w:spacing w:after="0"/>
              <w:rPr>
                <w:sz w:val="20"/>
                <w:szCs w:val="20"/>
                <w:color w:val="auto"/>
              </w:rPr>
            </w:pPr>
            <w:r>
              <w:rPr>
                <w:rFonts w:ascii="Arial" w:cs="Arial" w:eastAsia="Arial" w:hAnsi="Arial"/>
                <w:sz w:val="16"/>
                <w:szCs w:val="16"/>
                <w:color w:val="auto"/>
              </w:rPr>
              <w:t>VICI</w:t>
            </w:r>
          </w:p>
        </w:tc>
        <w:tc>
          <w:tcPr>
            <w:tcW w:w="3780" w:type="dxa"/>
            <w:vAlign w:val="bottom"/>
          </w:tcPr>
          <w:p>
            <w:pPr>
              <w:jc w:val="center"/>
              <w:ind w:left="239"/>
              <w:spacing w:after="0"/>
              <w:rPr>
                <w:sz w:val="20"/>
                <w:szCs w:val="20"/>
                <w:color w:val="auto"/>
              </w:rPr>
            </w:pPr>
            <w:r>
              <w:rPr>
                <w:rFonts w:ascii="Arial" w:cs="Arial" w:eastAsia="Arial" w:hAnsi="Arial"/>
                <w:sz w:val="16"/>
                <w:szCs w:val="16"/>
                <w:color w:val="auto"/>
                <w:w w:val="91"/>
              </w:rPr>
              <w:t>New York Stock Exchange</w:t>
            </w:r>
          </w:p>
        </w:tc>
      </w:tr>
    </w:tbl>
    <w:p>
      <w:pPr>
        <w:spacing w:after="0" w:line="361"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1" w:lineRule="exact"/>
        <w:rPr>
          <w:sz w:val="24"/>
          <w:szCs w:val="24"/>
          <w:color w:val="auto"/>
        </w:rPr>
      </w:pPr>
    </w:p>
    <w:p>
      <w:pPr>
        <w:ind w:left="360"/>
        <w:spacing w:after="0" w:line="184" w:lineRule="exact"/>
        <w:tabs>
          <w:tab w:leader="none" w:pos="2320" w:val="left"/>
          <w:tab w:leader="none" w:pos="6560" w:val="left"/>
          <w:tab w:leader="none" w:pos="8600" w:val="left"/>
        </w:tabs>
        <w:rPr>
          <w:sz w:val="20"/>
          <w:szCs w:val="20"/>
          <w:color w:val="auto"/>
        </w:rPr>
      </w:pPr>
      <w:r>
        <w:rPr>
          <w:rFonts w:ascii="Arial" w:cs="Arial" w:eastAsia="Arial" w:hAnsi="Arial"/>
          <w:sz w:val="16"/>
          <w:szCs w:val="16"/>
          <w:color w:val="auto"/>
        </w:rPr>
        <w:t xml:space="preserve">VICI Properties Inc.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VICI Properties L.P.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38" w:lineRule="exact"/>
        <w:rPr>
          <w:sz w:val="24"/>
          <w:szCs w:val="24"/>
          <w:color w:val="auto"/>
        </w:rPr>
      </w:pPr>
    </w:p>
    <w:p>
      <w:pPr>
        <w:jc w:val="both"/>
        <w:ind w:firstLine="324"/>
        <w:spacing w:after="0" w:line="307"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ind w:left="360"/>
        <w:spacing w:after="0" w:line="184" w:lineRule="exact"/>
        <w:tabs>
          <w:tab w:leader="none" w:pos="2320" w:val="left"/>
          <w:tab w:leader="none" w:pos="6560" w:val="left"/>
          <w:tab w:leader="none" w:pos="8600" w:val="left"/>
        </w:tabs>
        <w:rPr>
          <w:sz w:val="20"/>
          <w:szCs w:val="20"/>
          <w:color w:val="auto"/>
        </w:rPr>
      </w:pPr>
      <w:r>
        <w:rPr>
          <w:rFonts w:ascii="Arial" w:cs="Arial" w:eastAsia="Arial" w:hAnsi="Arial"/>
          <w:sz w:val="16"/>
          <w:szCs w:val="16"/>
          <w:color w:val="auto"/>
        </w:rPr>
        <w:t xml:space="preserve">VICI Properties Inc.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VICI Properties L.P.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1"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2880" w:type="dxa"/>
            <w:vAlign w:val="bottom"/>
            <w:gridSpan w:val="2"/>
          </w:tcPr>
          <w:p>
            <w:pPr>
              <w:ind w:left="200"/>
              <w:spacing w:after="0"/>
              <w:rPr>
                <w:sz w:val="20"/>
                <w:szCs w:val="20"/>
                <w:color w:val="auto"/>
              </w:rPr>
            </w:pPr>
            <w:r>
              <w:rPr>
                <w:rFonts w:ascii="Arial" w:cs="Arial" w:eastAsia="Arial" w:hAnsi="Arial"/>
                <w:sz w:val="16"/>
                <w:szCs w:val="16"/>
                <w:color w:val="auto"/>
              </w:rPr>
              <w:t>VICI Properties Inc.</w:t>
            </w:r>
          </w:p>
        </w:tc>
        <w:tc>
          <w:tcPr>
            <w:tcW w:w="8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900" w:type="dxa"/>
            <w:vAlign w:val="bottom"/>
            <w:gridSpan w:val="2"/>
          </w:tcPr>
          <w:p>
            <w:pPr>
              <w:ind w:left="220"/>
              <w:spacing w:after="0"/>
              <w:rPr>
                <w:sz w:val="20"/>
                <w:szCs w:val="20"/>
                <w:color w:val="auto"/>
              </w:rPr>
            </w:pPr>
            <w:r>
              <w:rPr>
                <w:rFonts w:ascii="Arial" w:cs="Arial" w:eastAsia="Arial" w:hAnsi="Arial"/>
                <w:sz w:val="16"/>
                <w:szCs w:val="16"/>
                <w:color w:val="auto"/>
              </w:rPr>
              <w:t>VICI Properties L.P.</w:t>
            </w:r>
          </w:p>
        </w:tc>
        <w:tc>
          <w:tcPr>
            <w:tcW w:w="480" w:type="dxa"/>
            <w:vAlign w:val="bottom"/>
          </w:tcPr>
          <w:p>
            <w:pPr>
              <w:spacing w:after="0"/>
              <w:rPr>
                <w:sz w:val="16"/>
                <w:szCs w:val="16"/>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2300" w:type="dxa"/>
            <w:vAlign w:val="bottom"/>
          </w:tcPr>
          <w:p>
            <w:pPr>
              <w:ind w:left="220"/>
              <w:spacing w:after="0"/>
              <w:rPr>
                <w:sz w:val="20"/>
                <w:szCs w:val="20"/>
                <w:color w:val="auto"/>
              </w:rPr>
            </w:pPr>
            <w:r>
              <w:rPr>
                <w:rFonts w:ascii="Arial" w:cs="Arial" w:eastAsia="Arial" w:hAnsi="Arial"/>
                <w:sz w:val="16"/>
                <w:szCs w:val="16"/>
                <w:color w:val="auto"/>
              </w:rPr>
              <w:t>Accelerated filer</w:t>
            </w:r>
          </w:p>
        </w:tc>
        <w:tc>
          <w:tcPr>
            <w:tcW w:w="8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2180" w:type="dxa"/>
            <w:vAlign w:val="bottom"/>
          </w:tcPr>
          <w:p>
            <w:pPr>
              <w:ind w:left="420"/>
              <w:spacing w:after="0"/>
              <w:rPr>
                <w:sz w:val="20"/>
                <w:szCs w:val="20"/>
                <w:color w:val="auto"/>
              </w:rPr>
            </w:pPr>
            <w:r>
              <w:rPr>
                <w:rFonts w:ascii="Arial" w:cs="Arial" w:eastAsia="Arial" w:hAnsi="Arial"/>
                <w:sz w:val="16"/>
                <w:szCs w:val="16"/>
                <w:color w:val="auto"/>
              </w:rPr>
              <w:t>Large Accelerated Filer</w:t>
            </w:r>
          </w:p>
        </w:tc>
        <w:tc>
          <w:tcPr>
            <w:tcW w:w="5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320" w:type="dxa"/>
            <w:vAlign w:val="bottom"/>
          </w:tcPr>
          <w:p>
            <w:pPr>
              <w:ind w:left="24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5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2300" w:type="dxa"/>
            <w:vAlign w:val="bottom"/>
          </w:tcPr>
          <w:p>
            <w:pPr>
              <w:ind w:left="220"/>
              <w:spacing w:after="0"/>
              <w:rPr>
                <w:sz w:val="20"/>
                <w:szCs w:val="20"/>
                <w:color w:val="auto"/>
              </w:rPr>
            </w:pPr>
            <w:r>
              <w:rPr>
                <w:rFonts w:ascii="Arial" w:cs="Arial" w:eastAsia="Arial" w:hAnsi="Arial"/>
                <w:sz w:val="16"/>
                <w:szCs w:val="16"/>
                <w:color w:val="auto"/>
              </w:rPr>
              <w:t>Smaller reporting company</w:t>
            </w:r>
          </w:p>
        </w:tc>
        <w:tc>
          <w:tcPr>
            <w:tcW w:w="8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2180" w:type="dxa"/>
            <w:vAlign w:val="bottom"/>
          </w:tcPr>
          <w:p>
            <w:pPr>
              <w:ind w:left="420"/>
              <w:spacing w:after="0"/>
              <w:rPr>
                <w:sz w:val="20"/>
                <w:szCs w:val="20"/>
                <w:color w:val="auto"/>
              </w:rPr>
            </w:pPr>
            <w:r>
              <w:rPr>
                <w:rFonts w:ascii="Arial" w:cs="Arial" w:eastAsia="Arial" w:hAnsi="Arial"/>
                <w:sz w:val="16"/>
                <w:szCs w:val="16"/>
                <w:color w:val="auto"/>
              </w:rPr>
              <w:t>Non-accelerated filer</w:t>
            </w:r>
          </w:p>
        </w:tc>
        <w:tc>
          <w:tcPr>
            <w:tcW w:w="5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320" w:type="dxa"/>
            <w:vAlign w:val="bottom"/>
          </w:tcPr>
          <w:p>
            <w:pPr>
              <w:ind w:left="24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300" w:type="dxa"/>
            <w:vAlign w:val="bottom"/>
          </w:tcPr>
          <w:p>
            <w:pPr>
              <w:ind w:left="220"/>
              <w:spacing w:after="0"/>
              <w:rPr>
                <w:sz w:val="20"/>
                <w:szCs w:val="20"/>
                <w:color w:val="auto"/>
              </w:rPr>
            </w:pPr>
            <w:r>
              <w:rPr>
                <w:rFonts w:ascii="Arial" w:cs="Arial" w:eastAsia="Arial" w:hAnsi="Arial"/>
                <w:sz w:val="16"/>
                <w:szCs w:val="16"/>
                <w:color w:val="auto"/>
              </w:rPr>
              <w:t>Emerging growth company</w:t>
            </w:r>
          </w:p>
        </w:tc>
        <w:tc>
          <w:tcPr>
            <w:tcW w:w="8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2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320" w:type="dxa"/>
            <w:vAlign w:val="bottom"/>
          </w:tcPr>
          <w:p>
            <w:pPr>
              <w:ind w:left="24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81" w:lineRule="exact"/>
        <w:rPr>
          <w:sz w:val="24"/>
          <w:szCs w:val="24"/>
          <w:color w:val="auto"/>
        </w:rPr>
      </w:pPr>
    </w:p>
    <w:p>
      <w:pPr>
        <w:ind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70" w:lineRule="exact"/>
        <w:rPr>
          <w:sz w:val="24"/>
          <w:szCs w:val="24"/>
          <w:color w:val="auto"/>
        </w:rPr>
      </w:pPr>
    </w:p>
    <w:p>
      <w:pPr>
        <w:ind w:left="360"/>
        <w:spacing w:after="0" w:line="184" w:lineRule="exact"/>
        <w:tabs>
          <w:tab w:leader="none" w:pos="2320" w:val="left"/>
          <w:tab w:leader="none" w:pos="6560" w:val="left"/>
        </w:tabs>
        <w:rPr>
          <w:sz w:val="20"/>
          <w:szCs w:val="20"/>
          <w:color w:val="auto"/>
        </w:rPr>
      </w:pPr>
      <w:r>
        <w:rPr>
          <w:rFonts w:ascii="Arial" w:cs="Arial" w:eastAsia="Arial" w:hAnsi="Arial"/>
          <w:sz w:val="16"/>
          <w:szCs w:val="16"/>
          <w:color w:val="auto"/>
        </w:rPr>
        <w:t xml:space="preserve">VICI Properties Inc.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VICI Properties L.P.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8"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As of July 26, 2022, VICI Properties Inc. had 963,093,424 shares of common stock, $0.01 par value per share, outstanding. VICI Properties L.P. has no common stock outstanding.</w:t>
      </w:r>
    </w:p>
    <w:p>
      <w:pPr>
        <w:sectPr>
          <w:pgSz w:w="11900" w:h="16838" w:orient="portrait"/>
          <w:cols w:equalWidth="0" w:num="1">
            <w:col w:w="11240"/>
          </w:cols>
          <w:pgMar w:left="320" w:top="936" w:right="339" w:bottom="1440" w:gutter="0" w:footer="0" w:header="0"/>
        </w:sectPr>
      </w:pPr>
    </w:p>
    <w:p>
      <w:pPr>
        <w:spacing w:after="0" w:line="38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report combines the quarterly reports on Form 10-Q for the three and six months ended June 30, 2022 of VICI Properties Inc. and VICI Properties L.P. Unless stated otherwise or the context otherwise requires, references to “VICI” mean VICI Properties Inc. and its consolidated subsidiaries, including VICI Properties OP LLC (“VICI OP”), and references to “VICI LP” mean VICI Properties L.P. and its consolidated subsidiaries. Unless stated otherwise or the context otherwise requires, the terms “the Company,” “we,” “our” and “us” mean VICI and VICI LP, including, collectively, their consolidated subsidiaries.</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order to highlight the differences between VICI and VICI LP, the separate sections in this report for VICI and VICI LP described below specifically refer to VICI and VICI LP. In the sections that combine disclosure of VICI and VICI LP, this report refers to actions or holdings of VICI and VICI LP as being “our” actions or holdings. Although VICI LP is generally the entity that directly or indirectly enters into contracts and joint ventures, holds assets and incurs debt, we believe that references to “we,” “us” or “our” in this context is appropriate because the business is one enterprise and we operate substantially all of our business and own, either directly or through subsidiaries, substantially all of our assets through VICI LP.</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VICI is a real estate investment trust (“REIT”) that is the sole owner of VICI Properties GP LLC (the “General Partner”), the sole general partner of VICI LP. As of June 30, 2022, VICI owns 100% of the limited liability company interests of VICI Properties HoldCo LLC (“HoldCo”), which in turn owns 98.7% of the limited liability company interest of VICI OP (such interests, “VICI OP Units”), our operating partnership, which in turns owns 100% of the limited partnership interest in VICI LP. The balance of the VICI OP Units not held by HoldCo are held by MGM Resorts International or its affiliates.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diagram details VICI’s organizational structure as of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117475</wp:posOffset>
            </wp:positionV>
            <wp:extent cx="4286250" cy="2640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We believe combining the quarterly reports on Form 10-Q of VICI and VICI LP into this single report:</w:t>
      </w:r>
    </w:p>
    <w:p>
      <w:pPr>
        <w:spacing w:after="0" w:line="171" w:lineRule="exact"/>
        <w:rPr>
          <w:sz w:val="20"/>
          <w:szCs w:val="20"/>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enhances investors’ understanding of VICI and VICI LP by enabling investors to view the business as a whole in the same manner as management views and operates the business;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eliminates duplicative disclosure and provides a more streamlined and readable presentation;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creates time and cost efficiencies through the preparation of one combined report instead of two separate reports.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VICI and VICI LP as one business. Because VICI LP is managed by VICI, and VICI conducts substantially all of its operations and owns, either directly or through subsidiaries, substantially all of its assets indirectly through VICI LP, VICI’s executive officers are VICI LP’s executive officers, although, as a partnership, VICI LP does not have a board of directors.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it is important to understand the few differences between VICI and VICI LP in the context of how VICI and VICI LP operate as a consolidated company. VICI is a REIT whose only material assets are its indirect interest in VICI LP, through which it conducts its real property business. VICI also conducts its golf course business through a taxable REIT subsidiary (a “TRS”), VICI Golf LLC, a Delaware limited liability company (“VICI Golf”). As a result, VICI does not conduct business itself other than issuing public equity from time to time and does not directly incur any material indebtedness, rather VICI LP</w:t>
      </w:r>
    </w:p>
    <w:p>
      <w:pPr>
        <w:sectPr>
          <w:pgSz w:w="11900" w:h="16838" w:orient="portrait"/>
          <w:cols w:equalWidth="0" w:num="1">
            <w:col w:w="11240"/>
          </w:cols>
          <w:pgMar w:left="320" w:top="1336"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type w:val="continuous"/>
        </w:sectPr>
      </w:pPr>
    </w:p>
    <w:bookmarkStart w:id="2" w:name="page3"/>
    <w:bookmarkEnd w:id="2"/>
    <w:p>
      <w:pPr>
        <w:jc w:val="both"/>
        <w:spacing w:after="0" w:line="342" w:lineRule="auto"/>
        <w:rPr>
          <w:sz w:val="20"/>
          <w:szCs w:val="20"/>
          <w:color w:val="auto"/>
        </w:rPr>
      </w:pPr>
      <w:r>
        <w:rPr>
          <w:rFonts w:ascii="Arial" w:cs="Arial" w:eastAsia="Arial" w:hAnsi="Arial"/>
          <w:sz w:val="16"/>
          <w:szCs w:val="16"/>
          <w:color w:val="auto"/>
        </w:rPr>
        <w:t>holds substantially all of our assets, except for those held in VICI Golf. Except for net proceeds from public equity issuances by VICI, VICI LP generates all capital required by the Company’s business, which sources include VICI LP’s operations and its direct or indirect incurrence of indebtedness.</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VICI consolidates VICI LP for financial reporting purposes, and VICI does not have material assets other than its indirect investment in VICI LP. Therefore, while there are some areas of difference between the unaudited Consolidated Financial Statements of VICI and those of VICI LP, the assets and liabilities of VICI and VICI LP are materially the same on their respective financial statements. As of June 30, 2022, the primary areas of difference between the unaudited Consolidated Financial Statements of VICI and those of VICI LP were stockholders’ equity and partners’ capital, non-controlling interests, and golf operations, which include the assets and liabilities and income and expenses of VICI Golf.</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To help investors understand the differences between VICI and VICI LP, this report provides:</w:t>
      </w:r>
    </w:p>
    <w:p>
      <w:pPr>
        <w:spacing w:after="0" w:line="17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separate consolidated financial statements for VICI and VICI LP;</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single set of notes to such consolidated financial statements that includes separate discussions of stockholders’ equity or partners’ equity and per share and per unit data, as applicable;</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combined Management’s Discussion and Analysis of Financial Condition and Results of Operations section that also includes discrete information related to each entity, as applicable;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separate Part I, Item 4. Controls and Procedures sections;</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separate Part II, Item 2. Issuer Purchases of Equity Securities sections related to each entity; and</w:t>
      </w:r>
    </w:p>
    <w:p>
      <w:pPr>
        <w:spacing w:after="0" w:line="63"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separate Exhibits 31 and 32 certifications for each VICI and VICI LP in order to establish that the requisite certifications have been made and that VICI and VICI LP are each compliant with Rule 13a-14(a) or Rule 15d-14(a) of the Securities Exchange Act of 1934 and 18 U.S.C. §1350.</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separate discussions of VICI and VICI LP in this report should be read in conjunction with each other to understand our results on a consolidated basis and how management operates our business.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L.P.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QUARTER ENDED JUNE 30, 2022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gridSpan w:val="2"/>
            <w:vMerge w:val="restart"/>
          </w:tcPr>
          <w:p>
            <w:pPr>
              <w:spacing w:after="0"/>
              <w:rPr>
                <w:rFonts w:ascii="Arial" w:cs="Arial" w:eastAsia="Arial" w:hAnsi="Arial"/>
                <w:sz w:val="18"/>
                <w:szCs w:val="18"/>
                <w:b w:val="1"/>
                <w:bCs w:val="1"/>
                <w:color w:val="0000FF"/>
                <w:w w:val="96"/>
              </w:rPr>
            </w:pPr>
            <w:hyperlink w:anchor="page4">
              <w:r>
                <w:rPr>
                  <w:rFonts w:ascii="Arial" w:cs="Arial" w:eastAsia="Arial" w:hAnsi="Arial"/>
                  <w:sz w:val="18"/>
                  <w:szCs w:val="18"/>
                  <w:b w:val="1"/>
                  <w:bCs w:val="1"/>
                  <w:color w:val="0000FF"/>
                  <w:w w:val="96"/>
                </w:rPr>
                <w:t>PART I.</w:t>
              </w:r>
            </w:hyperlink>
          </w:p>
        </w:tc>
        <w:tc>
          <w:tcPr>
            <w:tcW w:w="360" w:type="dxa"/>
            <w:vAlign w:val="bottom"/>
            <w:gridSpan w:val="3"/>
            <w:vMerge w:val="restart"/>
          </w:tcPr>
          <w:p>
            <w:pPr>
              <w:spacing w:after="0"/>
              <w:rPr>
                <w:sz w:val="20"/>
                <w:szCs w:val="20"/>
                <w:color w:val="auto"/>
              </w:rPr>
            </w:pPr>
          </w:p>
        </w:tc>
        <w:tc>
          <w:tcPr>
            <w:tcW w:w="2400" w:type="dxa"/>
            <w:vAlign w:val="bottom"/>
            <w:gridSpan w:val="9"/>
            <w:vMerge w:val="restart"/>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FINANCIAL INFORMATION</w:t>
              </w:r>
            </w:hyperlink>
          </w:p>
        </w:tc>
        <w:tc>
          <w:tcPr>
            <w:tcW w:w="7240" w:type="dxa"/>
            <w:vAlign w:val="bottom"/>
            <w:gridSpan w:val="10"/>
            <w:vMerge w:val="restart"/>
          </w:tcPr>
          <w:p>
            <w:pPr>
              <w:spacing w:after="0"/>
              <w:rPr>
                <w:sz w:val="20"/>
                <w:szCs w:val="20"/>
                <w:color w:val="auto"/>
              </w:rPr>
            </w:pPr>
          </w:p>
        </w:tc>
        <w:tc>
          <w:tcPr>
            <w:tcW w:w="58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640" w:type="dxa"/>
            <w:vAlign w:val="bottom"/>
            <w:tcBorders>
              <w:bottom w:val="single" w:sz="8" w:color="0000FF"/>
            </w:tcBorders>
            <w:gridSpan w:val="2"/>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2400" w:type="dxa"/>
            <w:vAlign w:val="bottom"/>
            <w:tcBorders>
              <w:bottom w:val="single" w:sz="8" w:color="0000FF"/>
            </w:tcBorders>
            <w:gridSpan w:val="9"/>
            <w:vMerge w:val="continue"/>
          </w:tcPr>
          <w:p>
            <w:pPr>
              <w:spacing w:after="0"/>
              <w:rPr>
                <w:sz w:val="14"/>
                <w:szCs w:val="14"/>
                <w:color w:val="auto"/>
              </w:rPr>
            </w:pPr>
          </w:p>
        </w:tc>
        <w:tc>
          <w:tcPr>
            <w:tcW w:w="7240" w:type="dxa"/>
            <w:vAlign w:val="bottom"/>
            <w:gridSpan w:val="10"/>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Item 1.</w:t>
              </w:r>
            </w:hyperlink>
          </w:p>
        </w:tc>
        <w:tc>
          <w:tcPr>
            <w:tcW w:w="520" w:type="dxa"/>
            <w:vAlign w:val="bottom"/>
            <w:gridSpan w:val="4"/>
          </w:tcPr>
          <w:p>
            <w:pPr>
              <w:spacing w:after="0"/>
              <w:rPr>
                <w:sz w:val="18"/>
                <w:szCs w:val="18"/>
                <w:color w:val="auto"/>
              </w:rPr>
            </w:pPr>
          </w:p>
        </w:tc>
        <w:tc>
          <w:tcPr>
            <w:tcW w:w="964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of VICI Properties Inc. (Unaudited)</w:t>
              </w:r>
            </w:hyperlink>
          </w:p>
        </w:tc>
        <w:tc>
          <w:tcPr>
            <w:tcW w:w="340" w:type="dxa"/>
            <w:vAlign w:val="bottom"/>
            <w:gridSpan w:val="2"/>
          </w:tcPr>
          <w:p>
            <w:pPr>
              <w:jc w:val="center"/>
              <w:ind w:left="15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8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Balance Sheets as of June 30, 2022 and December 31, 2021</w:t>
              </w:r>
            </w:hyperlink>
          </w:p>
        </w:tc>
        <w:tc>
          <w:tcPr>
            <w:tcW w:w="340" w:type="dxa"/>
            <w:vAlign w:val="bottom"/>
            <w:gridSpan w:val="2"/>
          </w:tcPr>
          <w:p>
            <w:pPr>
              <w:jc w:val="center"/>
              <w:ind w:left="150"/>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80" w:type="dxa"/>
            <w:vAlign w:val="bottom"/>
            <w:gridSpan w:val="18"/>
          </w:tcPr>
          <w:p>
            <w:pPr>
              <w:spacing w:after="0"/>
              <w:rPr>
                <w:rFonts w:ascii="Arial" w:cs="Arial" w:eastAsia="Arial" w:hAnsi="Arial"/>
                <w:sz w:val="18"/>
                <w:szCs w:val="18"/>
                <w:color w:val="0000FF"/>
                <w:w w:val="93"/>
              </w:rPr>
            </w:pPr>
            <w:hyperlink w:anchor="page5">
              <w:r>
                <w:rPr>
                  <w:rFonts w:ascii="Arial" w:cs="Arial" w:eastAsia="Arial" w:hAnsi="Arial"/>
                  <w:sz w:val="18"/>
                  <w:szCs w:val="18"/>
                  <w:color w:val="0000FF"/>
                  <w:w w:val="93"/>
                </w:rPr>
                <w:t>Consolidated Statements of Operations and Comprehensive Income for the Three and Six Months Ended June 30, 2022 and</w:t>
              </w:r>
            </w:hyperlink>
          </w:p>
        </w:tc>
        <w:tc>
          <w:tcPr>
            <w:tcW w:w="240" w:type="dxa"/>
            <w:vAlign w:val="bottom"/>
            <w:vMerge w:val="restart"/>
          </w:tcPr>
          <w:p>
            <w:pPr>
              <w:spacing w:after="0"/>
              <w:rPr>
                <w:sz w:val="18"/>
                <w:szCs w:val="18"/>
                <w:color w:val="auto"/>
              </w:rPr>
            </w:pPr>
          </w:p>
        </w:tc>
        <w:tc>
          <w:tcPr>
            <w:tcW w:w="100" w:type="dxa"/>
            <w:vAlign w:val="bottom"/>
            <w:vMerge w:val="restart"/>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4"/>
              </w:rPr>
            </w:pPr>
            <w:hyperlink w:anchor="page5">
              <w:r>
                <w:rPr>
                  <w:rFonts w:ascii="Arial" w:cs="Arial" w:eastAsia="Arial" w:hAnsi="Arial"/>
                  <w:sz w:val="18"/>
                  <w:szCs w:val="18"/>
                  <w:color w:val="0000FF"/>
                  <w:w w:val="84"/>
                </w:rPr>
                <w:t>2021</w:t>
              </w:r>
            </w:hyperlink>
          </w:p>
        </w:tc>
        <w:tc>
          <w:tcPr>
            <w:tcW w:w="1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98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Consolidated Statements of Stockholders’ Equity for the Three and Six Months Ended June 30, 2022 and 2021</w:t>
              </w:r>
            </w:hyperlink>
          </w:p>
        </w:tc>
        <w:tc>
          <w:tcPr>
            <w:tcW w:w="13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8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 xml:space="preserve">Consolidated Statements of Cash Flows for the Six Months Ended June </w:t>
              </w:r>
            </w:hyperlink>
            <w:r>
              <w:rPr>
                <w:rFonts w:ascii="Arial" w:cs="Arial" w:eastAsia="Arial" w:hAnsi="Arial"/>
                <w:sz w:val="18"/>
                <w:szCs w:val="18"/>
                <w:color w:val="0000FF"/>
              </w:rPr>
              <w:t xml:space="preserve">30, </w:t>
            </w:r>
            <w:hyperlink w:anchor="page7">
              <w:r>
                <w:rPr>
                  <w:rFonts w:ascii="Arial" w:cs="Arial" w:eastAsia="Arial" w:hAnsi="Arial"/>
                  <w:sz w:val="18"/>
                  <w:szCs w:val="18"/>
                  <w:color w:val="0000FF"/>
                </w:rPr>
                <w:t>2022 and 2021</w:t>
              </w:r>
            </w:hyperlink>
          </w:p>
        </w:tc>
        <w:tc>
          <w:tcPr>
            <w:tcW w:w="340" w:type="dxa"/>
            <w:vAlign w:val="bottom"/>
            <w:gridSpan w:val="2"/>
          </w:tcPr>
          <w:p>
            <w:pPr>
              <w:jc w:val="center"/>
              <w:ind w:left="150"/>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20" w:type="dxa"/>
            <w:vAlign w:val="bottom"/>
            <w:gridSpan w:val="11"/>
          </w:tcPr>
          <w:p>
            <w:pPr>
              <w:spacing w:after="0"/>
              <w:rPr>
                <w:rFonts w:ascii="Arial" w:cs="Arial" w:eastAsia="Arial" w:hAnsi="Arial"/>
                <w:sz w:val="18"/>
                <w:szCs w:val="18"/>
                <w:color w:val="0000FF"/>
                <w:w w:val="90"/>
              </w:rPr>
            </w:pPr>
            <w:hyperlink w:anchor="page9">
              <w:r>
                <w:rPr>
                  <w:rFonts w:ascii="Arial" w:cs="Arial" w:eastAsia="Arial" w:hAnsi="Arial"/>
                  <w:sz w:val="18"/>
                  <w:szCs w:val="18"/>
                  <w:color w:val="0000FF"/>
                  <w:w w:val="90"/>
                </w:rPr>
                <w:t>Financial Statements of VICI Properties L.P. (Unaudited)</w:t>
              </w:r>
            </w:hyperlink>
          </w:p>
        </w:tc>
        <w:tc>
          <w:tcPr>
            <w:tcW w:w="5520" w:type="dxa"/>
            <w:vAlign w:val="bottom"/>
            <w:gridSpan w:val="8"/>
          </w:tcPr>
          <w:p>
            <w:pPr>
              <w:spacing w:after="0"/>
              <w:rPr>
                <w:sz w:val="24"/>
                <w:szCs w:val="24"/>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10</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80" w:type="dxa"/>
            <w:vAlign w:val="bottom"/>
            <w:gridSpan w:val="18"/>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Consolidated Balance Sheets as of June 30, 2022 and December 31, 2021</w:t>
              </w:r>
            </w:hyperlink>
          </w:p>
        </w:tc>
        <w:tc>
          <w:tcPr>
            <w:tcW w:w="340" w:type="dxa"/>
            <w:vAlign w:val="bottom"/>
            <w:gridSpan w:val="2"/>
          </w:tcPr>
          <w:p>
            <w:pPr>
              <w:jc w:val="center"/>
              <w:ind w:left="70"/>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10</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80" w:type="dxa"/>
            <w:vAlign w:val="bottom"/>
            <w:gridSpan w:val="18"/>
          </w:tcPr>
          <w:p>
            <w:pPr>
              <w:spacing w:after="0"/>
              <w:rPr>
                <w:rFonts w:ascii="Arial" w:cs="Arial" w:eastAsia="Arial" w:hAnsi="Arial"/>
                <w:sz w:val="18"/>
                <w:szCs w:val="18"/>
                <w:color w:val="0000FF"/>
                <w:w w:val="93"/>
              </w:rPr>
            </w:pPr>
            <w:hyperlink w:anchor="page10">
              <w:r>
                <w:rPr>
                  <w:rFonts w:ascii="Arial" w:cs="Arial" w:eastAsia="Arial" w:hAnsi="Arial"/>
                  <w:sz w:val="18"/>
                  <w:szCs w:val="18"/>
                  <w:color w:val="0000FF"/>
                  <w:w w:val="93"/>
                </w:rPr>
                <w:t>Consolidated Statements of Operations and Comprehensive Income for the Three and Six Months Ended June 30, 2022 and</w:t>
              </w:r>
            </w:hyperlink>
          </w:p>
        </w:tc>
        <w:tc>
          <w:tcPr>
            <w:tcW w:w="340" w:type="dxa"/>
            <w:vAlign w:val="bottom"/>
            <w:gridSpan w:val="2"/>
            <w:vMerge w:val="restart"/>
          </w:tcPr>
          <w:p>
            <w:pPr>
              <w:jc w:val="center"/>
              <w:ind w:left="70"/>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11</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top w:val="single" w:sz="8" w:color="0000FF"/>
            </w:tcBorders>
            <w:gridSpan w:val="2"/>
          </w:tcPr>
          <w:p>
            <w:pPr>
              <w:spacing w:after="0" w:line="156" w:lineRule="exact"/>
              <w:rPr>
                <w:rFonts w:ascii="Arial" w:cs="Arial" w:eastAsia="Arial" w:hAnsi="Arial"/>
                <w:sz w:val="18"/>
                <w:szCs w:val="18"/>
                <w:color w:val="0000FF"/>
                <w:w w:val="84"/>
              </w:rPr>
            </w:pPr>
            <w:hyperlink w:anchor="page10">
              <w:r>
                <w:rPr>
                  <w:rFonts w:ascii="Arial" w:cs="Arial" w:eastAsia="Arial" w:hAnsi="Arial"/>
                  <w:sz w:val="18"/>
                  <w:szCs w:val="18"/>
                  <w:color w:val="0000FF"/>
                  <w:w w:val="84"/>
                </w:rPr>
                <w:t>2021</w:t>
              </w:r>
            </w:hyperlink>
          </w:p>
        </w:tc>
        <w:tc>
          <w:tcPr>
            <w:tcW w:w="1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80" w:type="dxa"/>
            <w:vAlign w:val="bottom"/>
            <w:gridSpan w:val="18"/>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Consolidated Statements of Partners’ Capital for the Three and Six Months Ended June 30, 2022 and 2021</w:t>
              </w:r>
            </w:hyperlink>
          </w:p>
        </w:tc>
        <w:tc>
          <w:tcPr>
            <w:tcW w:w="340" w:type="dxa"/>
            <w:vAlign w:val="bottom"/>
            <w:gridSpan w:val="2"/>
          </w:tcPr>
          <w:p>
            <w:pPr>
              <w:jc w:val="center"/>
              <w:ind w:left="70"/>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12</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60" w:type="dxa"/>
            <w:vAlign w:val="bottom"/>
            <w:gridSpan w:val="15"/>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Consolidated Statements of Cash Flows for the Six Months Ended June 30, 2022 and 2021</w:t>
              </w:r>
            </w:hyperlink>
          </w:p>
        </w:tc>
        <w:tc>
          <w:tcPr>
            <w:tcW w:w="1620" w:type="dxa"/>
            <w:vAlign w:val="bottom"/>
            <w:gridSpan w:val="3"/>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13</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gridSpan w:val="10"/>
          </w:tcPr>
          <w:p>
            <w:pPr>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Notes to Consolidated Financial Statements</w:t>
              </w:r>
            </w:hyperlink>
          </w:p>
        </w:tc>
        <w:tc>
          <w:tcPr>
            <w:tcW w:w="6480" w:type="dxa"/>
            <w:vAlign w:val="bottom"/>
            <w:gridSpan w:val="9"/>
          </w:tcPr>
          <w:p>
            <w:pPr>
              <w:spacing w:after="0"/>
              <w:rPr>
                <w:sz w:val="24"/>
                <w:szCs w:val="24"/>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15</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Item 2.</w:t>
              </w:r>
            </w:hyperlink>
          </w:p>
        </w:tc>
        <w:tc>
          <w:tcPr>
            <w:tcW w:w="520" w:type="dxa"/>
            <w:vAlign w:val="bottom"/>
            <w:gridSpan w:val="4"/>
          </w:tcPr>
          <w:p>
            <w:pPr>
              <w:spacing w:after="0"/>
              <w:rPr>
                <w:sz w:val="18"/>
                <w:szCs w:val="18"/>
                <w:color w:val="auto"/>
              </w:rPr>
            </w:pPr>
          </w:p>
        </w:tc>
        <w:tc>
          <w:tcPr>
            <w:tcW w:w="9640" w:type="dxa"/>
            <w:vAlign w:val="bottom"/>
            <w:gridSpan w:val="19"/>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Management’s Discussion and Analysis of Financial Condition and Results of Operations</w:t>
              </w:r>
            </w:hyperlink>
          </w:p>
        </w:tc>
        <w:tc>
          <w:tcPr>
            <w:tcW w:w="340" w:type="dxa"/>
            <w:vAlign w:val="bottom"/>
            <w:gridSpan w:val="2"/>
          </w:tcPr>
          <w:p>
            <w:pPr>
              <w:jc w:val="center"/>
              <w:ind w:left="70"/>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53</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rFonts w:ascii="Arial" w:cs="Arial" w:eastAsia="Arial" w:hAnsi="Arial"/>
                <w:sz w:val="18"/>
                <w:szCs w:val="18"/>
                <w:color w:val="0000FF"/>
                <w:w w:val="79"/>
              </w:rPr>
            </w:pPr>
            <w:hyperlink w:anchor="page69">
              <w:r>
                <w:rPr>
                  <w:rFonts w:ascii="Arial" w:cs="Arial" w:eastAsia="Arial" w:hAnsi="Arial"/>
                  <w:sz w:val="18"/>
                  <w:szCs w:val="18"/>
                  <w:color w:val="0000FF"/>
                  <w:w w:val="79"/>
                </w:rPr>
                <w:t>Item 3.</w:t>
              </w:r>
            </w:hyperlink>
          </w:p>
        </w:tc>
        <w:tc>
          <w:tcPr>
            <w:tcW w:w="520" w:type="dxa"/>
            <w:vAlign w:val="bottom"/>
            <w:gridSpan w:val="4"/>
          </w:tcPr>
          <w:p>
            <w:pPr>
              <w:spacing w:after="0"/>
              <w:rPr>
                <w:sz w:val="18"/>
                <w:szCs w:val="18"/>
                <w:color w:val="auto"/>
              </w:rPr>
            </w:pPr>
          </w:p>
        </w:tc>
        <w:tc>
          <w:tcPr>
            <w:tcW w:w="4360" w:type="dxa"/>
            <w:vAlign w:val="bottom"/>
            <w:gridSpan w:val="12"/>
          </w:tcPr>
          <w:p>
            <w:pPr>
              <w:spacing w:after="0"/>
              <w:rPr>
                <w:rFonts w:ascii="Arial" w:cs="Arial" w:eastAsia="Arial" w:hAnsi="Arial"/>
                <w:sz w:val="18"/>
                <w:szCs w:val="18"/>
                <w:color w:val="0000FF"/>
                <w:w w:val="91"/>
              </w:rPr>
            </w:pPr>
            <w:hyperlink w:anchor="page69">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18"/>
                <w:szCs w:val="18"/>
                <w:color w:val="auto"/>
              </w:rPr>
            </w:pPr>
          </w:p>
        </w:tc>
        <w:tc>
          <w:tcPr>
            <w:tcW w:w="3180" w:type="dxa"/>
            <w:vAlign w:val="bottom"/>
            <w:gridSpan w:val="5"/>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69</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5280" w:type="dxa"/>
            <w:vAlign w:val="bottom"/>
            <w:tcBorders>
              <w:left w:val="single" w:sz="8" w:color="0000FF"/>
            </w:tcBorders>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rFonts w:ascii="Arial" w:cs="Arial" w:eastAsia="Arial" w:hAnsi="Arial"/>
                <w:sz w:val="18"/>
                <w:szCs w:val="18"/>
                <w:color w:val="0000FF"/>
                <w:w w:val="79"/>
              </w:rPr>
            </w:pPr>
            <w:hyperlink w:anchor="page69">
              <w:r>
                <w:rPr>
                  <w:rFonts w:ascii="Arial" w:cs="Arial" w:eastAsia="Arial" w:hAnsi="Arial"/>
                  <w:sz w:val="18"/>
                  <w:szCs w:val="18"/>
                  <w:color w:val="0000FF"/>
                  <w:w w:val="79"/>
                </w:rPr>
                <w:t>Item 4.</w:t>
              </w:r>
            </w:hyperlink>
          </w:p>
        </w:tc>
        <w:tc>
          <w:tcPr>
            <w:tcW w:w="520" w:type="dxa"/>
            <w:vAlign w:val="bottom"/>
            <w:gridSpan w:val="4"/>
          </w:tcPr>
          <w:p>
            <w:pPr>
              <w:spacing w:after="0"/>
              <w:rPr>
                <w:sz w:val="18"/>
                <w:szCs w:val="18"/>
                <w:color w:val="auto"/>
              </w:rPr>
            </w:pPr>
          </w:p>
        </w:tc>
        <w:tc>
          <w:tcPr>
            <w:tcW w:w="1780" w:type="dxa"/>
            <w:vAlign w:val="bottom"/>
            <w:gridSpan w:val="6"/>
          </w:tcPr>
          <w:p>
            <w:pPr>
              <w:spacing w:after="0"/>
              <w:rPr>
                <w:rFonts w:ascii="Arial" w:cs="Arial" w:eastAsia="Arial" w:hAnsi="Arial"/>
                <w:sz w:val="18"/>
                <w:szCs w:val="18"/>
                <w:color w:val="0000FF"/>
                <w:w w:val="88"/>
              </w:rPr>
            </w:pPr>
            <w:hyperlink w:anchor="page69">
              <w:r>
                <w:rPr>
                  <w:rFonts w:ascii="Arial" w:cs="Arial" w:eastAsia="Arial" w:hAnsi="Arial"/>
                  <w:sz w:val="18"/>
                  <w:szCs w:val="18"/>
                  <w:color w:val="0000FF"/>
                  <w:w w:val="88"/>
                </w:rPr>
                <w:t>Controls and Procedures</w:t>
              </w:r>
            </w:hyperlink>
          </w:p>
        </w:tc>
        <w:tc>
          <w:tcPr>
            <w:tcW w:w="2580" w:type="dxa"/>
            <w:vAlign w:val="bottom"/>
            <w:gridSpan w:val="6"/>
          </w:tcPr>
          <w:p>
            <w:pPr>
              <w:spacing w:after="0"/>
              <w:rPr>
                <w:sz w:val="18"/>
                <w:szCs w:val="18"/>
                <w:color w:val="auto"/>
              </w:rPr>
            </w:pPr>
          </w:p>
        </w:tc>
        <w:tc>
          <w:tcPr>
            <w:tcW w:w="5280" w:type="dxa"/>
            <w:vAlign w:val="bottom"/>
            <w:gridSpan w:val="7"/>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70</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00" w:type="dxa"/>
            <w:vAlign w:val="bottom"/>
            <w:gridSpan w:val="5"/>
          </w:tcPr>
          <w:p>
            <w:pPr>
              <w:spacing w:after="0"/>
              <w:rPr>
                <w:rFonts w:ascii="Arial" w:cs="Arial" w:eastAsia="Arial" w:hAnsi="Arial"/>
                <w:sz w:val="18"/>
                <w:szCs w:val="18"/>
                <w:b w:val="1"/>
                <w:bCs w:val="1"/>
                <w:color w:val="0000FF"/>
              </w:rPr>
            </w:pPr>
            <w:hyperlink w:anchor="page70">
              <w:r>
                <w:rPr>
                  <w:rFonts w:ascii="Arial" w:cs="Arial" w:eastAsia="Arial" w:hAnsi="Arial"/>
                  <w:sz w:val="18"/>
                  <w:szCs w:val="18"/>
                  <w:b w:val="1"/>
                  <w:bCs w:val="1"/>
                  <w:color w:val="0000FF"/>
                </w:rPr>
                <w:t>PART II.</w:t>
              </w:r>
            </w:hyperlink>
          </w:p>
        </w:tc>
        <w:tc>
          <w:tcPr>
            <w:tcW w:w="9640" w:type="dxa"/>
            <w:vAlign w:val="bottom"/>
            <w:gridSpan w:val="19"/>
          </w:tcPr>
          <w:p>
            <w:pPr>
              <w:spacing w:after="0"/>
              <w:rPr>
                <w:rFonts w:ascii="Arial" w:cs="Arial" w:eastAsia="Arial" w:hAnsi="Arial"/>
                <w:sz w:val="18"/>
                <w:szCs w:val="18"/>
                <w:b w:val="1"/>
                <w:bCs w:val="1"/>
                <w:color w:val="0000FF"/>
              </w:rPr>
            </w:pPr>
            <w:hyperlink w:anchor="page70">
              <w:r>
                <w:rPr>
                  <w:rFonts w:ascii="Arial" w:cs="Arial" w:eastAsia="Arial" w:hAnsi="Arial"/>
                  <w:sz w:val="18"/>
                  <w:szCs w:val="18"/>
                  <w:b w:val="1"/>
                  <w:bCs w:val="1"/>
                  <w:color w:val="0000FF"/>
                </w:rPr>
                <w:t>OTHER INFORMATION</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Borders>
              <w:top w:val="single" w:sz="8" w:color="0000FF"/>
            </w:tcBorders>
          </w:tcPr>
          <w:p>
            <w:pPr>
              <w:spacing w:after="0"/>
              <w:rPr>
                <w:rFonts w:ascii="Arial" w:cs="Arial" w:eastAsia="Arial" w:hAnsi="Arial"/>
                <w:sz w:val="18"/>
                <w:szCs w:val="18"/>
                <w:color w:val="0000FF"/>
                <w:w w:val="79"/>
              </w:rPr>
            </w:pPr>
            <w:hyperlink w:anchor="page71">
              <w:r>
                <w:rPr>
                  <w:rFonts w:ascii="Arial" w:cs="Arial" w:eastAsia="Arial" w:hAnsi="Arial"/>
                  <w:sz w:val="18"/>
                  <w:szCs w:val="18"/>
                  <w:color w:val="0000FF"/>
                  <w:w w:val="79"/>
                </w:rPr>
                <w:t>Item 1.</w:t>
              </w:r>
            </w:hyperlink>
          </w:p>
        </w:tc>
        <w:tc>
          <w:tcPr>
            <w:tcW w:w="220" w:type="dxa"/>
            <w:vAlign w:val="bottom"/>
            <w:tcBorders>
              <w:top w:val="single" w:sz="8" w:color="0000FF"/>
            </w:tcBorders>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320" w:type="dxa"/>
            <w:vAlign w:val="bottom"/>
            <w:tcBorders>
              <w:top w:val="single" w:sz="8" w:color="0000FF"/>
            </w:tcBorders>
            <w:gridSpan w:val="5"/>
          </w:tcPr>
          <w:p>
            <w:pPr>
              <w:spacing w:after="0"/>
              <w:rPr>
                <w:rFonts w:ascii="Arial" w:cs="Arial" w:eastAsia="Arial" w:hAnsi="Arial"/>
                <w:sz w:val="18"/>
                <w:szCs w:val="18"/>
                <w:color w:val="0000FF"/>
                <w:w w:val="85"/>
              </w:rPr>
            </w:pPr>
            <w:hyperlink w:anchor="page71">
              <w:r>
                <w:rPr>
                  <w:rFonts w:ascii="Arial" w:cs="Arial" w:eastAsia="Arial" w:hAnsi="Arial"/>
                  <w:sz w:val="18"/>
                  <w:szCs w:val="18"/>
                  <w:color w:val="0000FF"/>
                  <w:w w:val="85"/>
                </w:rPr>
                <w:t>Legal Proceedings</w:t>
              </w:r>
            </w:hyperlink>
          </w:p>
        </w:tc>
        <w:tc>
          <w:tcPr>
            <w:tcW w:w="700" w:type="dxa"/>
            <w:vAlign w:val="bottom"/>
            <w:tcBorders>
              <w:top w:val="single" w:sz="8" w:color="0000FF"/>
            </w:tcBorders>
            <w:gridSpan w:val="2"/>
          </w:tcPr>
          <w:p>
            <w:pPr>
              <w:spacing w:after="0"/>
              <w:rPr>
                <w:sz w:val="18"/>
                <w:szCs w:val="18"/>
                <w:color w:val="auto"/>
              </w:rPr>
            </w:pPr>
          </w:p>
        </w:tc>
        <w:tc>
          <w:tcPr>
            <w:tcW w:w="7620" w:type="dxa"/>
            <w:vAlign w:val="bottom"/>
            <w:gridSpan w:val="12"/>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71</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5"/>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Item 1A.</w:t>
              </w:r>
            </w:hyperlink>
          </w:p>
        </w:tc>
        <w:tc>
          <w:tcPr>
            <w:tcW w:w="9640" w:type="dxa"/>
            <w:vAlign w:val="bottom"/>
            <w:gridSpan w:val="19"/>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Risk Factors</w:t>
              </w:r>
            </w:hyperlink>
          </w:p>
        </w:tc>
        <w:tc>
          <w:tcPr>
            <w:tcW w:w="340" w:type="dxa"/>
            <w:vAlign w:val="bottom"/>
            <w:gridSpan w:val="2"/>
          </w:tcPr>
          <w:p>
            <w:pPr>
              <w:jc w:val="center"/>
              <w:ind w:left="7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71</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rFonts w:ascii="Arial" w:cs="Arial" w:eastAsia="Arial" w:hAnsi="Arial"/>
                <w:sz w:val="18"/>
                <w:szCs w:val="18"/>
                <w:color w:val="0000FF"/>
                <w:w w:val="79"/>
              </w:rPr>
            </w:pPr>
            <w:hyperlink w:anchor="page71">
              <w:r>
                <w:rPr>
                  <w:rFonts w:ascii="Arial" w:cs="Arial" w:eastAsia="Arial" w:hAnsi="Arial"/>
                  <w:sz w:val="18"/>
                  <w:szCs w:val="18"/>
                  <w:color w:val="0000FF"/>
                  <w:w w:val="79"/>
                </w:rPr>
                <w:t>Item 2.</w:t>
              </w:r>
            </w:hyperlink>
          </w:p>
        </w:tc>
        <w:tc>
          <w:tcPr>
            <w:tcW w:w="160" w:type="dxa"/>
            <w:vAlign w:val="bottom"/>
          </w:tcPr>
          <w:p>
            <w:pPr>
              <w:spacing w:after="0"/>
              <w:rPr>
                <w:sz w:val="18"/>
                <w:szCs w:val="18"/>
                <w:color w:val="auto"/>
              </w:rPr>
            </w:pPr>
          </w:p>
        </w:tc>
        <w:tc>
          <w:tcPr>
            <w:tcW w:w="360" w:type="dxa"/>
            <w:vAlign w:val="bottom"/>
            <w:gridSpan w:val="3"/>
          </w:tcPr>
          <w:p>
            <w:pPr>
              <w:spacing w:after="0"/>
              <w:rPr>
                <w:sz w:val="18"/>
                <w:szCs w:val="18"/>
                <w:color w:val="auto"/>
              </w:rPr>
            </w:pPr>
          </w:p>
        </w:tc>
        <w:tc>
          <w:tcPr>
            <w:tcW w:w="4360" w:type="dxa"/>
            <w:vAlign w:val="bottom"/>
            <w:gridSpan w:val="12"/>
          </w:tcPr>
          <w:p>
            <w:pPr>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Unregistered Sales of Equity Securities and Use of Proceeds</w:t>
              </w:r>
            </w:hyperlink>
          </w:p>
        </w:tc>
        <w:tc>
          <w:tcPr>
            <w:tcW w:w="5280" w:type="dxa"/>
            <w:vAlign w:val="bottom"/>
            <w:gridSpan w:val="7"/>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71</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rFonts w:ascii="Arial" w:cs="Arial" w:eastAsia="Arial" w:hAnsi="Arial"/>
                <w:sz w:val="18"/>
                <w:szCs w:val="18"/>
                <w:color w:val="0000FF"/>
                <w:w w:val="79"/>
              </w:rPr>
            </w:pPr>
            <w:hyperlink w:anchor="page71">
              <w:r>
                <w:rPr>
                  <w:rFonts w:ascii="Arial" w:cs="Arial" w:eastAsia="Arial" w:hAnsi="Arial"/>
                  <w:sz w:val="18"/>
                  <w:szCs w:val="18"/>
                  <w:color w:val="0000FF"/>
                  <w:w w:val="79"/>
                </w:rPr>
                <w:t>Item 3.</w:t>
              </w:r>
            </w:hyperlink>
          </w:p>
        </w:tc>
        <w:tc>
          <w:tcPr>
            <w:tcW w:w="340" w:type="dxa"/>
            <w:vAlign w:val="bottom"/>
            <w:gridSpan w:val="3"/>
          </w:tcPr>
          <w:p>
            <w:pPr>
              <w:spacing w:after="0"/>
              <w:rPr>
                <w:sz w:val="18"/>
                <w:szCs w:val="18"/>
                <w:color w:val="auto"/>
              </w:rPr>
            </w:pPr>
          </w:p>
        </w:tc>
        <w:tc>
          <w:tcPr>
            <w:tcW w:w="180" w:type="dxa"/>
            <w:vAlign w:val="bottom"/>
          </w:tcPr>
          <w:p>
            <w:pPr>
              <w:spacing w:after="0"/>
              <w:rPr>
                <w:sz w:val="18"/>
                <w:szCs w:val="18"/>
                <w:color w:val="auto"/>
              </w:rPr>
            </w:pPr>
          </w:p>
        </w:tc>
        <w:tc>
          <w:tcPr>
            <w:tcW w:w="4360" w:type="dxa"/>
            <w:vAlign w:val="bottom"/>
            <w:gridSpan w:val="12"/>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Defaults Upon Senior Securities</w:t>
              </w:r>
            </w:hyperlink>
          </w:p>
        </w:tc>
        <w:tc>
          <w:tcPr>
            <w:tcW w:w="5280" w:type="dxa"/>
            <w:vAlign w:val="bottom"/>
            <w:gridSpan w:val="7"/>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71</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Borders>
              <w:top w:val="single" w:sz="8" w:color="0000FF"/>
            </w:tcBorders>
          </w:tcPr>
          <w:p>
            <w:pPr>
              <w:spacing w:after="0"/>
              <w:rPr>
                <w:rFonts w:ascii="Arial" w:cs="Arial" w:eastAsia="Arial" w:hAnsi="Arial"/>
                <w:sz w:val="18"/>
                <w:szCs w:val="18"/>
                <w:color w:val="0000FF"/>
                <w:w w:val="79"/>
              </w:rPr>
            </w:pPr>
            <w:hyperlink w:anchor="page71">
              <w:r>
                <w:rPr>
                  <w:rFonts w:ascii="Arial" w:cs="Arial" w:eastAsia="Arial" w:hAnsi="Arial"/>
                  <w:sz w:val="18"/>
                  <w:szCs w:val="18"/>
                  <w:color w:val="0000FF"/>
                  <w:w w:val="79"/>
                </w:rPr>
                <w:t>Item 4.</w:t>
              </w:r>
            </w:hyperlink>
          </w:p>
        </w:tc>
        <w:tc>
          <w:tcPr>
            <w:tcW w:w="340" w:type="dxa"/>
            <w:vAlign w:val="bottom"/>
            <w:tcBorders>
              <w:top w:val="single" w:sz="8" w:color="0000FF"/>
            </w:tcBorders>
            <w:gridSpan w:val="3"/>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Borders>
              <w:top w:val="single" w:sz="8" w:color="0000FF"/>
            </w:tcBorders>
            <w:gridSpan w:val="6"/>
          </w:tcPr>
          <w:p>
            <w:pPr>
              <w:spacing w:after="0"/>
              <w:rPr>
                <w:rFonts w:ascii="Arial" w:cs="Arial" w:eastAsia="Arial" w:hAnsi="Arial"/>
                <w:sz w:val="18"/>
                <w:szCs w:val="18"/>
                <w:color w:val="0000FF"/>
                <w:w w:val="91"/>
              </w:rPr>
            </w:pPr>
            <w:hyperlink w:anchor="page71">
              <w:r>
                <w:rPr>
                  <w:rFonts w:ascii="Arial" w:cs="Arial" w:eastAsia="Arial" w:hAnsi="Arial"/>
                  <w:sz w:val="18"/>
                  <w:szCs w:val="18"/>
                  <w:color w:val="0000FF"/>
                  <w:w w:val="91"/>
                </w:rPr>
                <w:t>Mine Safety Disclosures</w:t>
              </w:r>
            </w:hyperlink>
          </w:p>
        </w:tc>
        <w:tc>
          <w:tcPr>
            <w:tcW w:w="540" w:type="dxa"/>
            <w:vAlign w:val="bottom"/>
            <w:tcBorders>
              <w:top w:val="single" w:sz="8" w:color="0000FF"/>
            </w:tcBorders>
            <w:gridSpan w:val="2"/>
          </w:tcPr>
          <w:p>
            <w:pPr>
              <w:spacing w:after="0"/>
              <w:rPr>
                <w:sz w:val="18"/>
                <w:szCs w:val="18"/>
                <w:color w:val="auto"/>
              </w:rPr>
            </w:pPr>
          </w:p>
        </w:tc>
        <w:tc>
          <w:tcPr>
            <w:tcW w:w="7320" w:type="dxa"/>
            <w:vAlign w:val="bottom"/>
            <w:gridSpan w:val="11"/>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71</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860" w:type="dxa"/>
            <w:vAlign w:val="bottom"/>
            <w:gridSpan w:val="13"/>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rFonts w:ascii="Arial" w:cs="Arial" w:eastAsia="Arial" w:hAnsi="Arial"/>
                <w:sz w:val="18"/>
                <w:szCs w:val="18"/>
                <w:color w:val="0000FF"/>
                <w:w w:val="79"/>
              </w:rPr>
            </w:pPr>
            <w:hyperlink w:anchor="page71">
              <w:r>
                <w:rPr>
                  <w:rFonts w:ascii="Arial" w:cs="Arial" w:eastAsia="Arial" w:hAnsi="Arial"/>
                  <w:sz w:val="18"/>
                  <w:szCs w:val="18"/>
                  <w:color w:val="0000FF"/>
                  <w:w w:val="79"/>
                </w:rPr>
                <w:t>Item 5</w:t>
              </w:r>
            </w:hyperlink>
            <w:r>
              <w:rPr>
                <w:rFonts w:ascii="Arial" w:cs="Arial" w:eastAsia="Arial" w:hAnsi="Arial"/>
                <w:sz w:val="18"/>
                <w:szCs w:val="18"/>
                <w:color w:val="000000"/>
                <w:w w:val="79"/>
              </w:rPr>
              <w:t>.</w:t>
            </w:r>
          </w:p>
        </w:tc>
        <w:tc>
          <w:tcPr>
            <w:tcW w:w="520" w:type="dxa"/>
            <w:vAlign w:val="bottom"/>
            <w:gridSpan w:val="4"/>
          </w:tcPr>
          <w:p>
            <w:pPr>
              <w:spacing w:after="0"/>
              <w:rPr>
                <w:sz w:val="18"/>
                <w:szCs w:val="18"/>
                <w:color w:val="auto"/>
              </w:rPr>
            </w:pPr>
          </w:p>
        </w:tc>
        <w:tc>
          <w:tcPr>
            <w:tcW w:w="1780" w:type="dxa"/>
            <w:vAlign w:val="bottom"/>
            <w:gridSpan w:val="6"/>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Other Information</w:t>
              </w:r>
            </w:hyperlink>
          </w:p>
        </w:tc>
        <w:tc>
          <w:tcPr>
            <w:tcW w:w="7860" w:type="dxa"/>
            <w:vAlign w:val="bottom"/>
            <w:gridSpan w:val="13"/>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72</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320" w:type="dxa"/>
            <w:vAlign w:val="bottom"/>
            <w:gridSpan w:val="14"/>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rFonts w:ascii="Arial" w:cs="Arial" w:eastAsia="Arial" w:hAnsi="Arial"/>
                <w:sz w:val="18"/>
                <w:szCs w:val="18"/>
                <w:color w:val="0000FF"/>
                <w:w w:val="79"/>
              </w:rPr>
            </w:pPr>
            <w:hyperlink w:anchor="page72">
              <w:r>
                <w:rPr>
                  <w:rFonts w:ascii="Arial" w:cs="Arial" w:eastAsia="Arial" w:hAnsi="Arial"/>
                  <w:sz w:val="18"/>
                  <w:szCs w:val="18"/>
                  <w:color w:val="0000FF"/>
                  <w:w w:val="79"/>
                </w:rPr>
                <w:t>Item 6.</w:t>
              </w:r>
            </w:hyperlink>
          </w:p>
        </w:tc>
        <w:tc>
          <w:tcPr>
            <w:tcW w:w="520" w:type="dxa"/>
            <w:vAlign w:val="bottom"/>
            <w:gridSpan w:val="4"/>
          </w:tcPr>
          <w:p>
            <w:pPr>
              <w:spacing w:after="0"/>
              <w:rPr>
                <w:sz w:val="18"/>
                <w:szCs w:val="18"/>
                <w:color w:val="auto"/>
              </w:rPr>
            </w:pPr>
          </w:p>
        </w:tc>
        <w:tc>
          <w:tcPr>
            <w:tcW w:w="9640" w:type="dxa"/>
            <w:vAlign w:val="bottom"/>
            <w:gridSpan w:val="19"/>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Exhibits</w:t>
              </w:r>
            </w:hyperlink>
          </w:p>
        </w:tc>
        <w:tc>
          <w:tcPr>
            <w:tcW w:w="340" w:type="dxa"/>
            <w:vAlign w:val="bottom"/>
            <w:gridSpan w:val="2"/>
          </w:tcPr>
          <w:p>
            <w:pPr>
              <w:jc w:val="center"/>
              <w:ind w:left="70"/>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72</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00" w:type="dxa"/>
            <w:vAlign w:val="bottom"/>
            <w:gridSpan w:val="5"/>
          </w:tcPr>
          <w:p>
            <w:pPr>
              <w:spacing w:after="0"/>
              <w:rPr>
                <w:rFonts w:ascii="Arial" w:cs="Arial" w:eastAsia="Arial" w:hAnsi="Arial"/>
                <w:sz w:val="18"/>
                <w:szCs w:val="18"/>
                <w:b w:val="1"/>
                <w:bCs w:val="1"/>
                <w:color w:val="0000FF"/>
              </w:rPr>
            </w:pPr>
            <w:hyperlink w:anchor="page73">
              <w:r>
                <w:rPr>
                  <w:rFonts w:ascii="Arial" w:cs="Arial" w:eastAsia="Arial" w:hAnsi="Arial"/>
                  <w:sz w:val="18"/>
                  <w:szCs w:val="18"/>
                  <w:b w:val="1"/>
                  <w:bCs w:val="1"/>
                  <w:color w:val="0000FF"/>
                </w:rPr>
                <w:t>Signatures</w:t>
              </w:r>
            </w:hyperlink>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73">
              <w:r>
                <w:rPr>
                  <w:rFonts w:ascii="Arial" w:cs="Arial" w:eastAsia="Arial" w:hAnsi="Arial"/>
                  <w:sz w:val="18"/>
                  <w:szCs w:val="18"/>
                  <w:color w:val="0000FF"/>
                  <w:w w:val="89"/>
                </w:rPr>
                <w:t>74</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5640" w:type="dxa"/>
            <w:vAlign w:val="bottom"/>
            <w:gridSpan w:val="13"/>
          </w:tcPr>
          <w:p>
            <w:pPr>
              <w:ind w:left="4560"/>
              <w:spacing w:after="0"/>
              <w:rPr>
                <w:sz w:val="20"/>
                <w:szCs w:val="20"/>
                <w:color w:val="auto"/>
              </w:rPr>
            </w:pPr>
            <w:r>
              <w:rPr>
                <w:rFonts w:ascii="Arial" w:cs="Arial" w:eastAsia="Arial" w:hAnsi="Arial"/>
                <w:sz w:val="18"/>
                <w:szCs w:val="18"/>
                <w:color w:val="auto"/>
              </w:rPr>
              <w:t>4</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PART I</w:t>
      </w:r>
      <w:r>
        <w:rPr>
          <w:sz w:val="20"/>
          <w:szCs w:val="20"/>
          <w:color w:val="auto"/>
        </w:rPr>
        <w:tab/>
      </w:r>
      <w:r>
        <w:rPr>
          <w:rFonts w:ascii="Arial" w:cs="Arial" w:eastAsia="Arial" w:hAnsi="Arial"/>
          <w:sz w:val="22"/>
          <w:szCs w:val="22"/>
          <w:b w:val="1"/>
          <w:bCs w:val="1"/>
          <w:color w:val="auto"/>
        </w:rPr>
        <w:t>FINANCIAL INFORMATION</w:t>
      </w:r>
    </w:p>
    <w:p>
      <w:pPr>
        <w:spacing w:after="0" w:line="1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Financial Statements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2022</w:t>
            </w:r>
          </w:p>
        </w:tc>
        <w:tc>
          <w:tcPr>
            <w:tcW w:w="220" w:type="dxa"/>
            <w:vAlign w:val="bottom"/>
          </w:tcPr>
          <w:p>
            <w:pPr>
              <w:spacing w:after="0"/>
              <w:rPr>
                <w:sz w:val="18"/>
                <w:szCs w:val="18"/>
                <w:color w:val="auto"/>
              </w:rPr>
            </w:pPr>
          </w:p>
        </w:tc>
        <w:tc>
          <w:tcPr>
            <w:tcW w:w="1780" w:type="dxa"/>
            <w:vAlign w:val="bottom"/>
          </w:tcPr>
          <w:p>
            <w:pPr>
              <w:jc w:val="right"/>
              <w:ind w:right="250"/>
              <w:spacing w:after="0"/>
              <w:rPr>
                <w:sz w:val="20"/>
                <w:szCs w:val="20"/>
                <w:color w:val="auto"/>
              </w:rPr>
            </w:pPr>
            <w:r>
              <w:rPr>
                <w:rFonts w:ascii="Arial" w:cs="Arial" w:eastAsia="Arial" w:hAnsi="Arial"/>
                <w:sz w:val="16"/>
                <w:szCs w:val="16"/>
                <w:b w:val="1"/>
                <w:bCs w:val="1"/>
                <w:color w:val="auto"/>
                <w:w w:val="98"/>
              </w:rPr>
              <w:t>December 31, 2021</w:t>
            </w:r>
          </w:p>
        </w:tc>
        <w:tc>
          <w:tcPr>
            <w:tcW w:w="0" w:type="dxa"/>
            <w:vAlign w:val="bottom"/>
          </w:tcPr>
          <w:p>
            <w:pPr>
              <w:spacing w:after="0"/>
              <w:rPr>
                <w:sz w:val="1"/>
                <w:szCs w:val="1"/>
                <w:color w:val="auto"/>
              </w:rPr>
            </w:pPr>
          </w:p>
        </w:tc>
      </w:tr>
      <w:tr>
        <w:trPr>
          <w:trHeight w:val="21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Real estate portfolio:</w:t>
            </w: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 in leases - sales-type,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17,075,857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13,136,664</w:t>
            </w:r>
          </w:p>
        </w:tc>
        <w:tc>
          <w:tcPr>
            <w:tcW w:w="0" w:type="dxa"/>
            <w:vAlign w:val="bottom"/>
          </w:tcPr>
          <w:p>
            <w:pPr>
              <w:spacing w:after="0"/>
              <w:rPr>
                <w:sz w:val="1"/>
                <w:szCs w:val="1"/>
                <w:color w:val="auto"/>
              </w:rPr>
            </w:pPr>
          </w:p>
        </w:tc>
      </w:tr>
      <w:tr>
        <w:trPr>
          <w:trHeight w:val="230"/>
        </w:trPr>
        <w:tc>
          <w:tcPr>
            <w:tcW w:w="7140" w:type="dxa"/>
            <w:vAlign w:val="bottom"/>
          </w:tcPr>
          <w:p>
            <w:pPr>
              <w:ind w:left="460"/>
              <w:spacing w:after="0"/>
              <w:rPr>
                <w:sz w:val="20"/>
                <w:szCs w:val="20"/>
                <w:color w:val="auto"/>
              </w:rPr>
            </w:pPr>
            <w:r>
              <w:rPr>
                <w:rFonts w:ascii="Arial" w:cs="Arial" w:eastAsia="Arial" w:hAnsi="Arial"/>
                <w:sz w:val="18"/>
                <w:szCs w:val="18"/>
                <w:color w:val="auto"/>
              </w:rPr>
              <w:t>Investments in leases - financing receivables, net</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16,486,522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2,644,824</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 in loans, net</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498,002</w:t>
            </w:r>
          </w:p>
        </w:tc>
        <w:tc>
          <w:tcPr>
            <w:tcW w:w="0" w:type="dxa"/>
            <w:vAlign w:val="bottom"/>
          </w:tcPr>
          <w:p>
            <w:pPr>
              <w:spacing w:after="0"/>
              <w:rPr>
                <w:sz w:val="1"/>
                <w:szCs w:val="1"/>
                <w:color w:val="auto"/>
              </w:rPr>
            </w:pPr>
          </w:p>
        </w:tc>
      </w:tr>
      <w:tr>
        <w:trPr>
          <w:trHeight w:val="229"/>
        </w:trPr>
        <w:tc>
          <w:tcPr>
            <w:tcW w:w="7140" w:type="dxa"/>
            <w:vAlign w:val="bottom"/>
          </w:tcPr>
          <w:p>
            <w:pPr>
              <w:ind w:left="440"/>
              <w:spacing w:after="0"/>
              <w:rPr>
                <w:sz w:val="20"/>
                <w:szCs w:val="20"/>
                <w:color w:val="auto"/>
              </w:rPr>
            </w:pPr>
            <w:r>
              <w:rPr>
                <w:rFonts w:ascii="Arial" w:cs="Arial" w:eastAsia="Arial" w:hAnsi="Arial"/>
                <w:sz w:val="18"/>
                <w:szCs w:val="18"/>
                <w:color w:val="auto"/>
              </w:rPr>
              <w:t>Investment in unconsolidated affiliate</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1,464,766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153,576</w:t>
            </w: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614,001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739,614</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949,333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424,693</w:t>
            </w:r>
          </w:p>
        </w:tc>
        <w:tc>
          <w:tcPr>
            <w:tcW w:w="0" w:type="dxa"/>
            <w:vAlign w:val="bottom"/>
          </w:tcPr>
          <w:p>
            <w:pPr>
              <w:spacing w:after="0"/>
              <w:rPr>
                <w:sz w:val="1"/>
                <w:szCs w:val="1"/>
                <w:color w:val="auto"/>
              </w:rPr>
            </w:pPr>
          </w:p>
        </w:tc>
      </w:tr>
      <w:tr>
        <w:trPr>
          <w:trHeight w:val="223"/>
        </w:trPr>
        <w:tc>
          <w:tcPr>
            <w:tcW w:w="714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37,289,217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17,597,373</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Liabilities</w:t>
            </w: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13,721,500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4,694,523</w:t>
            </w:r>
          </w:p>
        </w:tc>
        <w:tc>
          <w:tcPr>
            <w:tcW w:w="0" w:type="dxa"/>
            <w:vAlign w:val="bottom"/>
          </w:tcPr>
          <w:p>
            <w:pPr>
              <w:spacing w:after="0"/>
              <w:rPr>
                <w:sz w:val="1"/>
                <w:szCs w:val="1"/>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Accrued expenses and deferred revenue</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173,734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113,530</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payable</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226,309</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932,570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375,837</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15,174,330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5,410,199</w:t>
            </w:r>
          </w:p>
        </w:tc>
        <w:tc>
          <w:tcPr>
            <w:tcW w:w="0" w:type="dxa"/>
            <w:vAlign w:val="bottom"/>
          </w:tcPr>
          <w:p>
            <w:pPr>
              <w:spacing w:after="0"/>
              <w:rPr>
                <w:sz w:val="1"/>
                <w:szCs w:val="1"/>
                <w:color w:val="auto"/>
              </w:rPr>
            </w:pPr>
          </w:p>
        </w:tc>
      </w:tr>
      <w:tr>
        <w:trPr>
          <w:trHeight w:val="196"/>
        </w:trPr>
        <w:tc>
          <w:tcPr>
            <w:tcW w:w="7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Commitments and contingent liabilities (Note 10)</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Stockholders’ equity</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40" w:type="dxa"/>
            <w:vAlign w:val="bottom"/>
          </w:tcPr>
          <w:p>
            <w:pPr>
              <w:ind w:left="220"/>
              <w:spacing w:after="0" w:line="176" w:lineRule="exact"/>
              <w:rPr>
                <w:sz w:val="20"/>
                <w:szCs w:val="20"/>
                <w:color w:val="auto"/>
              </w:rPr>
            </w:pPr>
            <w:r>
              <w:rPr>
                <w:rFonts w:ascii="Arial" w:cs="Arial" w:eastAsia="Arial" w:hAnsi="Arial"/>
                <w:sz w:val="18"/>
                <w:szCs w:val="18"/>
                <w:color w:val="auto"/>
                <w:w w:val="98"/>
              </w:rPr>
              <w:t>Common stock, $0.01 par value, 1,350,000,000 shares authorized and 963,090,985 and</w:t>
            </w:r>
          </w:p>
        </w:tc>
        <w:tc>
          <w:tcPr>
            <w:tcW w:w="3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40" w:type="dxa"/>
            <w:vAlign w:val="bottom"/>
          </w:tcPr>
          <w:p>
            <w:pPr>
              <w:ind w:left="220"/>
              <w:spacing w:after="0" w:line="176" w:lineRule="exact"/>
              <w:rPr>
                <w:sz w:val="20"/>
                <w:szCs w:val="20"/>
                <w:color w:val="auto"/>
              </w:rPr>
            </w:pPr>
            <w:r>
              <w:rPr>
                <w:rFonts w:ascii="Arial" w:cs="Arial" w:eastAsia="Arial" w:hAnsi="Arial"/>
                <w:sz w:val="18"/>
                <w:szCs w:val="18"/>
                <w:color w:val="auto"/>
                <w:w w:val="99"/>
              </w:rPr>
              <w:t>628,942,092 shares issued and outstanding at June 30, 2022 and December 31, 2021,</w:t>
            </w:r>
          </w:p>
        </w:tc>
        <w:tc>
          <w:tcPr>
            <w:tcW w:w="32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9,631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Preferred stock, $0.01 par value, 50,000,000 shares authorized and no shares outstanding at</w:t>
            </w:r>
          </w:p>
        </w:tc>
        <w:tc>
          <w:tcPr>
            <w:tcW w:w="320" w:type="dxa"/>
            <w:vAlign w:val="bottom"/>
            <w:shd w:val="clear" w:color="auto" w:fill="CCEEFF"/>
          </w:tcPr>
          <w:p>
            <w:pPr>
              <w:spacing w:after="0"/>
              <w:rPr>
                <w:sz w:val="15"/>
                <w:szCs w:val="15"/>
                <w:color w:val="auto"/>
              </w:rPr>
            </w:pPr>
          </w:p>
        </w:tc>
        <w:tc>
          <w:tcPr>
            <w:tcW w:w="1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June 30, 2022 and December 31, 2021</w:t>
            </w:r>
          </w:p>
        </w:tc>
        <w:tc>
          <w:tcPr>
            <w:tcW w:w="320" w:type="dxa"/>
            <w:vAlign w:val="bottom"/>
            <w:shd w:val="clear" w:color="auto" w:fill="CCEEFF"/>
          </w:tcPr>
          <w:p>
            <w:pPr>
              <w:spacing w:after="0"/>
              <w:rPr>
                <w:sz w:val="19"/>
                <w:szCs w:val="19"/>
                <w:color w:val="auto"/>
              </w:rPr>
            </w:pPr>
          </w:p>
        </w:tc>
        <w:tc>
          <w:tcPr>
            <w:tcW w:w="17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21,644,198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11,755,069</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Retained (deficit) earnings</w:t>
            </w: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346,026</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VICI stockholders’ equity</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21,762,494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12,108,268</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78,906</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22,114,887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12,187,174</w:t>
            </w:r>
          </w:p>
        </w:tc>
        <w:tc>
          <w:tcPr>
            <w:tcW w:w="0" w:type="dxa"/>
            <w:vAlign w:val="bottom"/>
          </w:tcPr>
          <w:p>
            <w:pPr>
              <w:spacing w:after="0"/>
              <w:rPr>
                <w:sz w:val="1"/>
                <w:szCs w:val="1"/>
                <w:color w:val="auto"/>
              </w:rPr>
            </w:pPr>
          </w:p>
        </w:tc>
      </w:tr>
      <w:tr>
        <w:trPr>
          <w:trHeight w:val="223"/>
        </w:trPr>
        <w:tc>
          <w:tcPr>
            <w:tcW w:w="71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37,289,217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17,597,373</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spacing w:after="0" w:line="40" w:lineRule="exact"/>
        <w:rPr>
          <w:sz w:val="20"/>
          <w:szCs w:val="20"/>
          <w:color w:val="auto"/>
        </w:rPr>
      </w:pPr>
    </w:p>
    <w:p>
      <w:pPr>
        <w:jc w:val="both"/>
        <w:spacing w:after="0" w:line="257" w:lineRule="auto"/>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Note: As of June 30, 2022 and December 31, 2021, our Investments in leases - sales-type, Investments in leases - financing receivables, Investments in loans and Other assets (sales-type sub-leases) are net of $582.2 million, $548.3 million, $0.9 million and $17.6 million, respectively, and $434.9 million, $91.1 million, $0.8 million and $6.5 million of Allowance for credit losses, respectively. Refer to </w:t>
      </w:r>
      <w:hyperlink w:anchor="page32">
        <w:r>
          <w:rPr>
            <w:rFonts w:ascii="Arial" w:cs="Arial" w:eastAsia="Arial" w:hAnsi="Arial"/>
            <w:sz w:val="14"/>
            <w:szCs w:val="14"/>
            <w:i w:val="1"/>
            <w:iCs w:val="1"/>
            <w:u w:val="single" w:color="auto"/>
            <w:color w:val="0000FF"/>
          </w:rPr>
          <w:t>Note 5 - Allowance for Credit Losses</w:t>
        </w:r>
        <w:r>
          <w:rPr>
            <w:rFonts w:ascii="Arial" w:cs="Arial" w:eastAsia="Arial" w:hAnsi="Arial"/>
            <w:sz w:val="14"/>
            <w:szCs w:val="14"/>
            <w:i w:val="1"/>
            <w:iCs w:val="1"/>
            <w:u w:val="single" w:color="auto"/>
            <w:color w:val="auto"/>
          </w:rPr>
          <w:t xml:space="preserve"> </w:t>
        </w:r>
      </w:hyperlink>
      <w:r>
        <w:rPr>
          <w:rFonts w:ascii="Arial" w:cs="Arial" w:eastAsia="Arial" w:hAnsi="Arial"/>
          <w:sz w:val="14"/>
          <w:szCs w:val="14"/>
          <w:i w:val="1"/>
          <w:iCs w:val="1"/>
          <w:color w:val="auto"/>
        </w:rPr>
        <w:t>for further details.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INCOME</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640" w:type="dxa"/>
            <w:vAlign w:val="bottom"/>
            <w:gridSpan w:val="4"/>
          </w:tcPr>
          <w:p>
            <w:pPr>
              <w:jc w:val="right"/>
              <w:ind w:right="410"/>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2021</w:t>
            </w:r>
          </w:p>
        </w:tc>
      </w:tr>
      <w:tr>
        <w:trPr>
          <w:trHeight w:val="21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Income from sales-type leases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375,169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291,132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701,904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581,278</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lease financing receivables and loans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140,373</w:t>
            </w: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13,961</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Golf revenues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15,098</w:t>
            </w:r>
          </w:p>
        </w:tc>
      </w:tr>
      <w:tr>
        <w:trPr>
          <w:trHeight w:val="223"/>
        </w:trPr>
        <w:tc>
          <w:tcPr>
            <w:tcW w:w="53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662,623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1,079,248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750,710</w:t>
            </w:r>
          </w:p>
        </w:tc>
      </w:tr>
      <w:tr>
        <w:trPr>
          <w:trHeight w:val="237"/>
        </w:trPr>
        <w:tc>
          <w:tcPr>
            <w:tcW w:w="5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15,713</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1,549</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Golf expenses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9,738</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allowance for credit losses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(33,484)</w:t>
            </w:r>
          </w:p>
        </w:tc>
      </w:tr>
      <w:tr>
        <w:trPr>
          <w:trHeight w:val="229"/>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Transaction and acquisition expenses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9,512</w:t>
            </w:r>
          </w:p>
        </w:tc>
      </w:tr>
      <w:tr>
        <w:trPr>
          <w:trHeight w:val="223"/>
        </w:trPr>
        <w:tc>
          <w:tcPr>
            <w:tcW w:w="5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708,011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16,989</w:t>
            </w:r>
          </w:p>
        </w:tc>
      </w:tr>
      <w:tr>
        <w:trPr>
          <w:trHeight w:val="237"/>
        </w:trPr>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unconsolidated affiliate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(133,128)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(79,806)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(201,270)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(156,854)</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(57,114)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304,333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185,974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576,916</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(58,141)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303,077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184,547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575,176</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loss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w:t>
            </w: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Net (loss) income attributable to common stockholders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182,677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570,510</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5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Net (loss) income per common share</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57"/>
        </w:trPr>
        <w:tc>
          <w:tcPr>
            <w:tcW w:w="5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b w:val="1"/>
                <w:bCs w:val="1"/>
                <w:i w:val="1"/>
                <w:iCs w:val="1"/>
                <w:color w:val="auto"/>
                <w:w w:val="92"/>
              </w:rPr>
              <w:t>Weighted average number of shares of common stock outstanding</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896,545,880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536,692,167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791,029,664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536,586,921</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896,545,880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554,438,981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793,224,837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549,620,976</w:t>
            </w:r>
          </w:p>
        </w:tc>
      </w:tr>
      <w:tr>
        <w:trPr>
          <w:trHeight w:val="257"/>
        </w:trPr>
        <w:tc>
          <w:tcPr>
            <w:tcW w:w="5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575,176</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Reclassification of derivative gain to Interest expense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on cash flow hedges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21,706</w:t>
            </w:r>
          </w:p>
        </w:tc>
      </w:tr>
      <w:tr>
        <w:trPr>
          <w:trHeight w:val="223"/>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380,938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596,882</w:t>
            </w:r>
          </w:p>
        </w:tc>
      </w:tr>
      <w:tr>
        <w:trPr>
          <w:trHeight w:val="223"/>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Comprehensive loss (income) attributable to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w:t>
            </w: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Comprehensive income attributable to common stockholders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310,037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379,120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592,216</w:t>
            </w:r>
          </w:p>
        </w:tc>
      </w:tr>
      <w:tr>
        <w:trPr>
          <w:trHeight w:val="21"/>
        </w:trPr>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Additional Paid-</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 VICI</w:t>
            </w: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106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1"/>
                <w:szCs w:val="11"/>
                <w:color w:val="auto"/>
              </w:rPr>
            </w:pPr>
          </w:p>
        </w:tc>
        <w:tc>
          <w:tcPr>
            <w:tcW w:w="10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 Capital</w:t>
            </w:r>
          </w:p>
        </w:tc>
        <w:tc>
          <w:tcPr>
            <w:tcW w:w="14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(Loss) Income</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(Deficit)</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6"/>
                <w:szCs w:val="16"/>
                <w:color w:val="auto"/>
              </w:rPr>
            </w:pPr>
          </w:p>
        </w:tc>
        <w:tc>
          <w:tcPr>
            <w:tcW w:w="106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9,363,539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139,454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9,415,839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77,906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9,493,745</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269,801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269,801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272,099</w:t>
            </w:r>
          </w:p>
        </w:tc>
        <w:tc>
          <w:tcPr>
            <w:tcW w:w="0" w:type="dxa"/>
            <w:vAlign w:val="bottom"/>
          </w:tcPr>
          <w:p>
            <w:pPr>
              <w:spacing w:after="0"/>
              <w:rPr>
                <w:sz w:val="1"/>
                <w:szCs w:val="1"/>
                <w:color w:val="auto"/>
              </w:rPr>
            </w:pPr>
          </w:p>
        </w:tc>
      </w:tr>
      <w:tr>
        <w:trPr>
          <w:trHeight w:val="169"/>
        </w:trPr>
        <w:tc>
          <w:tcPr>
            <w:tcW w:w="29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Dividends and distributions declared</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(177,217)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(177,217)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(179,288)</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($0.3300 per common share)</w:t>
            </w: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w w:val="91"/>
              </w:rPr>
              <w:t>Stock-based compensation, net of forfeitures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on cash flow hedges</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12,378</w:t>
            </w:r>
          </w:p>
        </w:tc>
        <w:tc>
          <w:tcPr>
            <w:tcW w:w="0" w:type="dxa"/>
            <w:vAlign w:val="bottom"/>
          </w:tcPr>
          <w:p>
            <w:pPr>
              <w:spacing w:after="0"/>
              <w:rPr>
                <w:sz w:val="1"/>
                <w:szCs w:val="1"/>
                <w:color w:val="auto"/>
              </w:rPr>
            </w:pPr>
          </w:p>
        </w:tc>
      </w:tr>
      <w:tr>
        <w:trPr>
          <w:trHeight w:val="207"/>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5,370</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9,364,294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(80,143)</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232,038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9,521,559</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78,133</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9,599,692</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303,077</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Issuance of common stock, net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9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Dividends and distributions declared</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(177,223)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(177,223)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(179,295)</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($0.3300 per common share)</w:t>
            </w: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w w:val="91"/>
              </w:rPr>
              <w:t>Stock-based compensation, net of forfeitures</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2,267</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on cash flow hedges</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9,328</w:t>
            </w:r>
          </w:p>
        </w:tc>
        <w:tc>
          <w:tcPr>
            <w:tcW w:w="0" w:type="dxa"/>
            <w:vAlign w:val="bottom"/>
          </w:tcPr>
          <w:p>
            <w:pPr>
              <w:spacing w:after="0"/>
              <w:rPr>
                <w:sz w:val="1"/>
                <w:szCs w:val="1"/>
                <w:color w:val="auto"/>
              </w:rPr>
            </w:pPr>
          </w:p>
        </w:tc>
      </w:tr>
      <w:tr>
        <w:trPr>
          <w:trHeight w:val="183"/>
        </w:trPr>
        <w:tc>
          <w:tcPr>
            <w:tcW w:w="29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as of June 30, 2021</w:t>
            </w: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5,370</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9,366,561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(70,815)</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355,524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9,656,640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78,429</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9,735,069</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11,755,069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12,108,268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12,187,174</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240,383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240,383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242,688</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3,216,907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3,218,097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3,218,097</w:t>
            </w:r>
          </w:p>
        </w:tc>
        <w:tc>
          <w:tcPr>
            <w:tcW w:w="0" w:type="dxa"/>
            <w:vAlign w:val="bottom"/>
          </w:tcPr>
          <w:p>
            <w:pPr>
              <w:spacing w:after="0"/>
              <w:rPr>
                <w:sz w:val="1"/>
                <w:szCs w:val="1"/>
                <w:color w:val="auto"/>
              </w:rPr>
            </w:pPr>
          </w:p>
        </w:tc>
      </w:tr>
      <w:tr>
        <w:trPr>
          <w:trHeight w:val="166"/>
        </w:trPr>
        <w:tc>
          <w:tcPr>
            <w:tcW w:w="2960" w:type="dxa"/>
            <w:vAlign w:val="bottom"/>
          </w:tcPr>
          <w:p>
            <w:pPr>
              <w:ind w:left="20"/>
              <w:spacing w:after="0" w:line="166" w:lineRule="exact"/>
              <w:rPr>
                <w:sz w:val="20"/>
                <w:szCs w:val="20"/>
                <w:color w:val="auto"/>
              </w:rPr>
            </w:pPr>
            <w:r>
              <w:rPr>
                <w:rFonts w:ascii="Arial" w:cs="Arial" w:eastAsia="Arial" w:hAnsi="Arial"/>
                <w:sz w:val="16"/>
                <w:szCs w:val="16"/>
                <w:color w:val="auto"/>
              </w:rPr>
              <w:t>Dividends and distributions declared</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(270,600)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(270,600)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(2,103)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(272,703)</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($0.3600 per common share)</w:t>
            </w: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Stock-based compensation, net of forfeitures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Unrealized gain on cash flow hedges</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108,611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108,611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108,611</w:t>
            </w:r>
          </w:p>
        </w:tc>
        <w:tc>
          <w:tcPr>
            <w:tcW w:w="0" w:type="dxa"/>
            <w:vAlign w:val="bottom"/>
          </w:tcPr>
          <w:p>
            <w:pPr>
              <w:spacing w:after="0"/>
              <w:rPr>
                <w:sz w:val="1"/>
                <w:szCs w:val="1"/>
                <w:color w:val="auto"/>
              </w:rPr>
            </w:pPr>
          </w:p>
        </w:tc>
      </w:tr>
      <w:tr>
        <w:trPr>
          <w:trHeight w:val="212"/>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14,971,890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109,495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315,809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15,404,678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79,108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15,483,786</w:t>
            </w:r>
          </w:p>
        </w:tc>
        <w:tc>
          <w:tcPr>
            <w:tcW w:w="0" w:type="dxa"/>
            <w:vAlign w:val="bottom"/>
          </w:tcPr>
          <w:p>
            <w:pPr>
              <w:spacing w:after="0"/>
              <w:rPr>
                <w:sz w:val="1"/>
                <w:szCs w:val="1"/>
                <w:color w:val="auto"/>
              </w:rPr>
            </w:pPr>
          </w:p>
        </w:tc>
      </w:tr>
      <w:tr>
        <w:trPr>
          <w:trHeight w:val="206"/>
        </w:trPr>
        <w:tc>
          <w:tcPr>
            <w:tcW w:w="29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(57,706)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(57,706)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(58,141)</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6,570,084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6,572,231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6,572,231</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Issuance of VICI OP Units</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374,769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374,769</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Reallocation of equity</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4,404</w:t>
            </w:r>
          </w:p>
        </w:tc>
        <w:tc>
          <w:tcPr>
            <w:tcW w:w="0" w:type="dxa"/>
            <w:vAlign w:val="bottom"/>
          </w:tcPr>
          <w:p>
            <w:pPr>
              <w:spacing w:after="0"/>
              <w:rPr>
                <w:sz w:val="1"/>
                <w:szCs w:val="1"/>
                <w:color w:val="auto"/>
              </w:rPr>
            </w:pPr>
          </w:p>
        </w:tc>
      </w:tr>
      <w:tr>
        <w:trPr>
          <w:trHeight w:val="166"/>
        </w:trPr>
        <w:tc>
          <w:tcPr>
            <w:tcW w:w="2960" w:type="dxa"/>
            <w:vAlign w:val="bottom"/>
          </w:tcPr>
          <w:p>
            <w:pPr>
              <w:ind w:left="20"/>
              <w:spacing w:after="0" w:line="166" w:lineRule="exact"/>
              <w:rPr>
                <w:sz w:val="20"/>
                <w:szCs w:val="20"/>
                <w:color w:val="auto"/>
              </w:rPr>
            </w:pPr>
            <w:r>
              <w:rPr>
                <w:rFonts w:ascii="Arial" w:cs="Arial" w:eastAsia="Arial" w:hAnsi="Arial"/>
                <w:sz w:val="16"/>
                <w:szCs w:val="16"/>
                <w:color w:val="auto"/>
              </w:rPr>
              <w:t>Dividends and distributions declared</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(346,713)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(346,713)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(6,465)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(353,178)</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($0.3600 per common share)</w:t>
            </w: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Stock-based compensation, net of forfeitures</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Unrealized gain on cash flow hedges</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91,939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91,939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91,939</w:t>
            </w:r>
          </w:p>
        </w:tc>
        <w:tc>
          <w:tcPr>
            <w:tcW w:w="0" w:type="dxa"/>
            <w:vAlign w:val="bottom"/>
          </w:tcPr>
          <w:p>
            <w:pPr>
              <w:spacing w:after="0"/>
              <w:rPr>
                <w:sz w:val="1"/>
                <w:szCs w:val="1"/>
                <w:color w:val="auto"/>
              </w:rPr>
            </w:pPr>
          </w:p>
        </w:tc>
      </w:tr>
      <w:tr>
        <w:trPr>
          <w:trHeight w:val="169"/>
        </w:trPr>
        <w:tc>
          <w:tcPr>
            <w:tcW w:w="29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Reclassification of derivative gain to Interest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9,631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21,644,198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197,275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(88,610)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21,762,494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352,393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22,114,887</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ind w:left="4960"/>
        <w:spacing w:after="0"/>
        <w:rPr>
          <w:sz w:val="20"/>
          <w:szCs w:val="20"/>
          <w:color w:val="auto"/>
        </w:rPr>
      </w:pPr>
      <w:r>
        <w:rPr>
          <w:rFonts w:ascii="Arial" w:cs="Arial" w:eastAsia="Arial" w:hAnsi="Arial"/>
          <w:sz w:val="20"/>
          <w:szCs w:val="20"/>
          <w:b w:val="1"/>
          <w:bCs w:val="1"/>
          <w:color w:val="auto"/>
        </w:rPr>
        <w:t>(UNAUDITED)</w:t>
      </w:r>
    </w:p>
    <w:p>
      <w:pPr>
        <w:ind w:left="50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60" w:type="dxa"/>
            <w:vAlign w:val="bottom"/>
            <w:gridSpan w:val="5"/>
          </w:tcPr>
          <w:p>
            <w:pPr>
              <w:ind w:left="620"/>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0" w:type="dxa"/>
            <w:vAlign w:val="bottom"/>
          </w:tcPr>
          <w:p>
            <w:pPr>
              <w:spacing w:after="0"/>
              <w:rPr>
                <w:sz w:val="18"/>
                <w:szCs w:val="18"/>
                <w:color w:val="auto"/>
              </w:rPr>
            </w:pPr>
          </w:p>
        </w:tc>
        <w:tc>
          <w:tcPr>
            <w:tcW w:w="70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7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184,547</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575,176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cash flows provided by operating activities: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Non-cash leasing and financing adjustments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(121,969)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(58,289)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Non-cash transaction costs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8,816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Amortization of debt issuance costs and original issue discount</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23,809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16,625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allowance for credit losses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Income from unconsolidated affiliate</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(15,134)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Distributions from unconsolidated affiliate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Net proceeds from settlement of derivatives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201,433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(7,675)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 and deferred revenue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(93,816)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Other liabilities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5,712</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951,134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410,470</w:t>
            </w:r>
          </w:p>
        </w:tc>
        <w:tc>
          <w:tcPr>
            <w:tcW w:w="20" w:type="dxa"/>
            <w:vAlign w:val="bottom"/>
          </w:tcPr>
          <w:p>
            <w:pPr>
              <w:spacing w:after="0"/>
              <w:rPr>
                <w:sz w:val="19"/>
                <w:szCs w:val="19"/>
                <w:color w:val="auto"/>
              </w:rPr>
            </w:pPr>
          </w:p>
        </w:tc>
      </w:tr>
      <w:tr>
        <w:trPr>
          <w:trHeight w:val="250"/>
        </w:trPr>
        <w:tc>
          <w:tcPr>
            <w:tcW w:w="4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Net cash paid in connection with MGP Transactions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(4,574,436)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leases - sales-type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(4,012,828)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Investments in leases - financing receivables</w:t>
            </w:r>
          </w:p>
        </w:tc>
        <w:tc>
          <w:tcPr>
            <w:tcW w:w="48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(6,000)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loans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Principal repayments of lease financing receivables</w:t>
            </w:r>
          </w:p>
        </w:tc>
        <w:tc>
          <w:tcPr>
            <w:tcW w:w="48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1,091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repayments of loans and receipts of deferred fees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Capitalized transaction costs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(1,884)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Maturities of short-term investments</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Acquisition of property and equipment</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provided by investing activities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(8,642,356)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42,105</w:t>
            </w:r>
          </w:p>
        </w:tc>
        <w:tc>
          <w:tcPr>
            <w:tcW w:w="20" w:type="dxa"/>
            <w:vAlign w:val="bottom"/>
          </w:tcPr>
          <w:p>
            <w:pPr>
              <w:spacing w:after="0"/>
              <w:rPr>
                <w:sz w:val="19"/>
                <w:szCs w:val="19"/>
                <w:color w:val="auto"/>
              </w:rPr>
            </w:pPr>
          </w:p>
        </w:tc>
      </w:tr>
      <w:tr>
        <w:trPr>
          <w:trHeight w:val="250"/>
        </w:trPr>
        <w:tc>
          <w:tcPr>
            <w:tcW w:w="4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Proceeds from offering of common stock, net</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3,219,101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April 2022 Notes offering</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Proceeds from Revolving Credit Facility</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Revolving Credit Facility</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Debt issuance costs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(146,021)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of stock for tax withholding</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Distributions to non-controlling interests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(4,143)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(497,188)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(355,256)</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060" w:type="dxa"/>
            <w:vAlign w:val="bottom"/>
          </w:tcPr>
          <w:p>
            <w:pPr>
              <w:ind w:left="660"/>
              <w:spacing w:after="0"/>
              <w:rPr>
                <w:sz w:val="20"/>
                <w:szCs w:val="20"/>
                <w:color w:val="auto"/>
              </w:rPr>
            </w:pPr>
            <w:r>
              <w:rPr>
                <w:rFonts w:ascii="Arial" w:cs="Arial" w:eastAsia="Arial" w:hAnsi="Arial"/>
                <w:sz w:val="18"/>
                <w:szCs w:val="18"/>
                <w:color w:val="auto"/>
              </w:rPr>
              <w:t>Net cash provided by (used in) financing activities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7,565,609</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(361,046)</w:t>
            </w:r>
          </w:p>
        </w:tc>
        <w:tc>
          <w:tcPr>
            <w:tcW w:w="20" w:type="dxa"/>
            <w:vAlign w:val="bottom"/>
          </w:tcPr>
          <w:p>
            <w:pPr>
              <w:spacing w:after="0"/>
              <w:rPr>
                <w:sz w:val="19"/>
                <w:szCs w:val="19"/>
                <w:color w:val="auto"/>
              </w:rPr>
            </w:pPr>
          </w:p>
        </w:tc>
      </w:tr>
      <w:tr>
        <w:trPr>
          <w:trHeight w:val="939"/>
        </w:trPr>
        <w:tc>
          <w:tcPr>
            <w:tcW w:w="7100" w:type="dxa"/>
            <w:vAlign w:val="bottom"/>
            <w:gridSpan w:val="2"/>
          </w:tcPr>
          <w:p>
            <w:pPr>
              <w:jc w:val="right"/>
              <w:ind w:right="1350"/>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70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CONSOLIDATED STATEMENTS OF CASH FLOWS</w:t>
      </w:r>
    </w:p>
    <w:p>
      <w:pPr>
        <w:ind w:left="4960"/>
        <w:spacing w:after="0"/>
        <w:rPr>
          <w:sz w:val="20"/>
          <w:szCs w:val="20"/>
          <w:color w:val="auto"/>
        </w:rPr>
      </w:pPr>
      <w:r>
        <w:rPr>
          <w:rFonts w:ascii="Arial" w:cs="Arial" w:eastAsia="Arial" w:hAnsi="Arial"/>
          <w:sz w:val="20"/>
          <w:szCs w:val="20"/>
          <w:b w:val="1"/>
          <w:bCs w:val="1"/>
          <w:color w:val="auto"/>
        </w:rPr>
        <w:t>(UNAUDITED)</w:t>
      </w:r>
    </w:p>
    <w:p>
      <w:pPr>
        <w:ind w:left="50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(125,613)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91,529</w:t>
            </w:r>
          </w:p>
        </w:tc>
      </w:tr>
      <w:tr>
        <w:trPr>
          <w:trHeight w:val="22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6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739,614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315,993</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614,001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407,522</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Cash paid for interest</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152,794</w:t>
            </w:r>
          </w:p>
        </w:tc>
        <w:tc>
          <w:tcPr>
            <w:tcW w:w="10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140,738</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income taxes</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Supplemental non-cash investing and financing activity:</w:t>
            </w:r>
          </w:p>
        </w:tc>
        <w:tc>
          <w:tcPr>
            <w:tcW w:w="6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declared, not paid</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346,713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177,223</w:t>
            </w: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Debt issuance costs payable</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17,341</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transaction costs payable</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w:t>
            </w: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Non-cash change in Investments in leases - financing receivables</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53,046</w:t>
            </w:r>
          </w:p>
        </w:tc>
        <w:tc>
          <w:tcPr>
            <w:tcW w:w="10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10,050</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liabilities arising from obtaining right-of-use assets</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541,676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unit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2022</w:t>
            </w:r>
          </w:p>
        </w:tc>
        <w:tc>
          <w:tcPr>
            <w:tcW w:w="220" w:type="dxa"/>
            <w:vAlign w:val="bottom"/>
          </w:tcPr>
          <w:p>
            <w:pPr>
              <w:spacing w:after="0"/>
              <w:rPr>
                <w:sz w:val="18"/>
                <w:szCs w:val="18"/>
                <w:color w:val="auto"/>
              </w:rPr>
            </w:pPr>
          </w:p>
        </w:tc>
        <w:tc>
          <w:tcPr>
            <w:tcW w:w="1780" w:type="dxa"/>
            <w:vAlign w:val="bottom"/>
          </w:tcPr>
          <w:p>
            <w:pPr>
              <w:jc w:val="right"/>
              <w:ind w:right="250"/>
              <w:spacing w:after="0"/>
              <w:rPr>
                <w:sz w:val="20"/>
                <w:szCs w:val="20"/>
                <w:color w:val="auto"/>
              </w:rPr>
            </w:pPr>
            <w:r>
              <w:rPr>
                <w:rFonts w:ascii="Arial" w:cs="Arial" w:eastAsia="Arial" w:hAnsi="Arial"/>
                <w:sz w:val="16"/>
                <w:szCs w:val="16"/>
                <w:b w:val="1"/>
                <w:bCs w:val="1"/>
                <w:color w:val="auto"/>
                <w:w w:val="98"/>
              </w:rPr>
              <w:t>December 31, 2021</w:t>
            </w:r>
          </w:p>
        </w:tc>
        <w:tc>
          <w:tcPr>
            <w:tcW w:w="0" w:type="dxa"/>
            <w:vAlign w:val="bottom"/>
          </w:tcPr>
          <w:p>
            <w:pPr>
              <w:spacing w:after="0"/>
              <w:rPr>
                <w:sz w:val="1"/>
                <w:szCs w:val="1"/>
                <w:color w:val="auto"/>
              </w:rPr>
            </w:pPr>
          </w:p>
        </w:tc>
      </w:tr>
      <w:tr>
        <w:trPr>
          <w:trHeight w:val="212"/>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Real estate portfolio:</w:t>
            </w: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 in leases - sales-type,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17,075,857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13,136,664</w:t>
            </w:r>
          </w:p>
        </w:tc>
        <w:tc>
          <w:tcPr>
            <w:tcW w:w="0" w:type="dxa"/>
            <w:vAlign w:val="bottom"/>
          </w:tcPr>
          <w:p>
            <w:pPr>
              <w:spacing w:after="0"/>
              <w:rPr>
                <w:sz w:val="1"/>
                <w:szCs w:val="1"/>
                <w:color w:val="auto"/>
              </w:rPr>
            </w:pPr>
          </w:p>
        </w:tc>
      </w:tr>
      <w:tr>
        <w:trPr>
          <w:trHeight w:val="229"/>
        </w:trPr>
        <w:tc>
          <w:tcPr>
            <w:tcW w:w="7140" w:type="dxa"/>
            <w:vAlign w:val="bottom"/>
          </w:tcPr>
          <w:p>
            <w:pPr>
              <w:ind w:left="460"/>
              <w:spacing w:after="0"/>
              <w:rPr>
                <w:sz w:val="20"/>
                <w:szCs w:val="20"/>
                <w:color w:val="auto"/>
              </w:rPr>
            </w:pPr>
            <w:r>
              <w:rPr>
                <w:rFonts w:ascii="Arial" w:cs="Arial" w:eastAsia="Arial" w:hAnsi="Arial"/>
                <w:sz w:val="18"/>
                <w:szCs w:val="18"/>
                <w:color w:val="auto"/>
              </w:rPr>
              <w:t>Investments in leases - financing receivables, net</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16,486,522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2,644,824</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 in loans, net</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498,002</w:t>
            </w:r>
          </w:p>
        </w:tc>
        <w:tc>
          <w:tcPr>
            <w:tcW w:w="0" w:type="dxa"/>
            <w:vAlign w:val="bottom"/>
          </w:tcPr>
          <w:p>
            <w:pPr>
              <w:spacing w:after="0"/>
              <w:rPr>
                <w:sz w:val="1"/>
                <w:szCs w:val="1"/>
                <w:color w:val="auto"/>
              </w:rPr>
            </w:pPr>
          </w:p>
        </w:tc>
      </w:tr>
      <w:tr>
        <w:trPr>
          <w:trHeight w:val="230"/>
        </w:trPr>
        <w:tc>
          <w:tcPr>
            <w:tcW w:w="7140" w:type="dxa"/>
            <w:vAlign w:val="bottom"/>
          </w:tcPr>
          <w:p>
            <w:pPr>
              <w:ind w:left="440"/>
              <w:spacing w:after="0"/>
              <w:rPr>
                <w:sz w:val="20"/>
                <w:szCs w:val="20"/>
                <w:color w:val="auto"/>
              </w:rPr>
            </w:pPr>
            <w:r>
              <w:rPr>
                <w:rFonts w:ascii="Arial" w:cs="Arial" w:eastAsia="Arial" w:hAnsi="Arial"/>
                <w:sz w:val="18"/>
                <w:szCs w:val="18"/>
                <w:color w:val="auto"/>
              </w:rPr>
              <w:t>Investment in unconsolidated affiliate</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1,464,766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153,576</w:t>
            </w:r>
          </w:p>
        </w:tc>
        <w:tc>
          <w:tcPr>
            <w:tcW w:w="0" w:type="dxa"/>
            <w:vAlign w:val="bottom"/>
          </w:tcPr>
          <w:p>
            <w:pPr>
              <w:spacing w:after="0"/>
              <w:rPr>
                <w:sz w:val="1"/>
                <w:szCs w:val="1"/>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446,609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705,566</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868,929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344,014</w:t>
            </w:r>
          </w:p>
        </w:tc>
        <w:tc>
          <w:tcPr>
            <w:tcW w:w="0" w:type="dxa"/>
            <w:vAlign w:val="bottom"/>
          </w:tcPr>
          <w:p>
            <w:pPr>
              <w:spacing w:after="0"/>
              <w:rPr>
                <w:sz w:val="1"/>
                <w:szCs w:val="1"/>
                <w:color w:val="auto"/>
              </w:rPr>
            </w:pPr>
          </w:p>
        </w:tc>
      </w:tr>
      <w:tr>
        <w:trPr>
          <w:trHeight w:val="223"/>
        </w:trPr>
        <w:tc>
          <w:tcPr>
            <w:tcW w:w="714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37,041,421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17,482,646</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Liabilities</w:t>
            </w: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13,721,500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4,694,523</w:t>
            </w: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Accrued expenses and deferred revenue</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168,905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110,056</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payable</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226,309</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917,985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361,270</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15,052,696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5,392,158</w:t>
            </w:r>
          </w:p>
        </w:tc>
        <w:tc>
          <w:tcPr>
            <w:tcW w:w="0" w:type="dxa"/>
            <w:vAlign w:val="bottom"/>
          </w:tcPr>
          <w:p>
            <w:pPr>
              <w:spacing w:after="0"/>
              <w:rPr>
                <w:sz w:val="1"/>
                <w:szCs w:val="1"/>
                <w:color w:val="auto"/>
              </w:rPr>
            </w:pPr>
          </w:p>
        </w:tc>
      </w:tr>
      <w:tr>
        <w:trPr>
          <w:trHeight w:val="250"/>
        </w:trPr>
        <w:tc>
          <w:tcPr>
            <w:tcW w:w="7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Commitments and contingent liabilities (Note 10)</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Partners’ Capital</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40" w:type="dxa"/>
            <w:vAlign w:val="bottom"/>
          </w:tcPr>
          <w:p>
            <w:pPr>
              <w:ind w:left="220"/>
              <w:spacing w:after="0" w:line="176" w:lineRule="exact"/>
              <w:rPr>
                <w:sz w:val="20"/>
                <w:szCs w:val="20"/>
                <w:color w:val="auto"/>
              </w:rPr>
            </w:pPr>
            <w:r>
              <w:rPr>
                <w:rFonts w:ascii="Arial" w:cs="Arial" w:eastAsia="Arial" w:hAnsi="Arial"/>
                <w:sz w:val="18"/>
                <w:szCs w:val="18"/>
                <w:color w:val="auto"/>
              </w:rPr>
              <w:t>Partners’ capital, 975,322,358 and 628,942,092 operating partnership units issued and</w:t>
            </w:r>
          </w:p>
        </w:tc>
        <w:tc>
          <w:tcPr>
            <w:tcW w:w="32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21,712,517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12,010,698</w:t>
            </w:r>
          </w:p>
        </w:tc>
        <w:tc>
          <w:tcPr>
            <w:tcW w:w="0" w:type="dxa"/>
            <w:vAlign w:val="bottom"/>
          </w:tcPr>
          <w:p>
            <w:pPr>
              <w:spacing w:after="0"/>
              <w:rPr>
                <w:sz w:val="1"/>
                <w:szCs w:val="1"/>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outstanding as of June 30, 2022 and December 31, 2021, respectively</w:t>
            </w:r>
          </w:p>
        </w:tc>
        <w:tc>
          <w:tcPr>
            <w:tcW w:w="32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23"/>
        </w:trPr>
        <w:tc>
          <w:tcPr>
            <w:tcW w:w="7140" w:type="dxa"/>
            <w:vAlign w:val="bottom"/>
          </w:tcPr>
          <w:p>
            <w:pPr>
              <w:ind w:left="520"/>
              <w:spacing w:after="0"/>
              <w:rPr>
                <w:sz w:val="20"/>
                <w:szCs w:val="20"/>
                <w:color w:val="auto"/>
              </w:rPr>
            </w:pPr>
            <w:r>
              <w:rPr>
                <w:rFonts w:ascii="Arial" w:cs="Arial" w:eastAsia="Arial" w:hAnsi="Arial"/>
                <w:sz w:val="18"/>
                <w:szCs w:val="18"/>
                <w:color w:val="auto"/>
              </w:rPr>
              <w:t>Total VICI LP’s capital</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21,909,792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12,011,582</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78,906</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capital attributable to partners</w:t>
            </w: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21,988,725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12,090,488</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partners’ capital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37,041,421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17,482,646</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spacing w:after="0" w:line="40" w:lineRule="exact"/>
        <w:rPr>
          <w:sz w:val="20"/>
          <w:szCs w:val="20"/>
          <w:color w:val="auto"/>
        </w:rPr>
      </w:pPr>
    </w:p>
    <w:p>
      <w:pPr>
        <w:jc w:val="both"/>
        <w:spacing w:after="0" w:line="257" w:lineRule="auto"/>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Note: As of June 30, 2022 and December 31, 2021, our Investments in leases - sales-type, Investments in leases - financing receivables, Investments in loans and Other assets (sales-type sub-leases) are net of $582.2 million, $548.3 million, $0.9 million and $17.6 million, respectively, and $434.9 million, $91.1 million, $0.8 million and $6.5 million of Allowance for credit losses, respectively. Refer to </w:t>
      </w:r>
      <w:hyperlink w:anchor="page32">
        <w:r>
          <w:rPr>
            <w:rFonts w:ascii="Arial" w:cs="Arial" w:eastAsia="Arial" w:hAnsi="Arial"/>
            <w:sz w:val="14"/>
            <w:szCs w:val="14"/>
            <w:i w:val="1"/>
            <w:iCs w:val="1"/>
            <w:u w:val="single" w:color="auto"/>
            <w:color w:val="0000FF"/>
          </w:rPr>
          <w:t>Note 5 - Allowance for Credit Losses</w:t>
        </w:r>
        <w:r>
          <w:rPr>
            <w:rFonts w:ascii="Arial" w:cs="Arial" w:eastAsia="Arial" w:hAnsi="Arial"/>
            <w:sz w:val="14"/>
            <w:szCs w:val="14"/>
            <w:i w:val="1"/>
            <w:iCs w:val="1"/>
            <w:u w:val="single" w:color="auto"/>
            <w:color w:val="auto"/>
          </w:rPr>
          <w:t xml:space="preserve"> </w:t>
        </w:r>
      </w:hyperlink>
      <w:r>
        <w:rPr>
          <w:rFonts w:ascii="Arial" w:cs="Arial" w:eastAsia="Arial" w:hAnsi="Arial"/>
          <w:sz w:val="14"/>
          <w:szCs w:val="14"/>
          <w:i w:val="1"/>
          <w:iCs w:val="1"/>
          <w:color w:val="auto"/>
        </w:rPr>
        <w:t>for further details.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L.P.</w:t>
      </w: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INCOME</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unit and per unit data)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640" w:type="dxa"/>
            <w:vAlign w:val="bottom"/>
            <w:gridSpan w:val="4"/>
          </w:tcPr>
          <w:p>
            <w:pPr>
              <w:jc w:val="right"/>
              <w:ind w:right="410"/>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2021</w:t>
            </w:r>
          </w:p>
        </w:tc>
      </w:tr>
      <w:tr>
        <w:trPr>
          <w:trHeight w:val="21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Income from sales-type leases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375,169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291,132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701,904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581,278</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lease financing receivables and loans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140,373</w:t>
            </w:r>
          </w:p>
        </w:tc>
      </w:tr>
      <w:tr>
        <w:trPr>
          <w:trHeight w:val="229"/>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13,961</w:t>
            </w:r>
          </w:p>
        </w:tc>
      </w:tr>
      <w:tr>
        <w:trPr>
          <w:trHeight w:val="223"/>
        </w:trPr>
        <w:tc>
          <w:tcPr>
            <w:tcW w:w="5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1,060,452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735,612</w:t>
            </w:r>
          </w:p>
        </w:tc>
      </w:tr>
      <w:tr>
        <w:trPr>
          <w:trHeight w:val="237"/>
        </w:trPr>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15,713</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Other expenses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13,961</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allowance for credit losses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(33,484)</w:t>
            </w:r>
          </w:p>
        </w:tc>
      </w:tr>
      <w:tr>
        <w:trPr>
          <w:trHeight w:val="229"/>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Transaction and acquisition expenses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9,512</w:t>
            </w:r>
          </w:p>
        </w:tc>
      </w:tr>
      <w:tr>
        <w:trPr>
          <w:trHeight w:val="223"/>
        </w:trPr>
        <w:tc>
          <w:tcPr>
            <w:tcW w:w="5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695,372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5,765</w:t>
            </w:r>
          </w:p>
        </w:tc>
      </w:tr>
      <w:tr>
        <w:trPr>
          <w:trHeight w:val="236"/>
        </w:trPr>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unconsolidated affiliate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(133,128)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(79,806)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(201,270)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(156,854)</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(60,903)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301,998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179,587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573,031</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(61,148)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301,257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179,504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572,148</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income attributable to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w:t>
            </w: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Net (loss) income attributable to partners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298,889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175,312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567,482</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5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Net (loss) income per Partnership unit</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56"/>
        </w:trPr>
        <w:tc>
          <w:tcPr>
            <w:tcW w:w="5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Weighted average number of Partnership units outstanding</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905,013,754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536,692,167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795,286,993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536,586,921</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905,013,754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554,438,981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797,482,166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549,620,976</w:t>
            </w:r>
          </w:p>
        </w:tc>
      </w:tr>
      <w:tr>
        <w:trPr>
          <w:trHeight w:val="256"/>
        </w:trPr>
        <w:tc>
          <w:tcPr>
            <w:tcW w:w="5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partners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567,482</w:t>
            </w: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Unrealized gain on cash flow hedges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91,939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200,550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21,706</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Reclassification of realized loss on cash flow hedges to net income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Comprehensive income attributable to partners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24,745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308,217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371,703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589,188</w:t>
            </w:r>
          </w:p>
        </w:tc>
      </w:tr>
      <w:tr>
        <w:trPr>
          <w:trHeight w:val="20"/>
        </w:trPr>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L.P.</w:t>
      </w:r>
    </w:p>
    <w:p>
      <w:pPr>
        <w:jc w:val="center"/>
        <w:spacing w:after="0"/>
        <w:rPr>
          <w:sz w:val="20"/>
          <w:szCs w:val="20"/>
          <w:color w:val="auto"/>
        </w:rPr>
      </w:pPr>
      <w:r>
        <w:rPr>
          <w:rFonts w:ascii="Arial" w:cs="Arial" w:eastAsia="Arial" w:hAnsi="Arial"/>
          <w:sz w:val="20"/>
          <w:szCs w:val="20"/>
          <w:b w:val="1"/>
          <w:bCs w:val="1"/>
          <w:color w:val="auto"/>
        </w:rPr>
        <w:t>CONSOLIDATED STATEMENTS OF PARTNERS’ CAPITAL</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unit and per unit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Partners’ Capital</w:t>
            </w:r>
          </w:p>
        </w:tc>
        <w:tc>
          <w:tcPr>
            <w:tcW w:w="220" w:type="dxa"/>
            <w:vAlign w:val="bottom"/>
          </w:tcPr>
          <w:p>
            <w:pPr>
              <w:spacing w:after="0"/>
              <w:rPr>
                <w:sz w:val="14"/>
                <w:szCs w:val="1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4"/>
                <w:szCs w:val="14"/>
                <w:color w:val="auto"/>
              </w:rPr>
            </w:pPr>
          </w:p>
        </w:tc>
        <w:tc>
          <w:tcPr>
            <w:tcW w:w="1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Non-Controlling Interest</w:t>
            </w:r>
          </w:p>
        </w:tc>
        <w:tc>
          <w:tcPr>
            <w:tcW w:w="460" w:type="dxa"/>
            <w:vAlign w:val="bottom"/>
          </w:tcPr>
          <w:p>
            <w:pPr>
              <w:spacing w:after="0"/>
              <w:rPr>
                <w:sz w:val="14"/>
                <w:szCs w:val="14"/>
                <w:color w:val="auto"/>
              </w:rPr>
            </w:pPr>
          </w:p>
        </w:tc>
        <w:tc>
          <w:tcPr>
            <w:tcW w:w="1480" w:type="dxa"/>
            <w:vAlign w:val="bottom"/>
            <w:vMerge w:val="restart"/>
          </w:tcPr>
          <w:p>
            <w:pPr>
              <w:jc w:val="right"/>
              <w:ind w:right="7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2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 (Loss) Income</w:t>
            </w:r>
          </w:p>
        </w:tc>
        <w:tc>
          <w:tcPr>
            <w:tcW w:w="16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9,417,794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77,906</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9,403,179</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268,593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2,298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270,891</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Contributions from parent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13,173</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Distributions to parent</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(189,915)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(189,915)</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w w:val="97"/>
              </w:rPr>
              <w:t>Stock-based compensation, net of forfeitures</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2,252</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on cash flow hedges</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12,378</w:t>
            </w:r>
          </w:p>
        </w:tc>
        <w:tc>
          <w:tcPr>
            <w:tcW w:w="0" w:type="dxa"/>
            <w:vAlign w:val="bottom"/>
          </w:tcPr>
          <w:p>
            <w:pPr>
              <w:spacing w:after="0"/>
              <w:rPr>
                <w:sz w:val="1"/>
                <w:szCs w:val="1"/>
                <w:color w:val="auto"/>
              </w:rPr>
            </w:pPr>
          </w:p>
        </w:tc>
      </w:tr>
      <w:tr>
        <w:trPr>
          <w:trHeight w:val="207"/>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26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9,511,897</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(80,143)</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78,133</w:t>
            </w:r>
          </w:p>
        </w:tc>
        <w:tc>
          <w:tcPr>
            <w:tcW w:w="12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9,509,887</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301,257</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Contributions from parent</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3,152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3,152</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parent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(180,744)</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(2,072)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(2,072)</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Stock-based compensation, net of forfeitures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Unrealized gain on cash flow hedges</w:t>
            </w: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9,328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9,328</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9,635,560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78,429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9,643,174</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12,010,698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78,906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12,090,488</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238,348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2,305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240,653</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Contributions from parent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3,229,165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3,229,165</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Distributions to parent</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(281,990)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(281,990)</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w w:val="97"/>
              </w:rPr>
              <w:t>Stock-based compensation, net of forfeitures</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2,602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2,602</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on cash flow hedges</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108,611</w:t>
            </w:r>
          </w:p>
        </w:tc>
        <w:tc>
          <w:tcPr>
            <w:tcW w:w="0" w:type="dxa"/>
            <w:vAlign w:val="bottom"/>
          </w:tcPr>
          <w:p>
            <w:pPr>
              <w:spacing w:after="0"/>
              <w:rPr>
                <w:sz w:val="1"/>
                <w:szCs w:val="1"/>
                <w:color w:val="auto"/>
              </w:rPr>
            </w:pPr>
          </w:p>
        </w:tc>
      </w:tr>
      <w:tr>
        <w:trPr>
          <w:trHeight w:val="207"/>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26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15,198,823</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109,495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79,108</w:t>
            </w:r>
          </w:p>
        </w:tc>
        <w:tc>
          <w:tcPr>
            <w:tcW w:w="12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15,387,426</w:t>
            </w: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(61,148)</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Contributions from parent</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6,949,119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6,949,119</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parent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(375,626)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(375,626)</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(2,062)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(2,062)</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Stock-based compensation, net of forfeitures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Unrealized gain on cash flow hedges</w:t>
            </w: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91,939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91,939</w:t>
            </w:r>
          </w:p>
        </w:tc>
        <w:tc>
          <w:tcPr>
            <w:tcW w:w="0" w:type="dxa"/>
            <w:vAlign w:val="bottom"/>
          </w:tcPr>
          <w:p>
            <w:pPr>
              <w:spacing w:after="0"/>
              <w:rPr>
                <w:sz w:val="1"/>
                <w:szCs w:val="1"/>
                <w:color w:val="auto"/>
              </w:rPr>
            </w:pPr>
          </w:p>
        </w:tc>
      </w:tr>
      <w:tr>
        <w:trPr>
          <w:trHeight w:val="169"/>
        </w:trPr>
        <w:tc>
          <w:tcPr>
            <w:tcW w:w="31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7"/>
              </w:rPr>
              <w:t>Reclassification of realized gain on cash flow</w:t>
            </w:r>
          </w:p>
        </w:tc>
        <w:tc>
          <w:tcPr>
            <w:tcW w:w="260" w:type="dxa"/>
            <w:vAlign w:val="bottom"/>
            <w:shd w:val="clear" w:color="auto" w:fill="CCEEFF"/>
          </w:tcPr>
          <w:p>
            <w:pPr>
              <w:spacing w:after="0"/>
              <w:rPr>
                <w:sz w:val="14"/>
                <w:szCs w:val="14"/>
                <w:color w:val="auto"/>
              </w:rPr>
            </w:pPr>
          </w:p>
        </w:tc>
        <w:tc>
          <w:tcPr>
            <w:tcW w:w="1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(4,159)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(4,159)</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hedges to net income</w:t>
            </w:r>
          </w:p>
        </w:tc>
        <w:tc>
          <w:tcPr>
            <w:tcW w:w="260" w:type="dxa"/>
            <w:vAlign w:val="bottom"/>
            <w:shd w:val="clear" w:color="auto" w:fill="CCEEFF"/>
          </w:tcPr>
          <w:p>
            <w:pPr>
              <w:spacing w:after="0"/>
              <w:rPr>
                <w:sz w:val="18"/>
                <w:szCs w:val="18"/>
                <w:color w:val="auto"/>
              </w:rPr>
            </w:pPr>
          </w:p>
        </w:tc>
        <w:tc>
          <w:tcPr>
            <w:tcW w:w="18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21,712,517</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197,275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78,933</w:t>
            </w: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21,988,725</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L.P.</w:t>
      </w: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ind w:left="4960"/>
        <w:spacing w:after="0"/>
        <w:rPr>
          <w:sz w:val="20"/>
          <w:szCs w:val="20"/>
          <w:color w:val="auto"/>
        </w:rPr>
      </w:pPr>
      <w:r>
        <w:rPr>
          <w:rFonts w:ascii="Arial" w:cs="Arial" w:eastAsia="Arial" w:hAnsi="Arial"/>
          <w:sz w:val="20"/>
          <w:szCs w:val="20"/>
          <w:b w:val="1"/>
          <w:bCs w:val="1"/>
          <w:color w:val="auto"/>
        </w:rPr>
        <w:t>(UNAUDITED)</w:t>
      </w:r>
    </w:p>
    <w:p>
      <w:pPr>
        <w:ind w:left="50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60" w:type="dxa"/>
            <w:vAlign w:val="bottom"/>
            <w:gridSpan w:val="5"/>
          </w:tcPr>
          <w:p>
            <w:pPr>
              <w:ind w:left="62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7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179,504</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572,148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cash flows provided by operating activities: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460"/>
              <w:spacing w:after="0"/>
              <w:rPr>
                <w:sz w:val="20"/>
                <w:szCs w:val="20"/>
                <w:color w:val="auto"/>
              </w:rPr>
            </w:pPr>
            <w:r>
              <w:rPr>
                <w:rFonts w:ascii="Arial" w:cs="Arial" w:eastAsia="Arial" w:hAnsi="Arial"/>
                <w:sz w:val="18"/>
                <w:szCs w:val="18"/>
                <w:color w:val="auto"/>
              </w:rPr>
              <w:t>Non-cash leasing and financing adjustments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(121,969)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(58,289)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Stock-based compensation</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460"/>
              <w:spacing w:after="0"/>
              <w:rPr>
                <w:sz w:val="20"/>
                <w:szCs w:val="20"/>
                <w:color w:val="auto"/>
              </w:rPr>
            </w:pPr>
            <w:r>
              <w:rPr>
                <w:rFonts w:ascii="Arial" w:cs="Arial" w:eastAsia="Arial" w:hAnsi="Arial"/>
                <w:sz w:val="18"/>
                <w:szCs w:val="18"/>
                <w:color w:val="auto"/>
              </w:rPr>
              <w:t>Depreciation</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debt issuance costs and original issue discount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460"/>
              <w:spacing w:after="0"/>
              <w:rPr>
                <w:sz w:val="20"/>
                <w:szCs w:val="20"/>
                <w:color w:val="auto"/>
              </w:rPr>
            </w:pPr>
            <w:r>
              <w:rPr>
                <w:rFonts w:ascii="Arial" w:cs="Arial" w:eastAsia="Arial" w:hAnsi="Arial"/>
                <w:sz w:val="18"/>
                <w:szCs w:val="18"/>
                <w:color w:val="auto"/>
              </w:rPr>
              <w:t>Change in allowance for credit losses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632,696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(33,484)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from unconsolidated affiliate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460"/>
              <w:spacing w:after="0"/>
              <w:rPr>
                <w:sz w:val="20"/>
                <w:szCs w:val="20"/>
                <w:color w:val="auto"/>
              </w:rPr>
            </w:pPr>
            <w:r>
              <w:rPr>
                <w:rFonts w:ascii="Arial" w:cs="Arial" w:eastAsia="Arial" w:hAnsi="Arial"/>
                <w:sz w:val="18"/>
                <w:szCs w:val="18"/>
                <w:color w:val="auto"/>
              </w:rPr>
              <w:t>Distributions from unconsolidated affiliate</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16,182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proceeds from settlement of derivatives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460"/>
              <w:spacing w:after="0"/>
              <w:rPr>
                <w:sz w:val="20"/>
                <w:szCs w:val="20"/>
                <w:color w:val="auto"/>
              </w:rPr>
            </w:pPr>
            <w:r>
              <w:rPr>
                <w:rFonts w:ascii="Arial" w:cs="Arial" w:eastAsia="Arial" w:hAnsi="Arial"/>
                <w:sz w:val="18"/>
                <w:szCs w:val="18"/>
                <w:color w:val="auto"/>
              </w:rPr>
              <w:t>Accrued expenses and deferred revenue</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18,564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(87,273)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938,727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407,199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0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paid in connection with MGP Transactions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(4,574,436)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Investments in leases - sales-type</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(4,012,828)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leases - financing receivables</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Investments in loans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(47,361)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repayments of lease financing receivables</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Principal repayments of loans and receipts of deferred fees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30,448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transaction costs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Maturities of short-term investments</w:t>
            </w:r>
          </w:p>
        </w:tc>
        <w:tc>
          <w:tcPr>
            <w:tcW w:w="4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19,973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of property and equipment</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in) provided by investing activities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(8,641,700)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0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Contributions from Parent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3,219,202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Distributions to Parent</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(625,000)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(354,000)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April 2022 Notes offering</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Proceeds from Revolving Credit Facility</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Revolving Credit Facility</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Debt issuance costs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(146,021)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non-controlling interest</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7,444,016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(258,957)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92,669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705,566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286,245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446,609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ind w:left="5540"/>
              <w:spacing w:after="0"/>
              <w:rPr>
                <w:sz w:val="20"/>
                <w:szCs w:val="20"/>
                <w:color w:val="auto"/>
              </w:rPr>
            </w:pPr>
            <w:r>
              <w:rPr>
                <w:rFonts w:ascii="Arial" w:cs="Arial" w:eastAsia="Arial" w:hAnsi="Arial"/>
                <w:sz w:val="18"/>
                <w:szCs w:val="18"/>
                <w:color w:val="auto"/>
              </w:rPr>
              <w:t>13</w:t>
            </w: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70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VICI PROPERTIES L.P.</w:t>
      </w:r>
    </w:p>
    <w:p>
      <w:pPr>
        <w:jc w:val="center"/>
        <w:ind w:right="-139"/>
        <w:spacing w:after="0"/>
        <w:rPr>
          <w:sz w:val="20"/>
          <w:szCs w:val="20"/>
          <w:color w:val="auto"/>
        </w:rPr>
      </w:pPr>
      <w:r>
        <w:rPr>
          <w:rFonts w:ascii="Arial" w:cs="Arial" w:eastAsia="Arial" w:hAnsi="Arial"/>
          <w:sz w:val="20"/>
          <w:szCs w:val="20"/>
          <w:b w:val="1"/>
          <w:bCs w:val="1"/>
          <w:color w:val="auto"/>
        </w:rPr>
        <w:t>CONSOLIDATED STATEMENTS OF CASH FLOWS</w:t>
      </w:r>
    </w:p>
    <w:p>
      <w:pPr>
        <w:ind w:left="4960"/>
        <w:spacing w:after="0"/>
        <w:rPr>
          <w:sz w:val="20"/>
          <w:szCs w:val="20"/>
          <w:color w:val="auto"/>
        </w:rPr>
      </w:pPr>
      <w:r>
        <w:rPr>
          <w:rFonts w:ascii="Arial" w:cs="Arial" w:eastAsia="Arial" w:hAnsi="Arial"/>
          <w:sz w:val="20"/>
          <w:szCs w:val="20"/>
          <w:b w:val="1"/>
          <w:bCs w:val="1"/>
          <w:color w:val="auto"/>
        </w:rPr>
        <w:t>(UNAUDITED)</w:t>
      </w:r>
    </w:p>
    <w:p>
      <w:pPr>
        <w:ind w:left="50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7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Cash paid for interest</w:t>
            </w:r>
          </w:p>
        </w:tc>
        <w:tc>
          <w:tcPr>
            <w:tcW w:w="176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152,794</w:t>
            </w:r>
          </w:p>
        </w:tc>
        <w:tc>
          <w:tcPr>
            <w:tcW w:w="8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140,738</w:t>
            </w: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income taxes</w:t>
            </w:r>
          </w:p>
        </w:tc>
        <w:tc>
          <w:tcPr>
            <w:tcW w:w="17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776</w:t>
            </w:r>
          </w:p>
        </w:tc>
        <w:tc>
          <w:tcPr>
            <w:tcW w:w="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Supplemental non-cash investing and financing activity:</w:t>
            </w:r>
          </w:p>
        </w:tc>
        <w:tc>
          <w:tcPr>
            <w:tcW w:w="1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payable</w:t>
            </w:r>
          </w:p>
        </w:tc>
        <w:tc>
          <w:tcPr>
            <w:tcW w:w="17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244,306</w:t>
            </w:r>
          </w:p>
        </w:tc>
        <w:tc>
          <w:tcPr>
            <w:tcW w:w="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177,223</w:t>
            </w:r>
          </w:p>
        </w:tc>
      </w:tr>
      <w:tr>
        <w:trPr>
          <w:trHeight w:val="230"/>
        </w:trPr>
        <w:tc>
          <w:tcPr>
            <w:tcW w:w="5960" w:type="dxa"/>
            <w:vAlign w:val="bottom"/>
          </w:tcPr>
          <w:p>
            <w:pPr>
              <w:ind w:left="220"/>
              <w:spacing w:after="0"/>
              <w:rPr>
                <w:sz w:val="20"/>
                <w:szCs w:val="20"/>
                <w:color w:val="auto"/>
              </w:rPr>
            </w:pPr>
            <w:r>
              <w:rPr>
                <w:rFonts w:ascii="Arial" w:cs="Arial" w:eastAsia="Arial" w:hAnsi="Arial"/>
                <w:sz w:val="18"/>
                <w:szCs w:val="18"/>
                <w:color w:val="auto"/>
              </w:rPr>
              <w:t>Debt issuance costs payable</w:t>
            </w:r>
          </w:p>
        </w:tc>
        <w:tc>
          <w:tcPr>
            <w:tcW w:w="176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8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17,341</w:t>
            </w:r>
          </w:p>
        </w:tc>
      </w:tr>
      <w:tr>
        <w:trPr>
          <w:trHeight w:val="229"/>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transaction costs payable</w:t>
            </w:r>
          </w:p>
        </w:tc>
        <w:tc>
          <w:tcPr>
            <w:tcW w:w="17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4,445</w:t>
            </w:r>
          </w:p>
        </w:tc>
        <w:tc>
          <w:tcPr>
            <w:tcW w:w="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w:t>
            </w:r>
          </w:p>
        </w:tc>
      </w:tr>
      <w:tr>
        <w:trPr>
          <w:trHeight w:val="230"/>
        </w:trPr>
        <w:tc>
          <w:tcPr>
            <w:tcW w:w="5960" w:type="dxa"/>
            <w:vAlign w:val="bottom"/>
          </w:tcPr>
          <w:p>
            <w:pPr>
              <w:ind w:left="220"/>
              <w:spacing w:after="0"/>
              <w:rPr>
                <w:sz w:val="20"/>
                <w:szCs w:val="20"/>
                <w:color w:val="auto"/>
              </w:rPr>
            </w:pPr>
            <w:r>
              <w:rPr>
                <w:rFonts w:ascii="Arial" w:cs="Arial" w:eastAsia="Arial" w:hAnsi="Arial"/>
                <w:sz w:val="18"/>
                <w:szCs w:val="18"/>
                <w:color w:val="auto"/>
              </w:rPr>
              <w:t>Non-cash change in Investments in leases - financing receivables</w:t>
            </w:r>
          </w:p>
        </w:tc>
        <w:tc>
          <w:tcPr>
            <w:tcW w:w="176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53,046</w:t>
            </w:r>
          </w:p>
        </w:tc>
        <w:tc>
          <w:tcPr>
            <w:tcW w:w="8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10,050</w:t>
            </w:r>
          </w:p>
        </w:tc>
      </w:tr>
      <w:tr>
        <w:trPr>
          <w:trHeight w:val="229"/>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liabilities arising from obtaining right-of-use assets</w:t>
            </w:r>
          </w:p>
        </w:tc>
        <w:tc>
          <w:tcPr>
            <w:tcW w:w="17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541,676</w:t>
            </w:r>
          </w:p>
        </w:tc>
        <w:tc>
          <w:tcPr>
            <w:tcW w:w="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87" w:right="4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 AND VICI PROPERTIES L.P.</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these notes, the words the “Company,” “VICI,” “we,” “our,” and “us” refer to VICI Properties Inc. and its subsidiaries, including VICI LP, on a consolidated basis, unless otherwise stated or the context requires otherwise.</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We refer to (i) our Condensed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“Apollo” refers to Apollo Global Management, Inc., a Delaware corporation, and, as the context requires, certain of its subsidiaries and affiliates.</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“April 2022 Notes” refer collectively to (i) the $500.0 million aggregate principal amount of 4.375% senior unsecured notes due 2025, (ii) the $1,250.0 million aggregate principal amount of 4.750% senior unsecured notes due 2028, (iii) the $1,000.0 million aggregate principal amount of 4.950% senior unsecured notes due 2030, (iv) the $1,500.0 million aggregate principal amount of 5.125% senior unsecured notes due 2032, and (v) the $750.0 million aggregate principal amount of 5.625% senior unsecured notes due 2052, in each case issued by VICI LP in April 2022.</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“BREIT JV” refers to the joint venture between MGP and Blackstone Real Estate Income Trust, Inc. in which the Company holds a 50.1% ownership stake following the MGP Transactions.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“BREIT JV Lease” refers to the lease agreement for MGM Grand Las Vegas and Mandalay Bay.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refers to Caesars Entertainment, Inc., a Delaware corporation and, as the context requires, its subsidiaries.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“Caesars Las Vegas Master Lease” refers to the lease agreement for Caesars Palace Las Vegas and the Harrah’s Las Vegas facilities, as amended from time to time.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“Caesars Leases” refer collectively to the Caesars Las Vegas Master Lease, the Caesars Regional Master Lease and the Joliet Lease, in each case, unless the context otherwise requires.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“Caesars Regional Master Lease” refers to the lease agreement for the regional properties (other than the facility in Joliet, Illinois) leased to Caesars, as amended from time to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Casinos” refers to Century Casinos, Inc., a Delaware corporation, and, as the context requires, its subsidiaries.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“Century Master Lease” refers to the lease agreement for the (i) Mountaineer Casino, Racetrack &amp; Resort located in New Cumberland, West Virginia, (ii) Century Casino Caruthersville located in Caruthersville, Missouri and (iii) Century Casino Cape Girardeau located in Cape Girardeau, Missouri, as amended from time to time.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“Chelsea Piers Mortgage Loan” refers to an $80.0 million mortgage loan agreement entered into on August 31, 2020 with Chelsea Piers New York with a term of seven years and secured by the Chelsea Piers complex in New York City.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“Co-Issuer” refers to VICI Note Co. Inc., a Delaware corporation, and co-issuer of the November 2019 Notes, February 2020 Notes and Exchange Notes.</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“Credit Agreement” refers to the Credit Agreement, dated as of February 8, 2022, by and among VICI LP, the lenders from time to time party thereto, and JPMorgan Chase Bank, N.A., as administrative agent, as amended from time to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 refers collectively to the Delayed Draw Term Loan and the Revolving Credit Facility.</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“Delayed Draw Term Loan” refers to the three-year unsecured delayed draw term loan facility of VICI LP provided under the Credit Agreement entered into in February 2022, as amended from time to time.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“EBCI” refers to the Eastern Band of Cherokee Indians, a federally recognized Tribe located in western North Carolina, and, as the context requires, its subsidiary and affiliate entities.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“Exchange Notes” refer collectively to (i) the $1,024.2 million aggregate principal amount of 5.625% senior unsecured notes due 2024, (ii) the $799.4 million aggregate principal amount of 4.625% senior unsecured notes due 2025, (iii) the $480.5 million aggregate principal amount of 4.500% senior unsecured notes due 2026, (iv) the $729.5 million aggregate principal amount of 5.750% senior unsecured notes due 2027, (v) the $349.3 million aggregate principal amount of 4.500% senior unsecured notes due 2028, and (vi) the $727.1 million aggregate principal amount of 3.875% senior unsecured notes due 2029, in each case issued by VICI LP and Co-Issuer, in April 2022 pursuant to the Exchange Offers and Consent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Solicitations (as defined herein).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“February 2020 Notes” refer collectively to (i) the $750.0 million aggregate principal amount of 3.500% senior unsecured notes due 2025, (ii) the $750.0 million aggregate principal amount of 3.750% senior unsecured notes due 2027, and (iii) the $1.0 billion aggregate principal amount of 4.125% senior unsecured notes due 2030, in each case issued by VICI LP and Co-Issuer in February 2020.</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“Forum Convention Center Mortgage Loan” refers to a $400.0 million mortgage loan agreement entered into on September 18, 2020 with a subsidiary of Caesars with a term of five years and secured by, among other things, the Caesars Forum Convention Center in Las Vegas.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“Greektown Lease” refers to the lease agreement for the Greektown Casino-Hotel, located in Detroit, Michigan, as amended from time to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means Hard Rock International, and, as the context requires, its subsidiary and affiliate entities.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“Hard Rock Cincinnati Lease” refers to the lease agreement for the Hard Rock Cincinnati Casino, located in Cincinnati, Ohio, as amended from time to time.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“JACK Cleveland/Thistledown Lease” refers to the lease agreement for the JACK Cleveland Casino located in Cleveland, Ohio, and the JACK Thistledown Racino facility located in North Randall, Ohio, as amended from time to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Entertainment” refers to JACK Ohio LLC, and, as the context requires, its subsidiary and affiliate entities.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“Joliet Lease” refers to the lease agreement for the facility in Joliet, Illinois, as amended from time to time.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“Lease Agreements” refer collectively to the BREIT JV Lease, the Caesars Leases, the Century Master Lease, the Southern Indiana Lease, the Hard Rock Cincinnati Lease, the JACK Cleveland/Thistledown Lease, the MGM Master Lease, the Penn National Leases, and the Venetian Lease, unless the context otherwise requires.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“Margaritaville Lease” refers to the lease agreement for Margaritaville Resort Casino, located in Bossier City, Louisiana, as amended from time to time.</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“Mergers” refer to a series of transactions governed by the MGP Master Transaction Agreement that occurred on April 29, 2022, consisting of (i) the contribution of our interest in VICI LP to VICI OP, which subsequent to the MGP Transactions serves as our new operating partnership, followed by (ii) the merger of MGP with and into Venus Sub LLC, a Delaware limited liability company and wholly owned subsidiary of VICI LP (“REIT Merger Sub”), with REIT Merger Sub surviving the merger, followed by (iii) the distribution by REIT Merger Sub of the interests of the general partner of MGP OP to VICI LP and (iv) the merger of REIT Merger Sub with and into MGP OP, with MGP OP surviving such merger.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“MGM” refers to MGM Resorts International, a Delaware corporation, and, as the context requires, its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“MGM Master Lease” refers to the lease agreement for the wholly-owned properties leased to MGM.</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“MGM Tax Protection Agreement” refers to the tax protection agreement entered into with MGM upon consummation of the MGP Transactions.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“MGP” refers to MGM Growth Properties LLC, a Delaware limited liability company, and, as the context requires, its subsidiaries.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“MGP Master Transaction Agreement” refers to that certain Master Transaction Agreement between the Company, MGP, MGP OP, VICI LP, REIT Merger Sub, VICI OP, and MGM entered into on August 4, 2021.</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“MGP OP” refers to MGM Growth Properties Operating Partnership LP, a Delaware limited partnership, and, as the context requires, its subsidiaries.</w:t>
      </w:r>
    </w:p>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“MGP OP Notes” refer collectively to the notes issued by MGP OP and MGP Finance Co-Issuer, Inc. (“MGP Co-Issuer” and, together with MGP OP, the “MGP Issuers”), consisting of (i) the 5.625% Senior Notes due 2024 issued pursuant to the indenture, dated as of April 20, 2016, (ii) the 4.625% Senior Notes due 2025 issued pursuant to the indenture, dated as of June 5, 2020, (iii) the 4.500% Senior Notes due 2026 issued pursuant to the indenture, dated as of August 12, 2016, (iv) the 5.750% Senior Notes due 2027 issued pursuant to the indenture, dated as of January 25, 2019, (v) the 4.500% Senior Notes due 2028 issued pursuant to the indenture, dated as of September 21, 2017, and (vi) the 3.875% Senior Notes due 2029 issued pursuant to the indenture, dated as of November 19, 2020, in each case, as amended or supplemented as of the date hereof, among the MGP Issuers and U.S. Bank National Association, as trustee (the “MGP Trustee”).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“MGP Transactions” refer collectively to a series of transactions pursuant to the MGP Master Transaction Agreement between us, MGP and MGM and the other parties thereto in connection with our acquisition of MGP on April 29, 2022, as contemplated by the MGP Master Transaction Agreement, including the MGM Tax Protection Agreement and the MGM Master Lease.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“November 2019 Notes” refer collectively to (i) the $1.25 billion aggregate principal amount of 4.250% senior unsecured notes due 2026, and (ii) the $1.0 billion aggregate principal amount of 4.625% senior unsecured notes due 2029, in each case issued by VICI LP and VICI Note Co. Inc., as Co-Issuer, in November 2019.</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“Partner Property Growth Fund” refers to certain arrangements with certain tenants relating to our funding of “same-store” capital improvements, including redevelopment, new construction projects and other property improvements, in exchange for increased rent pursuant to the terms of our existing Lease Agreements with such tenants.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National” refers to Penn National Gaming, Inc., a Pennsylvania corporation, and, as the context requires, its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National Leases” refer collectively to the Margaritaville Lease and the Greektown Lease, unless the context otherwise requires.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“Revolving Credit Facility” refers to the four-year unsecured revolving credit facility of VICI LP provided under the Credit Agreement entered into in February 2022, as amended from time to time.</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“Secured Revolving Credit Facility” refers to the five-year first lien revolving credit facility entered into by VICI PropCo in December 2017, as amended, which was terminated on February 8,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“Seminole Hard Rock” refers to Seminole Hard Rock Entertainment, Inc.</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“Senior Unsecured Notes” refer collectively to the November 2019 Notes, the February 2020 Notes, the April 2022 Notes and the Exchange Notes and the MGP OP Notes.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“Southern Indiana Lease” refers to the lease agreement with EBCI for the Caesars Southern Indiana Casino and Hotel, located in Elizabeth, Indiana (“Caesars Southern Indiana”), as amended from time to time.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“Term Loan B Facility” refers to the seven-year senior secured first lien term loan B facility entered into by VICI PropCo in December 2017, as amended from time to time, which was repaid in full on September 15,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“Venetian Acquisition” refers to our acquisition of the Venetian Resort, with Apollo, which closed on February 23, 2022.</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“Venetian Lease” refers to the lease agreement for the Venetian Resort Las Vegas and Venetian Expo, located in Las Vegas, Nevada (the “Venetian Resort”).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“Venetian Tenant” refers to an affiliate of certain funds managed by affiliates of Apollo.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Golf” refers to VICI Golf LLC, a Delaware limited liability company that is the owner and operator of our golf segment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Issuers” refers to VICI Properties L.P., a Delaware limited partnership and VICI Note Co. Inc., a Delaware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LP” refers to VICI Properties L.P., a Delaware limited partnership and a wholly owned subsidiary of VICI.</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“VICI OP” refers to VICI Properties OP LLC, a Delaware limited liability company and an indirect wholly owned subsidiary of VICI, which serves as our operating partnership.</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OP Units” refer to limited liability company interests in VICI OP.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PropCo” refers to VICI Properties 1 LLC, a Delaware limited liability company and an indirect wholly owned subsidiary of VICI.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Organization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primarily engaged in the business of owning and acquiring gaming, hospitality and entertainment destinations, subject to long-term triple-net leases. As of June 30, 2022, our national, geographically diverse real estate portfolio consisted of 43 market-leading properties, including Caesars Palace Las Vegas, MGM Grand and the Venetian Resort. Our properties are leased to, and our tenants are, subsidiaries of, or entities managed by, Apollo, Caesars, Century Casinos, EBCI, JACK Entertainment, MGM, Penn National and Seminole Hard Rock, with Caesars and MGM being our largest tenants. VICI also owns and operates four championship golf courses located near certain of our properties.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VICI, the parent company, is a Maryland corporation and internally managed real estate investment trust (“REIT”) for U.S. federal income tax purposes. Our real property business, which represents the substantial majority of our assets, is conducted through VICI OP and indirectly through VICI LP and our golf course business, VICI Golf, is conducted through a direct wholly-owned taxable REIT subsidiary (a “TRS”) of VICI. As a REIT, we generally will not be subject to U.S. federal income taxes on our taxable income to the extent that we annually distribute all of our net taxable income to stockholders and maintain our qualification as a REIT.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the emergence of the COVID-19 pandemic in early 2020, among the broader public health, societal and global impacts, the pandemic has resulted in governmental and/or regulatory actions imposing, among other things, temporary closures or restrictions from time to time on our tenants’ operations at our properties and our golf course operations. Although all of our leased properties and our golf courses are currently open and operating, without restriction in some jurisdictions, they remain subject to any current or future operating limitations, restrictions or closures imposed by governmental and/or regulatory authorities. While our tenants’ recent performance at many of our leased properties has been at or above pre-pandemic levels, our tenants may continue to face additional challenges and uncertainty due to the impact of the COVID-19 pandemic, such as complying with operational and capacity restrictions and ensuring sufficient employee staffing and service levels, sustaining customer engagement and maintaining improved operating margins and financial performance.</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All of our tenants have fulfilled their rent obligations through July 2022 and we regularly engage with our tenants in connection with their business performance, operations, liquidity and financial results. As a triple-net lessor, we believe we are generally in a strong creditor position and structurally insulated from operational and performance impacts of our tenants, both positive and negative. However, the full extent to which the COVID-19 pandemic adversely affect our tenants, and ultimately impacts us, depends on future developments which cannot be predicted with confidence, including the actions taken to contain the pandemic or mitigate its impact, including the availability, distribution, public acceptance and efficacy of approved vaccines, new or mutated variants of COVID-19 (including vaccine-resistant variants) or a similar virus, the direct and indirect economic effects of the pandemic and containment measures on our tenants, our tenants’ financial performance and any future operating limitations or closures.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The Financial Statements, including the notes thereto, are unaudited and condense or exclude some of the disclosures and information normally required in audited financial statements.</w:t>
      </w:r>
    </w:p>
    <w:p>
      <w:pPr>
        <w:spacing w:after="0" w:line="117" w:lineRule="exact"/>
        <w:rPr>
          <w:sz w:val="20"/>
          <w:szCs w:val="20"/>
          <w:color w:val="auto"/>
        </w:rPr>
      </w:pPr>
    </w:p>
    <w:p>
      <w:pPr>
        <w:jc w:val="both"/>
        <w:spacing w:after="0" w:line="259" w:lineRule="auto"/>
        <w:rPr>
          <w:rFonts w:ascii="Arial" w:cs="Arial" w:eastAsia="Arial" w:hAnsi="Arial"/>
          <w:sz w:val="18"/>
          <w:szCs w:val="18"/>
          <w:color w:val="0000FF"/>
        </w:rPr>
      </w:pPr>
      <w:r>
        <w:rPr>
          <w:rFonts w:ascii="Arial" w:cs="Arial" w:eastAsia="Arial" w:hAnsi="Arial"/>
          <w:sz w:val="18"/>
          <w:szCs w:val="18"/>
          <w:color w:val="auto"/>
        </w:rPr>
        <w:t xml:space="preserve">We believe the disclosures made are adequate to prevent the information presented from being misleading. However, the accompanying unaudited Financial Statements and related notes should be read in conjunction with VICI’s audited financial statements and notes thereto included in VICI’s most </w:t>
      </w:r>
      <w:hyperlink r:id="rId29">
        <w:r>
          <w:rPr>
            <w:rFonts w:ascii="Arial" w:cs="Arial" w:eastAsia="Arial" w:hAnsi="Arial"/>
            <w:sz w:val="18"/>
            <w:szCs w:val="18"/>
            <w:color w:val="auto"/>
          </w:rPr>
          <w:t xml:space="preserve">recent </w:t>
        </w:r>
        <w:r>
          <w:rPr>
            <w:rFonts w:ascii="Arial" w:cs="Arial" w:eastAsia="Arial" w:hAnsi="Arial"/>
            <w:sz w:val="18"/>
            <w:szCs w:val="18"/>
            <w:u w:val="single" w:color="auto"/>
            <w:color w:val="0000FF"/>
          </w:rPr>
          <w:t>Annual Report on Form 10-K</w:t>
        </w:r>
        <w:r>
          <w:rPr>
            <w:rFonts w:ascii="Arial" w:cs="Arial" w:eastAsia="Arial" w:hAnsi="Arial"/>
            <w:sz w:val="18"/>
            <w:szCs w:val="18"/>
            <w:color w:val="auto"/>
          </w:rPr>
          <w:t xml:space="preserve"> and VICI LP’s audited financial statements and notes thereto included as an </w:t>
        </w:r>
        <w:r>
          <w:rPr>
            <w:rFonts w:ascii="Arial" w:cs="Arial" w:eastAsia="Arial" w:hAnsi="Arial"/>
            <w:sz w:val="18"/>
            <w:szCs w:val="18"/>
            <w:u w:val="single" w:color="auto"/>
            <w:color w:val="0000FF"/>
          </w:rPr>
          <w:t>exhibit to the Current Report on Form 8-K</w:t>
        </w:r>
      </w:hyperlink>
      <w:r>
        <w:rPr>
          <w:rFonts w:ascii="Arial" w:cs="Arial" w:eastAsia="Arial" w:hAnsi="Arial"/>
          <w:sz w:val="18"/>
          <w:szCs w:val="18"/>
          <w:color w:val="auto"/>
        </w:rPr>
        <w:t xml:space="preserve"> </w:t>
      </w:r>
      <w:hyperlink r:id="rId29">
        <w:r>
          <w:rPr>
            <w:rFonts w:ascii="Arial" w:cs="Arial" w:eastAsia="Arial" w:hAnsi="Arial"/>
            <w:sz w:val="18"/>
            <w:szCs w:val="18"/>
            <w:u w:val="single" w:color="auto"/>
            <w:color w:val="0000FF"/>
          </w:rPr>
          <w:t>filed on April 18, 2022</w:t>
        </w:r>
        <w:r>
          <w:rPr>
            <w:rFonts w:ascii="Arial" w:cs="Arial" w:eastAsia="Arial" w:hAnsi="Arial"/>
            <w:sz w:val="18"/>
            <w:szCs w:val="18"/>
            <w:color w:val="000000"/>
          </w:rPr>
          <w:t>, as updated from time to time in our other filings with the SEC.</w:t>
        </w:r>
      </w:hyperlink>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All adjustments (consisting of normal recurring accruals) considered necessary for a fair statement of results for the interim period have been included.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materially from these estimates.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results for the three and six months ended June 30, 2022 are not necessarily indicative of the results that may be expected for the year ending December 31,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consolidated financial statements include our accounts and the accounts of VICI LP, and the subsidiaries in which we or VICI LP has a controlling interest. All intercompany account balances and transactions have been eliminated in consolidation. We consolidate all subsidiaries in which we have a controlling financial interest and VIEs for which we or one of our consolidated subsidiaries is the primary beneficiary.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non-controlling interests and classify such interests as a component of consolidated stockholders’ equity or partners’ capital, separate from VICI stockholders’ equity and VICI LP partners’ capital. As of June 30, 2022, VICI’s non-controlling interests represent an approximate 1.3% third-party ownership of VICI OP in the form of VICI OP Units and a 20% third-party ownership of Harrah’s Joliet LandCo LLC, the entity that owns the Harrah’s Joliet facility and is the lessor under the related Joliet Lease. As VICI OP is a parent entity of VICI LP, VICI LP’s only non-controlling interest is that of third-party ownership of Harrah’s Joliet LandCo LLC.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consists of cash-on-hand and cash-in-bank. Any investments with an original maturity of three months or less from the date of purchase are considered cash equivalents and are carried at cost, which approximates fair value. As of June 30, 2022 and December 31, 2021, we did not have any restricted cash.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Sales-type, Net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the land and building components of the property to determine the classification of each component.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long-term nature of our leases, the land and building components of an investment generally have the same lease classification.</w:t>
      </w:r>
    </w:p>
    <w:p>
      <w:pPr>
        <w:spacing w:after="0" w:line="12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determined that the land and building components of all of the Caesars Leases (excluding the Harrah’s New Orleans, Harrah’s Laughlin and Harrah’s Atlantic City real estate asset components (the “Harrah’s Original Call Properties”) of the Caesars Regional Master Lease), Century Master Lease, Hard Rock Cincinnati Lease, Penn National Leases, Southern Indiana Lease, and Venetian Lease meet the definition of a sales-type lease under ASC 842.</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Financing Receivables, Net</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accordance with ASC 842, for transactions in which we enter into a contract to acquire an asset and lease it back to the seller under a lease classified as a sales-type lease (i.e., a sale leaseback transaction), control of the asset is not considered to have transferred to us. As a result, we do not recognize the net investment in the lease but instead recognize a financial asset in accordance with ASC 310 “Receivables” (“ASC 310”); however, the accounting for the financing receivable under ASC 310 is materially consistent with the accounting for our investments in leases - sales-type under ASC 842.</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determined that the land and building components of the MGM Master Lease, JACK Cleveland/Thistledown Lease and the Harrah’s Original Call Properties asset components of the Caesars Regional Master Lease meet the definition of a sales-type lease and, since we purchased and leased the assets back to the sellers under sale leaseback transactions, control is not considered to have transferred to us under GAAP. Accordingly, the MGM Master Lease, JACK Cleveland/Thistledown Lease and the Harrah’s Original Call Properties component of the Caesars Regional Master Lease are accounted for as Investments in leases - financing receivables on our Balance Sheet, net of allowance for credit losses, in accordance with ASC 310.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assess the noncancelable lease term under ASC 842, which includes any reasonably assured renewal periods. All of our Lease Agreements provide for an initial term, with multiple tenant renewal options. We have individually assessed all of our Lease Agreements and concluded that the lease term includes all of the periods covered by extension options as it is reasonably certain our tenants will renew the Lease Agreements. We believe our tenants are economically compelled to renew the Lease Agreements due to the importance of our real estate to the operation of their business, the significant capital they have invested and are required to invest in our properties under the terms of the Lease Agreements and the lack of suitable replacement assets.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Unconsolidated Affiliate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our investment in unconsolidated affiliate using the equity method of accounting as we have the ability to exercise significant influence, but not control, over operating and financing policies of the investment. Our equity method investment represents our 50.1% ownership interest in the BREIT JV, which was acquired in the MGP Transactions and, as a result, was recorded at relative fair value. The difference in basis between our share of the carrying value of the BREIT JV and the relative fair value upon acquisition is amortized into Income from unconsolidated affiliate over the estimated useful life of the respective underlying real estate assets, the remaining lease term of the BREIT JV Lease, or the remaining term of the assumed debt, as applicable.</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assess our investments in unconsolidated affiliate for recoverability and, if it is determined that a loss in value of the investment is other than temporary, we write down the investment to its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Leases and Lease Financing Receivables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the related income from our sales-type leases and lease financing receivables on an effective interest basis at a constant rate of return over the terms of the applicable leases. As a result, the cash payments accounted for under sales-type leases and lease financing receivables will not equal income from our Lease Agreements. Rather, a portion of the cash rent we receive is recorded as Income from sales-type leases or Income from lease financing receivables and loans, as applicable, in our Statement of Operations and a portion is recorded as a change to Investments in leases - sales-type, net or Investments in leases - financing receivables, net, as applicable.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Initial direct costs incurred in connection with entering into investments classified as sales-type leases are included in the balance of the net investment in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 origination fees and costs incurred in connection with entering into investments classified as lease financing receivables are included in the balance of the net investment and such amounts will be recognized as a reduction to Income from investments in loans and lease financing receivables over the life of the lease using the effective interest method.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Loans, net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Investments in loans are held-for-investment and are carried at historical cost, inclusive of unamortized loan origination costs and fees and allowances for credit losses. Income is recognized on an effective interest basis at a constant rate of return over the life of the related loan.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326 “Financial Instruments-Credit Losses” (“ASC 326”) requires that we measure and record current expected credit losses (“CECL”) for the majority of our investments, the scope of which includes our Investments in leases - sales-type, Investments in leases - financing receivables and Investments in loans.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elected to use a discounted cash flow model to estimate the Allowance for credit losses, or CECL allowance. This model requires us to develop cash flows which project estimated credit losses over the life of the lease or loan and discount these cash flows at the asset’s effective interest rate. We then record a CECL allowance equal to the difference between the amortized cost basis of the asset and the present value of the expected credit loss cash flows.</w:t>
      </w:r>
    </w:p>
    <w:p>
      <w:pPr>
        <w:spacing w:after="0" w:line="9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Expected losses within our cash flows are determined by estimating the probability of default (“PD”) and loss given default (“LGD”) of our tenants and borrowers and their parent guarantors, as applicable, over the life of each individual lease or financial asset. We have engaged a nationally recognized data analytics firm to assist us with estimating both the PD and LGD of our tenants and borrowers and their parent guarantors, as applicable.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or borrower and parent guarantor, as applicable, and applied to a projection of economic conditions over a two-year term. The PD and LGD for the Long-Term Period are estimated using the average historical default rates and historical loss rates, respectively, of public companies over approximately the past 40 years that have similar credit profiles or characteristics to our tenants, borrowers and their parent guarantors, as applicable. We are unable to use our historical data to estimate losses as we have no loss history to date.</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CECL allowance is recorded as a reduction to our net Investments in leases - sales-type, Investments in leases - financing receivables, Investments in loans and Sales-type sub-leases included in Other assets on our Balance Sheet.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will result in a non-cash charge to the Statement of Operations for the relevant period.</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required to estimate a CECL allowance related to contractual commitments to extend credit, such as future funding commitments under a revolving credit facility, delayed draw term loan, construction loan or through commitments made to our tenants to fund the development and construction of improvements at our properties through the Partner Property Growth Fund. We estimate the amount that we will fund for each contractual commitment based on (i) discussions with our borrowers and tenants, (ii) our borrowers' and tenants’ business plans and financial condition and (iii) other relevant factors. Based on these considerations, we apply a CECL allowance to the estimated amount of credit we expect to extend. The CECL allowance for unfunded commitments is calculated using the same methodology as the allowance for all of our other investments subject to the CECL model. The CECL allowance related to these future commitments is recorded as a component of Other liabilities on our Balance Sheet.</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Charge-offs are deducted from the allowance in the period in which they are deemed uncollectible. Recoveries previously written off are recorded when received. There were no charge-offs or recoveries for the three and six months ended June 30, 2022 and 2021.</w:t>
      </w:r>
    </w:p>
    <w:p>
      <w:pPr>
        <w:spacing w:after="0" w:line="11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32">
        <w:r>
          <w:rPr>
            <w:rFonts w:ascii="Arial" w:cs="Arial" w:eastAsia="Arial" w:hAnsi="Arial"/>
            <w:sz w:val="18"/>
            <w:szCs w:val="18"/>
            <w:u w:val="single" w:color="auto"/>
            <w:color w:val="0000FF"/>
          </w:rPr>
          <w:t>Note 5 - Allowance for Credit Losses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Other expenses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income primarily represents sub-lease income related to certain ground and use leases. Under the Lease Agreements, the tenants are required to pay all costs associated with such ground and use leases and provides for their direct payment to the landlord. This income and the related expense are recorded on a gross basis in our Statement of Operations as required under GAAP as we are the primary obligor under these certain ground and use leases.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spacing w:after="0" w:line="5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42">
        <w:r>
          <w:rPr>
            <w:rFonts w:ascii="Arial" w:cs="Arial" w:eastAsia="Arial" w:hAnsi="Arial"/>
            <w:sz w:val="18"/>
            <w:szCs w:val="18"/>
            <w:u w:val="single" w:color="auto"/>
            <w:color w:val="0000FF"/>
          </w:rPr>
          <w:t>Note 9 - Fair Value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record our derivative financial instruments as either Other assets or Other liabilities on our Balance Sheet at fair value.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 quarterly basis, we also assess whether the derivative we designated in each hedging relationship is expected to be, and has been, highly effective in offsetting changes in the value or cash flows of the hedged transactions.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previously recorded in Accumulated other comprehensive income (loss) is recognized in earnings when the hedged transactions affect earnings. Changes in the fair value of our derivative instruments that qualify as hedges are reported as a component of Accumulated other comprehensive income (loss) in our Balance Sheet with a corresponding change in Unrealized gain (loss) in cash flows hedges within Other comprehensive income on our Statement of Operations.</w:t>
      </w:r>
    </w:p>
    <w:p>
      <w:pPr>
        <w:spacing w:after="0" w:line="12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use derivative instruments to mitigate the effects of interest rate volatility, whether from variable rate debt or future forecasted transactions, which could unfavorably impact our future earnings and forecasted cash flows. We do not use derivative instruments for speculative or trading purposes.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Caesars and MGM are the guarantors of all the lease payment obligations of the tenants under the applicable leases of the properties that they respectively lease from us. Revenue from Caesars, which includes the Caesars Leases, represented 45% and 57% of our lease revenues for the three and six months ended June 30, 2022, respectively, and 86% of our lease revenues for the three and six months ended June 30, 2021. Revenue from MGM, which includes the MGM Master Lease and our proportionate share of the BREIT JV Lease, represented 34% and 21% for the three and six months ended June 30, 2022, respectively. Additionally, our properties on the Las Vegas Strip generated approximately 46% and 43% of our lease revenues for the three and six months ended June 30, 2022, respectively, and 32% of our lease revenues for the three and six months ended June 30, 2021. Other than having two tenants from which we derive and will continue to derive a substantial portion of our revenue and our concentration in the Las Vegas market, we do not believe there are any other significant concentrations of credit risk.</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Real Estate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Property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MGP Transactions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29, 2022, we closed on the previously announced MGP Transactions governed by the MGP Master Transaction Agreement, pursuant to which we acquired MGP for total consideration of $11.6 billion, plus the assumption of approximately $5.7 billion principal amount of debt, inclusive of our 50.1% share of the BREIT JV CMBS debt. Upon closing, the MGP Transactions added $1,012.0 million of annualized rent to our portfolio from 15 Class A entertainment casino resort properties spread across nine regions and comprising 36,000 hotel rooms, 3.6 million square feet of meeting and convention space and hundreds of food, beverage and entertainment venues.</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MGP’s portfolio, including properties owned by the BREIT JV, includes seven large-scale entertainment and gaming-related properties located on the Las Vegas Strip: Mandalay Bay, MGM Grand Las Vegas, The Mirage, Park MGM, New York-New York (and The Park, a dining and entertainment district located between New York-New York and Park MGM), Luxor and Excalibur. Outside of Las Vegas, MGP also owns eight high-quality casino resort properties: MGM Grand Detroit in Detroit, Michigan, Beau Rivage in Biloxi, Mississippi, Gold Strike Tunica in Tunica, Mississippi, Borgata in Atlantic City, New Jersey, MGM National Harbor in Prince George’s County, Maryland, MGM Northfield Park in Northfield, Ohio, Empire City in Yonkers, New York and MGM Springfield in Springfield, Massachusetts. MGP’s portfolio includes two of the five largest hotels in the United States and two of the three largest Las Vegas resorts by room count and convention space.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agreements and related activities under the MGP Transactions:</w:t>
      </w:r>
    </w:p>
    <w:p>
      <w:pPr>
        <w:spacing w:after="0" w:line="171" w:lineRule="exact"/>
        <w:rPr>
          <w:sz w:val="20"/>
          <w:szCs w:val="20"/>
          <w:color w:val="auto"/>
        </w:rPr>
      </w:pPr>
    </w:p>
    <w:p>
      <w:pPr>
        <w:jc w:val="both"/>
        <w:ind w:left="660" w:hanging="328"/>
        <w:spacing w:after="0" w:line="288"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MGP Master Transaction Agreement. </w:t>
      </w:r>
      <w:r>
        <w:rPr>
          <w:rFonts w:ascii="Arial" w:cs="Arial" w:eastAsia="Arial" w:hAnsi="Arial"/>
          <w:sz w:val="16"/>
          <w:szCs w:val="16"/>
          <w:color w:val="auto"/>
        </w:rPr>
        <w:t>On August 4, 2021, we entered into the MGP Master Transaction Agreement by and among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MGP, MGP OP, VICI LP, REIT Merger Sub, VICI OP, and MGM. Pursuant to the terms and subject to the conditions set forth in the MGP Master Transaction Agreement, upon the closing of the REIT Merger (as defined in the MGP Master Transaction Agreement) on April 29, 2022, each outstanding Class A common share, no par value per share, of MGP (“MGP Common Shares”) (other than MGP Common Shares then held in treasury by MGP or owned by any of MGP’s wholly owned subsidiaries) was converted into 1.366 (the “Exchange Ratio”) shares of common stock of the Company (such consideration, the “REIT Merger Consideration”), plus the right, if any, to receive cash in lieu of fractional shares of our common stock into which such MGP Common Shares would have been converted. The outstanding Class B common share, no par value per share, of MGP (the “Class B Share”), which was held by MGM, was cancelled at the effective time of the REIT Merger. The REIT Merger is intended to qualify as a “reorganization” within the meaning of Section 368(a) of the Internal Revenue Code of 1986, as amended (the “Code”). The number of MGP Common Shares converted to shares of VICI common stock was determined as follows:</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MGP Common Shares outstanding as of April 29, 2022</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156,757,773</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Ratio</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r>
      <w:tr>
        <w:trPr>
          <w:trHeight w:val="223"/>
        </w:trPr>
        <w:tc>
          <w:tcPr>
            <w:tcW w:w="78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VICI common stock issued </w:t>
            </w:r>
            <w:r>
              <w:rPr>
                <w:rFonts w:ascii="Arial" w:cs="Arial" w:eastAsia="Arial" w:hAnsi="Arial"/>
                <w:sz w:val="23"/>
                <w:szCs w:val="23"/>
                <w:i w:val="1"/>
                <w:iCs w:val="1"/>
                <w:color w:val="auto"/>
                <w:vertAlign w:val="superscript"/>
              </w:rPr>
              <w:t>(1)</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214,131,064</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VICI common stock issued for MGP stock-based compensation awards</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421,468</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VICI common stock issued</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214,552,532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(1) Amount excludes the cash paid in lieu of approximately 54 fractional MGP Common Shares.</w:t>
      </w:r>
    </w:p>
    <w:p>
      <w:pPr>
        <w:spacing w:after="0" w:line="155" w:lineRule="exact"/>
        <w:rPr>
          <w:sz w:val="20"/>
          <w:szCs w:val="20"/>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Following the REIT Merger, pursuant to and subject to the terms set forth in the MGP Master Transaction Agreement, at the effective time of the Partnership Merger (as defined in the MGP Master Transaction Agreement), each limited partnership unit in MGP OP (other than the limited partnership units in MGP OP held by REIT Merger Sub or any subsidiary of MGP OP), all of which were held by MGM and certain of its subsidiaries, was converted into the right to receive a number of VICI OP Units (the “Partnership Merger Consideration”) equal to the Exchange Ratio. The Company redeemed a majority of the VICI OP Units received by MGM in the Partnership Merger for $4,404.0 million in cash using the proceeds from the April 2022 Notes offering (the “Redemption”), as further described in </w:t>
      </w:r>
      <w:hyperlink w:anchor="page35">
        <w:r>
          <w:rPr>
            <w:rFonts w:ascii="Arial" w:cs="Arial" w:eastAsia="Arial" w:hAnsi="Arial"/>
            <w:sz w:val="18"/>
            <w:szCs w:val="18"/>
            <w:u w:val="single" w:color="auto"/>
            <w:color w:val="0000FF"/>
          </w:rPr>
          <w:t>Note 7 - Debt</w:t>
        </w:r>
      </w:hyperlink>
      <w:r>
        <w:rPr>
          <w:rFonts w:ascii="Arial" w:cs="Arial" w:eastAsia="Arial" w:hAnsi="Arial"/>
          <w:sz w:val="18"/>
          <w:szCs w:val="18"/>
          <w:color w:val="auto"/>
        </w:rPr>
        <w:t>. Following the Redemption, MGM retained approximately 12.2 million VICI OP Units.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660" w:hanging="328"/>
        <w:spacing w:after="0" w:line="290" w:lineRule="auto"/>
        <w:tabs>
          <w:tab w:leader="none" w:pos="655"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MGM Master Lease and BREIT JV Lease</w:t>
      </w:r>
      <w:r>
        <w:rPr>
          <w:rFonts w:ascii="Arial" w:cs="Arial" w:eastAsia="Arial" w:hAnsi="Arial"/>
          <w:sz w:val="16"/>
          <w:szCs w:val="16"/>
          <w:color w:val="auto"/>
        </w:rPr>
        <w:t>. Simultaneous with the closing of the Mergers on April 29, 2022, we entered into the MGM Master</w:t>
      </w:r>
      <w:r>
        <w:rPr>
          <w:rFonts w:ascii="Arial" w:cs="Arial" w:eastAsia="Arial" w:hAnsi="Arial"/>
          <w:sz w:val="16"/>
          <w:szCs w:val="16"/>
          <w:i w:val="1"/>
          <w:iCs w:val="1"/>
          <w:color w:val="auto"/>
        </w:rPr>
        <w:t xml:space="preserve"> </w:t>
      </w:r>
      <w:r>
        <w:rPr>
          <w:rFonts w:ascii="Arial" w:cs="Arial" w:eastAsia="Arial" w:hAnsi="Arial"/>
          <w:sz w:val="16"/>
          <w:szCs w:val="16"/>
          <w:color w:val="auto"/>
        </w:rPr>
        <w:t>Lease. The MGM Master Lease has an initial term of 25 years, with three 10-year tenant renewal options and has an initial total annual rent of $860.0 million. Rent under the MGM Master Lease escalates at a rate of 2.0% per annum for the first 10 years and thereafter at the greater of 2.0% per annum or the increase in the consumer price index (“CPI”), subject to a 3.0% cap. The tenant’s obligations under the MGM Master Lease are guaranteed by MGM. The initial total annual rent under the MGM Master Lease will be reduced by (i) $90.0 million upon the close of MGM’s pending sale of the operations of the Mirage to Hard Rock and entrance into the Mirage Lease, as further described below under “</w:t>
      </w:r>
      <w:r>
        <w:rPr>
          <w:rFonts w:ascii="Arial" w:cs="Arial" w:eastAsia="Arial" w:hAnsi="Arial"/>
          <w:sz w:val="16"/>
          <w:szCs w:val="16"/>
          <w:i w:val="1"/>
          <w:iCs w:val="1"/>
          <w:color w:val="auto"/>
        </w:rPr>
        <w:t>Mirage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Severance Lease” </w:t>
      </w:r>
      <w:r>
        <w:rPr>
          <w:rFonts w:ascii="Arial" w:cs="Arial" w:eastAsia="Arial" w:hAnsi="Arial"/>
          <w:sz w:val="16"/>
          <w:szCs w:val="16"/>
          <w:color w:val="auto"/>
        </w:rPr>
        <w:t>and (ii) $40.0 million upon the close of MGM’s pending sale of the operations of Gold Strike to Cherokee Nation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L.L.C. (“CNB”) and entrance into the Gold Strike Lease (as defined below), as further described below under “</w:t>
      </w:r>
      <w:r>
        <w:rPr>
          <w:rFonts w:ascii="Arial" w:cs="Arial" w:eastAsia="Arial" w:hAnsi="Arial"/>
          <w:sz w:val="16"/>
          <w:szCs w:val="16"/>
          <w:i w:val="1"/>
          <w:iCs w:val="1"/>
          <w:color w:val="auto"/>
        </w:rPr>
        <w:t>Gold Strike Severance Lease</w:t>
      </w:r>
      <w:r>
        <w:rPr>
          <w:rFonts w:ascii="Arial" w:cs="Arial" w:eastAsia="Arial" w:hAnsi="Arial"/>
          <w:sz w:val="16"/>
          <w:szCs w:val="16"/>
          <w:color w:val="auto"/>
        </w:rPr>
        <w:t>”.</w:t>
      </w:r>
    </w:p>
    <w:p>
      <w:pPr>
        <w:spacing w:after="0" w:line="111" w:lineRule="exact"/>
        <w:rPr>
          <w:rFonts w:ascii="Arial" w:cs="Arial" w:eastAsia="Arial" w:hAnsi="Arial"/>
          <w:sz w:val="16"/>
          <w:szCs w:val="16"/>
          <w:i w:val="1"/>
          <w:iCs w:val="1"/>
          <w:color w:val="auto"/>
        </w:rPr>
      </w:pPr>
    </w:p>
    <w:p>
      <w:pPr>
        <w:jc w:val="both"/>
        <w:ind w:left="660"/>
        <w:spacing w:after="0" w:line="275" w:lineRule="auto"/>
        <w:rPr>
          <w:rFonts w:ascii="Arial" w:cs="Arial" w:eastAsia="Arial" w:hAnsi="Arial"/>
          <w:sz w:val="16"/>
          <w:szCs w:val="16"/>
          <w:i w:val="1"/>
          <w:iCs w:val="1"/>
          <w:color w:val="auto"/>
        </w:rPr>
      </w:pPr>
      <w:r>
        <w:rPr>
          <w:rFonts w:ascii="Arial" w:cs="Arial" w:eastAsia="Arial" w:hAnsi="Arial"/>
          <w:sz w:val="17"/>
          <w:szCs w:val="17"/>
          <w:color w:val="auto"/>
        </w:rPr>
        <w:t>Additionally, we retained MGP’s 50.1% ownership stake in the BREIT JV, which owns the real estate assets of MGM Grand Las Vegas and Mandalay Bay. The BREIT JV Lease remained unchanged and provides for current total annual base rent of approximately $303.8 million, of which approximately $152.2 million is attributable to our investment in the BREIT JV, and an initial term of thirty years with two 10-year tenant renewal options. Rent under the BREIT JV Lease escalates at a rate of 2.0% per annum for the first fifteen years and thereafter at the greater of 2.0% per annum or CPI, subject to a 3.0% cap. The tenant’s obligations under the BREIT JV Lease are guaranteed by MGM.</w:t>
      </w:r>
    </w:p>
    <w:p>
      <w:pPr>
        <w:spacing w:after="0" w:line="122" w:lineRule="exact"/>
        <w:rPr>
          <w:rFonts w:ascii="Arial" w:cs="Arial" w:eastAsia="Arial" w:hAnsi="Arial"/>
          <w:sz w:val="16"/>
          <w:szCs w:val="16"/>
          <w:i w:val="1"/>
          <w:iCs w:val="1"/>
          <w:color w:val="auto"/>
        </w:rPr>
      </w:pPr>
    </w:p>
    <w:p>
      <w:pPr>
        <w:jc w:val="both"/>
        <w:ind w:left="660" w:hanging="328"/>
        <w:spacing w:after="0" w:line="268" w:lineRule="auto"/>
        <w:tabs>
          <w:tab w:leader="none" w:pos="655"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Tax Protection Agreement. </w:t>
      </w:r>
      <w:r>
        <w:rPr>
          <w:rFonts w:ascii="Arial" w:cs="Arial" w:eastAsia="Arial" w:hAnsi="Arial"/>
          <w:sz w:val="17"/>
          <w:szCs w:val="17"/>
          <w:color w:val="auto"/>
        </w:rPr>
        <w:t>In connection with the closing of the MGP Transactions, we entered into a tax protection agreement with MGM (the</w:t>
      </w:r>
      <w:r>
        <w:rPr>
          <w:rFonts w:ascii="Arial" w:cs="Arial" w:eastAsia="Arial" w:hAnsi="Arial"/>
          <w:sz w:val="17"/>
          <w:szCs w:val="17"/>
          <w:i w:val="1"/>
          <w:iCs w:val="1"/>
          <w:color w:val="auto"/>
        </w:rPr>
        <w:t xml:space="preserve"> </w:t>
      </w:r>
      <w:r>
        <w:rPr>
          <w:rFonts w:ascii="Arial" w:cs="Arial" w:eastAsia="Arial" w:hAnsi="Arial"/>
          <w:sz w:val="17"/>
          <w:szCs w:val="17"/>
          <w:color w:val="auto"/>
        </w:rPr>
        <w:t>“MGM Tax Protection Agreement”) pursuant to which VICI OP has agreed, subject to certain exceptions, for a period of 15 years following the closing of the Mergers (subject to early termination under certain circumstances), to indemnify MGM and certain of its subsidiaries (the “Protected Parties”) for certain tax liabilities resulting from (1) the sale, transfer, exchange or other disposition of a property owned directly or indirectly by MGP OP immediately prior to the closing date of the Mergers (each, a “Protected Property”), (2) a merger, consolidation, transfer of all assets of, or other significant transaction involving VICI OP pursuant to which the ownership interests of the Protected Parties in VICI OP are required to be exchanged in whole or in part for cash or other property, (3) the failure of VICI OP to maintain approximately $8.5 billion of nonrecourse indebtedness allocable to MGM, which amount may be reduced over time in accordance with the MGM Tax Protection Agreement, and (4) the failure of VICI OP or VICI to comply with certain tax covenants that would impact the tax liabilities of the Protected Parties. In the event that VICI OP or VICI breaches restrictions in the MGM Tax Protection Agreement, VICI OP will be liable for grossed-up tax amounts associated with the income or gain recognized as a result of such breach. In addition, the BREIT JV previously entered into a tax protection agreement with MGM with respect to built-in gain and debt maintenance related to MGM Grand Las Vegas and Mandalay Bay, which is effective through mid-2029, and by acquiring MGP, the Company bears its 50.1% proportionate share in the BREIT JV of any indemnity under this existing tax protection agreement.</w:t>
      </w:r>
    </w:p>
    <w:p>
      <w:pPr>
        <w:spacing w:after="0" w:line="130" w:lineRule="exact"/>
        <w:rPr>
          <w:rFonts w:ascii="Arial" w:cs="Arial" w:eastAsia="Arial" w:hAnsi="Arial"/>
          <w:sz w:val="17"/>
          <w:szCs w:val="17"/>
          <w:i w:val="1"/>
          <w:iCs w:val="1"/>
          <w:color w:val="auto"/>
        </w:rPr>
      </w:pPr>
    </w:p>
    <w:p>
      <w:pPr>
        <w:jc w:val="both"/>
        <w:ind w:left="660" w:hanging="328"/>
        <w:spacing w:after="0" w:line="25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Exchange Offers and Consent Solicitations</w:t>
      </w:r>
      <w:r>
        <w:rPr>
          <w:rFonts w:ascii="Arial" w:cs="Arial" w:eastAsia="Arial" w:hAnsi="Arial"/>
          <w:sz w:val="18"/>
          <w:szCs w:val="18"/>
          <w:color w:val="auto"/>
        </w:rPr>
        <w:t>. On September 13, 2021, we announced that the VICI Issuers commenced (i) private exchange offers</w:t>
      </w:r>
      <w:r>
        <w:rPr>
          <w:rFonts w:ascii="Arial" w:cs="Arial" w:eastAsia="Arial" w:hAnsi="Arial"/>
          <w:sz w:val="18"/>
          <w:szCs w:val="18"/>
          <w:i w:val="1"/>
          <w:iCs w:val="1"/>
          <w:color w:val="auto"/>
        </w:rPr>
        <w:t xml:space="preserve"> </w:t>
      </w:r>
      <w:r>
        <w:rPr>
          <w:rFonts w:ascii="Arial" w:cs="Arial" w:eastAsia="Arial" w:hAnsi="Arial"/>
          <w:sz w:val="18"/>
          <w:szCs w:val="18"/>
          <w:color w:val="auto"/>
        </w:rPr>
        <w:t>to certain eligible holders (collectively, the “Exchange Offers”) for any and all of each series of the MGP OP Notes for up to an aggregate principal amount of $4.2 billion of new notes issued by the VICI Issuers and (ii) consent solicitations with respect to each series of MGP OP Notes (collectively, the “Consent Solicitations”) to adopt certain proposed amendments to each of the indentures governing the MGP OP Notes (collectively, the “MGP OP Notes Indentures”), which, among other things, eliminate or modify certain of the covenants, restrictions, provisions and events of default in each of the MGP OP Notes Indentures.</w:t>
      </w:r>
    </w:p>
    <w:p>
      <w:pPr>
        <w:spacing w:after="0" w:line="138"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Following the receipt of the requisite consents pursuant to the Consent Solicitations, on September 23, 2021, the MGP Issuers executed supplemental indentures to each of the MGP OP Notes Indentures in order to effect the proposed amendments (the “MGP OP Supplemental Indentures”). The MGP OP Supplemental Indentures became operative upon the settlement of the Exchange Offers and the Consent Solicitations on April 29, 2022 (the “Settlement Date”).</w:t>
      </w:r>
    </w:p>
    <w:p>
      <w:pPr>
        <w:spacing w:after="0" w:line="132" w:lineRule="exact"/>
        <w:rPr>
          <w:rFonts w:ascii="Arial" w:cs="Arial" w:eastAsia="Arial" w:hAnsi="Arial"/>
          <w:sz w:val="18"/>
          <w:szCs w:val="18"/>
          <w:color w:val="auto"/>
        </w:rPr>
      </w:pPr>
    </w:p>
    <w:p>
      <w:pPr>
        <w:jc w:val="both"/>
        <w:ind w:left="660"/>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Upon completion of the Exchange Offers and Consent Solicitations, the VICI Issuers issued an aggregate principal amount of $4,110.0 million in Exchange Notes, each pursuant to a separate indenture dated as of April 29, 2022, among the VICI Issuers and the Trustee. Following the issuance of the Exchange Notes pursuant to the settlement of the Exchange Offers and Consent Solicitations, approximately $90.0 million aggregate principal amount of MGP OP Notes remain outstanding. See </w:t>
      </w:r>
      <w:hyperlink w:anchor="page35">
        <w:r>
          <w:rPr>
            <w:rFonts w:ascii="Arial" w:cs="Arial" w:eastAsia="Arial" w:hAnsi="Arial"/>
            <w:sz w:val="17"/>
            <w:szCs w:val="17"/>
            <w:u w:val="single" w:color="auto"/>
            <w:color w:val="0000FF"/>
          </w:rPr>
          <w:t>Note 7 - Debt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additional information.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660" w:hanging="328"/>
        <w:spacing w:after="0" w:line="269" w:lineRule="auto"/>
        <w:tabs>
          <w:tab w:leader="none" w:pos="655"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Mirage Lease. </w:t>
      </w:r>
      <w:r>
        <w:rPr>
          <w:rFonts w:ascii="Arial" w:cs="Arial" w:eastAsia="Arial" w:hAnsi="Arial"/>
          <w:sz w:val="17"/>
          <w:szCs w:val="17"/>
          <w:color w:val="auto"/>
        </w:rPr>
        <w:t>On December 13, 2021, in connection with MGM’s agreement to sell the operations of the Mirage Hotel &amp; Casino (the “Mirage”),</w:t>
      </w:r>
      <w:r>
        <w:rPr>
          <w:rFonts w:ascii="Arial" w:cs="Arial" w:eastAsia="Arial" w:hAnsi="Arial"/>
          <w:sz w:val="17"/>
          <w:szCs w:val="17"/>
          <w:i w:val="1"/>
          <w:iCs w:val="1"/>
          <w:color w:val="auto"/>
        </w:rPr>
        <w:t xml:space="preserve"> </w:t>
      </w:r>
      <w:r>
        <w:rPr>
          <w:rFonts w:ascii="Arial" w:cs="Arial" w:eastAsia="Arial" w:hAnsi="Arial"/>
          <w:sz w:val="17"/>
          <w:szCs w:val="17"/>
          <w:color w:val="auto"/>
        </w:rPr>
        <w:t>located in Las Vegas, NV, to Hard Rock, we agreed to enter into a new separate lease with Hard Rock related to the land and real estate assets of the Mirage (the “Mirage Lease”), and enter into an amendment to the MGM Master Lease relating to the sale of the Mirage. The Mirage Lease will have initial annual base rent of $90.0 million with other economic terms substantially similar to the MGM Master Lease, including a base term of 25 years with three 10-year tenant renewal options, escalation of 2.0% per annum (with escalation of the greater of 2.0% and CPI, capped at 3.0%, beginning in lease year 11) and minimum capital expenditure requirements of 1.0% of annual net revenue. Upon the closing of the sale of the Mirage, the MGM Master Lease will be amended to account for MGM’s divestiture of the Mirage operations and will result in a reduction of the annual base rent under the MGM Master Lease by $90.0 million. We expect these transactions to be completed in the fourth quarter of 2022, and they remain subject to customary closing conditions and regulatory approvals. Additionally, subject to certain conditions, we may fund up to $1.5 billion of Hard Rock’s redevelopment plan for the Mirage through our Partner Property Growth Fund if Hard Rock elects to seek third-party financing for such redevelopment. Specific terms of the redevelopment and related funding remain under discussion and subject to final documentation.</w:t>
      </w:r>
    </w:p>
    <w:p>
      <w:pPr>
        <w:spacing w:after="0" w:line="124" w:lineRule="exact"/>
        <w:rPr>
          <w:rFonts w:ascii="Arial" w:cs="Arial" w:eastAsia="Arial" w:hAnsi="Arial"/>
          <w:sz w:val="17"/>
          <w:szCs w:val="17"/>
          <w:i w:val="1"/>
          <w:iCs w:val="1"/>
          <w:color w:val="auto"/>
        </w:rPr>
      </w:pPr>
    </w:p>
    <w:p>
      <w:pPr>
        <w:jc w:val="both"/>
        <w:ind w:left="660" w:hanging="328"/>
        <w:spacing w:after="0" w:line="270" w:lineRule="auto"/>
        <w:tabs>
          <w:tab w:leader="none" w:pos="655"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Gold Strike Lease. </w:t>
      </w:r>
      <w:r>
        <w:rPr>
          <w:rFonts w:ascii="Arial" w:cs="Arial" w:eastAsia="Arial" w:hAnsi="Arial"/>
          <w:sz w:val="17"/>
          <w:szCs w:val="17"/>
          <w:color w:val="auto"/>
        </w:rPr>
        <w:t>On June 9, 2022, in connection with MGM’s agreement to sell the operations of Gold Strike Casino Resort (“Gold Strike”),</w:t>
      </w:r>
      <w:r>
        <w:rPr>
          <w:rFonts w:ascii="Arial" w:cs="Arial" w:eastAsia="Arial" w:hAnsi="Arial"/>
          <w:sz w:val="17"/>
          <w:szCs w:val="17"/>
          <w:i w:val="1"/>
          <w:iCs w:val="1"/>
          <w:color w:val="auto"/>
        </w:rPr>
        <w:t xml:space="preserve"> </w:t>
      </w:r>
      <w:r>
        <w:rPr>
          <w:rFonts w:ascii="Arial" w:cs="Arial" w:eastAsia="Arial" w:hAnsi="Arial"/>
          <w:sz w:val="17"/>
          <w:szCs w:val="17"/>
          <w:color w:val="auto"/>
        </w:rPr>
        <w:t>located in Tunica, MS, we agreed to enter into a new separate lease with CNB related to the land and real estate assets of Gold Strike (the “Gold Strike Lease”), and enter into an amendment to the MGM Master Lease relating to the sale of Gold Strike. The Gold Strike Lease will have initial annual base rent of $40.0 million with other economic terms substantially similar to the MGM Master Lease, including a base term of 25 years with three 10-year tenant renewal options, escalation of 2.0% per annum (with escalation of the greater of 2.0% and CPI, capped at 3.0%, beginning in lease year 11) and minimum capital expenditure requirements of 1.0% of annual net revenue. Upon the closing of the sale of Gold Strike, the MGM Master Lease will be amended to account for MGM’s divestiture of the Gold Strike operations and will result in a reduction of the annual base rent under the MGM Master Lease by $40.0 million. We expect these transactions to be completed in the first half of 2023, and they remain subject to customary closing conditions and regulatory approvals.</w:t>
      </w:r>
    </w:p>
    <w:p>
      <w:pPr>
        <w:spacing w:after="0" w:line="12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assessed the MGP Transactions in accordance with ASC 805—“Business Combinations” (“ASC 805”), and determined that the acquisition of MGP did not meet the definition of a business as substantially all the assets were concentrated in a group of similarly identifiable acquired assets, and did not include a substantive process in the form of an acquired workforce. Accordingly, the MGP Transactions were accounted for as an asset acquisition under ASC 805-50 and we determined the consideration transferred under the MGP Transactions was $11.6 billion, comprised of the following: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Pr>
          <w:p>
            <w:pPr>
              <w:spacing w:after="0"/>
              <w:rPr>
                <w:sz w:val="16"/>
                <w:szCs w:val="16"/>
                <w:color w:val="auto"/>
              </w:rPr>
            </w:pPr>
          </w:p>
        </w:tc>
        <w:tc>
          <w:tcPr>
            <w:tcW w:w="1580" w:type="dxa"/>
            <w:vAlign w:val="bottom"/>
          </w:tcPr>
          <w:p>
            <w:pPr>
              <w:jc w:val="right"/>
              <w:ind w:right="631"/>
              <w:spacing w:after="0"/>
              <w:rPr>
                <w:sz w:val="20"/>
                <w:szCs w:val="20"/>
                <w:color w:val="auto"/>
              </w:rPr>
            </w:pPr>
            <w:r>
              <w:rPr>
                <w:rFonts w:ascii="Arial" w:cs="Arial" w:eastAsia="Arial" w:hAnsi="Arial"/>
                <w:sz w:val="16"/>
                <w:szCs w:val="16"/>
                <w:b w:val="1"/>
                <w:bCs w:val="1"/>
                <w:color w:val="auto"/>
              </w:rPr>
              <w:t>Amount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REIT Merger Consideration </w:t>
            </w:r>
            <w:r>
              <w:rPr>
                <w:rFonts w:ascii="Arial" w:cs="Arial" w:eastAsia="Arial" w:hAnsi="Arial"/>
                <w:sz w:val="23"/>
                <w:szCs w:val="23"/>
                <w:i w:val="1"/>
                <w:iCs w:val="1"/>
                <w:color w:val="auto"/>
                <w:vertAlign w:val="superscript"/>
              </w:rPr>
              <w:t>(1)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6,568,480</w:t>
            </w:r>
          </w:p>
        </w:tc>
      </w:tr>
      <w:tr>
        <w:trPr>
          <w:trHeight w:val="229"/>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Redemption payment to MGM</w:t>
            </w: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4,404,000</w:t>
            </w:r>
          </w:p>
        </w:tc>
      </w:tr>
      <w:tr>
        <w:trPr>
          <w:trHeight w:val="230"/>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VICI OP Units retained by MGM </w:t>
            </w:r>
            <w:r>
              <w:rPr>
                <w:rFonts w:ascii="Arial" w:cs="Arial" w:eastAsia="Arial" w:hAnsi="Arial"/>
                <w:sz w:val="23"/>
                <w:szCs w:val="23"/>
                <w:i w:val="1"/>
                <w:iCs w:val="1"/>
                <w:color w:val="auto"/>
                <w:vertAlign w:val="superscript"/>
              </w:rPr>
              <w:t>(2)</w:t>
            </w: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374,769</w:t>
            </w:r>
          </w:p>
        </w:tc>
      </w:tr>
      <w:tr>
        <w:trPr>
          <w:trHeight w:val="230"/>
        </w:trPr>
        <w:tc>
          <w:tcPr>
            <w:tcW w:w="20" w:type="dxa"/>
            <w:vAlign w:val="bottom"/>
          </w:tcPr>
          <w:p>
            <w:pPr>
              <w:spacing w:after="0"/>
              <w:rPr>
                <w:sz w:val="19"/>
                <w:szCs w:val="19"/>
                <w:color w:val="auto"/>
              </w:rPr>
            </w:pPr>
          </w:p>
        </w:tc>
        <w:tc>
          <w:tcPr>
            <w:tcW w:w="92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Repayment of MGP revolving credit facility </w:t>
            </w:r>
            <w:r>
              <w:rPr>
                <w:rFonts w:ascii="Arial" w:cs="Arial" w:eastAsia="Arial" w:hAnsi="Arial"/>
                <w:sz w:val="23"/>
                <w:szCs w:val="23"/>
                <w:i w:val="1"/>
                <w:iCs w:val="1"/>
                <w:color w:val="auto"/>
                <w:vertAlign w:val="superscript"/>
              </w:rPr>
              <w:t>(3)</w:t>
            </w: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90,000</w:t>
            </w:r>
          </w:p>
        </w:tc>
      </w:tr>
      <w:tr>
        <w:trPr>
          <w:trHeight w:val="230"/>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Transactions costs </w:t>
            </w:r>
            <w:r>
              <w:rPr>
                <w:rFonts w:ascii="Arial" w:cs="Arial" w:eastAsia="Arial" w:hAnsi="Arial"/>
                <w:sz w:val="23"/>
                <w:szCs w:val="23"/>
                <w:i w:val="1"/>
                <w:iCs w:val="1"/>
                <w:color w:val="auto"/>
                <w:vertAlign w:val="superscript"/>
              </w:rPr>
              <w:t>(4)</w:t>
            </w:r>
          </w:p>
        </w:tc>
        <w:tc>
          <w:tcPr>
            <w:tcW w:w="4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119,741</w:t>
            </w:r>
          </w:p>
        </w:tc>
      </w:tr>
      <w:tr>
        <w:trPr>
          <w:trHeight w:val="223"/>
        </w:trPr>
        <w:tc>
          <w:tcPr>
            <w:tcW w:w="20" w:type="dxa"/>
            <w:vAlign w:val="bottom"/>
            <w:tcBorders>
              <w:bottom w:val="single" w:sz="8" w:color="CCEEFF"/>
            </w:tcBorders>
          </w:tcPr>
          <w:p>
            <w:pPr>
              <w:spacing w:after="0"/>
              <w:rPr>
                <w:sz w:val="19"/>
                <w:szCs w:val="19"/>
                <w:color w:val="auto"/>
              </w:rPr>
            </w:pPr>
          </w:p>
        </w:tc>
        <w:tc>
          <w:tcPr>
            <w:tcW w:w="9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consideration transferred</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11,556,990</w:t>
            </w:r>
          </w:p>
        </w:tc>
      </w:tr>
      <w:tr>
        <w:trPr>
          <w:trHeight w:val="223"/>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Assumption of MGP OP Notes and Exchange Notes, at principal value</w:t>
            </w: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4,200,000</w:t>
            </w:r>
          </w:p>
        </w:tc>
      </w:tr>
      <w:tr>
        <w:trPr>
          <w:trHeight w:val="230"/>
        </w:trPr>
        <w:tc>
          <w:tcPr>
            <w:tcW w:w="20" w:type="dxa"/>
            <w:vAlign w:val="bottom"/>
            <w:tcBorders>
              <w:bottom w:val="single" w:sz="8" w:color="CCEEFF"/>
            </w:tcBorders>
          </w:tcPr>
          <w:p>
            <w:pPr>
              <w:spacing w:after="0"/>
              <w:rPr>
                <w:sz w:val="19"/>
                <w:szCs w:val="19"/>
                <w:color w:val="auto"/>
              </w:rPr>
            </w:pPr>
          </w:p>
        </w:tc>
        <w:tc>
          <w:tcPr>
            <w:tcW w:w="9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Assumption of our proportionate share of the BREIT JV CMBS debt, at principal value</w:t>
            </w:r>
          </w:p>
        </w:tc>
        <w:tc>
          <w:tcPr>
            <w:tcW w:w="4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1,503,000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17,259,990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ind w:right="120" w:firstLine="8"/>
        <w:spacing w:after="0" w:line="260" w:lineRule="auto"/>
        <w:tabs>
          <w:tab w:leader="none" w:pos="204"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Amount represents the dollar value of 214,375,990 shares of VICI common stock, multiplied by the VICI stock price at the time of closing of $30.64 per share, which were issued in exchange for the MGP Common Shares outstanding immediately prior to the REIT Merger and certain of the MGP stock-based compensation awards, converted to shares of VICI common stock.</w:t>
      </w:r>
    </w:p>
    <w:p>
      <w:pPr>
        <w:ind w:left="220" w:hanging="212"/>
        <w:spacing w:after="0"/>
        <w:tabs>
          <w:tab w:leader="none" w:pos="2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Amount represents 12,231,373 VICI OP Units retained by MGM as non-controlling interest in VICI OP, multiplied by the VICI stock price at the time of closing of $30.64 per share.</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09"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total amount outstanding under MGP’s revolving credit facility as of April 29, 2022. In connection with the MGP Transactions such amount was repaid in full and the related credit agreement was terminated.</w:t>
      </w:r>
    </w:p>
    <w:p>
      <w:pPr>
        <w:ind w:firstLine="8"/>
        <w:spacing w:after="0" w:line="255" w:lineRule="auto"/>
        <w:tabs>
          <w:tab w:leader="none" w:pos="21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In accordance with ASC 805-50 all direct and incremental casts related to the MGP Transactions, primarily related to success-based fees and third-party advisory fees were included in the consideration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ASC 805-50, we allocated the purchase price by major categories of assets acquired and liabilities assumed using relative fair value. The following is a summary of the allocated relative fair values of the assets acquired and liabilities assumed in the MGP Transactions:</w:t>
      </w:r>
    </w:p>
    <w:p>
      <w:pPr>
        <w:sectPr>
          <w:pgSz w:w="11900" w:h="16838" w:orient="portrait"/>
          <w:cols w:equalWidth="0" w:num="1">
            <w:col w:w="11240"/>
          </w:cols>
          <w:pgMar w:left="320" w:top="287" w:right="339" w:bottom="1440" w:gutter="0" w:footer="0" w:header="0"/>
        </w:sectPr>
      </w:pPr>
    </w:p>
    <w:p>
      <w:pPr>
        <w:spacing w:after="0" w:line="7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Investments in leases - financing receivables </w:t>
      </w:r>
      <w:r>
        <w:rPr>
          <w:rFonts w:ascii="Arial" w:cs="Arial" w:eastAsia="Arial" w:hAnsi="Arial"/>
          <w:sz w:val="19"/>
          <w:szCs w:val="19"/>
          <w:i w:val="1"/>
          <w:iCs w:val="1"/>
          <w:color w:val="auto"/>
          <w:vertAlign w:val="superscript"/>
        </w:rPr>
        <w:t>(1) (2)</w:t>
      </w:r>
    </w:p>
    <w:p>
      <w:pPr>
        <w:ind w:left="20"/>
        <w:spacing w:after="0" w:line="227" w:lineRule="auto"/>
        <w:rPr>
          <w:sz w:val="20"/>
          <w:szCs w:val="20"/>
          <w:color w:val="auto"/>
        </w:rPr>
      </w:pPr>
      <w:r>
        <w:rPr>
          <w:rFonts w:ascii="Arial" w:cs="Arial" w:eastAsia="Arial" w:hAnsi="Arial"/>
          <w:sz w:val="18"/>
          <w:szCs w:val="18"/>
          <w:color w:val="auto"/>
        </w:rPr>
        <w:t xml:space="preserve">Investment in unconsolidated affiliate </w:t>
      </w:r>
      <w:r>
        <w:rPr>
          <w:rFonts w:ascii="Arial" w:cs="Arial" w:eastAsia="Arial" w:hAnsi="Arial"/>
          <w:sz w:val="23"/>
          <w:szCs w:val="23"/>
          <w:i w:val="1"/>
          <w:iCs w:val="1"/>
          <w:color w:val="auto"/>
          <w:vertAlign w:val="superscript"/>
        </w:rPr>
        <w:t>(2)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line="208" w:lineRule="auto"/>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3"/>
          <w:szCs w:val="23"/>
          <w:i w:val="1"/>
          <w:iCs w:val="1"/>
          <w:color w:val="auto"/>
          <w:vertAlign w:val="superscript"/>
        </w:rPr>
        <w:t>(4)</w:t>
      </w:r>
    </w:p>
    <w:p>
      <w:pPr>
        <w:ind w:left="20"/>
        <w:spacing w:after="0" w:line="208" w:lineRule="auto"/>
        <w:rPr>
          <w:sz w:val="20"/>
          <w:szCs w:val="20"/>
          <w:color w:val="auto"/>
        </w:rPr>
      </w:pPr>
      <w:r>
        <w:rPr>
          <w:rFonts w:ascii="Arial" w:cs="Arial" w:eastAsia="Arial" w:hAnsi="Arial"/>
          <w:sz w:val="18"/>
          <w:szCs w:val="18"/>
          <w:color w:val="auto"/>
        </w:rPr>
        <w:t xml:space="preserve">Other assets </w:t>
      </w:r>
      <w:r>
        <w:rPr>
          <w:rFonts w:ascii="Arial" w:cs="Arial" w:eastAsia="Arial" w:hAnsi="Arial"/>
          <w:sz w:val="23"/>
          <w:szCs w:val="23"/>
          <w:i w:val="1"/>
          <w:iCs w:val="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line="209" w:lineRule="auto"/>
        <w:rPr>
          <w:sz w:val="20"/>
          <w:szCs w:val="20"/>
          <w:color w:val="auto"/>
        </w:rPr>
      </w:pPr>
      <w:r>
        <w:rPr>
          <w:rFonts w:ascii="Arial" w:cs="Arial" w:eastAsia="Arial" w:hAnsi="Arial"/>
          <w:sz w:val="18"/>
          <w:szCs w:val="18"/>
          <w:color w:val="auto"/>
        </w:rPr>
        <w:t xml:space="preserve">Debt, net </w:t>
      </w:r>
      <w:r>
        <w:rPr>
          <w:rFonts w:ascii="Arial" w:cs="Arial" w:eastAsia="Arial" w:hAnsi="Arial"/>
          <w:sz w:val="23"/>
          <w:szCs w:val="23"/>
          <w:i w:val="1"/>
          <w:iCs w:val="1"/>
          <w:color w:val="auto"/>
          <w:vertAlign w:val="superscript"/>
        </w:rPr>
        <w:t>(5)</w:t>
      </w:r>
    </w:p>
    <w:p>
      <w:pPr>
        <w:ind w:left="20"/>
        <w:spacing w:after="0" w:line="208" w:lineRule="auto"/>
        <w:rPr>
          <w:sz w:val="20"/>
          <w:szCs w:val="20"/>
          <w:color w:val="auto"/>
        </w:rPr>
      </w:pPr>
      <w:r>
        <w:rPr>
          <w:rFonts w:ascii="Arial" w:cs="Arial" w:eastAsia="Arial" w:hAnsi="Arial"/>
          <w:sz w:val="18"/>
          <w:szCs w:val="18"/>
          <w:color w:val="auto"/>
        </w:rPr>
        <w:t xml:space="preserve">Accrued expenses and deferred revenue </w:t>
      </w:r>
      <w:r>
        <w:rPr>
          <w:rFonts w:ascii="Arial" w:cs="Arial" w:eastAsia="Arial" w:hAnsi="Arial"/>
          <w:sz w:val="23"/>
          <w:szCs w:val="23"/>
          <w:i w:val="1"/>
          <w:iCs w:val="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23"/>
          <w:szCs w:val="23"/>
          <w:i w:val="1"/>
          <w:iCs w:val="1"/>
          <w:color w:val="auto"/>
          <w:vertAlign w:val="superscript"/>
        </w:rPr>
        <w:t>(4)</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net assets acquired</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Amount</w:t>
      </w:r>
    </w:p>
    <w:p>
      <w:pPr>
        <w:spacing w:after="0" w:line="45" w:lineRule="exact"/>
        <w:rPr>
          <w:sz w:val="20"/>
          <w:szCs w:val="20"/>
          <w:color w:val="auto"/>
        </w:rPr>
      </w:pPr>
    </w:p>
    <w:p>
      <w:pPr>
        <w:ind w:left="1100" w:hanging="1100"/>
        <w:spacing w:after="0"/>
        <w:tabs>
          <w:tab w:leader="none" w:pos="1100" w:val="left"/>
        </w:tabs>
        <w:numPr>
          <w:ilvl w:val="0"/>
          <w:numId w:val="9"/>
        </w:numPr>
        <w:rPr>
          <w:rFonts w:ascii="Arial" w:cs="Arial" w:eastAsia="Arial" w:hAnsi="Arial"/>
          <w:sz w:val="17"/>
          <w:szCs w:val="17"/>
          <w:color w:val="auto"/>
        </w:rPr>
      </w:pPr>
      <w:r>
        <w:rPr>
          <w:rFonts w:ascii="Arial" w:cs="Arial" w:eastAsia="Arial" w:hAnsi="Arial"/>
          <w:sz w:val="17"/>
          <w:szCs w:val="17"/>
          <w:color w:val="auto"/>
        </w:rPr>
        <w:t>14,245,868</w:t>
      </w:r>
    </w:p>
    <w:p>
      <w:pPr>
        <w:spacing w:after="0" w:line="34" w:lineRule="exact"/>
        <w:rPr>
          <w:rFonts w:ascii="Arial" w:cs="Arial" w:eastAsia="Arial" w:hAnsi="Arial"/>
          <w:sz w:val="17"/>
          <w:szCs w:val="17"/>
          <w:color w:val="auto"/>
        </w:rPr>
      </w:pPr>
    </w:p>
    <w:p>
      <w:pPr>
        <w:ind w:left="1180"/>
        <w:spacing w:after="0"/>
        <w:rPr>
          <w:rFonts w:ascii="Arial" w:cs="Arial" w:eastAsia="Arial" w:hAnsi="Arial"/>
          <w:sz w:val="17"/>
          <w:szCs w:val="17"/>
          <w:color w:val="auto"/>
        </w:rPr>
      </w:pPr>
      <w:r>
        <w:rPr>
          <w:rFonts w:ascii="Arial" w:cs="Arial" w:eastAsia="Arial" w:hAnsi="Arial"/>
          <w:sz w:val="17"/>
          <w:szCs w:val="17"/>
          <w:color w:val="auto"/>
        </w:rPr>
        <w:t>1,465,814</w:t>
      </w:r>
    </w:p>
    <w:p>
      <w:pPr>
        <w:spacing w:after="0" w:line="34" w:lineRule="exact"/>
        <w:rPr>
          <w:rFonts w:ascii="Arial" w:cs="Arial" w:eastAsia="Arial" w:hAnsi="Arial"/>
          <w:sz w:val="17"/>
          <w:szCs w:val="17"/>
          <w:color w:val="auto"/>
        </w:rPr>
      </w:pPr>
    </w:p>
    <w:p>
      <w:pPr>
        <w:ind w:left="1420"/>
        <w:spacing w:after="0"/>
        <w:rPr>
          <w:rFonts w:ascii="Arial" w:cs="Arial" w:eastAsia="Arial" w:hAnsi="Arial"/>
          <w:sz w:val="17"/>
          <w:szCs w:val="17"/>
          <w:color w:val="auto"/>
        </w:rPr>
      </w:pPr>
      <w:r>
        <w:rPr>
          <w:rFonts w:ascii="Arial" w:cs="Arial" w:eastAsia="Arial" w:hAnsi="Arial"/>
          <w:sz w:val="17"/>
          <w:szCs w:val="17"/>
          <w:color w:val="auto"/>
        </w:rPr>
        <w:t>25,387</w:t>
      </w:r>
    </w:p>
    <w:p>
      <w:pPr>
        <w:spacing w:after="0" w:line="34" w:lineRule="exact"/>
        <w:rPr>
          <w:rFonts w:ascii="Arial" w:cs="Arial" w:eastAsia="Arial" w:hAnsi="Arial"/>
          <w:sz w:val="17"/>
          <w:szCs w:val="17"/>
          <w:color w:val="auto"/>
        </w:rPr>
      </w:pPr>
    </w:p>
    <w:p>
      <w:pPr>
        <w:ind w:left="1320"/>
        <w:spacing w:after="0"/>
        <w:rPr>
          <w:rFonts w:ascii="Arial" w:cs="Arial" w:eastAsia="Arial" w:hAnsi="Arial"/>
          <w:sz w:val="17"/>
          <w:szCs w:val="17"/>
          <w:color w:val="auto"/>
        </w:rPr>
      </w:pPr>
      <w:r>
        <w:rPr>
          <w:rFonts w:ascii="Arial" w:cs="Arial" w:eastAsia="Arial" w:hAnsi="Arial"/>
          <w:sz w:val="17"/>
          <w:szCs w:val="17"/>
          <w:color w:val="auto"/>
        </w:rPr>
        <w:t>338,212</w:t>
      </w:r>
    </w:p>
    <w:p>
      <w:pPr>
        <w:spacing w:after="0" w:line="3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(4,106,082)</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(79,482)</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(332,727)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2687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15" w:lineRule="exact"/>
        <w:rPr>
          <w:sz w:val="20"/>
          <w:szCs w:val="20"/>
          <w:color w:val="auto"/>
        </w:rPr>
      </w:pPr>
    </w:p>
    <w:p>
      <w:pPr>
        <w:ind w:left="1100" w:hanging="1100"/>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11,556,990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12687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6873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47625</wp:posOffset>
            </wp:positionV>
            <wp:extent cx="12687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2">
            <w:col w:w="8540" w:space="720"/>
            <w:col w:w="1980"/>
          </w:cols>
          <w:pgMar w:left="320" w:top="287"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jc w:val="both"/>
        <w:ind w:firstLine="8"/>
        <w:spacing w:after="0" w:line="241" w:lineRule="auto"/>
        <w:tabs>
          <w:tab w:leader="none" w:pos="206"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We valued the real estate portfolio at relative fair value using rent multiples taking into consideration a variety of factors, including (i) asset quality and location, (ii) property and lease-level operating performance and (iii) supply and demand dynamics of each property’s respective market. The multiples used ranged from 15.0x - 18.5x with a weighted average rent multiple of 16.7x, as determined using relative fair value.</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The fair value of these assets are based on significant “unobservable” market inputs and, as such, these fair value measurements are considered Level 3 of the fair value hierarchy.</w:t>
      </w:r>
    </w:p>
    <w:p>
      <w:pPr>
        <w:spacing w:after="0" w:line="12" w:lineRule="exact"/>
        <w:rPr>
          <w:rFonts w:ascii="Arial" w:cs="Arial" w:eastAsia="Arial" w:hAnsi="Arial"/>
          <w:sz w:val="13"/>
          <w:szCs w:val="13"/>
          <w:i w:val="1"/>
          <w:iCs w:val="1"/>
          <w:color w:val="auto"/>
        </w:rPr>
      </w:pPr>
    </w:p>
    <w:p>
      <w:pPr>
        <w:ind w:left="220" w:hanging="212"/>
        <w:spacing w:after="0"/>
        <w:tabs>
          <w:tab w:leader="none" w:pos="2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We value the Investment in unconsolidated affiliate at relative fair based on our percentage ownership of the net assets of the BREIT JV.</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6"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represents their current carrying value which is equal to fair value. The Other assets and Other liabilities amounts include the gross presentation of certain MGP ground leases which we assumed in connection with the MGP Transactions.</w:t>
      </w:r>
    </w:p>
    <w:p>
      <w:pPr>
        <w:ind w:right="20" w:firstLine="8"/>
        <w:spacing w:after="0" w:line="293" w:lineRule="auto"/>
        <w:tabs>
          <w:tab w:leader="none" w:pos="210"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Amount represents the fair value of debt as of April 29, 2022, which is net of an estimated $93.9 million discount to the notional value. The fair value of our debt instruments was estimated using quoted prices for identical or similar liabilities in markets that are not active and, as such, these fair value measurements are considered Level 2 of the fair value hierarchy.</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Concurrent with the closing of the MGP Transactions and entry into the MGM Master Lease, we assessed the lease classification of the MGM Master Lease and determined that it met the definition of a sales-type lease. Further, since MGM controlled and consolidated MGP prior to the MGP Transactions, the lease was assessed under the sale-leaseback guidance and determined to be a failed sale-leaseback under which the lease is accounted for as a financing receivable under ASC 310. Accordingly, the relative fair value of the MGP assets of $14.2 billion was recorded as an Investment in leases - financing receivable on our Balance Sheet, net of allowance for credit losses in the amount of $431.5 million.</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relation to the BREIT JV, we determined that such investment is accounted for as an equity method investment and, accordingly, have recorded the relative fair value as an Investment in unconsolidated affiliate on our Balance Sheet. The requirement to record our investment in the BREIT JV at relative fair value under ASC 805 results in a difference in our acquired basis from that of the underlying records, or historical cost basis, of the BREIT JV. Accordingly, we compared our proportionate share of the historical cost basis of the BREIT JV as of April 29, 2022 to our proportionate share of the relative fair value, the difference of which is amortized through Income from unconsolidated affiliate over the life of the related asset or liability. As of June 30, 2022, the carrying value of our investment exceeded the underlying historical cost basis of our Investment in unconsolidated affiliate resulting in a basis difference of $646.4 million.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Venetian Acquisition</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February 23, 2022, we closed on the previously announced transaction to acquire all of the land and real estate assets associated with the Venetian Resort from Las Vegas Sands Corp. (“LVS”) for $4.0 billion in cash, and the Venetian Tenant acquired the operating assets of the Venetian Resort for $2.25 billion, of which $1.2 billion is in the form of a secured term loan from LVS and the remainder was paid in cash. We funded the Venetian Acquisition with (i) $3.2 billion in net proceeds from the physical settlement of the March 2021 Forward Sale Agreements and the September 2021 Forward Sale Agreements, (ii) an initial draw on the Revolving Credit Facility of $600.0 million (which was subsequently repaid in full using the proceeds from the April 2022 Notes offering), and (iii) cash on hand. Simultaneous with the closing of the Venetian Acquisition, we entered into the Venetian Lease with the Venetian Tenant. The Venetian Lease has an initial total annual rent of $250.0 million and an initial term of 30 years, with two 10-year tenant renewal options. The annual rent will be subject to escalation equal to the greater of 2.0% and the increase in the CPI, capped at 3.0%, beginning in the earlier of (i) the beginning of the third lease year, and (ii) the month following the month in which the net revenue generated by the Venetian Resort returns to its 2019 level (the year immediately prior to the onset of the COVID-19 pandemic) on a trailing twelve-month basis. We determined that the land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building components of the Venetian Lease meet the definition of a sales-type lease and accordingly are recorded as an Investments in leases - sales-type on our Balance Sheet, net of allowance for credit losses in the amount of $65.6 million.</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Venetian Acquisition, we entered into a Partner Property Growth Fund Agreement (“Venetian PGF”) with the Venetian Tenant. Under the Venetian PGF, we agreed to provide up to $1.0 billion for various development and construction projects affecting the Venetian Resort to be identified by the Venetian Tenant and that satisfy certain criteria more particularly set forth in the Venetian PGF, in consideration of additional incremental rent to be paid by the Venetian Tenant under the Venetian Lease and calculated in accordance with a formula set forth in the Venetian PGF. Upon execution of the Venetian PGF, we were required to estimate a CECL allowance related to the contractual commitments to extend credit, which is based on our best estimates of funding such commitments. Accordingly, during the three months ended March 31, 2022, we recorded an initial CECL allowance in Other liabilities in the amount of $8.3 million related to the estimate of our unfunded commitment under the Venetian PGF.</w:t>
      </w:r>
    </w:p>
    <w:p>
      <w:pPr>
        <w:spacing w:after="0" w:line="1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LVS agreed with the Venetian Tenant pursuant to an agreement (the “Contingent Lease Support Agreement”) entered into simultaneously with the closing of the Venetian Acquisition to provide lease payment support designed to guarantee the Venetian Tenant’s rent obligations under the Venetian Lease through 2023, subject to early termination if EBITDAR (as defined in such agreement) generated by the Venetian Resort in 2022 equals or exceeds $550.0 million, or a tenant change of control occurs. We are a third-party beneficiary of the Contingent Lease Support Agreement and have certain enforcement rights pursuant thereto. The Contingent Lease Support Agreement is limited to coverage of the Venetian Tenant’s rent obligations and does not cover any environmental expenses, litigation claims, or any cure or enforcement costs. The obligations of the Venetian Tenant under the Venetian Lease are not guaranteed by Apollo or any of its affiliates. After the termination of the Contingent Lease Support Agreement, the Venetian Tenant will be required to provide a letter of credit to secure seven and one-half months of the rent, real estate taxes and assessments and insurance obligations of the Venetian Tenant if the operating results from the Venetian Resort do not exceed certain thresholds.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Loan Originations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Great Wolf South Florida Loan</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July 1, 2022, we entered into a loan with Great Wolf Resorts Inc. (“Great Wolf”), under which we agreed to provide up to $59.0 million of mezzanine financing (the “Great Wolf South Florida Loan”), the proceeds of which will be used to fund the development of Great Wolf Lodge South Florida, a more than $250.0 million, 500-room indoor water park resort project in Collier County, FL. The Great Wolf South Florida Loan has an initial term of 4 years with one 12-month extension option, subject to certain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Cabot Citrus Farms Loan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6, 2022, we entered into a $120.0 million delayed draw term loan (the “Cabot Citrus Farms Loan”) with Cabot, a developer, owner and operator of world-class destination golf resorts and communities, the proceeds of which will be used to fund Cabot’s property-wide transformation of Cabot Citrus Farms in Brooksville, Florida, with the addition of a new clubhouse, luxury lodging, health and wellness facilities and a vibrant village center. We also entered into a Purchase and Sale Agreement, pursuant to which we will convert a portion of the Cabot Citrus Farms Loan into the ownership of certain Cabot Citrus Farms real estate assets and simultaneously enter into a triple-net lease with Cabot that has an initial term of 25 years, with five 5-year tenant renewal options.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BigShots Loan</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7, 2022, we entered into a loan with BigShots Golf (“BigShots Golf”), a subsidiary of ClubCorp Holdings, Inc. (“ClubCorp”), an Apollo fund portfolio company, to provide up to $80.0 million of mortgage financing (the “BigShots Loan”) for the construction of certain new BigShots Golf facilities throughout the United States. In addition, we entered into a right of first offer and call right agreement, pursuant to which (i) we have a call right to acquire the real estate assets associated with any BigShots Golf facility financed by us, which transaction will be structured as a sale leaseback, and (ii) for so long as the BigShots Loan remains outstanding and we continue to hold a majority interest therein, subject to additional terms and conditions, we will have a right of first offer on any multi-site mortgage, mezzanine, preferred equity, or other similar financing that is treated as debt to be obtained by BigShots Golf (or any of its affiliates) in connection with the development of BigShots Golf facilities.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Real Estate Portfolio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our real estate portfolio consisted of the following:</w:t>
      </w:r>
    </w:p>
    <w:p>
      <w:pPr>
        <w:spacing w:after="0" w:line="171" w:lineRule="exact"/>
        <w:rPr>
          <w:sz w:val="20"/>
          <w:szCs w:val="20"/>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 leases - sales-type, representing our investment in 23 casino assets leased on a triple-net basis to our tenants, Apollo, Caesars, Century Casinos, EBCI, Hard Rock and Penn National, under nine separate lease agreements;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 leases - financing receivables, representing our investment in eighteen casino assets leased on a triple-net basis to our tenants, MGM, Caesars and JACK Entertainment, under three separate lease agreements;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 loans, representing our investment in the Chelsea Piers Mortgage Loan, Forum Convention Center Mortgage Loan, Great Wolf Maryland Loan, BigShots Loan and Cabot Citrus Farms Loan;</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 in unconsolidated affiliate, representing our 50.1% ownership in the BREIT JV, which in turn owns two assets leased to MGM under one master lease agreement;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Land, representing our investment in certain underdeveloped or undeveloped land adjacent to the Las Vegas strip and non-operating, vacant land parcels.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balances of our real estate portfolio as of June 30, 2022 and December 31,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6"/>
                <w:szCs w:val="16"/>
                <w:color w:val="auto"/>
              </w:rPr>
            </w:pPr>
          </w:p>
        </w:tc>
        <w:tc>
          <w:tcPr>
            <w:tcW w:w="180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2022</w:t>
            </w:r>
          </w:p>
        </w:tc>
        <w:tc>
          <w:tcPr>
            <w:tcW w:w="220" w:type="dxa"/>
            <w:vAlign w:val="bottom"/>
          </w:tcPr>
          <w:p>
            <w:pPr>
              <w:spacing w:after="0"/>
              <w:rPr>
                <w:sz w:val="16"/>
                <w:szCs w:val="16"/>
                <w:color w:val="auto"/>
              </w:rPr>
            </w:pPr>
          </w:p>
        </w:tc>
        <w:tc>
          <w:tcPr>
            <w:tcW w:w="1800" w:type="dxa"/>
            <w:vAlign w:val="bottom"/>
          </w:tcPr>
          <w:p>
            <w:pPr>
              <w:jc w:val="right"/>
              <w:ind w:right="271"/>
              <w:spacing w:after="0"/>
              <w:rPr>
                <w:sz w:val="20"/>
                <w:szCs w:val="20"/>
                <w:color w:val="auto"/>
              </w:rPr>
            </w:pPr>
            <w:r>
              <w:rPr>
                <w:rFonts w:ascii="Arial" w:cs="Arial" w:eastAsia="Arial" w:hAnsi="Arial"/>
                <w:sz w:val="16"/>
                <w:szCs w:val="16"/>
                <w:b w:val="1"/>
                <w:bCs w:val="1"/>
                <w:color w:val="auto"/>
                <w:w w:val="98"/>
              </w:rPr>
              <w:t>December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Investments in leases - sales-type, net </w:t>
            </w:r>
            <w:r>
              <w:rPr>
                <w:rFonts w:ascii="Arial" w:cs="Arial" w:eastAsia="Arial" w:hAnsi="Arial"/>
                <w:sz w:val="23"/>
                <w:szCs w:val="23"/>
                <w:i w:val="1"/>
                <w:iCs w:val="1"/>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17,075,857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13,136,664</w:t>
            </w:r>
          </w:p>
        </w:tc>
      </w:tr>
      <w:tr>
        <w:trPr>
          <w:trHeight w:val="230"/>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Investments in leases - financing receivables, net </w:t>
            </w:r>
            <w:r>
              <w:rPr>
                <w:rFonts w:ascii="Arial" w:cs="Arial" w:eastAsia="Arial" w:hAnsi="Arial"/>
                <w:sz w:val="23"/>
                <w:szCs w:val="23"/>
                <w:i w:val="1"/>
                <w:iCs w:val="1"/>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16,486,522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2,644,824</w:t>
            </w: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investments in leases, net</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33,562,379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15,781,488</w:t>
            </w:r>
          </w:p>
        </w:tc>
      </w:tr>
      <w:tr>
        <w:trPr>
          <w:trHeight w:val="230"/>
        </w:trPr>
        <w:tc>
          <w:tcPr>
            <w:tcW w:w="2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Investments in loans, net</w:t>
            </w: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545,162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498,002</w:t>
            </w: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unconsolidated affiliate</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Land</w:t>
            </w: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153,576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real estate portfolio</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35,725,883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16,433,066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jc w:val="both"/>
        <w:ind w:firstLine="8"/>
        <w:spacing w:after="0" w:line="248" w:lineRule="auto"/>
        <w:tabs>
          <w:tab w:leader="none" w:pos="213"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At lease inception (or upon modification), we determine the estimated residual values of the leased property (not guaranteed) under the respective Lease Agreements, which has a material impact on the determination of the rate implicit in the lease and the lease classification. As of June 30, 2022 and December 31, 2021, the estimated residual values of the leased properties under our Lease Agreements were $11.4 billion and $3.8 billion, respectively.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sales-type leases and lease financing receivables: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60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Six Months Ended June 30,</w:t>
            </w:r>
          </w:p>
        </w:tc>
      </w:tr>
      <w:tr>
        <w:trPr>
          <w:trHeight w:val="172"/>
        </w:trPr>
        <w:tc>
          <w:tcPr>
            <w:tcW w:w="20" w:type="dxa"/>
            <w:vAlign w:val="bottom"/>
          </w:tcPr>
          <w:p>
            <w:pPr>
              <w:spacing w:after="0"/>
              <w:rPr>
                <w:sz w:val="14"/>
                <w:szCs w:val="14"/>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52"/>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51"/>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2"/>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1"/>
              <w:spacing w:after="0" w:line="172"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Income from sales-type leases, excluding contingent rent </w:t>
            </w:r>
            <w:r>
              <w:rPr>
                <w:rFonts w:ascii="Arial" w:cs="Arial" w:eastAsia="Arial" w:hAnsi="Arial"/>
                <w:sz w:val="23"/>
                <w:szCs w:val="23"/>
                <w:i w:val="1"/>
                <w:iCs w:val="1"/>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692,921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579,711</w:t>
            </w:r>
          </w:p>
        </w:tc>
      </w:tr>
      <w:tr>
        <w:trPr>
          <w:trHeight w:val="229"/>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Income from lease financing receivables </w:t>
            </w:r>
            <w:r>
              <w:rPr>
                <w:rFonts w:ascii="Arial" w:cs="Arial" w:eastAsia="Arial" w:hAnsi="Arial"/>
                <w:sz w:val="23"/>
                <w:szCs w:val="23"/>
                <w:i w:val="1"/>
                <w:iCs w:val="1"/>
                <w:color w:val="auto"/>
                <w:vertAlign w:val="superscript"/>
              </w:rPr>
              <w:t>(1) (2)</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119,961</w:t>
            </w: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lease revenue, excluding contingent rent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1,007,285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699,672</w:t>
            </w:r>
          </w:p>
        </w:tc>
      </w:tr>
      <w:tr>
        <w:trPr>
          <w:trHeight w:val="229"/>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Contingent rent </w:t>
            </w:r>
            <w:r>
              <w:rPr>
                <w:rFonts w:ascii="Arial" w:cs="Arial" w:eastAsia="Arial" w:hAnsi="Arial"/>
                <w:sz w:val="23"/>
                <w:szCs w:val="23"/>
                <w:i w:val="1"/>
                <w:iCs w:val="1"/>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w:t>
            </w: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lease revenue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701,239</w:t>
            </w:r>
          </w:p>
        </w:tc>
      </w:tr>
      <w:tr>
        <w:trPr>
          <w:trHeight w:val="229"/>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Non-cash adjustment </w:t>
            </w:r>
            <w:r>
              <w:rPr>
                <w:rFonts w:ascii="Arial" w:cs="Arial" w:eastAsia="Arial" w:hAnsi="Arial"/>
                <w:sz w:val="23"/>
                <w:szCs w:val="23"/>
                <w:i w:val="1"/>
                <w:iCs w:val="1"/>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(57,275)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contractual lease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894,307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643,964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jc w:val="both"/>
        <w:ind w:firstLine="8"/>
        <w:spacing w:after="0" w:line="241" w:lineRule="auto"/>
        <w:tabs>
          <w:tab w:leader="none" w:pos="211"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At lease inception (or upon modification), we determine the minimum lease payments under ASC 842,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 As of June 30, 2022, we have recognized contingent rent from our Margaritaville Lease, Greektown Lease, and Caesars Las Vegas Master Lease in relation to the variable rent portion of the respective leases. Refer to the Lease Provisions section below for information regarding contingent rent on each lease.</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12"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MGM Master Lease, Harrah’s Original Call Properties and the JACK Cleveland/Thistledown Lease, all of which were sale leaseback transactions. In accordance with ASC 842, since the lease agreements were determined to meet the definition of a sales-type lease and control of the asset is not considered to have been transferred to us, such lease agreements are accounted for as financings under ASC 310.</w:t>
      </w:r>
    </w:p>
    <w:p>
      <w:pPr>
        <w:spacing w:after="0" w:line="1" w:lineRule="exact"/>
        <w:rPr>
          <w:rFonts w:ascii="Arial" w:cs="Arial" w:eastAsia="Arial" w:hAnsi="Arial"/>
          <w:sz w:val="14"/>
          <w:szCs w:val="14"/>
          <w:i w:val="1"/>
          <w:iCs w:val="1"/>
          <w:color w:val="auto"/>
        </w:rPr>
      </w:pPr>
    </w:p>
    <w:p>
      <w:pPr>
        <w:ind w:firstLine="8"/>
        <w:spacing w:after="0" w:line="255" w:lineRule="auto"/>
        <w:tabs>
          <w:tab w:leader="none" w:pos="204"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the minimum lease payments from sales-type leases and lease financing receivables in order to recognize income on an effective interest basis at a constant rate of return over the term of the leases.</w:t>
      </w:r>
    </w:p>
    <w:p>
      <w:pPr>
        <w:spacing w:after="0" w:line="1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June 30, 2022, minimum lease payments owed to us for each of the five succeeding years under sales-type leases and our leases accounted for as financing receivables,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9"/>
              </w:rPr>
              <w:t xml:space="preserve">Minimum Lease Payments </w:t>
            </w:r>
            <w:r>
              <w:rPr>
                <w:rFonts w:ascii="Arial" w:cs="Arial" w:eastAsia="Arial" w:hAnsi="Arial"/>
                <w:sz w:val="21"/>
                <w:szCs w:val="21"/>
                <w:b w:val="1"/>
                <w:bCs w:val="1"/>
                <w:i w:val="1"/>
                <w:iCs w:val="1"/>
                <w:color w:val="auto"/>
                <w:w w:val="89"/>
                <w:vertAlign w:val="superscript"/>
              </w:rPr>
              <w:t>(1) (2)</w:t>
            </w:r>
          </w:p>
        </w:tc>
        <w:tc>
          <w:tcPr>
            <w:tcW w:w="6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r>
        <w:trPr>
          <w:trHeight w:val="20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gridSpan w:val="4"/>
          </w:tcPr>
          <w:p>
            <w:pPr>
              <w:jc w:val="right"/>
              <w:ind w:right="1692"/>
              <w:spacing w:after="0"/>
              <w:rPr>
                <w:sz w:val="20"/>
                <w:szCs w:val="20"/>
                <w:color w:val="auto"/>
              </w:rPr>
            </w:pPr>
            <w:r>
              <w:rPr>
                <w:rFonts w:ascii="Arial" w:cs="Arial" w:eastAsia="Arial" w:hAnsi="Arial"/>
                <w:sz w:val="16"/>
                <w:szCs w:val="16"/>
                <w:b w:val="1"/>
                <w:bCs w:val="1"/>
                <w:color w:val="auto"/>
              </w:rPr>
              <w:t>Investments in Leases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00" w:type="dxa"/>
            <w:vAlign w:val="bottom"/>
          </w:tcPr>
          <w:p>
            <w:pPr>
              <w:spacing w:after="0"/>
              <w:rPr>
                <w:sz w:val="18"/>
                <w:szCs w:val="18"/>
                <w:color w:val="auto"/>
              </w:rPr>
            </w:pPr>
          </w:p>
        </w:tc>
        <w:tc>
          <w:tcPr>
            <w:tcW w:w="2100" w:type="dxa"/>
            <w:vAlign w:val="bottom"/>
            <w:gridSpan w:val="2"/>
          </w:tcPr>
          <w:p>
            <w:pPr>
              <w:ind w:left="380"/>
              <w:spacing w:after="0"/>
              <w:rPr>
                <w:sz w:val="20"/>
                <w:szCs w:val="20"/>
                <w:color w:val="auto"/>
              </w:rPr>
            </w:pPr>
            <w:r>
              <w:rPr>
                <w:rFonts w:ascii="Arial" w:cs="Arial" w:eastAsia="Arial" w:hAnsi="Arial"/>
                <w:sz w:val="16"/>
                <w:szCs w:val="16"/>
                <w:b w:val="1"/>
                <w:bCs w:val="1"/>
                <w:color w:val="auto"/>
              </w:rPr>
              <w:t>Sales-Type</w:t>
            </w:r>
          </w:p>
        </w:tc>
        <w:tc>
          <w:tcPr>
            <w:tcW w:w="120" w:type="dxa"/>
            <w:vAlign w:val="bottom"/>
          </w:tcPr>
          <w:p>
            <w:pPr>
              <w:spacing w:after="0"/>
              <w:rPr>
                <w:sz w:val="18"/>
                <w:szCs w:val="18"/>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Financing Receivables</w:t>
            </w:r>
          </w:p>
        </w:tc>
        <w:tc>
          <w:tcPr>
            <w:tcW w:w="600" w:type="dxa"/>
            <w:vAlign w:val="bottom"/>
          </w:tcPr>
          <w:p>
            <w:pPr>
              <w:spacing w:after="0"/>
              <w:rPr>
                <w:sz w:val="18"/>
                <w:szCs w:val="18"/>
                <w:color w:val="auto"/>
              </w:rPr>
            </w:pPr>
          </w:p>
        </w:tc>
        <w:tc>
          <w:tcPr>
            <w:tcW w:w="1900" w:type="dxa"/>
            <w:vAlign w:val="bottom"/>
          </w:tcPr>
          <w:p>
            <w:pPr>
              <w:jc w:val="right"/>
              <w:ind w:right="991"/>
              <w:spacing w:after="0"/>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544,358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1,208,720</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2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1,344,189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1,103,787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2,447,976</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1,366,127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1,125,348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2,491,475</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2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1,385,348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1,146,509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2,531,857</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1,405,006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1,168,089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2,573,095</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2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1,425,272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1,190,145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2,615,417</w:t>
            </w: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56,603,911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86,652,035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143,255,946</w:t>
            </w:r>
          </w:p>
        </w:tc>
      </w:tr>
      <w:tr>
        <w:trPr>
          <w:trHeight w:val="223"/>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64,194,215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92,930,271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157,124,486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79"/>
        </w:trPr>
        <w:tc>
          <w:tcPr>
            <w:tcW w:w="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Weighted Average Lease Term </w:t>
            </w:r>
            <w:r>
              <w:rPr>
                <w:rFonts w:ascii="Arial" w:cs="Arial" w:eastAsia="Arial" w:hAnsi="Arial"/>
                <w:sz w:val="21"/>
                <w:szCs w:val="21"/>
                <w:b w:val="1"/>
                <w:bCs w:val="1"/>
                <w:i w:val="1"/>
                <w:iCs w:val="1"/>
                <w:color w:val="auto"/>
                <w:vertAlign w:val="superscript"/>
              </w:rPr>
              <w:t>(2)</w:t>
            </w:r>
          </w:p>
        </w:tc>
        <w:tc>
          <w:tcPr>
            <w:tcW w:w="500" w:type="dxa"/>
            <w:vAlign w:val="bottom"/>
          </w:tcPr>
          <w:p>
            <w:pPr>
              <w:spacing w:after="0"/>
              <w:rPr>
                <w:sz w:val="24"/>
                <w:szCs w:val="24"/>
                <w:color w:val="auto"/>
              </w:rPr>
            </w:pPr>
          </w:p>
        </w:tc>
        <w:tc>
          <w:tcPr>
            <w:tcW w:w="2100" w:type="dxa"/>
            <w:vAlign w:val="bottom"/>
            <w:gridSpan w:val="2"/>
          </w:tcPr>
          <w:p>
            <w:pPr>
              <w:ind w:left="1140"/>
              <w:spacing w:after="0"/>
              <w:rPr>
                <w:sz w:val="20"/>
                <w:szCs w:val="20"/>
                <w:color w:val="auto"/>
              </w:rPr>
            </w:pPr>
            <w:r>
              <w:rPr>
                <w:rFonts w:ascii="Arial" w:cs="Arial" w:eastAsia="Arial" w:hAnsi="Arial"/>
                <w:sz w:val="18"/>
                <w:szCs w:val="18"/>
                <w:color w:val="auto"/>
              </w:rPr>
              <w:t>36.8 years</w:t>
            </w:r>
          </w:p>
        </w:tc>
        <w:tc>
          <w:tcPr>
            <w:tcW w:w="120" w:type="dxa"/>
            <w:vAlign w:val="bottom"/>
          </w:tcPr>
          <w:p>
            <w:pPr>
              <w:spacing w:after="0"/>
              <w:rPr>
                <w:sz w:val="24"/>
                <w:szCs w:val="24"/>
                <w:color w:val="auto"/>
              </w:rPr>
            </w:pPr>
          </w:p>
        </w:tc>
        <w:tc>
          <w:tcPr>
            <w:tcW w:w="2460" w:type="dxa"/>
            <w:vAlign w:val="bottom"/>
            <w:gridSpan w:val="2"/>
          </w:tcPr>
          <w:p>
            <w:pPr>
              <w:ind w:left="1500"/>
              <w:spacing w:after="0"/>
              <w:rPr>
                <w:sz w:val="20"/>
                <w:szCs w:val="20"/>
                <w:color w:val="auto"/>
              </w:rPr>
            </w:pPr>
            <w:r>
              <w:rPr>
                <w:rFonts w:ascii="Arial" w:cs="Arial" w:eastAsia="Arial" w:hAnsi="Arial"/>
                <w:sz w:val="18"/>
                <w:szCs w:val="18"/>
                <w:color w:val="auto"/>
              </w:rPr>
              <w:t>51.3 years</w:t>
            </w:r>
          </w:p>
        </w:tc>
        <w:tc>
          <w:tcPr>
            <w:tcW w:w="6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43.9 years</w:t>
            </w:r>
          </w:p>
        </w:tc>
      </w:tr>
      <w:tr>
        <w:trPr>
          <w:trHeight w:val="187"/>
        </w:trPr>
        <w:tc>
          <w:tcPr>
            <w:tcW w:w="3560" w:type="dxa"/>
            <w:vAlign w:val="bottom"/>
            <w:gridSpan w:val="3"/>
          </w:tcPr>
          <w:p>
            <w:pPr>
              <w:spacing w:after="0"/>
              <w:rPr>
                <w:sz w:val="20"/>
                <w:szCs w:val="20"/>
                <w:color w:val="auto"/>
              </w:rPr>
            </w:pPr>
            <w:r>
              <w:rPr>
                <w:rFonts w:ascii="Arial" w:cs="Arial" w:eastAsia="Arial" w:hAnsi="Arial"/>
                <w:sz w:val="14"/>
                <w:szCs w:val="14"/>
                <w:color w:val="auto"/>
              </w:rPr>
              <w:t>____________________</w:t>
            </w:r>
          </w:p>
        </w:tc>
        <w:tc>
          <w:tcPr>
            <w:tcW w:w="5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00" w:type="dxa"/>
            <w:vAlign w:val="bottom"/>
          </w:tcPr>
          <w:p>
            <w:pPr>
              <w:spacing w:after="0"/>
              <w:rPr>
                <w:sz w:val="16"/>
                <w:szCs w:val="16"/>
                <w:color w:val="auto"/>
              </w:rPr>
            </w:pPr>
          </w:p>
        </w:tc>
      </w:tr>
    </w:tbl>
    <w:p>
      <w:pPr>
        <w:ind w:left="220" w:hanging="212"/>
        <w:spacing w:after="0"/>
        <w:tabs>
          <w:tab w:leader="none" w:pos="2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Minimum lease payments do not include contingent rent, as discussed above, that may be received under the Lease Agreements.</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15"/>
        </w:numPr>
        <w:rPr>
          <w:rFonts w:ascii="Arial" w:cs="Arial" w:eastAsia="Arial" w:hAnsi="Arial"/>
          <w:sz w:val="13"/>
          <w:szCs w:val="13"/>
          <w:i w:val="1"/>
          <w:iCs w:val="1"/>
          <w:color w:val="auto"/>
        </w:rPr>
      </w:pPr>
      <w:r>
        <w:rPr>
          <w:rFonts w:ascii="Arial" w:cs="Arial" w:eastAsia="Arial" w:hAnsi="Arial"/>
          <w:sz w:val="13"/>
          <w:szCs w:val="13"/>
          <w:i w:val="1"/>
          <w:iCs w:val="1"/>
          <w:color w:val="auto"/>
        </w:rPr>
        <w:t>The minimum lease payments and weighted average remaining lease term assumes the exercise of all tenant renewal options, consistent with our conclusions under ASC 842 and ASC 310.</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Provisions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Overview</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material lease provisions of our Caesars Leases, Venetian Lease, MGM Master Lease, and BREIT JV Lease: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80" w:type="dxa"/>
            <w:vAlign w:val="bottom"/>
          </w:tcPr>
          <w:p>
            <w:pPr>
              <w:spacing w:after="0"/>
              <w:rPr>
                <w:sz w:val="14"/>
                <w:szCs w:val="14"/>
                <w:color w:val="auto"/>
              </w:rPr>
            </w:pPr>
          </w:p>
        </w:tc>
        <w:tc>
          <w:tcPr>
            <w:tcW w:w="20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0"/>
              </w:rPr>
              <w:t>Caesars Regional Master</w:t>
            </w:r>
          </w:p>
        </w:tc>
        <w:tc>
          <w:tcPr>
            <w:tcW w:w="186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w w:val="87"/>
              </w:rPr>
              <w:t>Caesars Las Vegas</w:t>
            </w: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gridSpan w:val="2"/>
            <w:vMerge w:val="continue"/>
          </w:tcPr>
          <w:p>
            <w:pPr>
              <w:spacing w:after="0" w:line="20" w:lineRule="exact"/>
              <w:rPr>
                <w:sz w:val="1"/>
                <w:szCs w:val="1"/>
                <w:color w:val="auto"/>
              </w:rPr>
            </w:pPr>
          </w:p>
        </w:tc>
        <w:tc>
          <w:tcPr>
            <w:tcW w:w="1860" w:type="dxa"/>
            <w:vAlign w:val="bottom"/>
            <w:gridSpan w:val="2"/>
            <w:vMerge w:val="continu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Lease Provision</w:t>
            </w:r>
          </w:p>
        </w:tc>
        <w:tc>
          <w:tcPr>
            <w:tcW w:w="80" w:type="dxa"/>
            <w:vAlign w:val="bottom"/>
          </w:tcPr>
          <w:p>
            <w:pPr>
              <w:spacing w:after="0"/>
              <w:rPr>
                <w:sz w:val="5"/>
                <w:szCs w:val="5"/>
                <w:color w:val="auto"/>
              </w:rPr>
            </w:pPr>
          </w:p>
        </w:tc>
        <w:tc>
          <w:tcPr>
            <w:tcW w:w="2080" w:type="dxa"/>
            <w:vAlign w:val="bottom"/>
            <w:gridSpan w:val="2"/>
            <w:vMerge w:val="continue"/>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17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Venetian Lease</w:t>
            </w:r>
          </w:p>
        </w:tc>
        <w:tc>
          <w:tcPr>
            <w:tcW w:w="16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MGM Master Lease</w:t>
            </w:r>
          </w:p>
        </w:tc>
        <w:tc>
          <w:tcPr>
            <w:tcW w:w="174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BREIT JV Lease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Lease and Joliet Lease</w:t>
            </w:r>
          </w:p>
        </w:tc>
        <w:tc>
          <w:tcPr>
            <w:tcW w:w="1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Master Lease</w:t>
            </w:r>
          </w:p>
        </w:tc>
        <w:tc>
          <w:tcPr>
            <w:tcW w:w="174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2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Initial term</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18 years</w:t>
            </w:r>
          </w:p>
        </w:tc>
        <w:tc>
          <w:tcPr>
            <w:tcW w:w="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18 years</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30 years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25 years</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30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Initial term maturity</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7/31/2035</w:t>
            </w:r>
          </w:p>
        </w:tc>
        <w:tc>
          <w:tcPr>
            <w:tcW w:w="80" w:type="dxa"/>
            <w:vAlign w:val="bottom"/>
          </w:tcPr>
          <w:p>
            <w:pPr>
              <w:spacing w:after="0"/>
              <w:rPr>
                <w:sz w:val="19"/>
                <w:szCs w:val="19"/>
                <w:color w:val="auto"/>
              </w:rPr>
            </w:pPr>
          </w:p>
        </w:tc>
        <w:tc>
          <w:tcPr>
            <w:tcW w:w="1780" w:type="dxa"/>
            <w:vAlign w:val="bottom"/>
          </w:tcPr>
          <w:p>
            <w:pPr>
              <w:ind w:left="20"/>
              <w:spacing w:after="0"/>
              <w:rPr>
                <w:sz w:val="20"/>
                <w:szCs w:val="20"/>
                <w:color w:val="auto"/>
              </w:rPr>
            </w:pPr>
            <w:r>
              <w:rPr>
                <w:rFonts w:ascii="Arial" w:cs="Arial" w:eastAsia="Arial" w:hAnsi="Arial"/>
                <w:sz w:val="18"/>
                <w:szCs w:val="18"/>
                <w:color w:val="auto"/>
              </w:rPr>
              <w:t>7/31/2035</w:t>
            </w:r>
          </w:p>
        </w:tc>
        <w:tc>
          <w:tcPr>
            <w:tcW w:w="8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2/29/2052</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4/30/2047</w:t>
            </w:r>
          </w:p>
        </w:tc>
        <w:tc>
          <w:tcPr>
            <w:tcW w:w="100" w:type="dxa"/>
            <w:vAlign w:val="bottom"/>
          </w:tcPr>
          <w:p>
            <w:pPr>
              <w:spacing w:after="0"/>
              <w:rPr>
                <w:sz w:val="19"/>
                <w:szCs w:val="19"/>
                <w:color w:val="auto"/>
              </w:rPr>
            </w:pPr>
          </w:p>
        </w:tc>
        <w:tc>
          <w:tcPr>
            <w:tcW w:w="1740" w:type="dxa"/>
            <w:vAlign w:val="bottom"/>
          </w:tcPr>
          <w:p>
            <w:pPr>
              <w:ind w:left="20"/>
              <w:spacing w:after="0"/>
              <w:rPr>
                <w:sz w:val="20"/>
                <w:szCs w:val="20"/>
                <w:color w:val="auto"/>
              </w:rPr>
            </w:pPr>
            <w:r>
              <w:rPr>
                <w:rFonts w:ascii="Arial" w:cs="Arial" w:eastAsia="Arial" w:hAnsi="Arial"/>
                <w:sz w:val="18"/>
                <w:szCs w:val="18"/>
                <w:color w:val="auto"/>
              </w:rPr>
              <w:t>2/28/2050</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Renewal terms</w:t>
            </w:r>
          </w:p>
        </w:tc>
        <w:tc>
          <w:tcPr>
            <w:tcW w:w="80" w:type="dxa"/>
            <w:vAlign w:val="bottom"/>
            <w:shd w:val="clear" w:color="auto" w:fill="CCEEFF"/>
          </w:tcPr>
          <w:p>
            <w:pPr>
              <w:spacing w:after="0"/>
              <w:rPr>
                <w:sz w:val="15"/>
                <w:szCs w:val="15"/>
                <w:color w:val="auto"/>
              </w:rPr>
            </w:pPr>
          </w:p>
        </w:tc>
        <w:tc>
          <w:tcPr>
            <w:tcW w:w="20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Four, five-year terms</w:t>
            </w:r>
          </w:p>
        </w:tc>
        <w:tc>
          <w:tcPr>
            <w:tcW w:w="18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Four, five-year terms</w:t>
            </w:r>
          </w:p>
        </w:tc>
        <w:tc>
          <w:tcPr>
            <w:tcW w:w="17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Two, ten-year terms</w:t>
            </w:r>
          </w:p>
        </w:tc>
        <w:tc>
          <w:tcPr>
            <w:tcW w:w="16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Three, ten-year</w:t>
            </w:r>
          </w:p>
        </w:tc>
        <w:tc>
          <w:tcPr>
            <w:tcW w:w="17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Two, ten-year terms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0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80" w:type="dxa"/>
            <w:vAlign w:val="bottom"/>
            <w:gridSpan w:val="2"/>
            <w:vMerge w:val="continue"/>
            <w:shd w:val="clear" w:color="auto" w:fill="CCEEFF"/>
          </w:tcPr>
          <w:p>
            <w:pPr>
              <w:spacing w:after="0"/>
              <w:rPr>
                <w:sz w:val="11"/>
                <w:szCs w:val="11"/>
                <w:color w:val="auto"/>
              </w:rPr>
            </w:pPr>
          </w:p>
        </w:tc>
        <w:tc>
          <w:tcPr>
            <w:tcW w:w="1860" w:type="dxa"/>
            <w:vAlign w:val="bottom"/>
            <w:gridSpan w:val="2"/>
            <w:vMerge w:val="continue"/>
            <w:shd w:val="clear" w:color="auto" w:fill="CCEEFF"/>
          </w:tcPr>
          <w:p>
            <w:pPr>
              <w:spacing w:after="0"/>
              <w:rPr>
                <w:sz w:val="11"/>
                <w:szCs w:val="11"/>
                <w:color w:val="auto"/>
              </w:rPr>
            </w:pPr>
          </w:p>
        </w:tc>
        <w:tc>
          <w:tcPr>
            <w:tcW w:w="1740" w:type="dxa"/>
            <w:vAlign w:val="bottom"/>
            <w:gridSpan w:val="2"/>
            <w:vMerge w:val="continue"/>
            <w:shd w:val="clear" w:color="auto" w:fill="CCEEFF"/>
          </w:tcPr>
          <w:p>
            <w:pPr>
              <w:spacing w:after="0"/>
              <w:rPr>
                <w:sz w:val="11"/>
                <w:szCs w:val="11"/>
                <w:color w:val="auto"/>
              </w:rPr>
            </w:pPr>
          </w:p>
        </w:tc>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terms</w:t>
            </w:r>
          </w:p>
        </w:tc>
        <w:tc>
          <w:tcPr>
            <w:tcW w:w="17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60" w:type="dxa"/>
            <w:vAlign w:val="bottom"/>
            <w:gridSpan w:val="2"/>
            <w:vMerge w:val="continue"/>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87" w:right="339" w:bottom="1440" w:gutter="0" w:footer="0" w:header="0"/>
        </w:sectPr>
      </w:pPr>
    </w:p>
    <w:p>
      <w:pPr>
        <w:spacing w:after="0" w:line="74"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Current lease year </w:t>
      </w:r>
      <w:r>
        <w:rPr>
          <w:rFonts w:ascii="Arial" w:cs="Arial" w:eastAsia="Arial" w:hAnsi="Arial"/>
          <w:sz w:val="20"/>
          <w:szCs w:val="20"/>
          <w:i w:val="1"/>
          <w:iCs w:val="1"/>
          <w:color w:val="auto"/>
          <w:vertAlign w:val="superscript"/>
        </w:rPr>
        <w:t>(1)</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Current annual rent </w:t>
      </w:r>
      <w:r>
        <w:rPr>
          <w:rFonts w:ascii="Arial" w:cs="Arial" w:eastAsia="Arial" w:hAnsi="Arial"/>
          <w:sz w:val="19"/>
          <w:szCs w:val="19"/>
          <w:i w:val="1"/>
          <w:iCs w:val="1"/>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Annual escalator </w:t>
      </w:r>
      <w:r>
        <w:rPr>
          <w:rFonts w:ascii="Arial" w:cs="Arial" w:eastAsia="Arial" w:hAnsi="Arial"/>
          <w:sz w:val="23"/>
          <w:szCs w:val="23"/>
          <w:i w:val="1"/>
          <w:iCs w:val="1"/>
          <w:color w:val="auto"/>
          <w:vertAlign w:val="superscript"/>
        </w:rPr>
        <w:t>(3)</w:t>
      </w:r>
    </w:p>
    <w:p>
      <w:pPr>
        <w:spacing w:after="0" w:line="20" w:lineRule="exact"/>
        <w:rPr>
          <w:sz w:val="20"/>
          <w:szCs w:val="20"/>
          <w:color w:val="auto"/>
        </w:rPr>
      </w:pPr>
      <w:r>
        <w:rPr>
          <w:sz w:val="20"/>
          <w:szCs w:val="20"/>
          <w:color w:val="auto"/>
        </w:rPr>
        <w:br w:type="column"/>
      </w:r>
    </w:p>
    <w:p>
      <w:pPr>
        <w:spacing w:after="0"/>
        <w:tabs>
          <w:tab w:leader="none" w:pos="2060" w:val="left"/>
        </w:tabs>
        <w:rPr>
          <w:sz w:val="20"/>
          <w:szCs w:val="20"/>
          <w:color w:val="auto"/>
        </w:rPr>
      </w:pPr>
      <w:r>
        <w:rPr>
          <w:rFonts w:ascii="Arial" w:cs="Arial" w:eastAsia="Arial" w:hAnsi="Arial"/>
          <w:sz w:val="18"/>
          <w:szCs w:val="18"/>
          <w:color w:val="auto"/>
        </w:rPr>
        <w:t>11/1/21 - 10/31/22 (Lease</w:t>
      </w:r>
      <w:r>
        <w:rPr>
          <w:sz w:val="20"/>
          <w:szCs w:val="20"/>
          <w:color w:val="auto"/>
        </w:rPr>
        <w:tab/>
      </w:r>
      <w:r>
        <w:rPr>
          <w:rFonts w:ascii="Arial" w:cs="Arial" w:eastAsia="Arial" w:hAnsi="Arial"/>
          <w:sz w:val="16"/>
          <w:szCs w:val="16"/>
          <w:color w:val="auto"/>
        </w:rPr>
        <w:t>11/1/21 - 10/31/22</w:t>
      </w:r>
    </w:p>
    <w:p>
      <w:pPr>
        <w:spacing w:after="0"/>
        <w:tabs>
          <w:tab w:leader="none" w:pos="2060" w:val="left"/>
        </w:tabs>
        <w:rPr>
          <w:sz w:val="20"/>
          <w:szCs w:val="20"/>
          <w:color w:val="auto"/>
        </w:rPr>
      </w:pPr>
      <w:r>
        <w:rPr>
          <w:rFonts w:ascii="Arial" w:cs="Arial" w:eastAsia="Arial" w:hAnsi="Arial"/>
          <w:sz w:val="18"/>
          <w:szCs w:val="18"/>
          <w:color w:val="auto"/>
        </w:rPr>
        <w:t>Year 5)</w:t>
      </w:r>
      <w:r>
        <w:rPr>
          <w:sz w:val="20"/>
          <w:szCs w:val="20"/>
          <w:color w:val="auto"/>
        </w:rPr>
        <w:tab/>
      </w:r>
      <w:r>
        <w:rPr>
          <w:rFonts w:ascii="Arial" w:cs="Arial" w:eastAsia="Arial" w:hAnsi="Arial"/>
          <w:sz w:val="16"/>
          <w:szCs w:val="16"/>
          <w:color w:val="auto"/>
        </w:rPr>
        <w:t>(Lease Year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4445</wp:posOffset>
            </wp:positionV>
            <wp:extent cx="7132320" cy="3689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pacing w:after="0" w:line="162"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$649,572</w:t>
      </w:r>
      <w:r>
        <w:rPr>
          <w:sz w:val="20"/>
          <w:szCs w:val="20"/>
          <w:color w:val="auto"/>
        </w:rPr>
        <w:tab/>
      </w:r>
      <w:r>
        <w:rPr>
          <w:rFonts w:ascii="Arial" w:cs="Arial" w:eastAsia="Arial" w:hAnsi="Arial"/>
          <w:sz w:val="16"/>
          <w:szCs w:val="16"/>
          <w:color w:val="auto"/>
        </w:rPr>
        <w:t>$422,224</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Lease years 2-5 - 1.5%</w:t>
      </w:r>
    </w:p>
    <w:p>
      <w:pPr>
        <w:spacing w:after="0" w:line="226" w:lineRule="auto"/>
        <w:rPr>
          <w:sz w:val="20"/>
          <w:szCs w:val="20"/>
          <w:color w:val="auto"/>
        </w:rPr>
      </w:pPr>
      <w:r>
        <w:rPr>
          <w:rFonts w:ascii="Arial" w:cs="Arial" w:eastAsia="Arial" w:hAnsi="Arial"/>
          <w:sz w:val="18"/>
          <w:szCs w:val="18"/>
          <w:color w:val="auto"/>
        </w:rPr>
        <w:t>Lease years 6-end of term &gt; 2% / change in CPI - CPI subject to 2.0%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171450</wp:posOffset>
            </wp:positionV>
            <wp:extent cx="7132320" cy="4800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620" w:type="dxa"/>
            <w:vAlign w:val="bottom"/>
          </w:tcPr>
          <w:p>
            <w:pPr>
              <w:spacing w:after="0" w:line="176" w:lineRule="exact"/>
              <w:rPr>
                <w:sz w:val="20"/>
                <w:szCs w:val="20"/>
                <w:color w:val="auto"/>
              </w:rPr>
            </w:pPr>
            <w:r>
              <w:rPr>
                <w:rFonts w:ascii="Arial" w:cs="Arial" w:eastAsia="Arial" w:hAnsi="Arial"/>
                <w:sz w:val="18"/>
                <w:szCs w:val="18"/>
                <w:color w:val="auto"/>
              </w:rPr>
              <w:t>2/23/22 - 2/28/23</w:t>
            </w:r>
          </w:p>
        </w:tc>
        <w:tc>
          <w:tcPr>
            <w:tcW w:w="1640" w:type="dxa"/>
            <w:vAlign w:val="bottom"/>
          </w:tcPr>
          <w:p>
            <w:pPr>
              <w:ind w:left="120"/>
              <w:spacing w:after="0" w:line="176" w:lineRule="exact"/>
              <w:rPr>
                <w:sz w:val="20"/>
                <w:szCs w:val="20"/>
                <w:color w:val="auto"/>
              </w:rPr>
            </w:pPr>
            <w:r>
              <w:rPr>
                <w:rFonts w:ascii="Arial" w:cs="Arial" w:eastAsia="Arial" w:hAnsi="Arial"/>
                <w:sz w:val="18"/>
                <w:szCs w:val="18"/>
                <w:color w:val="auto"/>
              </w:rPr>
              <w:t>4/29/22-4/30/23</w:t>
            </w:r>
          </w:p>
        </w:tc>
        <w:tc>
          <w:tcPr>
            <w:tcW w:w="1820" w:type="dxa"/>
            <w:vAlign w:val="bottom"/>
          </w:tcPr>
          <w:p>
            <w:pPr>
              <w:ind w:left="140"/>
              <w:spacing w:after="0" w:line="176" w:lineRule="exact"/>
              <w:rPr>
                <w:sz w:val="20"/>
                <w:szCs w:val="20"/>
                <w:color w:val="auto"/>
              </w:rPr>
            </w:pPr>
            <w:r>
              <w:rPr>
                <w:rFonts w:ascii="Arial" w:cs="Arial" w:eastAsia="Arial" w:hAnsi="Arial"/>
                <w:sz w:val="18"/>
                <w:szCs w:val="18"/>
                <w:color w:val="auto"/>
                <w:w w:val="89"/>
              </w:rPr>
              <w:t>3/1/22 - 2/28/23 (Lease</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20"/>
                <w:szCs w:val="20"/>
                <w:color w:val="auto"/>
              </w:rPr>
            </w:pPr>
            <w:r>
              <w:rPr>
                <w:rFonts w:ascii="Arial" w:cs="Arial" w:eastAsia="Arial" w:hAnsi="Arial"/>
                <w:sz w:val="18"/>
                <w:szCs w:val="18"/>
                <w:color w:val="auto"/>
              </w:rPr>
              <w:t>(Lease Year 1)</w:t>
            </w:r>
          </w:p>
        </w:tc>
        <w:tc>
          <w:tcPr>
            <w:tcW w:w="1640" w:type="dxa"/>
            <w:vAlign w:val="bottom"/>
          </w:tcPr>
          <w:p>
            <w:pPr>
              <w:ind w:left="120"/>
              <w:spacing w:after="0"/>
              <w:rPr>
                <w:sz w:val="20"/>
                <w:szCs w:val="20"/>
                <w:color w:val="auto"/>
              </w:rPr>
            </w:pPr>
            <w:r>
              <w:rPr>
                <w:rFonts w:ascii="Arial" w:cs="Arial" w:eastAsia="Arial" w:hAnsi="Arial"/>
                <w:sz w:val="18"/>
                <w:szCs w:val="18"/>
                <w:color w:val="auto"/>
              </w:rPr>
              <w:t>(Lease Year 1)</w:t>
            </w:r>
          </w:p>
        </w:tc>
        <w:tc>
          <w:tcPr>
            <w:tcW w:w="1820" w:type="dxa"/>
            <w:vAlign w:val="bottom"/>
          </w:tcPr>
          <w:p>
            <w:pPr>
              <w:ind w:left="140"/>
              <w:spacing w:after="0"/>
              <w:rPr>
                <w:sz w:val="20"/>
                <w:szCs w:val="20"/>
                <w:color w:val="auto"/>
              </w:rPr>
            </w:pPr>
            <w:r>
              <w:rPr>
                <w:rFonts w:ascii="Arial" w:cs="Arial" w:eastAsia="Arial" w:hAnsi="Arial"/>
                <w:sz w:val="18"/>
                <w:szCs w:val="18"/>
                <w:color w:val="auto"/>
              </w:rPr>
              <w:t>Year 3)</w:t>
            </w:r>
          </w:p>
        </w:tc>
        <w:tc>
          <w:tcPr>
            <w:tcW w:w="0" w:type="dxa"/>
            <w:vAlign w:val="bottom"/>
          </w:tcPr>
          <w:p>
            <w:pPr>
              <w:spacing w:after="0"/>
              <w:rPr>
                <w:sz w:val="1"/>
                <w:szCs w:val="1"/>
                <w:color w:val="auto"/>
              </w:rPr>
            </w:pPr>
          </w:p>
        </w:tc>
      </w:tr>
      <w:tr>
        <w:trPr>
          <w:trHeight w:val="176"/>
        </w:trPr>
        <w:tc>
          <w:tcPr>
            <w:tcW w:w="1620" w:type="dxa"/>
            <w:vAlign w:val="bottom"/>
            <w:vMerge w:val="restart"/>
          </w:tcPr>
          <w:p>
            <w:pPr>
              <w:spacing w:after="0"/>
              <w:rPr>
                <w:sz w:val="20"/>
                <w:szCs w:val="20"/>
                <w:color w:val="auto"/>
              </w:rPr>
            </w:pPr>
            <w:r>
              <w:rPr>
                <w:rFonts w:ascii="Arial" w:cs="Arial" w:eastAsia="Arial" w:hAnsi="Arial"/>
                <w:sz w:val="18"/>
                <w:szCs w:val="18"/>
                <w:color w:val="auto"/>
              </w:rPr>
              <w:t>$250,000</w:t>
            </w:r>
          </w:p>
        </w:tc>
        <w:tc>
          <w:tcPr>
            <w:tcW w:w="1640" w:type="dxa"/>
            <w:vAlign w:val="bottom"/>
            <w:vMerge w:val="restart"/>
          </w:tcPr>
          <w:p>
            <w:pPr>
              <w:ind w:left="120"/>
              <w:spacing w:after="0"/>
              <w:rPr>
                <w:sz w:val="20"/>
                <w:szCs w:val="20"/>
                <w:color w:val="auto"/>
              </w:rPr>
            </w:pPr>
            <w:r>
              <w:rPr>
                <w:rFonts w:ascii="Arial" w:cs="Arial" w:eastAsia="Arial" w:hAnsi="Arial"/>
                <w:sz w:val="18"/>
                <w:szCs w:val="18"/>
                <w:color w:val="auto"/>
              </w:rPr>
              <w:t>$860,000</w:t>
            </w:r>
          </w:p>
        </w:tc>
        <w:tc>
          <w:tcPr>
            <w:tcW w:w="1820" w:type="dxa"/>
            <w:vAlign w:val="bottom"/>
          </w:tcPr>
          <w:p>
            <w:pPr>
              <w:ind w:left="140"/>
              <w:spacing w:after="0" w:line="176" w:lineRule="exact"/>
              <w:rPr>
                <w:sz w:val="20"/>
                <w:szCs w:val="20"/>
                <w:color w:val="auto"/>
              </w:rPr>
            </w:pPr>
            <w:r>
              <w:rPr>
                <w:rFonts w:ascii="Arial" w:cs="Arial" w:eastAsia="Arial" w:hAnsi="Arial"/>
                <w:sz w:val="18"/>
                <w:szCs w:val="18"/>
                <w:color w:val="auto"/>
              </w:rPr>
              <w:t>$303,800 (VICI’s</w:t>
            </w:r>
          </w:p>
        </w:tc>
        <w:tc>
          <w:tcPr>
            <w:tcW w:w="0" w:type="dxa"/>
            <w:vAlign w:val="bottom"/>
          </w:tcPr>
          <w:p>
            <w:pPr>
              <w:spacing w:after="0"/>
              <w:rPr>
                <w:sz w:val="1"/>
                <w:szCs w:val="1"/>
                <w:color w:val="auto"/>
              </w:rPr>
            </w:pPr>
          </w:p>
        </w:tc>
      </w:tr>
      <w:tr>
        <w:trPr>
          <w:trHeight w:val="175"/>
        </w:trPr>
        <w:tc>
          <w:tcPr>
            <w:tcW w:w="162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820" w:type="dxa"/>
            <w:vAlign w:val="bottom"/>
          </w:tcPr>
          <w:p>
            <w:pPr>
              <w:ind w:left="140"/>
              <w:spacing w:after="0" w:line="176" w:lineRule="exact"/>
              <w:rPr>
                <w:sz w:val="20"/>
                <w:szCs w:val="20"/>
                <w:color w:val="auto"/>
              </w:rPr>
            </w:pPr>
            <w:r>
              <w:rPr>
                <w:rFonts w:ascii="Arial" w:cs="Arial" w:eastAsia="Arial" w:hAnsi="Arial"/>
                <w:sz w:val="18"/>
                <w:szCs w:val="18"/>
                <w:color w:val="auto"/>
                <w:w w:val="89"/>
              </w:rPr>
              <w:t>50.1% Pro Rata Share: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640" w:type="dxa"/>
            <w:vAlign w:val="bottom"/>
            <w:vMerge w:val="restart"/>
          </w:tcPr>
          <w:p>
            <w:pPr>
              <w:ind w:left="120"/>
              <w:spacing w:after="0"/>
              <w:rPr>
                <w:sz w:val="20"/>
                <w:szCs w:val="20"/>
                <w:color w:val="auto"/>
              </w:rPr>
            </w:pPr>
            <w:r>
              <w:rPr>
                <w:rFonts w:ascii="Arial" w:cs="Arial" w:eastAsia="Arial" w:hAnsi="Arial"/>
                <w:sz w:val="18"/>
                <w:szCs w:val="18"/>
                <w:color w:val="auto"/>
                <w:w w:val="99"/>
              </w:rPr>
              <w:t>Lease years 2-10 -</w:t>
            </w:r>
          </w:p>
        </w:tc>
        <w:tc>
          <w:tcPr>
            <w:tcW w:w="1820" w:type="dxa"/>
            <w:vAlign w:val="bottom"/>
          </w:tcPr>
          <w:p>
            <w:pPr>
              <w:ind w:left="140"/>
              <w:spacing w:after="0"/>
              <w:rPr>
                <w:sz w:val="20"/>
                <w:szCs w:val="20"/>
                <w:color w:val="auto"/>
              </w:rPr>
            </w:pPr>
            <w:r>
              <w:rPr>
                <w:rFonts w:ascii="Arial" w:cs="Arial" w:eastAsia="Arial" w:hAnsi="Arial"/>
                <w:sz w:val="18"/>
                <w:szCs w:val="18"/>
                <w:color w:val="auto"/>
              </w:rPr>
              <w:t>$152,203)</w:t>
            </w:r>
          </w:p>
        </w:tc>
        <w:tc>
          <w:tcPr>
            <w:tcW w:w="0" w:type="dxa"/>
            <w:vAlign w:val="bottom"/>
          </w:tcPr>
          <w:p>
            <w:pPr>
              <w:spacing w:after="0"/>
              <w:rPr>
                <w:sz w:val="1"/>
                <w:szCs w:val="1"/>
                <w:color w:val="auto"/>
              </w:rPr>
            </w:pPr>
          </w:p>
        </w:tc>
      </w:tr>
      <w:tr>
        <w:trPr>
          <w:trHeight w:val="175"/>
        </w:trPr>
        <w:tc>
          <w:tcPr>
            <w:tcW w:w="1620" w:type="dxa"/>
            <w:vAlign w:val="bottom"/>
            <w:vMerge w:val="restart"/>
          </w:tcPr>
          <w:p>
            <w:pPr>
              <w:spacing w:after="0"/>
              <w:rPr>
                <w:sz w:val="20"/>
                <w:szCs w:val="20"/>
                <w:color w:val="auto"/>
              </w:rPr>
            </w:pPr>
            <w:r>
              <w:rPr>
                <w:rFonts w:ascii="Arial" w:cs="Arial" w:eastAsia="Arial" w:hAnsi="Arial"/>
                <w:sz w:val="18"/>
                <w:szCs w:val="18"/>
                <w:color w:val="auto"/>
                <w:w w:val="97"/>
              </w:rPr>
              <w:t>&gt;2% / change in CPI</w:t>
            </w:r>
          </w:p>
        </w:tc>
        <w:tc>
          <w:tcPr>
            <w:tcW w:w="1640" w:type="dxa"/>
            <w:vAlign w:val="bottom"/>
            <w:vMerge w:val="continue"/>
          </w:tcPr>
          <w:p>
            <w:pPr>
              <w:spacing w:after="0"/>
              <w:rPr>
                <w:sz w:val="15"/>
                <w:szCs w:val="15"/>
                <w:color w:val="auto"/>
              </w:rPr>
            </w:pPr>
          </w:p>
        </w:tc>
        <w:tc>
          <w:tcPr>
            <w:tcW w:w="1820" w:type="dxa"/>
            <w:vAlign w:val="bottom"/>
            <w:vMerge w:val="restart"/>
          </w:tcPr>
          <w:p>
            <w:pPr>
              <w:ind w:left="140"/>
              <w:spacing w:after="0"/>
              <w:rPr>
                <w:sz w:val="20"/>
                <w:szCs w:val="20"/>
                <w:color w:val="auto"/>
              </w:rPr>
            </w:pPr>
            <w:r>
              <w:rPr>
                <w:rFonts w:ascii="Arial" w:cs="Arial" w:eastAsia="Arial" w:hAnsi="Arial"/>
                <w:sz w:val="18"/>
                <w:szCs w:val="18"/>
                <w:color w:val="auto"/>
                <w:w w:val="91"/>
              </w:rPr>
              <w:t>Lease years 2-15 - 2%</w:t>
            </w:r>
          </w:p>
        </w:tc>
        <w:tc>
          <w:tcPr>
            <w:tcW w:w="0" w:type="dxa"/>
            <w:vAlign w:val="bottom"/>
          </w:tcPr>
          <w:p>
            <w:pPr>
              <w:spacing w:after="0"/>
              <w:rPr>
                <w:sz w:val="1"/>
                <w:szCs w:val="1"/>
                <w:color w:val="auto"/>
              </w:rPr>
            </w:pPr>
          </w:p>
        </w:tc>
      </w:tr>
      <w:tr>
        <w:trPr>
          <w:trHeight w:val="176"/>
        </w:trPr>
        <w:tc>
          <w:tcPr>
            <w:tcW w:w="1620" w:type="dxa"/>
            <w:vAlign w:val="bottom"/>
            <w:vMerge w:val="continue"/>
          </w:tcPr>
          <w:p>
            <w:pPr>
              <w:spacing w:after="0"/>
              <w:rPr>
                <w:sz w:val="15"/>
                <w:szCs w:val="15"/>
                <w:color w:val="auto"/>
              </w:rPr>
            </w:pPr>
          </w:p>
        </w:tc>
        <w:tc>
          <w:tcPr>
            <w:tcW w:w="1640" w:type="dxa"/>
            <w:vAlign w:val="bottom"/>
          </w:tcPr>
          <w:p>
            <w:pPr>
              <w:ind w:left="120"/>
              <w:spacing w:after="0" w:line="176" w:lineRule="exact"/>
              <w:rPr>
                <w:sz w:val="20"/>
                <w:szCs w:val="20"/>
                <w:color w:val="auto"/>
              </w:rPr>
            </w:pPr>
            <w:r>
              <w:rPr>
                <w:rFonts w:ascii="Arial" w:cs="Arial" w:eastAsia="Arial" w:hAnsi="Arial"/>
                <w:sz w:val="18"/>
                <w:szCs w:val="18"/>
                <w:color w:val="auto"/>
              </w:rPr>
              <w:t>2%</w:t>
            </w: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line="176" w:lineRule="exact"/>
              <w:rPr>
                <w:sz w:val="20"/>
                <w:szCs w:val="20"/>
                <w:color w:val="auto"/>
              </w:rPr>
            </w:pPr>
            <w:r>
              <w:rPr>
                <w:rFonts w:ascii="Arial" w:cs="Arial" w:eastAsia="Arial" w:hAnsi="Arial"/>
                <w:sz w:val="18"/>
                <w:szCs w:val="18"/>
                <w:color w:val="auto"/>
              </w:rPr>
              <w:t>(capped at 3%)</w:t>
            </w:r>
          </w:p>
        </w:tc>
        <w:tc>
          <w:tcPr>
            <w:tcW w:w="1640" w:type="dxa"/>
            <w:vAlign w:val="bottom"/>
          </w:tcPr>
          <w:p>
            <w:pPr>
              <w:ind w:left="120"/>
              <w:spacing w:after="0" w:line="176" w:lineRule="exact"/>
              <w:rPr>
                <w:sz w:val="20"/>
                <w:szCs w:val="20"/>
                <w:color w:val="auto"/>
              </w:rPr>
            </w:pPr>
            <w:r>
              <w:rPr>
                <w:rFonts w:ascii="Arial" w:cs="Arial" w:eastAsia="Arial" w:hAnsi="Arial"/>
                <w:sz w:val="18"/>
                <w:szCs w:val="18"/>
                <w:color w:val="auto"/>
                <w:w w:val="94"/>
              </w:rPr>
              <w:t>Lease years 11-end</w:t>
            </w:r>
          </w:p>
        </w:tc>
        <w:tc>
          <w:tcPr>
            <w:tcW w:w="1820" w:type="dxa"/>
            <w:vAlign w:val="bottom"/>
          </w:tcPr>
          <w:p>
            <w:pPr>
              <w:ind w:left="140"/>
              <w:spacing w:after="0" w:line="176" w:lineRule="exact"/>
              <w:rPr>
                <w:sz w:val="20"/>
                <w:szCs w:val="20"/>
                <w:color w:val="auto"/>
              </w:rPr>
            </w:pPr>
            <w:r>
              <w:rPr>
                <w:rFonts w:ascii="Arial" w:cs="Arial" w:eastAsia="Arial" w:hAnsi="Arial"/>
                <w:sz w:val="18"/>
                <w:szCs w:val="18"/>
                <w:color w:val="auto"/>
                <w:w w:val="92"/>
              </w:rPr>
              <w:t>Lease years 16-end of</w:t>
            </w:r>
          </w:p>
        </w:tc>
        <w:tc>
          <w:tcPr>
            <w:tcW w:w="0" w:type="dxa"/>
            <w:vAlign w:val="bottom"/>
          </w:tcPr>
          <w:p>
            <w:pPr>
              <w:spacing w:after="0"/>
              <w:rPr>
                <w:sz w:val="1"/>
                <w:szCs w:val="1"/>
                <w:color w:val="auto"/>
              </w:rPr>
            </w:pPr>
          </w:p>
        </w:tc>
      </w:tr>
      <w:tr>
        <w:trPr>
          <w:trHeight w:val="176"/>
        </w:trPr>
        <w:tc>
          <w:tcPr>
            <w:tcW w:w="1620" w:type="dxa"/>
            <w:vAlign w:val="bottom"/>
          </w:tcPr>
          <w:p>
            <w:pPr>
              <w:spacing w:after="0" w:line="176" w:lineRule="exact"/>
              <w:rPr>
                <w:sz w:val="20"/>
                <w:szCs w:val="20"/>
                <w:color w:val="auto"/>
              </w:rPr>
            </w:pPr>
            <w:r>
              <w:rPr>
                <w:rFonts w:ascii="Arial" w:cs="Arial" w:eastAsia="Arial" w:hAnsi="Arial"/>
                <w:sz w:val="18"/>
                <w:szCs w:val="18"/>
                <w:color w:val="auto"/>
              </w:rPr>
              <w:t>beginning in Lease</w:t>
            </w:r>
          </w:p>
        </w:tc>
        <w:tc>
          <w:tcPr>
            <w:tcW w:w="1640" w:type="dxa"/>
            <w:vAlign w:val="bottom"/>
          </w:tcPr>
          <w:p>
            <w:pPr>
              <w:ind w:left="120"/>
              <w:spacing w:after="0" w:line="176" w:lineRule="exact"/>
              <w:rPr>
                <w:sz w:val="20"/>
                <w:szCs w:val="20"/>
                <w:color w:val="auto"/>
              </w:rPr>
            </w:pPr>
            <w:r>
              <w:rPr>
                <w:rFonts w:ascii="Arial" w:cs="Arial" w:eastAsia="Arial" w:hAnsi="Arial"/>
                <w:sz w:val="18"/>
                <w:szCs w:val="18"/>
                <w:color w:val="auto"/>
              </w:rPr>
              <w:t>of term - &gt;2% /</w:t>
            </w:r>
          </w:p>
        </w:tc>
        <w:tc>
          <w:tcPr>
            <w:tcW w:w="1820" w:type="dxa"/>
            <w:vAlign w:val="bottom"/>
          </w:tcPr>
          <w:p>
            <w:pPr>
              <w:ind w:left="140"/>
              <w:spacing w:after="0" w:line="176" w:lineRule="exact"/>
              <w:rPr>
                <w:sz w:val="20"/>
                <w:szCs w:val="20"/>
                <w:color w:val="auto"/>
              </w:rPr>
            </w:pPr>
            <w:r>
              <w:rPr>
                <w:rFonts w:ascii="Arial" w:cs="Arial" w:eastAsia="Arial" w:hAnsi="Arial"/>
                <w:sz w:val="18"/>
                <w:szCs w:val="18"/>
                <w:color w:val="auto"/>
                <w:w w:val="91"/>
              </w:rPr>
              <w:t>term - &gt;2% / change in</w:t>
            </w:r>
          </w:p>
        </w:tc>
        <w:tc>
          <w:tcPr>
            <w:tcW w:w="0" w:type="dxa"/>
            <w:vAlign w:val="bottom"/>
          </w:tcPr>
          <w:p>
            <w:pPr>
              <w:spacing w:after="0"/>
              <w:rPr>
                <w:sz w:val="1"/>
                <w:szCs w:val="1"/>
                <w:color w:val="auto"/>
              </w:rPr>
            </w:pPr>
          </w:p>
        </w:tc>
      </w:tr>
      <w:tr>
        <w:trPr>
          <w:trHeight w:val="175"/>
        </w:trPr>
        <w:tc>
          <w:tcPr>
            <w:tcW w:w="1620" w:type="dxa"/>
            <w:vAlign w:val="bottom"/>
          </w:tcPr>
          <w:p>
            <w:pPr>
              <w:spacing w:after="0" w:line="176" w:lineRule="exact"/>
              <w:rPr>
                <w:sz w:val="20"/>
                <w:szCs w:val="20"/>
                <w:color w:val="auto"/>
              </w:rPr>
            </w:pPr>
            <w:r>
              <w:rPr>
                <w:rFonts w:ascii="Arial" w:cs="Arial" w:eastAsia="Arial" w:hAnsi="Arial"/>
                <w:sz w:val="18"/>
                <w:szCs w:val="18"/>
                <w:color w:val="auto"/>
              </w:rPr>
              <w:t>year 2</w:t>
            </w:r>
          </w:p>
        </w:tc>
        <w:tc>
          <w:tcPr>
            <w:tcW w:w="1640" w:type="dxa"/>
            <w:vAlign w:val="bottom"/>
          </w:tcPr>
          <w:p>
            <w:pPr>
              <w:ind w:left="120"/>
              <w:spacing w:after="0" w:line="176" w:lineRule="exact"/>
              <w:rPr>
                <w:sz w:val="20"/>
                <w:szCs w:val="20"/>
                <w:color w:val="auto"/>
              </w:rPr>
            </w:pPr>
            <w:r>
              <w:rPr>
                <w:rFonts w:ascii="Arial" w:cs="Arial" w:eastAsia="Arial" w:hAnsi="Arial"/>
                <w:sz w:val="18"/>
                <w:szCs w:val="18"/>
                <w:color w:val="auto"/>
              </w:rPr>
              <w:t>change in CPI</w:t>
            </w:r>
          </w:p>
        </w:tc>
        <w:tc>
          <w:tcPr>
            <w:tcW w:w="1820" w:type="dxa"/>
            <w:vAlign w:val="bottom"/>
          </w:tcPr>
          <w:p>
            <w:pPr>
              <w:ind w:left="140"/>
              <w:spacing w:after="0" w:line="176" w:lineRule="exact"/>
              <w:rPr>
                <w:sz w:val="20"/>
                <w:szCs w:val="20"/>
                <w:color w:val="auto"/>
              </w:rPr>
            </w:pPr>
            <w:r>
              <w:rPr>
                <w:rFonts w:ascii="Arial" w:cs="Arial" w:eastAsia="Arial" w:hAnsi="Arial"/>
                <w:sz w:val="18"/>
                <w:szCs w:val="18"/>
                <w:color w:val="auto"/>
              </w:rPr>
              <w:t>CPI (capped at 3%)</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640" w:type="dxa"/>
            <w:vAlign w:val="bottom"/>
          </w:tcPr>
          <w:p>
            <w:pPr>
              <w:ind w:left="120"/>
              <w:spacing w:after="0"/>
              <w:rPr>
                <w:sz w:val="20"/>
                <w:szCs w:val="20"/>
                <w:color w:val="auto"/>
              </w:rPr>
            </w:pPr>
            <w:r>
              <w:rPr>
                <w:rFonts w:ascii="Arial" w:cs="Arial" w:eastAsia="Arial" w:hAnsi="Arial"/>
                <w:sz w:val="18"/>
                <w:szCs w:val="18"/>
                <w:color w:val="auto"/>
              </w:rPr>
              <w:t>(capped at 3%)</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3">
            <w:col w:w="1600" w:space="580"/>
            <w:col w:w="3640" w:space="300"/>
            <w:col w:w="5120"/>
          </w:cols>
          <w:pgMar w:left="320" w:top="287" w:right="339" w:bottom="1440" w:gutter="0" w:footer="0" w:header="0"/>
          <w:type w:val="continuous"/>
        </w:sect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Variable rent adjustment </w:t>
      </w:r>
      <w:r>
        <w:rPr>
          <w:rFonts w:ascii="Arial" w:cs="Arial" w:eastAsia="Arial" w:hAnsi="Arial"/>
          <w:sz w:val="19"/>
          <w:szCs w:val="19"/>
          <w:i w:val="1"/>
          <w:iCs w:val="1"/>
          <w:color w:val="auto"/>
          <w:vertAlign w:val="superscript"/>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right="180"/>
        <w:spacing w:after="0" w:line="303" w:lineRule="auto"/>
        <w:rPr>
          <w:sz w:val="20"/>
          <w:szCs w:val="20"/>
          <w:color w:val="auto"/>
        </w:rPr>
      </w:pPr>
      <w:r>
        <w:rPr>
          <w:rFonts w:ascii="Arial" w:cs="Arial" w:eastAsia="Arial" w:hAnsi="Arial"/>
          <w:sz w:val="16"/>
          <w:szCs w:val="16"/>
          <w:color w:val="auto"/>
        </w:rPr>
        <w:t xml:space="preserve">Variable rent adjustment calculation </w:t>
      </w:r>
      <w:r>
        <w:rPr>
          <w:rFonts w:ascii="Arial" w:cs="Arial" w:eastAsia="Arial" w:hAnsi="Arial"/>
          <w:sz w:val="20"/>
          <w:szCs w:val="20"/>
          <w:i w:val="1"/>
          <w:iCs w:val="1"/>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20" w:lineRule="exact"/>
        <w:rPr>
          <w:sz w:val="20"/>
          <w:szCs w:val="20"/>
          <w:color w:val="auto"/>
        </w:rPr>
      </w:pPr>
      <w:r>
        <w:rPr>
          <w:sz w:val="20"/>
          <w:szCs w:val="20"/>
          <w:color w:val="auto"/>
        </w:rPr>
        <w:br w:type="column"/>
      </w:r>
    </w:p>
    <w:p>
      <w:pPr>
        <w:spacing w:after="0" w:line="220" w:lineRule="auto"/>
        <w:rPr>
          <w:sz w:val="20"/>
          <w:szCs w:val="20"/>
          <w:color w:val="auto"/>
        </w:rPr>
      </w:pPr>
      <w:r>
        <w:rPr>
          <w:rFonts w:ascii="Arial" w:cs="Arial" w:eastAsia="Arial" w:hAnsi="Arial"/>
          <w:sz w:val="18"/>
          <w:szCs w:val="18"/>
          <w:b w:val="1"/>
          <w:bCs w:val="1"/>
          <w:color w:val="auto"/>
        </w:rPr>
        <w:t>Year 8</w:t>
      </w:r>
      <w:r>
        <w:rPr>
          <w:rFonts w:ascii="Arial" w:cs="Arial" w:eastAsia="Arial" w:hAnsi="Arial"/>
          <w:sz w:val="18"/>
          <w:szCs w:val="18"/>
          <w:color w:val="auto"/>
        </w:rPr>
        <w:t>: 70% base rent /</w:t>
      </w:r>
    </w:p>
    <w:p>
      <w:pPr>
        <w:spacing w:after="0" w:line="203" w:lineRule="auto"/>
        <w:rPr>
          <w:sz w:val="20"/>
          <w:szCs w:val="20"/>
          <w:color w:val="auto"/>
        </w:rPr>
      </w:pPr>
      <w:r>
        <w:rPr>
          <w:rFonts w:ascii="Arial" w:cs="Arial" w:eastAsia="Arial" w:hAnsi="Arial"/>
          <w:sz w:val="18"/>
          <w:szCs w:val="18"/>
          <w:color w:val="auto"/>
        </w:rPr>
        <w:t>30% variable rent</w:t>
      </w:r>
    </w:p>
    <w:p>
      <w:pPr>
        <w:spacing w:after="0" w:line="229" w:lineRule="auto"/>
        <w:rPr>
          <w:sz w:val="20"/>
          <w:szCs w:val="20"/>
          <w:color w:val="auto"/>
        </w:rPr>
      </w:pPr>
      <w:r>
        <w:rPr>
          <w:rFonts w:ascii="Arial" w:cs="Arial" w:eastAsia="Arial" w:hAnsi="Arial"/>
          <w:sz w:val="16"/>
          <w:szCs w:val="16"/>
          <w:b w:val="1"/>
          <w:bCs w:val="1"/>
          <w:color w:val="auto"/>
        </w:rPr>
        <w:t>Years 11 &amp; 16</w:t>
      </w:r>
      <w:r>
        <w:rPr>
          <w:rFonts w:ascii="Arial" w:cs="Arial" w:eastAsia="Arial" w:hAnsi="Arial"/>
          <w:sz w:val="16"/>
          <w:szCs w:val="16"/>
          <w:color w:val="auto"/>
        </w:rPr>
        <w:t>: 80% base</w:t>
      </w:r>
    </w:p>
    <w:p>
      <w:pPr>
        <w:spacing w:after="0"/>
        <w:rPr>
          <w:sz w:val="20"/>
          <w:szCs w:val="20"/>
          <w:color w:val="auto"/>
        </w:rPr>
      </w:pPr>
      <w:r>
        <w:rPr>
          <w:rFonts w:ascii="Arial" w:cs="Arial" w:eastAsia="Arial" w:hAnsi="Arial"/>
          <w:sz w:val="18"/>
          <w:szCs w:val="18"/>
          <w:color w:val="auto"/>
        </w:rPr>
        <w:t>rent / 20% variable rent</w:t>
      </w:r>
    </w:p>
    <w:p>
      <w:pPr>
        <w:spacing w:after="0" w:line="263" w:lineRule="exact"/>
        <w:rPr>
          <w:sz w:val="20"/>
          <w:szCs w:val="20"/>
          <w:color w:val="auto"/>
        </w:rPr>
      </w:pPr>
    </w:p>
    <w:p>
      <w:pPr>
        <w:ind w:right="620"/>
        <w:spacing w:after="0" w:line="255" w:lineRule="auto"/>
        <w:rPr>
          <w:sz w:val="20"/>
          <w:szCs w:val="20"/>
          <w:color w:val="auto"/>
        </w:rPr>
      </w:pPr>
      <w:r>
        <w:rPr>
          <w:rFonts w:ascii="Arial" w:cs="Arial" w:eastAsia="Arial" w:hAnsi="Arial"/>
          <w:sz w:val="15"/>
          <w:szCs w:val="15"/>
          <w:u w:val="single" w:color="auto"/>
          <w:color w:val="auto"/>
        </w:rPr>
        <w:t>4% of revenue increase/decrease:</w:t>
      </w:r>
    </w:p>
    <w:p>
      <w:pPr>
        <w:spacing w:after="0" w:line="237" w:lineRule="auto"/>
        <w:rPr>
          <w:sz w:val="20"/>
          <w:szCs w:val="20"/>
          <w:color w:val="auto"/>
        </w:rPr>
      </w:pPr>
      <w:r>
        <w:rPr>
          <w:rFonts w:ascii="Arial" w:cs="Arial" w:eastAsia="Arial" w:hAnsi="Arial"/>
          <w:sz w:val="16"/>
          <w:szCs w:val="16"/>
          <w:b w:val="1"/>
          <w:bCs w:val="1"/>
          <w:color w:val="auto"/>
        </w:rPr>
        <w:t>Year 8</w:t>
      </w:r>
      <w:r>
        <w:rPr>
          <w:rFonts w:ascii="Arial" w:cs="Arial" w:eastAsia="Arial" w:hAnsi="Arial"/>
          <w:sz w:val="16"/>
          <w:szCs w:val="16"/>
          <w:color w:val="auto"/>
        </w:rPr>
        <w:t>: Avg. of years 5-7</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less avg. of years 0-2 </w:t>
      </w:r>
      <w:r>
        <w:rPr>
          <w:rFonts w:ascii="Arial" w:cs="Arial" w:eastAsia="Arial" w:hAnsi="Arial"/>
          <w:sz w:val="16"/>
          <w:szCs w:val="16"/>
          <w:b w:val="1"/>
          <w:bCs w:val="1"/>
          <w:color w:val="auto"/>
        </w:rPr>
        <w:t>Year 11</w:t>
      </w:r>
      <w:r>
        <w:rPr>
          <w:rFonts w:ascii="Arial" w:cs="Arial" w:eastAsia="Arial" w:hAnsi="Arial"/>
          <w:sz w:val="16"/>
          <w:szCs w:val="16"/>
          <w:color w:val="auto"/>
        </w:rPr>
        <w:t xml:space="preserve">: Avg. of years 8-10 less avg. of years 5-7 </w:t>
      </w:r>
      <w:r>
        <w:rPr>
          <w:rFonts w:ascii="Arial" w:cs="Arial" w:eastAsia="Arial" w:hAnsi="Arial"/>
          <w:sz w:val="16"/>
          <w:szCs w:val="16"/>
          <w:b w:val="1"/>
          <w:bCs w:val="1"/>
          <w:color w:val="auto"/>
        </w:rPr>
        <w:t>Year 16</w:t>
      </w:r>
      <w:r>
        <w:rPr>
          <w:rFonts w:ascii="Arial" w:cs="Arial" w:eastAsia="Arial" w:hAnsi="Arial"/>
          <w:sz w:val="16"/>
          <w:szCs w:val="16"/>
          <w:color w:val="auto"/>
        </w:rPr>
        <w:t>: Avg. of years 13-15 less avg. of years 8-10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b w:val="1"/>
          <w:bCs w:val="1"/>
          <w:color w:val="auto"/>
        </w:rPr>
        <w:t>Years 8, 11 &amp; 16</w:t>
      </w:r>
      <w:r>
        <w:rPr>
          <w:rFonts w:ascii="Arial" w:cs="Arial" w:eastAsia="Arial" w:hAnsi="Arial"/>
          <w:sz w:val="18"/>
          <w:szCs w:val="18"/>
          <w:color w:val="auto"/>
        </w:rPr>
        <w:t>: 80%</w:t>
      </w:r>
      <w:r>
        <w:rPr>
          <w:rFonts w:ascii="Arial" w:cs="Arial" w:eastAsia="Arial" w:hAnsi="Arial"/>
          <w:sz w:val="18"/>
          <w:szCs w:val="18"/>
          <w:b w:val="1"/>
          <w:bCs w:val="1"/>
          <w:color w:val="auto"/>
        </w:rPr>
        <w:t xml:space="preserve"> </w:t>
      </w:r>
      <w:r>
        <w:rPr>
          <w:rFonts w:ascii="Arial" w:cs="Arial" w:eastAsia="Arial" w:hAnsi="Arial"/>
          <w:sz w:val="18"/>
          <w:szCs w:val="18"/>
          <w:color w:val="auto"/>
        </w:rPr>
        <w:t>base rent / 20% variable rent</w:t>
      </w:r>
    </w:p>
    <w:p>
      <w:pPr>
        <w:spacing w:after="0" w:line="94" w:lineRule="exact"/>
        <w:rPr>
          <w:sz w:val="20"/>
          <w:szCs w:val="20"/>
          <w:color w:val="auto"/>
        </w:rPr>
      </w:pPr>
    </w:p>
    <w:p>
      <w:pPr>
        <w:ind w:right="160"/>
        <w:spacing w:after="0" w:line="235" w:lineRule="auto"/>
        <w:rPr>
          <w:sz w:val="20"/>
          <w:szCs w:val="20"/>
          <w:color w:val="auto"/>
        </w:rPr>
      </w:pPr>
      <w:r>
        <w:rPr>
          <w:rFonts w:ascii="Arial" w:cs="Arial" w:eastAsia="Arial" w:hAnsi="Arial"/>
          <w:sz w:val="16"/>
          <w:szCs w:val="16"/>
          <w:u w:val="single" w:color="auto"/>
          <w:color w:val="auto"/>
        </w:rPr>
        <w:t xml:space="preserve">4% of revenue increase/decrease: </w:t>
      </w:r>
      <w:r>
        <w:rPr>
          <w:rFonts w:ascii="Arial" w:cs="Arial" w:eastAsia="Arial" w:hAnsi="Arial"/>
          <w:sz w:val="16"/>
          <w:szCs w:val="16"/>
          <w:b w:val="1"/>
          <w:bCs w:val="1"/>
          <w:color w:val="auto"/>
        </w:rPr>
        <w:t>Year 8</w:t>
      </w:r>
      <w:r>
        <w:rPr>
          <w:rFonts w:ascii="Arial" w:cs="Arial" w:eastAsia="Arial" w:hAnsi="Arial"/>
          <w:sz w:val="16"/>
          <w:szCs w:val="16"/>
          <w:color w:val="auto"/>
        </w:rPr>
        <w:t>: Avg. of years</w:t>
      </w:r>
    </w:p>
    <w:p>
      <w:pPr>
        <w:spacing w:after="0" w:line="231" w:lineRule="auto"/>
        <w:rPr>
          <w:sz w:val="20"/>
          <w:szCs w:val="20"/>
          <w:color w:val="auto"/>
        </w:rPr>
      </w:pPr>
      <w:r>
        <w:rPr>
          <w:rFonts w:ascii="Arial" w:cs="Arial" w:eastAsia="Arial" w:hAnsi="Arial"/>
          <w:sz w:val="16"/>
          <w:szCs w:val="16"/>
          <w:color w:val="auto"/>
        </w:rPr>
        <w:t>5-7 less avg. of years 0-</w:t>
      </w:r>
    </w:p>
    <w:p>
      <w:pPr>
        <w:spacing w:after="0" w:line="204" w:lineRule="auto"/>
        <w:rPr>
          <w:sz w:val="20"/>
          <w:szCs w:val="20"/>
          <w:color w:val="auto"/>
        </w:rPr>
      </w:pPr>
      <w:r>
        <w:rPr>
          <w:rFonts w:ascii="Arial" w:cs="Arial" w:eastAsia="Arial" w:hAnsi="Arial"/>
          <w:sz w:val="18"/>
          <w:szCs w:val="18"/>
          <w:color w:val="auto"/>
        </w:rPr>
        <w:t>2</w:t>
      </w:r>
    </w:p>
    <w:p>
      <w:pPr>
        <w:jc w:val="both"/>
        <w:ind w:right="80"/>
        <w:spacing w:after="0" w:line="203" w:lineRule="auto"/>
        <w:rPr>
          <w:sz w:val="20"/>
          <w:szCs w:val="20"/>
          <w:color w:val="auto"/>
        </w:rPr>
      </w:pPr>
      <w:r>
        <w:rPr>
          <w:rFonts w:ascii="Arial" w:cs="Arial" w:eastAsia="Arial" w:hAnsi="Arial"/>
          <w:sz w:val="18"/>
          <w:szCs w:val="18"/>
          <w:b w:val="1"/>
          <w:bCs w:val="1"/>
          <w:color w:val="auto"/>
        </w:rPr>
        <w:t>Year 11</w:t>
      </w:r>
      <w:r>
        <w:rPr>
          <w:rFonts w:ascii="Arial" w:cs="Arial" w:eastAsia="Arial" w:hAnsi="Arial"/>
          <w:sz w:val="18"/>
          <w:szCs w:val="18"/>
          <w:color w:val="auto"/>
        </w:rPr>
        <w:t>: Avg. of years</w:t>
      </w:r>
      <w:r>
        <w:rPr>
          <w:rFonts w:ascii="Arial" w:cs="Arial" w:eastAsia="Arial" w:hAnsi="Arial"/>
          <w:sz w:val="18"/>
          <w:szCs w:val="18"/>
          <w:b w:val="1"/>
          <w:bCs w:val="1"/>
          <w:color w:val="auto"/>
        </w:rPr>
        <w:t xml:space="preserve"> </w:t>
      </w:r>
      <w:r>
        <w:rPr>
          <w:rFonts w:ascii="Arial" w:cs="Arial" w:eastAsia="Arial" w:hAnsi="Arial"/>
          <w:sz w:val="18"/>
          <w:szCs w:val="18"/>
          <w:color w:val="auto"/>
        </w:rPr>
        <w:t>8-10 less avg. of years 5-7</w:t>
      </w:r>
    </w:p>
    <w:p>
      <w:pPr>
        <w:spacing w:after="0" w:line="1"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b w:val="1"/>
          <w:bCs w:val="1"/>
          <w:color w:val="auto"/>
        </w:rPr>
        <w:t>Year 16</w:t>
      </w:r>
      <w:r>
        <w:rPr>
          <w:rFonts w:ascii="Arial" w:cs="Arial" w:eastAsia="Arial" w:hAnsi="Arial"/>
          <w:sz w:val="18"/>
          <w:szCs w:val="18"/>
          <w:color w:val="auto"/>
        </w:rPr>
        <w:t>: Avg. of years</w:t>
      </w:r>
      <w:r>
        <w:rPr>
          <w:rFonts w:ascii="Arial" w:cs="Arial" w:eastAsia="Arial" w:hAnsi="Arial"/>
          <w:sz w:val="18"/>
          <w:szCs w:val="18"/>
          <w:b w:val="1"/>
          <w:bCs w:val="1"/>
          <w:color w:val="auto"/>
        </w:rPr>
        <w:t xml:space="preserve"> </w:t>
      </w:r>
      <w:r>
        <w:rPr>
          <w:rFonts w:ascii="Arial" w:cs="Arial" w:eastAsia="Arial" w:hAnsi="Arial"/>
          <w:sz w:val="18"/>
          <w:szCs w:val="18"/>
          <w:color w:val="auto"/>
        </w:rPr>
        <w:t>13-15 less avg. of years 8-10</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tabs>
          <w:tab w:leader="none" w:pos="1720" w:val="left"/>
          <w:tab w:leader="none" w:pos="3380"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r>
        <w:rPr>
          <w:sz w:val="20"/>
          <w:szCs w:val="20"/>
          <w:color w:val="auto"/>
        </w:rPr>
        <w:tab/>
      </w: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1720" w:val="left"/>
          <w:tab w:leader="none" w:pos="3380"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r>
        <w:rPr>
          <w:sz w:val="20"/>
          <w:szCs w:val="20"/>
          <w:color w:val="auto"/>
        </w:rPr>
        <w:tab/>
      </w:r>
      <w:r>
        <w:rPr>
          <w:rFonts w:ascii="Arial" w:cs="Arial" w:eastAsia="Arial" w:hAnsi="Arial"/>
          <w:sz w:val="15"/>
          <w:szCs w:val="15"/>
          <w:color w:val="auto"/>
        </w:rPr>
        <w:t>None</w:t>
      </w:r>
    </w:p>
    <w:p>
      <w:pPr>
        <w:spacing w:after="0" w:line="1150" w:lineRule="exact"/>
        <w:rPr>
          <w:sz w:val="20"/>
          <w:szCs w:val="20"/>
          <w:color w:val="auto"/>
        </w:rPr>
      </w:pPr>
    </w:p>
    <w:p>
      <w:pPr>
        <w:sectPr>
          <w:pgSz w:w="11900" w:h="16838" w:orient="portrait"/>
          <w:cols w:equalWidth="0" w:num="4">
            <w:col w:w="1960" w:space="220"/>
            <w:col w:w="1940" w:space="140"/>
            <w:col w:w="1720" w:space="140"/>
            <w:col w:w="5120"/>
          </w:cols>
          <w:pgMar w:left="320" w:top="287" w:right="339" w:bottom="1440" w:gutter="0" w:footer="0" w:header="0"/>
          <w:type w:val="continuous"/>
        </w:sectPr>
      </w:pPr>
    </w:p>
    <w:p>
      <w:pPr>
        <w:ind w:right="40" w:firstLine="8"/>
        <w:spacing w:after="0" w:line="221" w:lineRule="auto"/>
        <w:tabs>
          <w:tab w:leader="none" w:pos="204"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For the Venetian Lease, lease year two will begin on the earlier of (i) March 1, 2024 and (ii) the first day of the first month following the month in which the net revenue of the Venetian Resort for the trailing twelve months equals or exceeds 2019 net revenue.</w:t>
      </w:r>
    </w:p>
    <w:p>
      <w:pPr>
        <w:ind w:right="380" w:firstLine="8"/>
        <w:spacing w:after="0" w:line="238" w:lineRule="auto"/>
        <w:tabs>
          <w:tab w:leader="none" w:pos="204" w:val="left"/>
        </w:tabs>
        <w:numPr>
          <w:ilvl w:val="0"/>
          <w:numId w:val="16"/>
        </w:numPr>
        <w:rPr>
          <w:rFonts w:ascii="Arial" w:cs="Arial" w:eastAsia="Arial" w:hAnsi="Arial"/>
          <w:sz w:val="13"/>
          <w:szCs w:val="13"/>
          <w:i w:val="1"/>
          <w:iCs w:val="1"/>
          <w:color w:val="auto"/>
        </w:rPr>
      </w:pPr>
      <w:r>
        <w:rPr>
          <w:rFonts w:ascii="Arial" w:cs="Arial" w:eastAsia="Arial" w:hAnsi="Arial"/>
          <w:sz w:val="13"/>
          <w:szCs w:val="13"/>
          <w:i w:val="1"/>
          <w:iCs w:val="1"/>
          <w:color w:val="auto"/>
        </w:rPr>
        <w:t>Current annual rent with respect to the Joliet Lease is presented prior to accounting for the non-controlling interest, or rent payable, to the 20% third-party ownership of Harrah’s Joliet LandCo LLC. After adjusting for the 20% non-controlling interest, combined Current annual rent under the Caesars Regional Master Lease and Joliet Lease is $641.2 million.</w:t>
      </w:r>
    </w:p>
    <w:p>
      <w:pPr>
        <w:jc w:val="both"/>
        <w:ind w:firstLine="8"/>
        <w:spacing w:after="0" w:line="221" w:lineRule="auto"/>
        <w:tabs>
          <w:tab w:leader="none" w:pos="218"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In relation to the Caesars Las Vegas Master Lease, during the three and six months ended June 30, 2022, we recognized approximately $3.1 million and $6.1 million, respectively, in contingent rent. No such rent has been recognized for the three and six months ended June 30, 2021. In relation to the Caesars Regional Master Lease, Joliet Lease, Venetian Lease, and MGM Master Lease, no such rent has been recognized for the three and six months ended June 30, 2022 and 2021.</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summary of the material lease provisions of our Penn National Leases, Hard Rock Cincinnati Lease, Century Master Lease, JACK Cleveland/Thistledown Lease and Southern Indiana Lease: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JACK</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gridSpan w:val="2"/>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4"/>
              </w:rPr>
              <w:t>Hard Rock</w:t>
            </w:r>
          </w:p>
        </w:tc>
        <w:tc>
          <w:tcPr>
            <w:tcW w:w="1580" w:type="dxa"/>
            <w:vAlign w:val="bottom"/>
            <w:gridSpan w:val="2"/>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6"/>
              </w:rPr>
              <w:t>Century Master</w:t>
            </w:r>
          </w:p>
        </w:tc>
        <w:tc>
          <w:tcPr>
            <w:tcW w:w="1720" w:type="dxa"/>
            <w:vAlign w:val="bottom"/>
            <w:gridSpan w:val="2"/>
            <w:vMerge w:val="restart"/>
          </w:tcPr>
          <w:p>
            <w:pPr>
              <w:ind w:left="20"/>
              <w:spacing w:after="0" w:line="162" w:lineRule="exact"/>
              <w:rPr>
                <w:sz w:val="20"/>
                <w:szCs w:val="20"/>
                <w:color w:val="auto"/>
              </w:rPr>
            </w:pPr>
            <w:r>
              <w:rPr>
                <w:rFonts w:ascii="Arial" w:cs="Arial" w:eastAsia="Arial" w:hAnsi="Arial"/>
                <w:sz w:val="16"/>
                <w:szCs w:val="16"/>
                <w:b w:val="1"/>
                <w:bCs w:val="1"/>
                <w:color w:val="auto"/>
                <w:w w:val="96"/>
              </w:rPr>
              <w:t>Cleveland/Thistledown</w:t>
            </w:r>
          </w:p>
        </w:tc>
        <w:tc>
          <w:tcPr>
            <w:tcW w:w="150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3"/>
              </w:rPr>
              <w:t>Southern Indiana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1720" w:type="dxa"/>
            <w:vAlign w:val="bottom"/>
            <w:gridSpan w:val="2"/>
            <w:vMerge w:val="continue"/>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Lease Provision</w:t>
            </w:r>
          </w:p>
        </w:tc>
        <w:tc>
          <w:tcPr>
            <w:tcW w:w="80" w:type="dxa"/>
            <w:vAlign w:val="bottom"/>
          </w:tcPr>
          <w:p>
            <w:pPr>
              <w:spacing w:after="0"/>
              <w:rPr>
                <w:sz w:val="5"/>
                <w:szCs w:val="5"/>
                <w:color w:val="auto"/>
              </w:rPr>
            </w:pPr>
          </w:p>
        </w:tc>
        <w:tc>
          <w:tcPr>
            <w:tcW w:w="16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Margaritaville Lease</w:t>
            </w:r>
          </w:p>
        </w:tc>
        <w:tc>
          <w:tcPr>
            <w:tcW w:w="174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Greektown Lease</w:t>
            </w:r>
          </w:p>
        </w:tc>
        <w:tc>
          <w:tcPr>
            <w:tcW w:w="1580" w:type="dxa"/>
            <w:vAlign w:val="bottom"/>
            <w:gridSpan w:val="2"/>
            <w:vMerge w:val="continue"/>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Cincinnati Lease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Lease</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Lease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3"/>
              </w:rPr>
              <w:t>Lease</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Initial term</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 years</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Initial term</w:t>
            </w:r>
          </w:p>
        </w:tc>
        <w:tc>
          <w:tcPr>
            <w:tcW w:w="1660" w:type="dxa"/>
            <w:vAlign w:val="bottom"/>
            <w:gridSpan w:val="2"/>
            <w:vMerge w:val="restart"/>
          </w:tcPr>
          <w:p>
            <w:pPr>
              <w:ind w:left="100"/>
              <w:spacing w:after="0"/>
              <w:rPr>
                <w:sz w:val="20"/>
                <w:szCs w:val="20"/>
                <w:color w:val="auto"/>
              </w:rPr>
            </w:pPr>
            <w:r>
              <w:rPr>
                <w:rFonts w:ascii="Arial" w:cs="Arial" w:eastAsia="Arial" w:hAnsi="Arial"/>
                <w:sz w:val="18"/>
                <w:szCs w:val="18"/>
                <w:color w:val="auto"/>
              </w:rPr>
              <w:t>1/31/2034</w:t>
            </w:r>
          </w:p>
        </w:tc>
        <w:tc>
          <w:tcPr>
            <w:tcW w:w="80" w:type="dxa"/>
            <w:vAlign w:val="bottom"/>
          </w:tcPr>
          <w:p>
            <w:pPr>
              <w:spacing w:after="0"/>
              <w:rPr>
                <w:sz w:val="15"/>
                <w:szCs w:val="15"/>
                <w:color w:val="auto"/>
              </w:rPr>
            </w:pP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5/31/2034</w:t>
            </w:r>
          </w:p>
        </w:tc>
        <w:tc>
          <w:tcPr>
            <w:tcW w:w="100" w:type="dxa"/>
            <w:vAlign w:val="bottom"/>
          </w:tcPr>
          <w:p>
            <w:pPr>
              <w:spacing w:after="0"/>
              <w:rPr>
                <w:sz w:val="15"/>
                <w:szCs w:val="15"/>
                <w:color w:val="auto"/>
              </w:rPr>
            </w:pPr>
          </w:p>
        </w:tc>
        <w:tc>
          <w:tcPr>
            <w:tcW w:w="1480" w:type="dxa"/>
            <w:vAlign w:val="bottom"/>
            <w:vMerge w:val="restart"/>
          </w:tcPr>
          <w:p>
            <w:pPr>
              <w:ind w:left="20"/>
              <w:spacing w:after="0"/>
              <w:rPr>
                <w:sz w:val="20"/>
                <w:szCs w:val="20"/>
                <w:color w:val="auto"/>
              </w:rPr>
            </w:pPr>
            <w:r>
              <w:rPr>
                <w:rFonts w:ascii="Arial" w:cs="Arial" w:eastAsia="Arial" w:hAnsi="Arial"/>
                <w:sz w:val="18"/>
                <w:szCs w:val="18"/>
                <w:color w:val="auto"/>
              </w:rPr>
              <w:t>9/30/2034</w:t>
            </w:r>
          </w:p>
        </w:tc>
        <w:tc>
          <w:tcPr>
            <w:tcW w:w="100" w:type="dxa"/>
            <w:vAlign w:val="bottom"/>
          </w:tcPr>
          <w:p>
            <w:pPr>
              <w:spacing w:after="0"/>
              <w:rPr>
                <w:sz w:val="15"/>
                <w:szCs w:val="15"/>
                <w:color w:val="auto"/>
              </w:rPr>
            </w:pPr>
          </w:p>
        </w:tc>
        <w:tc>
          <w:tcPr>
            <w:tcW w:w="1480" w:type="dxa"/>
            <w:vAlign w:val="bottom"/>
            <w:vMerge w:val="restart"/>
          </w:tcPr>
          <w:p>
            <w:pPr>
              <w:ind w:left="20"/>
              <w:spacing w:after="0"/>
              <w:rPr>
                <w:sz w:val="20"/>
                <w:szCs w:val="20"/>
                <w:color w:val="auto"/>
              </w:rPr>
            </w:pPr>
            <w:r>
              <w:rPr>
                <w:rFonts w:ascii="Arial" w:cs="Arial" w:eastAsia="Arial" w:hAnsi="Arial"/>
                <w:sz w:val="18"/>
                <w:szCs w:val="18"/>
                <w:color w:val="auto"/>
              </w:rPr>
              <w:t>12/31/2034</w:t>
            </w:r>
          </w:p>
        </w:tc>
        <w:tc>
          <w:tcPr>
            <w:tcW w:w="100" w:type="dxa"/>
            <w:vAlign w:val="bottom"/>
          </w:tcPr>
          <w:p>
            <w:pPr>
              <w:spacing w:after="0"/>
              <w:rPr>
                <w:sz w:val="15"/>
                <w:szCs w:val="15"/>
                <w:color w:val="auto"/>
              </w:rPr>
            </w:pPr>
          </w:p>
        </w:tc>
        <w:tc>
          <w:tcPr>
            <w:tcW w:w="1620" w:type="dxa"/>
            <w:vAlign w:val="bottom"/>
            <w:vMerge w:val="restart"/>
          </w:tcPr>
          <w:p>
            <w:pPr>
              <w:ind w:left="20"/>
              <w:spacing w:after="0"/>
              <w:rPr>
                <w:sz w:val="20"/>
                <w:szCs w:val="20"/>
                <w:color w:val="auto"/>
              </w:rPr>
            </w:pPr>
            <w:r>
              <w:rPr>
                <w:rFonts w:ascii="Arial" w:cs="Arial" w:eastAsia="Arial" w:hAnsi="Arial"/>
                <w:sz w:val="18"/>
                <w:szCs w:val="18"/>
                <w:color w:val="auto"/>
              </w:rPr>
              <w:t>1/31/2040</w:t>
            </w:r>
          </w:p>
        </w:tc>
        <w:tc>
          <w:tcPr>
            <w:tcW w:w="100" w:type="dxa"/>
            <w:vAlign w:val="bottom"/>
          </w:tcPr>
          <w:p>
            <w:pPr>
              <w:spacing w:after="0"/>
              <w:rPr>
                <w:sz w:val="15"/>
                <w:szCs w:val="15"/>
                <w:color w:val="auto"/>
              </w:rPr>
            </w:pPr>
          </w:p>
        </w:tc>
        <w:tc>
          <w:tcPr>
            <w:tcW w:w="1500" w:type="dxa"/>
            <w:vAlign w:val="bottom"/>
            <w:vMerge w:val="restart"/>
          </w:tcPr>
          <w:p>
            <w:pPr>
              <w:ind w:left="20"/>
              <w:spacing w:after="0"/>
              <w:rPr>
                <w:sz w:val="20"/>
                <w:szCs w:val="20"/>
                <w:color w:val="auto"/>
              </w:rPr>
            </w:pPr>
            <w:r>
              <w:rPr>
                <w:rFonts w:ascii="Arial" w:cs="Arial" w:eastAsia="Arial" w:hAnsi="Arial"/>
                <w:sz w:val="18"/>
                <w:szCs w:val="18"/>
                <w:color w:val="auto"/>
              </w:rPr>
              <w:t>8/31/2036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gridSpan w:val="2"/>
            <w:vMerge w:val="restart"/>
          </w:tcPr>
          <w:p>
            <w:pPr>
              <w:spacing w:after="0"/>
              <w:rPr>
                <w:sz w:val="20"/>
                <w:szCs w:val="20"/>
                <w:color w:val="auto"/>
              </w:rPr>
            </w:pPr>
            <w:r>
              <w:rPr>
                <w:rFonts w:ascii="Arial" w:cs="Arial" w:eastAsia="Arial" w:hAnsi="Arial"/>
                <w:sz w:val="18"/>
                <w:szCs w:val="18"/>
                <w:color w:val="auto"/>
              </w:rPr>
              <w:t>maturity</w:t>
            </w:r>
          </w:p>
        </w:tc>
        <w:tc>
          <w:tcPr>
            <w:tcW w:w="1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57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Renewal terms</w:t>
            </w:r>
          </w:p>
        </w:tc>
        <w:tc>
          <w:tcPr>
            <w:tcW w:w="1680" w:type="dxa"/>
            <w:vAlign w:val="bottom"/>
          </w:tcPr>
          <w:p>
            <w:pPr>
              <w:ind w:left="80"/>
              <w:spacing w:after="0"/>
              <w:rPr>
                <w:sz w:val="20"/>
                <w:szCs w:val="20"/>
                <w:color w:val="auto"/>
              </w:rPr>
            </w:pPr>
            <w:r>
              <w:rPr>
                <w:rFonts w:ascii="Arial" w:cs="Arial" w:eastAsia="Arial" w:hAnsi="Arial"/>
                <w:sz w:val="18"/>
                <w:szCs w:val="18"/>
                <w:color w:val="auto"/>
                <w:w w:val="95"/>
              </w:rPr>
              <w:t>Four, five-year terms</w:t>
            </w:r>
          </w:p>
        </w:tc>
        <w:tc>
          <w:tcPr>
            <w:tcW w:w="1580" w:type="dxa"/>
            <w:vAlign w:val="bottom"/>
          </w:tcPr>
          <w:p>
            <w:pPr>
              <w:ind w:left="60"/>
              <w:spacing w:after="0"/>
              <w:rPr>
                <w:sz w:val="20"/>
                <w:szCs w:val="20"/>
                <w:color w:val="auto"/>
              </w:rPr>
            </w:pPr>
            <w:r>
              <w:rPr>
                <w:rFonts w:ascii="Arial" w:cs="Arial" w:eastAsia="Arial" w:hAnsi="Arial"/>
                <w:sz w:val="18"/>
                <w:szCs w:val="18"/>
                <w:color w:val="auto"/>
                <w:w w:val="90"/>
              </w:rPr>
              <w:t>Four, five-year terms</w:t>
            </w:r>
          </w:p>
        </w:tc>
        <w:tc>
          <w:tcPr>
            <w:tcW w:w="0" w:type="dxa"/>
            <w:vAlign w:val="bottom"/>
          </w:tcPr>
          <w:p>
            <w:pPr>
              <w:spacing w:after="0"/>
              <w:rPr>
                <w:sz w:val="1"/>
                <w:szCs w:val="1"/>
                <w:color w:val="auto"/>
              </w:rPr>
            </w:pPr>
          </w:p>
        </w:tc>
      </w:tr>
      <w:tr>
        <w:trPr>
          <w:trHeight w:val="351"/>
        </w:trPr>
        <w:tc>
          <w:tcPr>
            <w:tcW w:w="1380" w:type="dxa"/>
            <w:vAlign w:val="bottom"/>
          </w:tcPr>
          <w:p>
            <w:pPr>
              <w:spacing w:after="0"/>
              <w:rPr>
                <w:sz w:val="20"/>
                <w:szCs w:val="20"/>
                <w:color w:val="auto"/>
              </w:rPr>
            </w:pPr>
            <w:r>
              <w:rPr>
                <w:rFonts w:ascii="Arial" w:cs="Arial" w:eastAsia="Arial" w:hAnsi="Arial"/>
                <w:sz w:val="18"/>
                <w:szCs w:val="18"/>
                <w:color w:val="auto"/>
                <w:w w:val="91"/>
              </w:rPr>
              <w:t>Current lease year</w:t>
            </w:r>
          </w:p>
        </w:tc>
        <w:tc>
          <w:tcPr>
            <w:tcW w:w="1680" w:type="dxa"/>
            <w:vAlign w:val="bottom"/>
          </w:tcPr>
          <w:p>
            <w:pPr>
              <w:ind w:left="80"/>
              <w:spacing w:after="0"/>
              <w:rPr>
                <w:sz w:val="20"/>
                <w:szCs w:val="20"/>
                <w:color w:val="auto"/>
              </w:rPr>
            </w:pPr>
            <w:r>
              <w:rPr>
                <w:rFonts w:ascii="Arial" w:cs="Arial" w:eastAsia="Arial" w:hAnsi="Arial"/>
                <w:sz w:val="18"/>
                <w:szCs w:val="18"/>
                <w:color w:val="auto"/>
              </w:rPr>
              <w:t>2/1/22 - 1/31/23</w:t>
            </w:r>
          </w:p>
        </w:tc>
        <w:tc>
          <w:tcPr>
            <w:tcW w:w="1580" w:type="dxa"/>
            <w:vAlign w:val="bottom"/>
          </w:tcPr>
          <w:p>
            <w:pPr>
              <w:ind w:left="60"/>
              <w:spacing w:after="0"/>
              <w:rPr>
                <w:sz w:val="20"/>
                <w:szCs w:val="20"/>
                <w:color w:val="auto"/>
              </w:rPr>
            </w:pPr>
            <w:r>
              <w:rPr>
                <w:rFonts w:ascii="Arial" w:cs="Arial" w:eastAsia="Arial" w:hAnsi="Arial"/>
                <w:sz w:val="18"/>
                <w:szCs w:val="18"/>
                <w:color w:val="auto"/>
              </w:rPr>
              <w:t>6/1/22 - 5/31/23</w:t>
            </w:r>
          </w:p>
        </w:tc>
        <w:tc>
          <w:tcPr>
            <w:tcW w:w="0" w:type="dxa"/>
            <w:vAlign w:val="bottom"/>
          </w:tcPr>
          <w:p>
            <w:pPr>
              <w:spacing w:after="0"/>
              <w:rPr>
                <w:sz w:val="1"/>
                <w:szCs w:val="1"/>
                <w:color w:val="auto"/>
              </w:rPr>
            </w:pPr>
          </w:p>
        </w:tc>
      </w:tr>
      <w:tr>
        <w:trPr>
          <w:trHeight w:val="229"/>
        </w:trPr>
        <w:tc>
          <w:tcPr>
            <w:tcW w:w="1380" w:type="dxa"/>
            <w:vAlign w:val="bottom"/>
            <w:vMerge w:val="restart"/>
          </w:tcPr>
          <w:p>
            <w:pPr>
              <w:spacing w:after="0"/>
              <w:rPr>
                <w:sz w:val="20"/>
                <w:szCs w:val="20"/>
                <w:color w:val="auto"/>
              </w:rPr>
            </w:pPr>
            <w:r>
              <w:rPr>
                <w:rFonts w:ascii="Arial" w:cs="Arial" w:eastAsia="Arial" w:hAnsi="Arial"/>
                <w:sz w:val="18"/>
                <w:szCs w:val="18"/>
                <w:color w:val="auto"/>
              </w:rPr>
              <w:t>Current annual</w:t>
            </w:r>
          </w:p>
        </w:tc>
        <w:tc>
          <w:tcPr>
            <w:tcW w:w="1680" w:type="dxa"/>
            <w:vAlign w:val="bottom"/>
          </w:tcPr>
          <w:p>
            <w:pPr>
              <w:ind w:left="80"/>
              <w:spacing w:after="0"/>
              <w:rPr>
                <w:sz w:val="20"/>
                <w:szCs w:val="20"/>
                <w:color w:val="auto"/>
              </w:rPr>
            </w:pPr>
            <w:r>
              <w:rPr>
                <w:rFonts w:ascii="Arial" w:cs="Arial" w:eastAsia="Arial" w:hAnsi="Arial"/>
                <w:sz w:val="18"/>
                <w:szCs w:val="18"/>
                <w:color w:val="auto"/>
              </w:rPr>
              <w:t>(Lease Year 4)</w:t>
            </w:r>
          </w:p>
        </w:tc>
        <w:tc>
          <w:tcPr>
            <w:tcW w:w="1580" w:type="dxa"/>
            <w:vAlign w:val="bottom"/>
          </w:tcPr>
          <w:p>
            <w:pPr>
              <w:ind w:left="60"/>
              <w:spacing w:after="0"/>
              <w:rPr>
                <w:sz w:val="20"/>
                <w:szCs w:val="20"/>
                <w:color w:val="auto"/>
              </w:rPr>
            </w:pPr>
            <w:r>
              <w:rPr>
                <w:rFonts w:ascii="Arial" w:cs="Arial" w:eastAsia="Arial" w:hAnsi="Arial"/>
                <w:sz w:val="18"/>
                <w:szCs w:val="18"/>
                <w:color w:val="auto"/>
              </w:rPr>
              <w:t>(Lease Year 4)</w:t>
            </w:r>
          </w:p>
        </w:tc>
        <w:tc>
          <w:tcPr>
            <w:tcW w:w="0" w:type="dxa"/>
            <w:vAlign w:val="bottom"/>
          </w:tcPr>
          <w:p>
            <w:pPr>
              <w:spacing w:after="0"/>
              <w:rPr>
                <w:sz w:val="1"/>
                <w:szCs w:val="1"/>
                <w:color w:val="auto"/>
              </w:rPr>
            </w:pPr>
          </w:p>
        </w:tc>
      </w:tr>
      <w:tr>
        <w:trPr>
          <w:trHeight w:val="95"/>
        </w:trPr>
        <w:tc>
          <w:tcPr>
            <w:tcW w:w="1380" w:type="dxa"/>
            <w:vAlign w:val="bottom"/>
            <w:vMerge w:val="continue"/>
          </w:tcPr>
          <w:p>
            <w:pPr>
              <w:spacing w:after="0"/>
              <w:rPr>
                <w:sz w:val="8"/>
                <w:szCs w:val="8"/>
                <w:color w:val="auto"/>
              </w:rPr>
            </w:pPr>
          </w:p>
        </w:tc>
        <w:tc>
          <w:tcPr>
            <w:tcW w:w="1680" w:type="dxa"/>
            <w:vAlign w:val="bottom"/>
            <w:vMerge w:val="restart"/>
          </w:tcPr>
          <w:p>
            <w:pPr>
              <w:ind w:left="80"/>
              <w:spacing w:after="0"/>
              <w:rPr>
                <w:sz w:val="20"/>
                <w:szCs w:val="20"/>
                <w:color w:val="auto"/>
              </w:rPr>
            </w:pPr>
            <w:r>
              <w:rPr>
                <w:rFonts w:ascii="Arial" w:cs="Arial" w:eastAsia="Arial" w:hAnsi="Arial"/>
                <w:sz w:val="18"/>
                <w:szCs w:val="18"/>
                <w:color w:val="auto"/>
              </w:rPr>
              <w:t>$23,813</w:t>
            </w:r>
          </w:p>
        </w:tc>
        <w:tc>
          <w:tcPr>
            <w:tcW w:w="1580" w:type="dxa"/>
            <w:vAlign w:val="bottom"/>
            <w:vMerge w:val="restart"/>
          </w:tcPr>
          <w:p>
            <w:pPr>
              <w:ind w:left="60"/>
              <w:spacing w:after="0"/>
              <w:rPr>
                <w:sz w:val="20"/>
                <w:szCs w:val="20"/>
                <w:color w:val="auto"/>
              </w:rPr>
            </w:pPr>
            <w:r>
              <w:rPr>
                <w:rFonts w:ascii="Arial" w:cs="Arial" w:eastAsia="Arial" w:hAnsi="Arial"/>
                <w:sz w:val="18"/>
                <w:szCs w:val="18"/>
                <w:color w:val="auto"/>
              </w:rPr>
              <w:t>$51,321</w:t>
            </w:r>
          </w:p>
        </w:tc>
        <w:tc>
          <w:tcPr>
            <w:tcW w:w="0" w:type="dxa"/>
            <w:vAlign w:val="bottom"/>
          </w:tcPr>
          <w:p>
            <w:pPr>
              <w:spacing w:after="0"/>
              <w:rPr>
                <w:sz w:val="1"/>
                <w:szCs w:val="1"/>
                <w:color w:val="auto"/>
              </w:rPr>
            </w:pPr>
          </w:p>
        </w:tc>
      </w:tr>
      <w:tr>
        <w:trPr>
          <w:trHeight w:val="304"/>
        </w:trPr>
        <w:tc>
          <w:tcPr>
            <w:tcW w:w="1380" w:type="dxa"/>
            <w:vAlign w:val="bottom"/>
          </w:tcPr>
          <w:p>
            <w:pPr>
              <w:spacing w:after="0"/>
              <w:rPr>
                <w:sz w:val="20"/>
                <w:szCs w:val="20"/>
                <w:color w:val="auto"/>
              </w:rPr>
            </w:pPr>
            <w:r>
              <w:rPr>
                <w:rFonts w:ascii="Arial" w:cs="Arial" w:eastAsia="Arial" w:hAnsi="Arial"/>
                <w:sz w:val="18"/>
                <w:szCs w:val="18"/>
                <w:color w:val="auto"/>
              </w:rPr>
              <w:t xml:space="preserve">rent </w:t>
            </w:r>
            <w:r>
              <w:rPr>
                <w:rFonts w:ascii="Arial" w:cs="Arial" w:eastAsia="Arial" w:hAnsi="Arial"/>
                <w:sz w:val="23"/>
                <w:szCs w:val="23"/>
                <w:i w:val="1"/>
                <w:iCs w:val="1"/>
                <w:color w:val="auto"/>
                <w:vertAlign w:val="superscript"/>
              </w:rPr>
              <w:t>(1)</w:t>
            </w:r>
          </w:p>
        </w:tc>
        <w:tc>
          <w:tcPr>
            <w:tcW w:w="1680" w:type="dxa"/>
            <w:vAlign w:val="bottom"/>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380" w:type="dxa"/>
            <w:vAlign w:val="bottom"/>
          </w:tcPr>
          <w:p>
            <w:pPr>
              <w:spacing w:after="0"/>
              <w:rPr>
                <w:sz w:val="20"/>
                <w:szCs w:val="20"/>
                <w:color w:val="auto"/>
              </w:rPr>
            </w:pPr>
            <w:r>
              <w:rPr>
                <w:rFonts w:ascii="Arial" w:cs="Arial" w:eastAsia="Arial" w:hAnsi="Arial"/>
                <w:sz w:val="18"/>
                <w:szCs w:val="18"/>
                <w:color w:val="auto"/>
              </w:rPr>
              <w:t>Annual escalator</w:t>
            </w:r>
          </w:p>
        </w:tc>
        <w:tc>
          <w:tcPr>
            <w:tcW w:w="1680" w:type="dxa"/>
            <w:vAlign w:val="bottom"/>
          </w:tcPr>
          <w:p>
            <w:pPr>
              <w:ind w:left="80"/>
              <w:spacing w:after="0"/>
              <w:rPr>
                <w:sz w:val="20"/>
                <w:szCs w:val="20"/>
                <w:color w:val="auto"/>
              </w:rPr>
            </w:pPr>
            <w:r>
              <w:rPr>
                <w:rFonts w:ascii="Arial" w:cs="Arial" w:eastAsia="Arial" w:hAnsi="Arial"/>
                <w:sz w:val="18"/>
                <w:szCs w:val="18"/>
                <w:color w:val="auto"/>
                <w:w w:val="99"/>
              </w:rPr>
              <w:t>2% of Building base</w:t>
            </w:r>
          </w:p>
        </w:tc>
        <w:tc>
          <w:tcPr>
            <w:tcW w:w="1580" w:type="dxa"/>
            <w:vAlign w:val="bottom"/>
          </w:tcPr>
          <w:p>
            <w:pPr>
              <w:ind w:left="60"/>
              <w:spacing w:after="0"/>
              <w:rPr>
                <w:sz w:val="20"/>
                <w:szCs w:val="20"/>
                <w:color w:val="auto"/>
              </w:rPr>
            </w:pPr>
            <w:r>
              <w:rPr>
                <w:rFonts w:ascii="Arial" w:cs="Arial" w:eastAsia="Arial" w:hAnsi="Arial"/>
                <w:sz w:val="18"/>
                <w:szCs w:val="18"/>
                <w:color w:val="auto"/>
                <w:w w:val="94"/>
              </w:rPr>
              <w:t>2% of Building base</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20"/>
                <w:szCs w:val="20"/>
                <w:color w:val="auto"/>
              </w:rPr>
            </w:pPr>
            <w:r>
              <w:rPr>
                <w:rFonts w:ascii="Arial" w:cs="Arial" w:eastAsia="Arial" w:hAnsi="Arial"/>
                <w:sz w:val="12"/>
                <w:szCs w:val="12"/>
                <w:i w:val="1"/>
                <w:iCs w:val="1"/>
                <w:color w:val="auto"/>
              </w:rPr>
              <w:t>(2)</w:t>
            </w:r>
          </w:p>
        </w:tc>
        <w:tc>
          <w:tcPr>
            <w:tcW w:w="1680" w:type="dxa"/>
            <w:vAlign w:val="bottom"/>
            <w:vMerge w:val="restart"/>
          </w:tcPr>
          <w:p>
            <w:pPr>
              <w:ind w:left="80"/>
              <w:spacing w:after="0"/>
              <w:rPr>
                <w:sz w:val="20"/>
                <w:szCs w:val="20"/>
                <w:color w:val="auto"/>
              </w:rPr>
            </w:pPr>
            <w:r>
              <w:rPr>
                <w:rFonts w:ascii="Arial" w:cs="Arial" w:eastAsia="Arial" w:hAnsi="Arial"/>
                <w:sz w:val="18"/>
                <w:szCs w:val="18"/>
                <w:color w:val="auto"/>
              </w:rPr>
              <w:t>rent ($17.2 million)</w:t>
            </w:r>
          </w:p>
        </w:tc>
        <w:tc>
          <w:tcPr>
            <w:tcW w:w="1580" w:type="dxa"/>
            <w:vAlign w:val="bottom"/>
            <w:vMerge w:val="restart"/>
          </w:tcPr>
          <w:p>
            <w:pPr>
              <w:ind w:left="60"/>
              <w:spacing w:after="0"/>
              <w:rPr>
                <w:sz w:val="20"/>
                <w:szCs w:val="20"/>
                <w:color w:val="auto"/>
              </w:rPr>
            </w:pPr>
            <w:r>
              <w:rPr>
                <w:rFonts w:ascii="Arial" w:cs="Arial" w:eastAsia="Arial" w:hAnsi="Arial"/>
                <w:sz w:val="18"/>
                <w:szCs w:val="18"/>
                <w:color w:val="auto"/>
              </w:rPr>
              <w:t>rent ($42.8 million)</w:t>
            </w:r>
          </w:p>
        </w:tc>
        <w:tc>
          <w:tcPr>
            <w:tcW w:w="0" w:type="dxa"/>
            <w:vAlign w:val="bottom"/>
          </w:tcPr>
          <w:p>
            <w:pPr>
              <w:spacing w:after="0"/>
              <w:rPr>
                <w:sz w:val="1"/>
                <w:szCs w:val="1"/>
                <w:color w:val="auto"/>
              </w:rPr>
            </w:pPr>
          </w:p>
        </w:tc>
      </w:tr>
      <w:tr>
        <w:trPr>
          <w:trHeight w:val="82"/>
        </w:trPr>
        <w:tc>
          <w:tcPr>
            <w:tcW w:w="138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8" w:right="260"/>
        <w:spacing w:after="0" w:line="234" w:lineRule="auto"/>
        <w:rPr>
          <w:sz w:val="20"/>
          <w:szCs w:val="20"/>
          <w:color w:val="auto"/>
        </w:rPr>
      </w:pPr>
      <w:r>
        <w:rPr>
          <w:rFonts w:ascii="Arial" w:cs="Arial" w:eastAsia="Arial" w:hAnsi="Arial"/>
          <w:sz w:val="18"/>
          <w:szCs w:val="18"/>
          <w:color w:val="auto"/>
        </w:rPr>
        <w:t>Four, five-year terms</w:t>
      </w:r>
    </w:p>
    <w:p>
      <w:pPr>
        <w:spacing w:after="0" w:line="1" w:lineRule="exact"/>
        <w:rPr>
          <w:sz w:val="20"/>
          <w:szCs w:val="20"/>
          <w:color w:val="auto"/>
        </w:rPr>
      </w:pPr>
    </w:p>
    <w:p>
      <w:pPr>
        <w:ind w:left="8" w:right="80"/>
        <w:spacing w:after="0" w:line="288" w:lineRule="auto"/>
        <w:rPr>
          <w:sz w:val="20"/>
          <w:szCs w:val="20"/>
          <w:color w:val="auto"/>
        </w:rPr>
      </w:pPr>
      <w:r>
        <w:rPr>
          <w:rFonts w:ascii="Arial" w:cs="Arial" w:eastAsia="Arial" w:hAnsi="Arial"/>
          <w:sz w:val="16"/>
          <w:szCs w:val="16"/>
          <w:color w:val="auto"/>
        </w:rPr>
        <w:t>10/1/21 - 9/30/22 (Lease Year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-22860</wp:posOffset>
            </wp:positionV>
            <wp:extent cx="7132320" cy="257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4" w:lineRule="exact"/>
        <w:rPr>
          <w:sz w:val="20"/>
          <w:szCs w:val="20"/>
          <w:color w:val="auto"/>
        </w:rPr>
      </w:pPr>
    </w:p>
    <w:p>
      <w:pPr>
        <w:ind w:left="8"/>
        <w:spacing w:after="0"/>
        <w:rPr>
          <w:sz w:val="20"/>
          <w:szCs w:val="20"/>
          <w:color w:val="auto"/>
        </w:rPr>
      </w:pPr>
      <w:r>
        <w:rPr>
          <w:rFonts w:ascii="Arial" w:cs="Arial" w:eastAsia="Arial" w:hAnsi="Arial"/>
          <w:sz w:val="18"/>
          <w:szCs w:val="18"/>
          <w:color w:val="auto"/>
        </w:rPr>
        <w:t>$44,042</w:t>
      </w:r>
    </w:p>
    <w:p>
      <w:pPr>
        <w:spacing w:after="0" w:line="198" w:lineRule="exact"/>
        <w:rPr>
          <w:sz w:val="20"/>
          <w:szCs w:val="20"/>
          <w:color w:val="auto"/>
        </w:rPr>
      </w:pPr>
    </w:p>
    <w:p>
      <w:pPr>
        <w:ind w:left="8" w:right="100"/>
        <w:spacing w:after="0" w:line="212" w:lineRule="auto"/>
        <w:rPr>
          <w:sz w:val="20"/>
          <w:szCs w:val="20"/>
          <w:color w:val="auto"/>
        </w:rPr>
      </w:pPr>
      <w:r>
        <w:rPr>
          <w:rFonts w:ascii="Arial" w:cs="Arial" w:eastAsia="Arial" w:hAnsi="Arial"/>
          <w:sz w:val="18"/>
          <w:szCs w:val="18"/>
          <w:color w:val="auto"/>
        </w:rPr>
        <w:t>Lease years 2-4 - 1.5%</w:t>
      </w:r>
    </w:p>
    <w:p>
      <w:pPr>
        <w:spacing w:after="0" w:line="1" w:lineRule="exact"/>
        <w:rPr>
          <w:sz w:val="20"/>
          <w:szCs w:val="20"/>
          <w:color w:val="auto"/>
        </w:rPr>
      </w:pPr>
    </w:p>
    <w:p>
      <w:pPr>
        <w:ind w:left="8"/>
        <w:spacing w:after="0"/>
        <w:rPr>
          <w:sz w:val="20"/>
          <w:szCs w:val="20"/>
          <w:color w:val="auto"/>
        </w:rPr>
      </w:pPr>
      <w:r>
        <w:rPr>
          <w:rFonts w:ascii="Arial" w:cs="Arial" w:eastAsia="Arial" w:hAnsi="Arial"/>
          <w:sz w:val="15"/>
          <w:szCs w:val="15"/>
          <w:color w:val="auto"/>
        </w:rPr>
        <w:t>Lease years 5-15 -</w:t>
      </w:r>
    </w:p>
    <w:p>
      <w:pPr>
        <w:spacing w:after="0" w:line="3" w:lineRule="exact"/>
        <w:rPr>
          <w:sz w:val="20"/>
          <w:szCs w:val="20"/>
          <w:color w:val="auto"/>
        </w:rPr>
      </w:pPr>
    </w:p>
    <w:p>
      <w:pPr>
        <w:ind w:left="8" w:right="100" w:hanging="8"/>
        <w:spacing w:after="0" w:line="233" w:lineRule="auto"/>
        <w:tabs>
          <w:tab w:leader="none" w:pos="1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2% / change in CPI </w:t>
      </w:r>
      <w:r>
        <w:rPr>
          <w:rFonts w:ascii="Arial" w:cs="Arial" w:eastAsia="Arial" w:hAnsi="Arial"/>
          <w:sz w:val="23"/>
          <w:szCs w:val="23"/>
          <w:i w:val="1"/>
          <w:iCs w:val="1"/>
          <w:color w:val="auto"/>
          <w:vertAlign w:val="superscript"/>
        </w:rPr>
        <w:t>(3)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440" w:type="dxa"/>
            <w:vAlign w:val="bottom"/>
          </w:tcPr>
          <w:p>
            <w:pPr>
              <w:spacing w:after="0" w:line="175" w:lineRule="exact"/>
              <w:rPr>
                <w:sz w:val="20"/>
                <w:szCs w:val="20"/>
                <w:color w:val="auto"/>
              </w:rPr>
            </w:pPr>
            <w:r>
              <w:rPr>
                <w:rFonts w:ascii="Arial" w:cs="Arial" w:eastAsia="Arial" w:hAnsi="Arial"/>
                <w:sz w:val="18"/>
                <w:szCs w:val="18"/>
                <w:color w:val="auto"/>
              </w:rPr>
              <w:t>Four, five-year</w:t>
            </w:r>
          </w:p>
        </w:tc>
        <w:tc>
          <w:tcPr>
            <w:tcW w:w="1680" w:type="dxa"/>
            <w:vAlign w:val="bottom"/>
          </w:tcPr>
          <w:p>
            <w:pPr>
              <w:ind w:left="140"/>
              <w:spacing w:after="0" w:line="175" w:lineRule="exact"/>
              <w:rPr>
                <w:sz w:val="20"/>
                <w:szCs w:val="20"/>
                <w:color w:val="auto"/>
              </w:rPr>
            </w:pPr>
            <w:r>
              <w:rPr>
                <w:rFonts w:ascii="Arial" w:cs="Arial" w:eastAsia="Arial" w:hAnsi="Arial"/>
                <w:sz w:val="18"/>
                <w:szCs w:val="18"/>
                <w:color w:val="auto"/>
              </w:rPr>
              <w:t>Three, five-year</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20"/>
                <w:szCs w:val="20"/>
                <w:color w:val="auto"/>
              </w:rPr>
            </w:pPr>
            <w:r>
              <w:rPr>
                <w:rFonts w:ascii="Arial" w:cs="Arial" w:eastAsia="Arial" w:hAnsi="Arial"/>
                <w:sz w:val="18"/>
                <w:szCs w:val="18"/>
                <w:color w:val="auto"/>
              </w:rPr>
              <w:t>terms</w:t>
            </w:r>
          </w:p>
        </w:tc>
        <w:tc>
          <w:tcPr>
            <w:tcW w:w="1680" w:type="dxa"/>
            <w:vAlign w:val="bottom"/>
          </w:tcPr>
          <w:p>
            <w:pPr>
              <w:ind w:left="140"/>
              <w:spacing w:after="0"/>
              <w:rPr>
                <w:sz w:val="20"/>
                <w:szCs w:val="20"/>
                <w:color w:val="auto"/>
              </w:rPr>
            </w:pPr>
            <w:r>
              <w:rPr>
                <w:rFonts w:ascii="Arial" w:cs="Arial" w:eastAsia="Arial" w:hAnsi="Arial"/>
                <w:sz w:val="18"/>
                <w:szCs w:val="18"/>
                <w:color w:val="auto"/>
              </w:rPr>
              <w:t>terms</w:t>
            </w:r>
          </w:p>
        </w:tc>
        <w:tc>
          <w:tcPr>
            <w:tcW w:w="0" w:type="dxa"/>
            <w:vAlign w:val="bottom"/>
          </w:tcPr>
          <w:p>
            <w:pPr>
              <w:spacing w:after="0"/>
              <w:rPr>
                <w:sz w:val="1"/>
                <w:szCs w:val="1"/>
                <w:color w:val="auto"/>
              </w:rPr>
            </w:pPr>
          </w:p>
        </w:tc>
      </w:tr>
      <w:tr>
        <w:trPr>
          <w:trHeight w:val="176"/>
        </w:trPr>
        <w:tc>
          <w:tcPr>
            <w:tcW w:w="1440" w:type="dxa"/>
            <w:vAlign w:val="bottom"/>
          </w:tcPr>
          <w:p>
            <w:pPr>
              <w:spacing w:after="0" w:line="176" w:lineRule="exact"/>
              <w:rPr>
                <w:sz w:val="20"/>
                <w:szCs w:val="20"/>
                <w:color w:val="auto"/>
              </w:rPr>
            </w:pPr>
            <w:r>
              <w:rPr>
                <w:rFonts w:ascii="Arial" w:cs="Arial" w:eastAsia="Arial" w:hAnsi="Arial"/>
                <w:sz w:val="18"/>
                <w:szCs w:val="18"/>
                <w:color w:val="auto"/>
              </w:rPr>
              <w:t>1/1/22 - 12/31/22</w:t>
            </w:r>
          </w:p>
        </w:tc>
        <w:tc>
          <w:tcPr>
            <w:tcW w:w="1680" w:type="dxa"/>
            <w:vAlign w:val="bottom"/>
          </w:tcPr>
          <w:p>
            <w:pPr>
              <w:ind w:left="140"/>
              <w:spacing w:after="0" w:line="176" w:lineRule="exact"/>
              <w:rPr>
                <w:sz w:val="20"/>
                <w:szCs w:val="20"/>
                <w:color w:val="auto"/>
              </w:rPr>
            </w:pPr>
            <w:r>
              <w:rPr>
                <w:rFonts w:ascii="Arial" w:cs="Arial" w:eastAsia="Arial" w:hAnsi="Arial"/>
                <w:sz w:val="18"/>
                <w:szCs w:val="18"/>
                <w:color w:val="auto"/>
              </w:rPr>
              <w:t>2/1/22 - 1/31/23</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(Lease Year 3)</w:t>
            </w:r>
          </w:p>
        </w:tc>
        <w:tc>
          <w:tcPr>
            <w:tcW w:w="1680" w:type="dxa"/>
            <w:vAlign w:val="bottom"/>
          </w:tcPr>
          <w:p>
            <w:pPr>
              <w:ind w:left="140"/>
              <w:spacing w:after="0"/>
              <w:rPr>
                <w:sz w:val="20"/>
                <w:szCs w:val="20"/>
                <w:color w:val="auto"/>
              </w:rPr>
            </w:pPr>
            <w:r>
              <w:rPr>
                <w:rFonts w:ascii="Arial" w:cs="Arial" w:eastAsia="Arial" w:hAnsi="Arial"/>
                <w:sz w:val="18"/>
                <w:szCs w:val="18"/>
                <w:color w:val="auto"/>
              </w:rPr>
              <w:t>(Lease Year 3)</w:t>
            </w:r>
          </w:p>
        </w:tc>
        <w:tc>
          <w:tcPr>
            <w:tcW w:w="0" w:type="dxa"/>
            <w:vAlign w:val="bottom"/>
          </w:tcPr>
          <w:p>
            <w:pPr>
              <w:spacing w:after="0"/>
              <w:rPr>
                <w:sz w:val="1"/>
                <w:szCs w:val="1"/>
                <w:color w:val="auto"/>
              </w:rPr>
            </w:pP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$25,503</w:t>
            </w:r>
          </w:p>
        </w:tc>
        <w:tc>
          <w:tcPr>
            <w:tcW w:w="1680" w:type="dxa"/>
            <w:vAlign w:val="bottom"/>
          </w:tcPr>
          <w:p>
            <w:pPr>
              <w:ind w:left="140"/>
              <w:spacing w:after="0"/>
              <w:rPr>
                <w:sz w:val="20"/>
                <w:szCs w:val="20"/>
                <w:color w:val="auto"/>
              </w:rPr>
            </w:pPr>
            <w:r>
              <w:rPr>
                <w:rFonts w:ascii="Arial" w:cs="Arial" w:eastAsia="Arial" w:hAnsi="Arial"/>
                <w:sz w:val="18"/>
                <w:szCs w:val="18"/>
                <w:color w:val="auto"/>
              </w:rPr>
              <w:t>$68,704</w:t>
            </w:r>
          </w:p>
        </w:tc>
        <w:tc>
          <w:tcPr>
            <w:tcW w:w="0" w:type="dxa"/>
            <w:vAlign w:val="bottom"/>
          </w:tcPr>
          <w:p>
            <w:pPr>
              <w:spacing w:after="0"/>
              <w:rPr>
                <w:sz w:val="1"/>
                <w:szCs w:val="1"/>
                <w:color w:val="auto"/>
              </w:rPr>
            </w:pPr>
          </w:p>
        </w:tc>
      </w:tr>
      <w:tr>
        <w:trPr>
          <w:trHeight w:val="270"/>
        </w:trPr>
        <w:tc>
          <w:tcPr>
            <w:tcW w:w="1440" w:type="dxa"/>
            <w:vAlign w:val="bottom"/>
            <w:vMerge w:val="restart"/>
          </w:tcPr>
          <w:p>
            <w:pPr>
              <w:spacing w:after="0"/>
              <w:rPr>
                <w:sz w:val="20"/>
                <w:szCs w:val="20"/>
                <w:color w:val="auto"/>
              </w:rPr>
            </w:pPr>
            <w:r>
              <w:rPr>
                <w:rFonts w:ascii="Arial" w:cs="Arial" w:eastAsia="Arial" w:hAnsi="Arial"/>
                <w:sz w:val="18"/>
                <w:szCs w:val="18"/>
                <w:color w:val="auto"/>
              </w:rPr>
              <w:t>Lease years 2-3 -</w:t>
            </w:r>
          </w:p>
        </w:tc>
        <w:tc>
          <w:tcPr>
            <w:tcW w:w="1680" w:type="dxa"/>
            <w:vAlign w:val="bottom"/>
          </w:tcPr>
          <w:p>
            <w:pPr>
              <w:ind w:left="140"/>
              <w:spacing w:after="0"/>
              <w:rPr>
                <w:sz w:val="20"/>
                <w:szCs w:val="20"/>
                <w:color w:val="auto"/>
              </w:rPr>
            </w:pPr>
            <w:r>
              <w:rPr>
                <w:rFonts w:ascii="Arial" w:cs="Arial" w:eastAsia="Arial" w:hAnsi="Arial"/>
                <w:sz w:val="18"/>
                <w:szCs w:val="18"/>
                <w:color w:val="auto"/>
                <w:w w:val="94"/>
              </w:rPr>
              <w:t>Lease year 3 - 1.0%</w:t>
            </w:r>
          </w:p>
        </w:tc>
        <w:tc>
          <w:tcPr>
            <w:tcW w:w="0" w:type="dxa"/>
            <w:vAlign w:val="bottom"/>
          </w:tcPr>
          <w:p>
            <w:pPr>
              <w:spacing w:after="0"/>
              <w:rPr>
                <w:sz w:val="1"/>
                <w:szCs w:val="1"/>
                <w:color w:val="auto"/>
              </w:rPr>
            </w:pPr>
          </w:p>
        </w:tc>
      </w:tr>
      <w:tr>
        <w:trPr>
          <w:trHeight w:val="175"/>
        </w:trPr>
        <w:tc>
          <w:tcPr>
            <w:tcW w:w="1440" w:type="dxa"/>
            <w:vAlign w:val="bottom"/>
            <w:vMerge w:val="continue"/>
          </w:tcPr>
          <w:p>
            <w:pPr>
              <w:spacing w:after="0"/>
              <w:rPr>
                <w:sz w:val="15"/>
                <w:szCs w:val="15"/>
                <w:color w:val="auto"/>
              </w:rPr>
            </w:pPr>
          </w:p>
        </w:tc>
        <w:tc>
          <w:tcPr>
            <w:tcW w:w="1680" w:type="dxa"/>
            <w:vAlign w:val="bottom"/>
          </w:tcPr>
          <w:p>
            <w:pPr>
              <w:ind w:left="140"/>
              <w:spacing w:after="0" w:line="176" w:lineRule="exact"/>
              <w:rPr>
                <w:sz w:val="20"/>
                <w:szCs w:val="20"/>
                <w:color w:val="auto"/>
              </w:rPr>
            </w:pPr>
            <w:r>
              <w:rPr>
                <w:rFonts w:ascii="Arial" w:cs="Arial" w:eastAsia="Arial" w:hAnsi="Arial"/>
                <w:sz w:val="18"/>
                <w:szCs w:val="18"/>
                <w:color w:val="auto"/>
              </w:rPr>
              <w:t>Lease years 4-6 -</w:t>
            </w:r>
          </w:p>
        </w:tc>
        <w:tc>
          <w:tcPr>
            <w:tcW w:w="0" w:type="dxa"/>
            <w:vAlign w:val="bottom"/>
          </w:tcPr>
          <w:p>
            <w:pPr>
              <w:spacing w:after="0"/>
              <w:rPr>
                <w:sz w:val="1"/>
                <w:szCs w:val="1"/>
                <w:color w:val="auto"/>
              </w:rPr>
            </w:pPr>
          </w:p>
        </w:tc>
      </w:tr>
      <w:tr>
        <w:trPr>
          <w:trHeight w:val="176"/>
        </w:trPr>
        <w:tc>
          <w:tcPr>
            <w:tcW w:w="1440" w:type="dxa"/>
            <w:vAlign w:val="bottom"/>
          </w:tcPr>
          <w:p>
            <w:pPr>
              <w:spacing w:after="0" w:line="176" w:lineRule="exact"/>
              <w:rPr>
                <w:sz w:val="20"/>
                <w:szCs w:val="20"/>
                <w:color w:val="auto"/>
              </w:rPr>
            </w:pPr>
            <w:r>
              <w:rPr>
                <w:rFonts w:ascii="Arial" w:cs="Arial" w:eastAsia="Arial" w:hAnsi="Arial"/>
                <w:sz w:val="18"/>
                <w:szCs w:val="18"/>
                <w:color w:val="auto"/>
              </w:rPr>
              <w:t>1.0%</w:t>
            </w:r>
          </w:p>
        </w:tc>
        <w:tc>
          <w:tcPr>
            <w:tcW w:w="1680" w:type="dxa"/>
            <w:vAlign w:val="bottom"/>
          </w:tcPr>
          <w:p>
            <w:pPr>
              <w:ind w:left="140"/>
              <w:spacing w:after="0" w:line="17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76"/>
        </w:trPr>
        <w:tc>
          <w:tcPr>
            <w:tcW w:w="1440" w:type="dxa"/>
            <w:vAlign w:val="bottom"/>
          </w:tcPr>
          <w:p>
            <w:pPr>
              <w:spacing w:after="0" w:line="176" w:lineRule="exact"/>
              <w:rPr>
                <w:sz w:val="20"/>
                <w:szCs w:val="20"/>
                <w:color w:val="auto"/>
              </w:rPr>
            </w:pPr>
            <w:r>
              <w:rPr>
                <w:rFonts w:ascii="Arial" w:cs="Arial" w:eastAsia="Arial" w:hAnsi="Arial"/>
                <w:sz w:val="18"/>
                <w:szCs w:val="18"/>
                <w:color w:val="auto"/>
                <w:w w:val="94"/>
              </w:rPr>
              <w:t>Lease years 4-15 -</w:t>
            </w:r>
          </w:p>
        </w:tc>
        <w:tc>
          <w:tcPr>
            <w:tcW w:w="1680" w:type="dxa"/>
            <w:vAlign w:val="bottom"/>
          </w:tcPr>
          <w:p>
            <w:pPr>
              <w:ind w:left="140"/>
              <w:spacing w:after="0" w:line="176" w:lineRule="exact"/>
              <w:rPr>
                <w:sz w:val="20"/>
                <w:szCs w:val="20"/>
                <w:color w:val="auto"/>
              </w:rPr>
            </w:pPr>
            <w:r>
              <w:rPr>
                <w:rFonts w:ascii="Arial" w:cs="Arial" w:eastAsia="Arial" w:hAnsi="Arial"/>
                <w:sz w:val="18"/>
                <w:szCs w:val="18"/>
                <w:color w:val="auto"/>
              </w:rPr>
              <w:t>Lease years 7-20 -</w:t>
            </w:r>
          </w:p>
        </w:tc>
        <w:tc>
          <w:tcPr>
            <w:tcW w:w="0" w:type="dxa"/>
            <w:vAlign w:val="bottom"/>
          </w:tcPr>
          <w:p>
            <w:pPr>
              <w:spacing w:after="0"/>
              <w:rPr>
                <w:sz w:val="1"/>
                <w:szCs w:val="1"/>
                <w:color w:val="auto"/>
              </w:rPr>
            </w:pPr>
          </w:p>
        </w:tc>
      </w:tr>
      <w:tr>
        <w:trPr>
          <w:trHeight w:val="175"/>
        </w:trPr>
        <w:tc>
          <w:tcPr>
            <w:tcW w:w="1440" w:type="dxa"/>
            <w:vAlign w:val="bottom"/>
          </w:tcPr>
          <w:p>
            <w:pPr>
              <w:spacing w:after="0" w:line="176" w:lineRule="exact"/>
              <w:rPr>
                <w:sz w:val="20"/>
                <w:szCs w:val="20"/>
                <w:color w:val="auto"/>
              </w:rPr>
            </w:pPr>
            <w:r>
              <w:rPr>
                <w:rFonts w:ascii="Arial" w:cs="Arial" w:eastAsia="Arial" w:hAnsi="Arial"/>
                <w:sz w:val="18"/>
                <w:szCs w:val="18"/>
                <w:color w:val="auto"/>
              </w:rPr>
              <w:t>&gt; 1.25% / CPI</w:t>
            </w:r>
          </w:p>
        </w:tc>
        <w:tc>
          <w:tcPr>
            <w:tcW w:w="1680" w:type="dxa"/>
            <w:vAlign w:val="bottom"/>
          </w:tcPr>
          <w:p>
            <w:pPr>
              <w:ind w:left="140"/>
              <w:spacing w:after="0" w:line="176" w:lineRule="exact"/>
              <w:rPr>
                <w:sz w:val="20"/>
                <w:szCs w:val="20"/>
                <w:color w:val="auto"/>
              </w:rPr>
            </w:pPr>
            <w:r>
              <w:rPr>
                <w:rFonts w:ascii="Arial" w:cs="Arial" w:eastAsia="Arial" w:hAnsi="Arial"/>
                <w:sz w:val="18"/>
                <w:szCs w:val="18"/>
                <w:color w:val="auto"/>
                <w:w w:val="89"/>
              </w:rPr>
              <w:t>&gt;1.5%/change in CPI</w:t>
            </w:r>
          </w:p>
        </w:tc>
        <w:tc>
          <w:tcPr>
            <w:tcW w:w="0" w:type="dxa"/>
            <w:vAlign w:val="bottom"/>
          </w:tcPr>
          <w:p>
            <w:pPr>
              <w:spacing w:after="0"/>
              <w:rPr>
                <w:sz w:val="1"/>
                <w:szCs w:val="1"/>
                <w:color w:val="auto"/>
              </w:rPr>
            </w:pPr>
          </w:p>
        </w:tc>
      </w:tr>
      <w:tr>
        <w:trPr>
          <w:trHeight w:val="228"/>
        </w:trPr>
        <w:tc>
          <w:tcPr>
            <w:tcW w:w="1440" w:type="dxa"/>
            <w:vAlign w:val="bottom"/>
          </w:tcPr>
          <w:p>
            <w:pPr>
              <w:spacing w:after="0"/>
              <w:rPr>
                <w:sz w:val="19"/>
                <w:szCs w:val="19"/>
                <w:color w:val="auto"/>
              </w:rPr>
            </w:pPr>
          </w:p>
        </w:tc>
        <w:tc>
          <w:tcPr>
            <w:tcW w:w="1680" w:type="dxa"/>
            <w:vAlign w:val="bottom"/>
          </w:tcPr>
          <w:p>
            <w:pPr>
              <w:ind w:left="140"/>
              <w:spacing w:after="0"/>
              <w:rPr>
                <w:sz w:val="20"/>
                <w:szCs w:val="20"/>
                <w:color w:val="auto"/>
              </w:rPr>
            </w:pPr>
            <w:r>
              <w:rPr>
                <w:rFonts w:ascii="Arial" w:cs="Arial" w:eastAsia="Arial" w:hAnsi="Arial"/>
                <w:sz w:val="18"/>
                <w:szCs w:val="18"/>
                <w:color w:val="auto"/>
              </w:rPr>
              <w:t>(capped at 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400"/>
        <w:spacing w:after="0" w:line="234" w:lineRule="auto"/>
        <w:rPr>
          <w:sz w:val="20"/>
          <w:szCs w:val="20"/>
          <w:color w:val="auto"/>
        </w:rPr>
      </w:pPr>
      <w:r>
        <w:rPr>
          <w:rFonts w:ascii="Arial" w:cs="Arial" w:eastAsia="Arial" w:hAnsi="Arial"/>
          <w:sz w:val="18"/>
          <w:szCs w:val="18"/>
          <w:color w:val="auto"/>
        </w:rPr>
        <w:t>Four, five-year terms</w:t>
      </w:r>
    </w:p>
    <w:p>
      <w:pPr>
        <w:spacing w:after="0" w:line="1" w:lineRule="exact"/>
        <w:rPr>
          <w:sz w:val="20"/>
          <w:szCs w:val="20"/>
          <w:color w:val="auto"/>
        </w:rPr>
      </w:pPr>
    </w:p>
    <w:p>
      <w:pPr>
        <w:ind w:right="320"/>
        <w:spacing w:after="0" w:line="288" w:lineRule="auto"/>
        <w:rPr>
          <w:sz w:val="20"/>
          <w:szCs w:val="20"/>
          <w:color w:val="auto"/>
        </w:rPr>
      </w:pPr>
      <w:r>
        <w:rPr>
          <w:rFonts w:ascii="Arial" w:cs="Arial" w:eastAsia="Arial" w:hAnsi="Arial"/>
          <w:sz w:val="16"/>
          <w:szCs w:val="16"/>
          <w:color w:val="auto"/>
        </w:rPr>
        <w:t>9/3/21 - 8/31/22 (Lease Year 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$32,500</w:t>
      </w:r>
    </w:p>
    <w:p>
      <w:pPr>
        <w:spacing w:after="0" w:line="198" w:lineRule="exact"/>
        <w:rPr>
          <w:sz w:val="20"/>
          <w:szCs w:val="20"/>
          <w:color w:val="auto"/>
        </w:rPr>
      </w:pPr>
    </w:p>
    <w:p>
      <w:pPr>
        <w:ind w:right="240"/>
        <w:spacing w:after="0" w:line="212" w:lineRule="auto"/>
        <w:rPr>
          <w:sz w:val="20"/>
          <w:szCs w:val="20"/>
          <w:color w:val="auto"/>
        </w:rPr>
      </w:pPr>
      <w:r>
        <w:rPr>
          <w:rFonts w:ascii="Arial" w:cs="Arial" w:eastAsia="Arial" w:hAnsi="Arial"/>
          <w:sz w:val="18"/>
          <w:szCs w:val="18"/>
          <w:color w:val="auto"/>
        </w:rPr>
        <w:t>Lease years 2-5 - 1.5%</w:t>
      </w:r>
    </w:p>
    <w:p>
      <w:pPr>
        <w:spacing w:after="0" w:line="1" w:lineRule="exact"/>
        <w:rPr>
          <w:sz w:val="20"/>
          <w:szCs w:val="20"/>
          <w:color w:val="auto"/>
        </w:rPr>
      </w:pPr>
    </w:p>
    <w:p>
      <w:pPr>
        <w:jc w:val="both"/>
        <w:ind w:right="160"/>
        <w:spacing w:after="0" w:line="218" w:lineRule="auto"/>
        <w:rPr>
          <w:sz w:val="20"/>
          <w:szCs w:val="20"/>
          <w:color w:val="auto"/>
        </w:rPr>
      </w:pPr>
      <w:r>
        <w:rPr>
          <w:rFonts w:ascii="Arial" w:cs="Arial" w:eastAsia="Arial" w:hAnsi="Arial"/>
          <w:sz w:val="18"/>
          <w:szCs w:val="18"/>
          <w:color w:val="auto"/>
        </w:rPr>
        <w:t>Lease years 6-15 - &gt;2.0% / change in CPI</w:t>
      </w:r>
    </w:p>
    <w:p>
      <w:pPr>
        <w:spacing w:after="0" w:line="94" w:lineRule="exact"/>
        <w:rPr>
          <w:sz w:val="20"/>
          <w:szCs w:val="20"/>
          <w:color w:val="auto"/>
        </w:rPr>
      </w:pPr>
    </w:p>
    <w:p>
      <w:pPr>
        <w:sectPr>
          <w:pgSz w:w="11900" w:h="16838" w:orient="portrait"/>
          <w:cols w:equalWidth="0" w:num="4">
            <w:col w:w="4660" w:space="212"/>
            <w:col w:w="1328" w:space="260"/>
            <w:col w:w="3120" w:space="180"/>
            <w:col w:w="1480"/>
          </w:cols>
          <w:pgMar w:left="320" w:top="287" w:right="339" w:bottom="1440" w:gutter="0" w:footer="0" w:header="0"/>
          <w:type w:val="continuous"/>
        </w:sectPr>
      </w:pPr>
    </w:p>
    <w:tbl>
      <w:tblPr>
        <w:tblLayout w:type="fixed"/>
        <w:tblInd w:w="0" w:type="dxa"/>
        <w:tblCellMar>
          <w:top w:w="0" w:type="dxa"/>
          <w:left w:w="0" w:type="dxa"/>
          <w:bottom w:w="0" w:type="dxa"/>
          <w:right w:w="0" w:type="dxa"/>
        </w:tblCellMar>
      </w:tblPr>
      <w:tr>
        <w:trPr>
          <w:trHeight w:val="177"/>
        </w:trPr>
        <w:tc>
          <w:tcPr>
            <w:tcW w:w="1100" w:type="dxa"/>
            <w:vAlign w:val="bottom"/>
            <w:shd w:val="clear" w:color="auto" w:fill="CCEEFF"/>
          </w:tcPr>
          <w:p>
            <w:pPr>
              <w:spacing w:after="0"/>
              <w:rPr>
                <w:sz w:val="15"/>
                <w:szCs w:val="15"/>
                <w:color w:val="auto"/>
              </w:rPr>
            </w:pPr>
          </w:p>
        </w:tc>
        <w:tc>
          <w:tcPr>
            <w:tcW w:w="1900" w:type="dxa"/>
            <w:vAlign w:val="bottom"/>
            <w:shd w:val="clear" w:color="auto" w:fill="CCEEFF"/>
          </w:tcPr>
          <w:p>
            <w:pPr>
              <w:ind w:left="380"/>
              <w:spacing w:after="0" w:line="177" w:lineRule="exact"/>
              <w:rPr>
                <w:sz w:val="20"/>
                <w:szCs w:val="20"/>
                <w:color w:val="auto"/>
              </w:rPr>
            </w:pPr>
            <w:r>
              <w:rPr>
                <w:rFonts w:ascii="Arial" w:cs="Arial" w:eastAsia="Arial" w:hAnsi="Arial"/>
                <w:sz w:val="18"/>
                <w:szCs w:val="18"/>
                <w:color w:val="auto"/>
                <w:w w:val="97"/>
              </w:rPr>
              <w:t>Net revenue to rent</w:t>
            </w:r>
          </w:p>
        </w:tc>
        <w:tc>
          <w:tcPr>
            <w:tcW w:w="1720" w:type="dxa"/>
            <w:vAlign w:val="bottom"/>
            <w:shd w:val="clear" w:color="auto" w:fill="CCEEFF"/>
          </w:tcPr>
          <w:p>
            <w:pPr>
              <w:ind w:left="140"/>
              <w:spacing w:after="0" w:line="177" w:lineRule="exact"/>
              <w:rPr>
                <w:sz w:val="20"/>
                <w:szCs w:val="20"/>
                <w:color w:val="auto"/>
              </w:rPr>
            </w:pPr>
            <w:r>
              <w:rPr>
                <w:rFonts w:ascii="Arial" w:cs="Arial" w:eastAsia="Arial" w:hAnsi="Arial"/>
                <w:sz w:val="18"/>
                <w:szCs w:val="18"/>
                <w:color w:val="auto"/>
                <w:w w:val="98"/>
              </w:rPr>
              <w:t>Net revenue ratio to</w:t>
            </w:r>
          </w:p>
        </w:tc>
        <w:tc>
          <w:tcPr>
            <w:tcW w:w="1140" w:type="dxa"/>
            <w:vAlign w:val="bottom"/>
            <w:shd w:val="clear" w:color="auto" w:fill="CCEEFF"/>
          </w:tcPr>
          <w:p>
            <w:pPr>
              <w:spacing w:after="0"/>
              <w:rPr>
                <w:sz w:val="15"/>
                <w:szCs w:val="15"/>
                <w:color w:val="auto"/>
              </w:rPr>
            </w:pPr>
          </w:p>
        </w:tc>
        <w:tc>
          <w:tcPr>
            <w:tcW w:w="32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7.5x net revenue</w:t>
            </w: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Coverage</w:t>
            </w:r>
          </w:p>
        </w:tc>
        <w:tc>
          <w:tcPr>
            <w:tcW w:w="190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rPr>
              <w:t>ratio:</w:t>
            </w:r>
          </w:p>
        </w:tc>
        <w:tc>
          <w:tcPr>
            <w:tcW w:w="17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be mutually agreed</w:t>
            </w:r>
          </w:p>
        </w:tc>
        <w:tc>
          <w:tcPr>
            <w:tcW w:w="1140" w:type="dxa"/>
            <w:vAlign w:val="bottom"/>
            <w:shd w:val="clear" w:color="auto" w:fill="CCEEFF"/>
          </w:tcPr>
          <w:p>
            <w:pPr>
              <w:spacing w:after="0"/>
              <w:rPr>
                <w:sz w:val="15"/>
                <w:szCs w:val="15"/>
                <w:color w:val="auto"/>
              </w:rPr>
            </w:pPr>
          </w:p>
        </w:tc>
        <w:tc>
          <w:tcPr>
            <w:tcW w:w="3240" w:type="dxa"/>
            <w:vAlign w:val="bottom"/>
            <w:vMerge w:val="continue"/>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100" w:type="dxa"/>
            <w:vAlign w:val="bottom"/>
            <w:vMerge w:val="continue"/>
            <w:shd w:val="clear" w:color="auto" w:fill="CCEEFF"/>
          </w:tcPr>
          <w:p>
            <w:pPr>
              <w:spacing w:after="0"/>
              <w:rPr>
                <w:sz w:val="7"/>
                <w:szCs w:val="7"/>
                <w:color w:val="auto"/>
              </w:rPr>
            </w:pPr>
          </w:p>
        </w:tc>
        <w:tc>
          <w:tcPr>
            <w:tcW w:w="190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6.1x net revenue</w:t>
            </w:r>
          </w:p>
        </w:tc>
        <w:tc>
          <w:tcPr>
            <w:tcW w:w="17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upon prior to the</w:t>
            </w:r>
          </w:p>
        </w:tc>
        <w:tc>
          <w:tcPr>
            <w:tcW w:w="114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None</w:t>
            </w:r>
          </w:p>
        </w:tc>
        <w:tc>
          <w:tcPr>
            <w:tcW w:w="32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commencing lease   None</w:t>
            </w:r>
          </w:p>
        </w:tc>
        <w:tc>
          <w:tcPr>
            <w:tcW w:w="214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75"/>
        </w:trPr>
        <w:tc>
          <w:tcPr>
            <w:tcW w:w="110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 xml:space="preserve">floor </w:t>
            </w:r>
            <w:r>
              <w:rPr>
                <w:rFonts w:ascii="Arial" w:cs="Arial" w:eastAsia="Arial" w:hAnsi="Arial"/>
                <w:sz w:val="20"/>
                <w:szCs w:val="20"/>
                <w:i w:val="1"/>
                <w:iCs w:val="1"/>
                <w:color w:val="auto"/>
                <w:vertAlign w:val="superscript"/>
              </w:rPr>
              <w:t>(4)</w:t>
            </w:r>
          </w:p>
        </w:tc>
        <w:tc>
          <w:tcPr>
            <w:tcW w:w="1900" w:type="dxa"/>
            <w:vAlign w:val="bottom"/>
            <w:vMerge w:val="continue"/>
            <w:shd w:val="clear" w:color="auto" w:fill="CCEEFF"/>
          </w:tcPr>
          <w:p>
            <w:pPr>
              <w:spacing w:after="0"/>
              <w:rPr>
                <w:sz w:val="15"/>
                <w:szCs w:val="15"/>
                <w:color w:val="auto"/>
              </w:rPr>
            </w:pPr>
          </w:p>
        </w:tc>
        <w:tc>
          <w:tcPr>
            <w:tcW w:w="172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3240" w:type="dxa"/>
            <w:vAlign w:val="bottom"/>
            <w:vMerge w:val="continue"/>
            <w:shd w:val="clear" w:color="auto" w:fill="CCEEFF"/>
          </w:tcPr>
          <w:p>
            <w:pPr>
              <w:spacing w:after="0"/>
              <w:rPr>
                <w:sz w:val="15"/>
                <w:szCs w:val="15"/>
                <w:color w:val="auto"/>
              </w:rPr>
            </w:pPr>
          </w:p>
        </w:tc>
        <w:tc>
          <w:tcPr>
            <w:tcW w:w="2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00" w:type="dxa"/>
            <w:vAlign w:val="bottom"/>
            <w:shd w:val="clear" w:color="auto" w:fill="CCEEFF"/>
          </w:tcPr>
          <w:p>
            <w:pPr>
              <w:spacing w:after="0"/>
              <w:rPr>
                <w:sz w:val="8"/>
                <w:szCs w:val="8"/>
                <w:color w:val="auto"/>
              </w:rPr>
            </w:pPr>
          </w:p>
        </w:tc>
        <w:tc>
          <w:tcPr>
            <w:tcW w:w="1900" w:type="dxa"/>
            <w:vAlign w:val="bottom"/>
            <w:shd w:val="clear" w:color="auto" w:fill="CCEEFF"/>
          </w:tcPr>
          <w:p>
            <w:pPr>
              <w:ind w:left="380"/>
              <w:spacing w:after="0" w:line="95" w:lineRule="exact"/>
              <w:rPr>
                <w:sz w:val="20"/>
                <w:szCs w:val="20"/>
                <w:color w:val="auto"/>
              </w:rPr>
            </w:pPr>
            <w:r>
              <w:rPr>
                <w:rFonts w:ascii="Arial" w:cs="Arial" w:eastAsia="Arial" w:hAnsi="Arial"/>
                <w:sz w:val="10"/>
                <w:szCs w:val="10"/>
                <w:color w:val="auto"/>
              </w:rPr>
              <w:t>commencing lease</w:t>
            </w:r>
          </w:p>
        </w:tc>
        <w:tc>
          <w:tcPr>
            <w:tcW w:w="1720" w:type="dxa"/>
            <w:vAlign w:val="bottom"/>
            <w:shd w:val="clear" w:color="auto" w:fill="CCEEFF"/>
          </w:tcPr>
          <w:p>
            <w:pPr>
              <w:ind w:left="140"/>
              <w:spacing w:after="0" w:line="95" w:lineRule="exact"/>
              <w:rPr>
                <w:sz w:val="20"/>
                <w:szCs w:val="20"/>
                <w:color w:val="auto"/>
              </w:rPr>
            </w:pPr>
            <w:r>
              <w:rPr>
                <w:rFonts w:ascii="Arial" w:cs="Arial" w:eastAsia="Arial" w:hAnsi="Arial"/>
                <w:sz w:val="10"/>
                <w:szCs w:val="10"/>
                <w:color w:val="auto"/>
              </w:rPr>
              <w:t>commencement of</w:t>
            </w:r>
          </w:p>
        </w:tc>
        <w:tc>
          <w:tcPr>
            <w:tcW w:w="1140" w:type="dxa"/>
            <w:vAlign w:val="bottom"/>
            <w:shd w:val="clear" w:color="auto" w:fill="CCEEFF"/>
          </w:tcPr>
          <w:p>
            <w:pPr>
              <w:spacing w:after="0"/>
              <w:rPr>
                <w:sz w:val="8"/>
                <w:szCs w:val="8"/>
                <w:color w:val="auto"/>
              </w:rPr>
            </w:pPr>
          </w:p>
        </w:tc>
        <w:tc>
          <w:tcPr>
            <w:tcW w:w="3240" w:type="dxa"/>
            <w:vAlign w:val="bottom"/>
            <w:shd w:val="clear" w:color="auto" w:fill="CCEEFF"/>
          </w:tcPr>
          <w:p>
            <w:pPr>
              <w:ind w:left="600"/>
              <w:spacing w:after="0" w:line="95" w:lineRule="exact"/>
              <w:rPr>
                <w:sz w:val="20"/>
                <w:szCs w:val="20"/>
                <w:color w:val="auto"/>
              </w:rPr>
            </w:pPr>
            <w:r>
              <w:rPr>
                <w:rFonts w:ascii="Arial" w:cs="Arial" w:eastAsia="Arial" w:hAnsi="Arial"/>
                <w:sz w:val="10"/>
                <w:szCs w:val="10"/>
                <w:color w:val="auto"/>
              </w:rPr>
              <w:t>year six</w:t>
            </w:r>
          </w:p>
        </w:tc>
        <w:tc>
          <w:tcPr>
            <w:tcW w:w="2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100" w:type="dxa"/>
            <w:vAlign w:val="bottom"/>
            <w:shd w:val="clear" w:color="auto" w:fill="CCEEFF"/>
          </w:tcPr>
          <w:p>
            <w:pPr>
              <w:spacing w:after="0"/>
              <w:rPr>
                <w:sz w:val="19"/>
                <w:szCs w:val="19"/>
                <w:color w:val="auto"/>
              </w:rPr>
            </w:pPr>
          </w:p>
        </w:tc>
        <w:tc>
          <w:tcPr>
            <w:tcW w:w="1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year two</w:t>
            </w:r>
          </w:p>
        </w:tc>
        <w:tc>
          <w:tcPr>
            <w:tcW w:w="1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year five</w:t>
            </w:r>
          </w:p>
        </w:tc>
        <w:tc>
          <w:tcPr>
            <w:tcW w:w="114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87" w:right="339" w:bottom="1440" w:gutter="0" w:footer="0" w:header="0"/>
          <w:type w:val="continuous"/>
        </w:sectPr>
      </w:pP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vMerge w:val="restart"/>
          </w:tcPr>
          <w:p>
            <w:pPr>
              <w:spacing w:after="0"/>
              <w:rPr>
                <w:sz w:val="20"/>
                <w:szCs w:val="20"/>
                <w:color w:val="auto"/>
              </w:rPr>
            </w:pPr>
            <w:r>
              <w:rPr>
                <w:rFonts w:ascii="Arial" w:cs="Arial" w:eastAsia="Arial" w:hAnsi="Arial"/>
                <w:sz w:val="18"/>
                <w:szCs w:val="18"/>
                <w:color w:val="auto"/>
              </w:rPr>
              <w:t>Variable Rent</w:t>
            </w:r>
          </w:p>
        </w:tc>
        <w:tc>
          <w:tcPr>
            <w:tcW w:w="1820" w:type="dxa"/>
            <w:vAlign w:val="bottom"/>
          </w:tcPr>
          <w:p>
            <w:pPr>
              <w:ind w:left="240"/>
              <w:spacing w:after="0"/>
              <w:rPr>
                <w:sz w:val="20"/>
                <w:szCs w:val="20"/>
                <w:color w:val="auto"/>
              </w:rPr>
            </w:pPr>
            <w:r>
              <w:rPr>
                <w:rFonts w:ascii="Arial" w:cs="Arial" w:eastAsia="Arial" w:hAnsi="Arial"/>
                <w:sz w:val="18"/>
                <w:szCs w:val="18"/>
                <w:color w:val="auto"/>
                <w:w w:val="91"/>
              </w:rPr>
              <w:t>Lease year three and</w:t>
            </w:r>
          </w:p>
        </w:tc>
        <w:tc>
          <w:tcPr>
            <w:tcW w:w="1700" w:type="dxa"/>
            <w:vAlign w:val="bottom"/>
          </w:tcPr>
          <w:p>
            <w:pPr>
              <w:ind w:left="80"/>
              <w:spacing w:after="0"/>
              <w:rPr>
                <w:sz w:val="20"/>
                <w:szCs w:val="20"/>
                <w:color w:val="auto"/>
              </w:rPr>
            </w:pPr>
            <w:r>
              <w:rPr>
                <w:rFonts w:ascii="Arial" w:cs="Arial" w:eastAsia="Arial" w:hAnsi="Arial"/>
                <w:sz w:val="18"/>
                <w:szCs w:val="18"/>
                <w:color w:val="auto"/>
                <w:w w:val="94"/>
              </w:rPr>
              <w:t>Lease year three and</w:t>
            </w:r>
          </w:p>
        </w:tc>
        <w:tc>
          <w:tcPr>
            <w:tcW w:w="1500" w:type="dxa"/>
            <w:vAlign w:val="bottom"/>
          </w:tcPr>
          <w:p>
            <w:pPr>
              <w:ind w:left="120"/>
              <w:spacing w:after="0"/>
              <w:rPr>
                <w:sz w:val="20"/>
                <w:szCs w:val="20"/>
                <w:color w:val="auto"/>
              </w:rPr>
            </w:pPr>
            <w:r>
              <w:rPr>
                <w:rFonts w:ascii="Arial" w:cs="Arial" w:eastAsia="Arial" w:hAnsi="Arial"/>
                <w:sz w:val="18"/>
                <w:szCs w:val="18"/>
                <w:b w:val="1"/>
                <w:bCs w:val="1"/>
                <w:color w:val="auto"/>
                <w:w w:val="87"/>
              </w:rPr>
              <w:t xml:space="preserve">Lease year 8: </w:t>
            </w:r>
            <w:r>
              <w:rPr>
                <w:rFonts w:ascii="Arial" w:cs="Arial" w:eastAsia="Arial" w:hAnsi="Arial"/>
                <w:sz w:val="18"/>
                <w:szCs w:val="18"/>
                <w:color w:val="auto"/>
                <w:w w:val="87"/>
              </w:rPr>
              <w:t>80%</w:t>
            </w:r>
          </w:p>
        </w:tc>
        <w:tc>
          <w:tcPr>
            <w:tcW w:w="0" w:type="dxa"/>
            <w:vAlign w:val="bottom"/>
          </w:tcPr>
          <w:p>
            <w:pPr>
              <w:spacing w:after="0"/>
              <w:rPr>
                <w:sz w:val="1"/>
                <w:szCs w:val="1"/>
                <w:color w:val="auto"/>
              </w:rPr>
            </w:pPr>
          </w:p>
        </w:tc>
      </w:tr>
      <w:tr>
        <w:trPr>
          <w:trHeight w:val="95"/>
        </w:trPr>
        <w:tc>
          <w:tcPr>
            <w:tcW w:w="1220" w:type="dxa"/>
            <w:vAlign w:val="bottom"/>
            <w:vMerge w:val="continue"/>
          </w:tcPr>
          <w:p>
            <w:pPr>
              <w:spacing w:after="0"/>
              <w:rPr>
                <w:sz w:val="8"/>
                <w:szCs w:val="8"/>
                <w:color w:val="auto"/>
              </w:rPr>
            </w:pPr>
          </w:p>
        </w:tc>
        <w:tc>
          <w:tcPr>
            <w:tcW w:w="1820" w:type="dxa"/>
            <w:vAlign w:val="bottom"/>
            <w:vMerge w:val="restart"/>
          </w:tcPr>
          <w:p>
            <w:pPr>
              <w:ind w:left="240"/>
              <w:spacing w:after="0"/>
              <w:rPr>
                <w:sz w:val="20"/>
                <w:szCs w:val="20"/>
                <w:color w:val="auto"/>
              </w:rPr>
            </w:pPr>
            <w:r>
              <w:rPr>
                <w:rFonts w:ascii="Arial" w:cs="Arial" w:eastAsia="Arial" w:hAnsi="Arial"/>
                <w:sz w:val="18"/>
                <w:szCs w:val="18"/>
                <w:color w:val="auto"/>
                <w:w w:val="92"/>
              </w:rPr>
              <w:t>each and every other</w:t>
            </w:r>
          </w:p>
        </w:tc>
        <w:tc>
          <w:tcPr>
            <w:tcW w:w="1700" w:type="dxa"/>
            <w:vAlign w:val="bottom"/>
            <w:vMerge w:val="restart"/>
          </w:tcPr>
          <w:p>
            <w:pPr>
              <w:ind w:left="80"/>
              <w:spacing w:after="0"/>
              <w:rPr>
                <w:sz w:val="20"/>
                <w:szCs w:val="20"/>
                <w:color w:val="auto"/>
              </w:rPr>
            </w:pPr>
            <w:r>
              <w:rPr>
                <w:rFonts w:ascii="Arial" w:cs="Arial" w:eastAsia="Arial" w:hAnsi="Arial"/>
                <w:sz w:val="18"/>
                <w:szCs w:val="18"/>
                <w:color w:val="auto"/>
                <w:w w:val="94"/>
              </w:rPr>
              <w:t>each and every other</w:t>
            </w:r>
          </w:p>
        </w:tc>
        <w:tc>
          <w:tcPr>
            <w:tcW w:w="1500" w:type="dxa"/>
            <w:vAlign w:val="bottom"/>
            <w:vMerge w:val="restart"/>
          </w:tcPr>
          <w:p>
            <w:pPr>
              <w:ind w:left="120"/>
              <w:spacing w:after="0"/>
              <w:rPr>
                <w:sz w:val="20"/>
                <w:szCs w:val="20"/>
                <w:color w:val="auto"/>
              </w:rPr>
            </w:pPr>
            <w:r>
              <w:rPr>
                <w:rFonts w:ascii="Arial" w:cs="Arial" w:eastAsia="Arial" w:hAnsi="Arial"/>
                <w:sz w:val="18"/>
                <w:szCs w:val="18"/>
                <w:color w:val="auto"/>
                <w:w w:val="89"/>
              </w:rPr>
              <w:t>base rent and 20%</w:t>
            </w:r>
          </w:p>
        </w:tc>
        <w:tc>
          <w:tcPr>
            <w:tcW w:w="0" w:type="dxa"/>
            <w:vAlign w:val="bottom"/>
          </w:tcPr>
          <w:p>
            <w:pPr>
              <w:spacing w:after="0"/>
              <w:rPr>
                <w:sz w:val="1"/>
                <w:szCs w:val="1"/>
                <w:color w:val="auto"/>
              </w:rPr>
            </w:pPr>
          </w:p>
        </w:tc>
      </w:tr>
      <w:tr>
        <w:trPr>
          <w:trHeight w:val="175"/>
        </w:trPr>
        <w:tc>
          <w:tcPr>
            <w:tcW w:w="1220" w:type="dxa"/>
            <w:vAlign w:val="bottom"/>
          </w:tcPr>
          <w:p>
            <w:pPr>
              <w:spacing w:after="0" w:line="176" w:lineRule="exact"/>
              <w:rPr>
                <w:sz w:val="20"/>
                <w:szCs w:val="20"/>
                <w:color w:val="auto"/>
              </w:rPr>
            </w:pPr>
            <w:r>
              <w:rPr>
                <w:rFonts w:ascii="Arial" w:cs="Arial" w:eastAsia="Arial" w:hAnsi="Arial"/>
                <w:sz w:val="16"/>
                <w:szCs w:val="16"/>
                <w:color w:val="auto"/>
              </w:rPr>
              <w:t xml:space="preserve">adjustment </w:t>
            </w:r>
            <w:r>
              <w:rPr>
                <w:rFonts w:ascii="Arial" w:cs="Arial" w:eastAsia="Arial" w:hAnsi="Arial"/>
                <w:sz w:val="20"/>
                <w:szCs w:val="20"/>
                <w:i w:val="1"/>
                <w:iCs w:val="1"/>
                <w:color w:val="auto"/>
                <w:vertAlign w:val="superscript"/>
              </w:rPr>
              <w:t>(5)</w:t>
            </w:r>
          </w:p>
        </w:tc>
        <w:tc>
          <w:tcPr>
            <w:tcW w:w="182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1820" w:type="dxa"/>
            <w:vAlign w:val="bottom"/>
          </w:tcPr>
          <w:p>
            <w:pPr>
              <w:ind w:left="240"/>
              <w:spacing w:after="0"/>
              <w:rPr>
                <w:sz w:val="20"/>
                <w:szCs w:val="20"/>
                <w:color w:val="auto"/>
              </w:rPr>
            </w:pPr>
            <w:r>
              <w:rPr>
                <w:rFonts w:ascii="Arial" w:cs="Arial" w:eastAsia="Arial" w:hAnsi="Arial"/>
                <w:sz w:val="18"/>
                <w:szCs w:val="18"/>
                <w:color w:val="auto"/>
                <w:w w:val="94"/>
              </w:rPr>
              <w:t>lease year thereafter</w:t>
            </w:r>
          </w:p>
        </w:tc>
        <w:tc>
          <w:tcPr>
            <w:tcW w:w="1700" w:type="dxa"/>
            <w:vAlign w:val="bottom"/>
          </w:tcPr>
          <w:p>
            <w:pPr>
              <w:ind w:left="80"/>
              <w:spacing w:after="0"/>
              <w:rPr>
                <w:sz w:val="20"/>
                <w:szCs w:val="20"/>
                <w:color w:val="auto"/>
              </w:rPr>
            </w:pPr>
            <w:r>
              <w:rPr>
                <w:rFonts w:ascii="Arial" w:cs="Arial" w:eastAsia="Arial" w:hAnsi="Arial"/>
                <w:sz w:val="18"/>
                <w:szCs w:val="18"/>
                <w:color w:val="auto"/>
                <w:w w:val="96"/>
              </w:rPr>
              <w:t>lease year thereafter</w:t>
            </w:r>
          </w:p>
        </w:tc>
        <w:tc>
          <w:tcPr>
            <w:tcW w:w="1500" w:type="dxa"/>
            <w:vAlign w:val="bottom"/>
          </w:tcPr>
          <w:p>
            <w:pPr>
              <w:ind w:left="120"/>
              <w:spacing w:after="0"/>
              <w:rPr>
                <w:sz w:val="20"/>
                <w:szCs w:val="20"/>
                <w:color w:val="auto"/>
              </w:rPr>
            </w:pPr>
            <w:r>
              <w:rPr>
                <w:rFonts w:ascii="Arial" w:cs="Arial" w:eastAsia="Arial" w:hAnsi="Arial"/>
                <w:sz w:val="18"/>
                <w:szCs w:val="18"/>
                <w:color w:val="auto"/>
              </w:rPr>
              <w:t>variable rent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1" w:lineRule="auto"/>
        <w:rPr>
          <w:sz w:val="20"/>
          <w:szCs w:val="20"/>
          <w:color w:val="auto"/>
        </w:rPr>
      </w:pPr>
      <w:r>
        <w:rPr>
          <w:rFonts w:ascii="Arial" w:cs="Arial" w:eastAsia="Arial" w:hAnsi="Arial"/>
          <w:sz w:val="18"/>
          <w:szCs w:val="18"/>
          <w:b w:val="1"/>
          <w:bCs w:val="1"/>
          <w:color w:val="auto"/>
        </w:rPr>
        <w:t>Lease year 8 and</w:t>
      </w:r>
    </w:p>
    <w:p>
      <w:pPr>
        <w:spacing w:after="0" w:line="183" w:lineRule="auto"/>
        <w:tabs>
          <w:tab w:leader="none" w:pos="1560" w:val="left"/>
        </w:tabs>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80% Base Rent</w:t>
      </w:r>
      <w:r>
        <w:rPr>
          <w:sz w:val="20"/>
          <w:szCs w:val="20"/>
          <w:color w:val="auto"/>
        </w:rPr>
        <w:tab/>
      </w:r>
      <w:r>
        <w:rPr>
          <w:rFonts w:ascii="Arial" w:cs="Arial" w:eastAsia="Arial" w:hAnsi="Arial"/>
          <w:sz w:val="20"/>
          <w:szCs w:val="20"/>
          <w:color w:val="auto"/>
          <w:vertAlign w:val="subscript"/>
        </w:rPr>
        <w:t>None</w:t>
      </w:r>
    </w:p>
    <w:p>
      <w:pPr>
        <w:spacing w:after="0" w:line="203" w:lineRule="auto"/>
        <w:rPr>
          <w:sz w:val="20"/>
          <w:szCs w:val="20"/>
          <w:color w:val="auto"/>
        </w:rPr>
      </w:pPr>
      <w:r>
        <w:rPr>
          <w:rFonts w:ascii="Arial" w:cs="Arial" w:eastAsia="Arial" w:hAnsi="Arial"/>
          <w:sz w:val="18"/>
          <w:szCs w:val="18"/>
          <w:color w:val="auto"/>
        </w:rPr>
        <w:t>and 20% Variable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Rent</w:t>
      </w:r>
    </w:p>
    <w:p>
      <w:pPr>
        <w:spacing w:after="0" w:line="20" w:lineRule="exact"/>
        <w:rPr>
          <w:sz w:val="20"/>
          <w:szCs w:val="20"/>
          <w:color w:val="auto"/>
        </w:rPr>
      </w:pPr>
      <w:r>
        <w:rPr>
          <w:sz w:val="20"/>
          <w:szCs w:val="20"/>
          <w:color w:val="auto"/>
        </w:rPr>
        <w:br w:type="column"/>
      </w:r>
    </w:p>
    <w:p>
      <w:pPr>
        <w:ind w:left="1"/>
        <w:spacing w:after="0" w:line="234" w:lineRule="auto"/>
        <w:rPr>
          <w:sz w:val="20"/>
          <w:szCs w:val="20"/>
          <w:color w:val="auto"/>
        </w:rPr>
      </w:pPr>
      <w:r>
        <w:rPr>
          <w:rFonts w:ascii="Arial" w:cs="Arial" w:eastAsia="Arial" w:hAnsi="Arial"/>
          <w:sz w:val="17"/>
          <w:szCs w:val="17"/>
          <w:b w:val="1"/>
          <w:bCs w:val="1"/>
          <w:color w:val="auto"/>
        </w:rPr>
        <w:t>Lease year 8 and</w:t>
      </w:r>
    </w:p>
    <w:p>
      <w:pPr>
        <w:ind w:left="1" w:right="100" w:hanging="1"/>
        <w:spacing w:after="0" w:line="217" w:lineRule="auto"/>
        <w:tabs>
          <w:tab w:leader="none" w:pos="275"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80% Base Rent and 20% Variable Rent</w:t>
      </w:r>
    </w:p>
    <w:p>
      <w:pPr>
        <w:spacing w:after="0" w:line="2" w:lineRule="exact"/>
        <w:rPr>
          <w:sz w:val="20"/>
          <w:szCs w:val="20"/>
          <w:color w:val="auto"/>
        </w:rPr>
      </w:pPr>
    </w:p>
    <w:p>
      <w:pPr>
        <w:sectPr>
          <w:pgSz w:w="11900" w:h="16838" w:orient="portrait"/>
          <w:cols w:equalWidth="0" w:num="3">
            <w:col w:w="6260" w:space="200"/>
            <w:col w:w="2579" w:space="720"/>
            <w:col w:w="1481"/>
          </w:cols>
          <w:pgMar w:left="320" w:top="287" w:right="3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1460" w:type="dxa"/>
            <w:vAlign w:val="bottom"/>
            <w:shd w:val="clear" w:color="auto" w:fill="CCEEFF"/>
          </w:tcPr>
          <w:p>
            <w:pPr>
              <w:spacing w:after="0"/>
              <w:rPr>
                <w:sz w:val="16"/>
                <w:szCs w:val="16"/>
                <w:color w:val="auto"/>
              </w:rPr>
            </w:pPr>
          </w:p>
        </w:tc>
        <w:tc>
          <w:tcPr>
            <w:tcW w:w="15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4% of the average</w:t>
            </w:r>
          </w:p>
        </w:tc>
        <w:tc>
          <w:tcPr>
            <w:tcW w:w="17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w w:val="93"/>
              </w:rPr>
              <w:t>4% of the average net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gridSpan w:val="3"/>
            <w:shd w:val="clear" w:color="auto" w:fill="CCEEFF"/>
          </w:tcPr>
          <w:p>
            <w:pPr>
              <w:spacing w:after="0" w:line="191" w:lineRule="exact"/>
              <w:rPr>
                <w:sz w:val="20"/>
                <w:szCs w:val="20"/>
                <w:color w:val="auto"/>
              </w:rPr>
            </w:pPr>
            <w:r>
              <w:rPr>
                <w:rFonts w:ascii="Arial" w:cs="Arial" w:eastAsia="Arial" w:hAnsi="Arial"/>
                <w:sz w:val="18"/>
                <w:szCs w:val="18"/>
                <w:color w:val="auto"/>
              </w:rPr>
              <w:t>4% of revenue</w:t>
            </w:r>
          </w:p>
        </w:tc>
        <w:tc>
          <w:tcPr>
            <w:tcW w:w="1140" w:type="dxa"/>
            <w:vAlign w:val="bottom"/>
            <w:shd w:val="clear" w:color="auto" w:fill="CCEEFF"/>
          </w:tcPr>
          <w:p>
            <w:pPr>
              <w:spacing w:after="0"/>
              <w:rPr>
                <w:sz w:val="16"/>
                <w:szCs w:val="16"/>
                <w:color w:val="auto"/>
              </w:rPr>
            </w:pPr>
          </w:p>
        </w:tc>
        <w:tc>
          <w:tcPr>
            <w:tcW w:w="2140" w:type="dxa"/>
            <w:vAlign w:val="bottom"/>
            <w:gridSpan w:val="4"/>
            <w:shd w:val="clear" w:color="auto" w:fill="CCEEFF"/>
          </w:tcPr>
          <w:p>
            <w:pPr>
              <w:ind w:left="660"/>
              <w:spacing w:after="0" w:line="191" w:lineRule="exact"/>
              <w:rPr>
                <w:sz w:val="20"/>
                <w:szCs w:val="20"/>
                <w:color w:val="auto"/>
              </w:rPr>
            </w:pPr>
            <w:r>
              <w:rPr>
                <w:rFonts w:ascii="Arial" w:cs="Arial" w:eastAsia="Arial" w:hAnsi="Arial"/>
                <w:sz w:val="18"/>
                <w:szCs w:val="18"/>
                <w:color w:val="auto"/>
              </w:rPr>
              <w:t>4% of revenue</w:t>
            </w: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780" w:type="dxa"/>
            <w:vAlign w:val="bottom"/>
            <w:vMerge w:val="continue"/>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460" w:type="dxa"/>
            <w:vAlign w:val="bottom"/>
            <w:shd w:val="clear" w:color="auto" w:fill="CCEEFF"/>
          </w:tcPr>
          <w:p>
            <w:pPr>
              <w:spacing w:after="0"/>
              <w:rPr>
                <w:sz w:val="4"/>
                <w:szCs w:val="4"/>
                <w:color w:val="auto"/>
              </w:rPr>
            </w:pPr>
          </w:p>
        </w:tc>
        <w:tc>
          <w:tcPr>
            <w:tcW w:w="1560" w:type="dxa"/>
            <w:vAlign w:val="bottom"/>
            <w:vMerge w:val="restart"/>
            <w:shd w:val="clear" w:color="auto" w:fill="CCEEFF"/>
          </w:tcPr>
          <w:p>
            <w:pPr>
              <w:ind w:left="20"/>
              <w:spacing w:after="0" w:line="156" w:lineRule="exact"/>
              <w:rPr>
                <w:sz w:val="20"/>
                <w:szCs w:val="20"/>
                <w:color w:val="auto"/>
              </w:rPr>
            </w:pPr>
            <w:r>
              <w:rPr>
                <w:rFonts w:ascii="Arial" w:cs="Arial" w:eastAsia="Arial" w:hAnsi="Arial"/>
                <w:sz w:val="18"/>
                <w:szCs w:val="18"/>
                <w:color w:val="auto"/>
              </w:rPr>
              <w:t>net revenues for</w:t>
            </w:r>
          </w:p>
        </w:tc>
        <w:tc>
          <w:tcPr>
            <w:tcW w:w="178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500" w:type="dxa"/>
            <w:vAlign w:val="bottom"/>
            <w:gridSpan w:val="3"/>
            <w:vMerge w:val="restart"/>
            <w:shd w:val="clear" w:color="auto" w:fill="CCEEFF"/>
          </w:tcPr>
          <w:p>
            <w:pPr>
              <w:spacing w:after="0" w:line="156" w:lineRule="exact"/>
              <w:rPr>
                <w:sz w:val="20"/>
                <w:szCs w:val="20"/>
                <w:color w:val="auto"/>
              </w:rPr>
            </w:pPr>
            <w:r>
              <w:rPr>
                <w:rFonts w:ascii="Arial" w:cs="Arial" w:eastAsia="Arial" w:hAnsi="Arial"/>
                <w:sz w:val="18"/>
                <w:szCs w:val="18"/>
                <w:color w:val="auto"/>
                <w:w w:val="97"/>
              </w:rPr>
              <w:t>increase/decrease:</w:t>
            </w:r>
          </w:p>
        </w:tc>
        <w:tc>
          <w:tcPr>
            <w:tcW w:w="1140" w:type="dxa"/>
            <w:vAlign w:val="bottom"/>
            <w:shd w:val="clear" w:color="auto" w:fill="CCEEFF"/>
          </w:tcPr>
          <w:p>
            <w:pPr>
              <w:spacing w:after="0"/>
              <w:rPr>
                <w:sz w:val="4"/>
                <w:szCs w:val="4"/>
                <w:color w:val="auto"/>
              </w:rPr>
            </w:pPr>
          </w:p>
        </w:tc>
        <w:tc>
          <w:tcPr>
            <w:tcW w:w="2140" w:type="dxa"/>
            <w:vAlign w:val="bottom"/>
            <w:gridSpan w:val="4"/>
            <w:vMerge w:val="restart"/>
            <w:shd w:val="clear" w:color="auto" w:fill="CCEEFF"/>
          </w:tcPr>
          <w:p>
            <w:pPr>
              <w:ind w:left="660"/>
              <w:spacing w:after="0" w:line="156" w:lineRule="exact"/>
              <w:rPr>
                <w:sz w:val="20"/>
                <w:szCs w:val="20"/>
                <w:color w:val="auto"/>
              </w:rPr>
            </w:pPr>
            <w:r>
              <w:rPr>
                <w:rFonts w:ascii="Arial" w:cs="Arial" w:eastAsia="Arial" w:hAnsi="Arial"/>
                <w:sz w:val="18"/>
                <w:szCs w:val="18"/>
                <w:color w:val="auto"/>
                <w:w w:val="95"/>
              </w:rPr>
              <w:t>increase/decrease:</w:t>
            </w:r>
          </w:p>
        </w:tc>
        <w:tc>
          <w:tcPr>
            <w:tcW w:w="0" w:type="dxa"/>
            <w:vAlign w:val="bottom"/>
          </w:tcPr>
          <w:p>
            <w:pPr>
              <w:spacing w:after="0"/>
              <w:rPr>
                <w:sz w:val="1"/>
                <w:szCs w:val="1"/>
                <w:color w:val="auto"/>
              </w:rPr>
            </w:pPr>
          </w:p>
        </w:tc>
      </w:tr>
      <w:tr>
        <w:trPr>
          <w:trHeight w:val="108"/>
        </w:trPr>
        <w:tc>
          <w:tcPr>
            <w:tcW w:w="1460" w:type="dxa"/>
            <w:vAlign w:val="bottom"/>
            <w:shd w:val="clear" w:color="auto" w:fill="CCEEFF"/>
          </w:tcPr>
          <w:p>
            <w:pPr>
              <w:spacing w:after="0"/>
              <w:rPr>
                <w:sz w:val="9"/>
                <w:szCs w:val="9"/>
                <w:color w:val="auto"/>
              </w:rPr>
            </w:pPr>
          </w:p>
        </w:tc>
        <w:tc>
          <w:tcPr>
            <w:tcW w:w="1560" w:type="dxa"/>
            <w:vAlign w:val="bottom"/>
            <w:vMerge w:val="continue"/>
            <w:shd w:val="clear" w:color="auto" w:fill="CCEEFF"/>
          </w:tcPr>
          <w:p>
            <w:pPr>
              <w:spacing w:after="0"/>
              <w:rPr>
                <w:sz w:val="9"/>
                <w:szCs w:val="9"/>
                <w:color w:val="auto"/>
              </w:rPr>
            </w:pPr>
          </w:p>
        </w:tc>
        <w:tc>
          <w:tcPr>
            <w:tcW w:w="1780" w:type="dxa"/>
            <w:vAlign w:val="bottom"/>
            <w:vMerge w:val="restart"/>
            <w:shd w:val="clear" w:color="auto" w:fill="CCEEFF"/>
          </w:tcPr>
          <w:p>
            <w:pPr>
              <w:ind w:left="120"/>
              <w:spacing w:after="0" w:line="189" w:lineRule="exact"/>
              <w:rPr>
                <w:sz w:val="20"/>
                <w:szCs w:val="20"/>
                <w:color w:val="auto"/>
              </w:rPr>
            </w:pPr>
            <w:r>
              <w:rPr>
                <w:rFonts w:ascii="Arial" w:cs="Arial" w:eastAsia="Arial" w:hAnsi="Arial"/>
                <w:sz w:val="18"/>
                <w:szCs w:val="18"/>
                <w:color w:val="auto"/>
              </w:rPr>
              <w:t>revenues for trailing</w:t>
            </w:r>
          </w:p>
        </w:tc>
        <w:tc>
          <w:tcPr>
            <w:tcW w:w="1660" w:type="dxa"/>
            <w:vAlign w:val="bottom"/>
            <w:gridSpan w:val="4"/>
            <w:vMerge w:val="restart"/>
            <w:shd w:val="clear" w:color="auto" w:fill="CCEEFF"/>
          </w:tcPr>
          <w:p>
            <w:pPr>
              <w:ind w:left="80"/>
              <w:spacing w:after="0" w:line="189" w:lineRule="exact"/>
              <w:rPr>
                <w:sz w:val="20"/>
                <w:szCs w:val="20"/>
                <w:color w:val="auto"/>
              </w:rPr>
            </w:pPr>
            <w:r>
              <w:rPr>
                <w:rFonts w:ascii="Arial" w:cs="Arial" w:eastAsia="Arial" w:hAnsi="Arial"/>
                <w:sz w:val="18"/>
                <w:szCs w:val="18"/>
                <w:color w:val="auto"/>
              </w:rPr>
              <w:t>4% of revenue</w:t>
            </w:r>
          </w:p>
        </w:tc>
        <w:tc>
          <w:tcPr>
            <w:tcW w:w="1500" w:type="dxa"/>
            <w:vAlign w:val="bottom"/>
            <w:gridSpan w:val="3"/>
            <w:vMerge w:val="continue"/>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2140" w:type="dxa"/>
            <w:vAlign w:val="bottom"/>
            <w:gridSpan w:val="4"/>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780" w:type="dxa"/>
            <w:vAlign w:val="bottom"/>
            <w:vMerge w:val="continue"/>
            <w:shd w:val="clear" w:color="auto" w:fill="CCEEFF"/>
          </w:tcPr>
          <w:p>
            <w:pPr>
              <w:spacing w:after="0" w:line="20" w:lineRule="exact"/>
              <w:rPr>
                <w:sz w:val="1"/>
                <w:szCs w:val="1"/>
                <w:color w:val="auto"/>
              </w:rPr>
            </w:pPr>
          </w:p>
        </w:tc>
        <w:tc>
          <w:tcPr>
            <w:tcW w:w="1660" w:type="dxa"/>
            <w:vAlign w:val="bottom"/>
            <w:gridSpan w:val="4"/>
            <w:vMerge w:val="continue"/>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460" w:type="dxa"/>
            <w:vAlign w:val="bottom"/>
            <w:shd w:val="clear" w:color="auto" w:fill="CCEEFF"/>
          </w:tcPr>
          <w:p>
            <w:pPr>
              <w:spacing w:after="0"/>
              <w:rPr>
                <w:sz w:val="5"/>
                <w:szCs w:val="5"/>
                <w:color w:val="auto"/>
              </w:rPr>
            </w:pPr>
          </w:p>
        </w:tc>
        <w:tc>
          <w:tcPr>
            <w:tcW w:w="1560" w:type="dxa"/>
            <w:vAlign w:val="bottom"/>
            <w:vMerge w:val="restart"/>
            <w:shd w:val="clear" w:color="auto" w:fill="CCEEFF"/>
          </w:tcPr>
          <w:p>
            <w:pPr>
              <w:ind w:left="20"/>
              <w:spacing w:after="0" w:line="142" w:lineRule="exact"/>
              <w:rPr>
                <w:sz w:val="20"/>
                <w:szCs w:val="20"/>
                <w:color w:val="auto"/>
              </w:rPr>
            </w:pPr>
            <w:r>
              <w:rPr>
                <w:rFonts w:ascii="Arial" w:cs="Arial" w:eastAsia="Arial" w:hAnsi="Arial"/>
                <w:sz w:val="16"/>
                <w:szCs w:val="16"/>
                <w:color w:val="auto"/>
              </w:rPr>
              <w:t>trailing</w:t>
            </w:r>
          </w:p>
        </w:tc>
        <w:tc>
          <w:tcPr>
            <w:tcW w:w="1780" w:type="dxa"/>
            <w:vAlign w:val="bottom"/>
            <w:vMerge w:val="continue"/>
            <w:shd w:val="clear" w:color="auto" w:fill="CCEEFF"/>
          </w:tcPr>
          <w:p>
            <w:pPr>
              <w:spacing w:after="0"/>
              <w:rPr>
                <w:sz w:val="5"/>
                <w:szCs w:val="5"/>
                <w:color w:val="auto"/>
              </w:rPr>
            </w:pPr>
          </w:p>
        </w:tc>
        <w:tc>
          <w:tcPr>
            <w:tcW w:w="1660" w:type="dxa"/>
            <w:vAlign w:val="bottom"/>
            <w:gridSpan w:val="4"/>
            <w:vMerge w:val="continue"/>
            <w:shd w:val="clear" w:color="auto" w:fill="CCEEFF"/>
          </w:tcPr>
          <w:p>
            <w:pPr>
              <w:spacing w:after="0"/>
              <w:rPr>
                <w:sz w:val="5"/>
                <w:szCs w:val="5"/>
                <w:color w:val="auto"/>
              </w:rPr>
            </w:pPr>
          </w:p>
        </w:tc>
        <w:tc>
          <w:tcPr>
            <w:tcW w:w="1300" w:type="dxa"/>
            <w:vAlign w:val="bottom"/>
            <w:gridSpan w:val="2"/>
            <w:vMerge w:val="restart"/>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 xml:space="preserve">Year 8: </w:t>
            </w:r>
            <w:r>
              <w:rPr>
                <w:rFonts w:ascii="Arial" w:cs="Arial" w:eastAsia="Arial" w:hAnsi="Arial"/>
                <w:sz w:val="16"/>
                <w:szCs w:val="16"/>
                <w:color w:val="auto"/>
              </w:rPr>
              <w:t>Avg. of</w:t>
            </w:r>
          </w:p>
        </w:tc>
        <w:tc>
          <w:tcPr>
            <w:tcW w:w="200" w:type="dxa"/>
            <w:vAlign w:val="bottom"/>
            <w:vMerge w:val="restart"/>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2140" w:type="dxa"/>
            <w:vAlign w:val="bottom"/>
            <w:gridSpan w:val="4"/>
            <w:vMerge w:val="restart"/>
            <w:shd w:val="clear" w:color="auto" w:fill="CCEEFF"/>
          </w:tcPr>
          <w:p>
            <w:pPr>
              <w:ind w:left="660"/>
              <w:spacing w:after="0" w:line="142" w:lineRule="exact"/>
              <w:rPr>
                <w:sz w:val="20"/>
                <w:szCs w:val="20"/>
                <w:color w:val="auto"/>
              </w:rPr>
            </w:pPr>
            <w:r>
              <w:rPr>
                <w:rFonts w:ascii="Arial" w:cs="Arial" w:eastAsia="Arial" w:hAnsi="Arial"/>
                <w:sz w:val="16"/>
                <w:szCs w:val="16"/>
                <w:b w:val="1"/>
                <w:bCs w:val="1"/>
                <w:color w:val="auto"/>
              </w:rPr>
              <w:t>Year 8</w:t>
            </w:r>
            <w:r>
              <w:rPr>
                <w:rFonts w:ascii="Arial" w:cs="Arial" w:eastAsia="Arial" w:hAnsi="Arial"/>
                <w:sz w:val="16"/>
                <w:szCs w:val="16"/>
                <w:color w:val="auto"/>
              </w:rPr>
              <w:t>: Avg. of</w:t>
            </w: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1560" w:type="dxa"/>
            <w:vAlign w:val="bottom"/>
            <w:vMerge w:val="continue"/>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00" w:type="dxa"/>
            <w:vAlign w:val="bottom"/>
            <w:gridSpan w:val="2"/>
            <w:vMerge w:val="continue"/>
            <w:shd w:val="clear" w:color="auto" w:fill="CCEEFF"/>
          </w:tcPr>
          <w:p>
            <w:pPr>
              <w:spacing w:after="0" w:line="20" w:lineRule="exact"/>
              <w:rPr>
                <w:sz w:val="1"/>
                <w:szCs w:val="1"/>
                <w:color w:val="auto"/>
              </w:rPr>
            </w:pPr>
          </w:p>
        </w:tc>
        <w:tc>
          <w:tcPr>
            <w:tcW w:w="200" w:type="dxa"/>
            <w:vAlign w:val="bottom"/>
            <w:vMerge w:val="continue"/>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140" w:type="dxa"/>
            <w:vAlign w:val="bottom"/>
            <w:gridSpan w:val="4"/>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460" w:type="dxa"/>
            <w:vAlign w:val="bottom"/>
            <w:vMerge w:val="restart"/>
            <w:shd w:val="clear" w:color="auto" w:fill="CCEEFF"/>
          </w:tcPr>
          <w:p>
            <w:pPr>
              <w:ind w:left="20"/>
              <w:spacing w:after="0" w:line="156" w:lineRule="exact"/>
              <w:rPr>
                <w:sz w:val="20"/>
                <w:szCs w:val="20"/>
                <w:color w:val="auto"/>
              </w:rPr>
            </w:pPr>
            <w:r>
              <w:rPr>
                <w:rFonts w:ascii="Arial" w:cs="Arial" w:eastAsia="Arial" w:hAnsi="Arial"/>
                <w:sz w:val="18"/>
                <w:szCs w:val="18"/>
                <w:color w:val="auto"/>
              </w:rPr>
              <w:t>Variable Rent</w:t>
            </w:r>
          </w:p>
        </w:tc>
        <w:tc>
          <w:tcPr>
            <w:tcW w:w="1560" w:type="dxa"/>
            <w:vAlign w:val="bottom"/>
            <w:vMerge w:val="continue"/>
            <w:shd w:val="clear" w:color="auto" w:fill="CCEEFF"/>
          </w:tcPr>
          <w:p>
            <w:pPr>
              <w:spacing w:after="0"/>
              <w:rPr>
                <w:sz w:val="5"/>
                <w:szCs w:val="5"/>
                <w:color w:val="auto"/>
              </w:rPr>
            </w:pPr>
          </w:p>
        </w:tc>
        <w:tc>
          <w:tcPr>
            <w:tcW w:w="1780" w:type="dxa"/>
            <w:vAlign w:val="bottom"/>
            <w:vMerge w:val="restart"/>
            <w:shd w:val="clear" w:color="auto" w:fill="CCEEFF"/>
          </w:tcPr>
          <w:p>
            <w:pPr>
              <w:ind w:left="120"/>
              <w:spacing w:after="0" w:line="156" w:lineRule="exact"/>
              <w:rPr>
                <w:sz w:val="20"/>
                <w:szCs w:val="20"/>
                <w:color w:val="auto"/>
              </w:rPr>
            </w:pPr>
            <w:r>
              <w:rPr>
                <w:rFonts w:ascii="Arial" w:cs="Arial" w:eastAsia="Arial" w:hAnsi="Arial"/>
                <w:sz w:val="18"/>
                <w:szCs w:val="18"/>
                <w:color w:val="auto"/>
              </w:rPr>
              <w:t>2 year period less</w:t>
            </w:r>
          </w:p>
        </w:tc>
        <w:tc>
          <w:tcPr>
            <w:tcW w:w="1660" w:type="dxa"/>
            <w:vAlign w:val="bottom"/>
            <w:gridSpan w:val="4"/>
            <w:vMerge w:val="restart"/>
            <w:shd w:val="clear" w:color="auto" w:fill="CCEEFF"/>
          </w:tcPr>
          <w:p>
            <w:pPr>
              <w:ind w:left="80"/>
              <w:spacing w:after="0" w:line="156" w:lineRule="exact"/>
              <w:rPr>
                <w:sz w:val="20"/>
                <w:szCs w:val="20"/>
                <w:color w:val="auto"/>
              </w:rPr>
            </w:pPr>
            <w:r>
              <w:rPr>
                <w:rFonts w:ascii="Arial" w:cs="Arial" w:eastAsia="Arial" w:hAnsi="Arial"/>
                <w:sz w:val="18"/>
                <w:szCs w:val="18"/>
                <w:color w:val="auto"/>
              </w:rPr>
              <w:t>increase/decrease:</w:t>
            </w:r>
          </w:p>
        </w:tc>
        <w:tc>
          <w:tcPr>
            <w:tcW w:w="1300" w:type="dxa"/>
            <w:vAlign w:val="bottom"/>
            <w:gridSpan w:val="2"/>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2140" w:type="dxa"/>
            <w:vAlign w:val="bottom"/>
            <w:gridSpan w:val="4"/>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460" w:type="dxa"/>
            <w:vAlign w:val="bottom"/>
            <w:vMerge w:val="continue"/>
            <w:shd w:val="clear" w:color="auto" w:fill="CCEEFF"/>
          </w:tcPr>
          <w:p>
            <w:pPr>
              <w:spacing w:after="0"/>
              <w:rPr>
                <w:sz w:val="8"/>
                <w:szCs w:val="8"/>
                <w:color w:val="auto"/>
              </w:rPr>
            </w:pPr>
          </w:p>
        </w:tc>
        <w:tc>
          <w:tcPr>
            <w:tcW w:w="1560" w:type="dxa"/>
            <w:vAlign w:val="bottom"/>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2 year period less</w:t>
            </w:r>
          </w:p>
        </w:tc>
        <w:tc>
          <w:tcPr>
            <w:tcW w:w="1780" w:type="dxa"/>
            <w:vAlign w:val="bottom"/>
            <w:vMerge w:val="continue"/>
            <w:shd w:val="clear" w:color="auto" w:fill="CCEEFF"/>
          </w:tcPr>
          <w:p>
            <w:pPr>
              <w:spacing w:after="0"/>
              <w:rPr>
                <w:sz w:val="8"/>
                <w:szCs w:val="8"/>
                <w:color w:val="auto"/>
              </w:rPr>
            </w:pPr>
          </w:p>
        </w:tc>
        <w:tc>
          <w:tcPr>
            <w:tcW w:w="1660" w:type="dxa"/>
            <w:vAlign w:val="bottom"/>
            <w:gridSpan w:val="4"/>
            <w:vMerge w:val="continue"/>
            <w:shd w:val="clear" w:color="auto" w:fill="CCEEFF"/>
          </w:tcPr>
          <w:p>
            <w:pPr>
              <w:spacing w:after="0"/>
              <w:rPr>
                <w:sz w:val="8"/>
                <w:szCs w:val="8"/>
                <w:color w:val="auto"/>
              </w:rPr>
            </w:pPr>
          </w:p>
        </w:tc>
        <w:tc>
          <w:tcPr>
            <w:tcW w:w="1500" w:type="dxa"/>
            <w:vAlign w:val="bottom"/>
            <w:gridSpan w:val="3"/>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7"/>
              </w:rPr>
              <w:t>years 5-7 less avg.</w:t>
            </w:r>
          </w:p>
        </w:tc>
        <w:tc>
          <w:tcPr>
            <w:tcW w:w="1140" w:type="dxa"/>
            <w:vAlign w:val="bottom"/>
            <w:shd w:val="clear" w:color="auto" w:fill="CCEEFF"/>
          </w:tcPr>
          <w:p>
            <w:pPr>
              <w:spacing w:after="0"/>
              <w:rPr>
                <w:sz w:val="8"/>
                <w:szCs w:val="8"/>
                <w:color w:val="auto"/>
              </w:rPr>
            </w:pPr>
          </w:p>
        </w:tc>
        <w:tc>
          <w:tcPr>
            <w:tcW w:w="2140" w:type="dxa"/>
            <w:vAlign w:val="bottom"/>
            <w:gridSpan w:val="4"/>
            <w:vMerge w:val="restart"/>
            <w:shd w:val="clear" w:color="auto" w:fill="CCEEFF"/>
          </w:tcPr>
          <w:p>
            <w:pPr>
              <w:ind w:left="660"/>
              <w:spacing w:after="0" w:line="176" w:lineRule="exact"/>
              <w:rPr>
                <w:sz w:val="20"/>
                <w:szCs w:val="20"/>
                <w:color w:val="auto"/>
              </w:rPr>
            </w:pPr>
            <w:r>
              <w:rPr>
                <w:rFonts w:ascii="Arial" w:cs="Arial" w:eastAsia="Arial" w:hAnsi="Arial"/>
                <w:sz w:val="18"/>
                <w:szCs w:val="18"/>
                <w:color w:val="auto"/>
                <w:w w:val="96"/>
              </w:rPr>
              <w:t>years 5-7 less avg.</w:t>
            </w: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1560" w:type="dxa"/>
            <w:vAlign w:val="bottom"/>
            <w:vMerge w:val="continue"/>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500" w:type="dxa"/>
            <w:vAlign w:val="bottom"/>
            <w:gridSpan w:val="3"/>
            <w:vMerge w:val="continue"/>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140" w:type="dxa"/>
            <w:vAlign w:val="bottom"/>
            <w:gridSpan w:val="4"/>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4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adjustment</w:t>
            </w:r>
          </w:p>
        </w:tc>
        <w:tc>
          <w:tcPr>
            <w:tcW w:w="1560" w:type="dxa"/>
            <w:vAlign w:val="bottom"/>
            <w:vMerge w:val="continue"/>
            <w:shd w:val="clear" w:color="auto" w:fill="CCEEFF"/>
          </w:tcPr>
          <w:p>
            <w:pPr>
              <w:spacing w:after="0"/>
              <w:rPr>
                <w:sz w:val="5"/>
                <w:szCs w:val="5"/>
                <w:color w:val="auto"/>
              </w:rPr>
            </w:pPr>
          </w:p>
        </w:tc>
        <w:tc>
          <w:tcPr>
            <w:tcW w:w="17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threshold amount</w:t>
            </w:r>
          </w:p>
        </w:tc>
        <w:tc>
          <w:tcPr>
            <w:tcW w:w="1660" w:type="dxa"/>
            <w:vAlign w:val="bottom"/>
            <w:gridSpan w:val="4"/>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 xml:space="preserve">Year 8: </w:t>
            </w:r>
            <w:r>
              <w:rPr>
                <w:rFonts w:ascii="Arial" w:cs="Arial" w:eastAsia="Arial" w:hAnsi="Arial"/>
                <w:sz w:val="18"/>
                <w:szCs w:val="18"/>
                <w:color w:val="auto"/>
              </w:rPr>
              <w:t>Avg. of</w:t>
            </w:r>
          </w:p>
        </w:tc>
        <w:tc>
          <w:tcPr>
            <w:tcW w:w="1500" w:type="dxa"/>
            <w:vAlign w:val="bottom"/>
            <w:gridSpan w:val="3"/>
            <w:vMerge w:val="continue"/>
            <w:shd w:val="clear" w:color="auto" w:fill="CCEEFF"/>
          </w:tcPr>
          <w:p>
            <w:pPr>
              <w:spacing w:after="0"/>
              <w:rPr>
                <w:sz w:val="5"/>
                <w:szCs w:val="5"/>
                <w:color w:val="auto"/>
              </w:rPr>
            </w:pPr>
          </w:p>
        </w:tc>
        <w:tc>
          <w:tcPr>
            <w:tcW w:w="11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None</w:t>
            </w:r>
          </w:p>
        </w:tc>
        <w:tc>
          <w:tcPr>
            <w:tcW w:w="2140" w:type="dxa"/>
            <w:vAlign w:val="bottom"/>
            <w:gridSpan w:val="4"/>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460" w:type="dxa"/>
            <w:vAlign w:val="bottom"/>
            <w:vMerge w:val="continue"/>
            <w:shd w:val="clear" w:color="auto" w:fill="CCEEFF"/>
          </w:tcPr>
          <w:p>
            <w:pPr>
              <w:spacing w:after="0"/>
              <w:rPr>
                <w:sz w:val="15"/>
                <w:szCs w:val="15"/>
                <w:color w:val="auto"/>
              </w:rPr>
            </w:pPr>
          </w:p>
        </w:tc>
        <w:tc>
          <w:tcPr>
            <w:tcW w:w="1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threshold amount</w:t>
            </w:r>
          </w:p>
        </w:tc>
        <w:tc>
          <w:tcPr>
            <w:tcW w:w="1780" w:type="dxa"/>
            <w:vAlign w:val="bottom"/>
            <w:vMerge w:val="continue"/>
            <w:shd w:val="clear" w:color="auto" w:fill="CCEEFF"/>
          </w:tcPr>
          <w:p>
            <w:pPr>
              <w:spacing w:after="0"/>
              <w:rPr>
                <w:sz w:val="15"/>
                <w:szCs w:val="15"/>
                <w:color w:val="auto"/>
              </w:rPr>
            </w:pPr>
          </w:p>
        </w:tc>
        <w:tc>
          <w:tcPr>
            <w:tcW w:w="1660" w:type="dxa"/>
            <w:vAlign w:val="bottom"/>
            <w:gridSpan w:val="4"/>
            <w:vMerge w:val="continue"/>
            <w:shd w:val="clear" w:color="auto" w:fill="CCEEFF"/>
          </w:tcPr>
          <w:p>
            <w:pPr>
              <w:spacing w:after="0"/>
              <w:rPr>
                <w:sz w:val="15"/>
                <w:szCs w:val="15"/>
                <w:color w:val="auto"/>
              </w:rPr>
            </w:pPr>
          </w:p>
        </w:tc>
        <w:tc>
          <w:tcPr>
            <w:tcW w:w="15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of years 1-3</w:t>
            </w:r>
          </w:p>
        </w:tc>
        <w:tc>
          <w:tcPr>
            <w:tcW w:w="1140" w:type="dxa"/>
            <w:vAlign w:val="bottom"/>
            <w:vMerge w:val="continue"/>
            <w:shd w:val="clear" w:color="auto" w:fill="CCEEFF"/>
          </w:tcPr>
          <w:p>
            <w:pPr>
              <w:spacing w:after="0"/>
              <w:rPr>
                <w:sz w:val="15"/>
                <w:szCs w:val="15"/>
                <w:color w:val="auto"/>
              </w:rPr>
            </w:pPr>
          </w:p>
        </w:tc>
        <w:tc>
          <w:tcPr>
            <w:tcW w:w="2140" w:type="dxa"/>
            <w:vAlign w:val="bottom"/>
            <w:gridSpan w:val="4"/>
            <w:shd w:val="clear" w:color="auto" w:fill="CCEEFF"/>
          </w:tcPr>
          <w:p>
            <w:pPr>
              <w:ind w:left="660"/>
              <w:spacing w:after="0" w:line="176" w:lineRule="exact"/>
              <w:rPr>
                <w:sz w:val="20"/>
                <w:szCs w:val="20"/>
                <w:color w:val="auto"/>
              </w:rPr>
            </w:pPr>
            <w:r>
              <w:rPr>
                <w:rFonts w:ascii="Arial" w:cs="Arial" w:eastAsia="Arial" w:hAnsi="Arial"/>
                <w:sz w:val="16"/>
                <w:szCs w:val="16"/>
                <w:color w:val="auto"/>
              </w:rPr>
              <w:t xml:space="preserve">of years 0-2 </w:t>
            </w:r>
            <w:r>
              <w:rPr>
                <w:rFonts w:ascii="Arial" w:cs="Arial" w:eastAsia="Arial" w:hAnsi="Arial"/>
                <w:sz w:val="20"/>
                <w:szCs w:val="20"/>
                <w:i w:val="1"/>
                <w:iCs w:val="1"/>
                <w:color w:val="auto"/>
                <w:vertAlign w:val="superscript"/>
              </w:rPr>
              <w:t>(6)</w:t>
            </w:r>
          </w:p>
        </w:tc>
        <w:tc>
          <w:tcPr>
            <w:tcW w:w="0" w:type="dxa"/>
            <w:vAlign w:val="bottom"/>
          </w:tcPr>
          <w:p>
            <w:pPr>
              <w:spacing w:after="0"/>
              <w:rPr>
                <w:sz w:val="1"/>
                <w:szCs w:val="1"/>
                <w:color w:val="auto"/>
              </w:rPr>
            </w:pPr>
          </w:p>
        </w:tc>
      </w:tr>
      <w:tr>
        <w:trPr>
          <w:trHeight w:val="81"/>
        </w:trPr>
        <w:tc>
          <w:tcPr>
            <w:tcW w:w="1460" w:type="dxa"/>
            <w:vAlign w:val="bottom"/>
            <w:shd w:val="clear" w:color="auto" w:fill="CCEEFF"/>
          </w:tcPr>
          <w:p>
            <w:pPr>
              <w:ind w:left="20"/>
              <w:spacing w:after="0" w:line="81" w:lineRule="exact"/>
              <w:rPr>
                <w:sz w:val="20"/>
                <w:szCs w:val="20"/>
                <w:color w:val="auto"/>
              </w:rPr>
            </w:pPr>
            <w:r>
              <w:rPr>
                <w:rFonts w:ascii="Arial" w:cs="Arial" w:eastAsia="Arial" w:hAnsi="Arial"/>
                <w:sz w:val="9"/>
                <w:szCs w:val="9"/>
                <w:color w:val="auto"/>
              </w:rPr>
              <w:t>calculation</w:t>
            </w:r>
          </w:p>
        </w:tc>
        <w:tc>
          <w:tcPr>
            <w:tcW w:w="1560" w:type="dxa"/>
            <w:vAlign w:val="bottom"/>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(defined as 50% of</w:t>
            </w:r>
          </w:p>
        </w:tc>
        <w:tc>
          <w:tcPr>
            <w:tcW w:w="1780" w:type="dxa"/>
            <w:vAlign w:val="bottom"/>
            <w:shd w:val="clear" w:color="auto" w:fill="CCEEFF"/>
          </w:tcPr>
          <w:p>
            <w:pPr>
              <w:ind w:left="120"/>
              <w:spacing w:after="0" w:line="81" w:lineRule="exact"/>
              <w:rPr>
                <w:sz w:val="20"/>
                <w:szCs w:val="20"/>
                <w:color w:val="auto"/>
              </w:rPr>
            </w:pPr>
            <w:r>
              <w:rPr>
                <w:rFonts w:ascii="Arial" w:cs="Arial" w:eastAsia="Arial" w:hAnsi="Arial"/>
                <w:sz w:val="9"/>
                <w:szCs w:val="9"/>
                <w:color w:val="auto"/>
              </w:rPr>
              <w:t>(defined as 50% of</w:t>
            </w:r>
          </w:p>
        </w:tc>
        <w:tc>
          <w:tcPr>
            <w:tcW w:w="1660" w:type="dxa"/>
            <w:vAlign w:val="bottom"/>
            <w:gridSpan w:val="4"/>
            <w:shd w:val="clear" w:color="auto" w:fill="CCEEFF"/>
          </w:tcPr>
          <w:p>
            <w:pPr>
              <w:ind w:left="80"/>
              <w:spacing w:after="0" w:line="81" w:lineRule="exact"/>
              <w:rPr>
                <w:sz w:val="20"/>
                <w:szCs w:val="20"/>
                <w:color w:val="auto"/>
              </w:rPr>
            </w:pPr>
            <w:r>
              <w:rPr>
                <w:rFonts w:ascii="Arial" w:cs="Arial" w:eastAsia="Arial" w:hAnsi="Arial"/>
                <w:sz w:val="9"/>
                <w:szCs w:val="9"/>
                <w:color w:val="auto"/>
              </w:rPr>
              <w:t>years 5-7 less avg.</w:t>
            </w:r>
          </w:p>
        </w:tc>
        <w:tc>
          <w:tcPr>
            <w:tcW w:w="1500" w:type="dxa"/>
            <w:vAlign w:val="bottom"/>
            <w:gridSpan w:val="3"/>
            <w:vMerge w:val="restart"/>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 xml:space="preserve">Year 11: </w:t>
            </w:r>
            <w:r>
              <w:rPr>
                <w:rFonts w:ascii="Arial" w:cs="Arial" w:eastAsia="Arial" w:hAnsi="Arial"/>
                <w:sz w:val="18"/>
                <w:szCs w:val="18"/>
                <w:color w:val="auto"/>
              </w:rPr>
              <w:t>Avg. of</w:t>
            </w:r>
          </w:p>
        </w:tc>
        <w:tc>
          <w:tcPr>
            <w:tcW w:w="1140" w:type="dxa"/>
            <w:vAlign w:val="bottom"/>
            <w:shd w:val="clear" w:color="auto" w:fill="CCEEFF"/>
          </w:tcPr>
          <w:p>
            <w:pPr>
              <w:spacing w:after="0"/>
              <w:rPr>
                <w:sz w:val="7"/>
                <w:szCs w:val="7"/>
                <w:color w:val="auto"/>
              </w:rPr>
            </w:pPr>
          </w:p>
        </w:tc>
        <w:tc>
          <w:tcPr>
            <w:tcW w:w="2140" w:type="dxa"/>
            <w:vAlign w:val="bottom"/>
            <w:gridSpan w:val="4"/>
            <w:vMerge w:val="restart"/>
            <w:shd w:val="clear" w:color="auto" w:fill="CCEEFF"/>
          </w:tcPr>
          <w:p>
            <w:pPr>
              <w:ind w:left="660"/>
              <w:spacing w:after="0" w:line="176" w:lineRule="exact"/>
              <w:rPr>
                <w:sz w:val="20"/>
                <w:szCs w:val="20"/>
                <w:color w:val="auto"/>
              </w:rPr>
            </w:pPr>
            <w:r>
              <w:rPr>
                <w:rFonts w:ascii="Arial" w:cs="Arial" w:eastAsia="Arial" w:hAnsi="Arial"/>
                <w:sz w:val="18"/>
                <w:szCs w:val="18"/>
                <w:b w:val="1"/>
                <w:bCs w:val="1"/>
                <w:color w:val="auto"/>
              </w:rPr>
              <w:t>Year 11</w:t>
            </w:r>
            <w:r>
              <w:rPr>
                <w:rFonts w:ascii="Arial" w:cs="Arial" w:eastAsia="Arial" w:hAnsi="Arial"/>
                <w:sz w:val="18"/>
                <w:szCs w:val="18"/>
                <w:color w:val="auto"/>
              </w:rPr>
              <w:t>: Avg. of</w:t>
            </w:r>
          </w:p>
        </w:tc>
        <w:tc>
          <w:tcPr>
            <w:tcW w:w="0" w:type="dxa"/>
            <w:vAlign w:val="bottom"/>
          </w:tcPr>
          <w:p>
            <w:pPr>
              <w:spacing w:after="0"/>
              <w:rPr>
                <w:sz w:val="1"/>
                <w:szCs w:val="1"/>
                <w:color w:val="auto"/>
              </w:rPr>
            </w:pPr>
          </w:p>
        </w:tc>
      </w:tr>
      <w:tr>
        <w:trPr>
          <w:trHeight w:val="95"/>
        </w:trPr>
        <w:tc>
          <w:tcPr>
            <w:tcW w:w="1460" w:type="dxa"/>
            <w:vAlign w:val="bottom"/>
            <w:shd w:val="clear" w:color="auto" w:fill="CCEEFF"/>
          </w:tcPr>
          <w:p>
            <w:pPr>
              <w:spacing w:after="0"/>
              <w:rPr>
                <w:sz w:val="8"/>
                <w:szCs w:val="8"/>
                <w:color w:val="auto"/>
              </w:rPr>
            </w:pPr>
          </w:p>
        </w:tc>
        <w:tc>
          <w:tcPr>
            <w:tcW w:w="1560" w:type="dxa"/>
            <w:vAlign w:val="bottom"/>
            <w:vMerge w:val="continue"/>
            <w:shd w:val="clear" w:color="auto" w:fill="CCEEFF"/>
          </w:tcPr>
          <w:p>
            <w:pPr>
              <w:spacing w:after="0"/>
              <w:rPr>
                <w:sz w:val="8"/>
                <w:szCs w:val="8"/>
                <w:color w:val="auto"/>
              </w:rPr>
            </w:pPr>
          </w:p>
        </w:tc>
        <w:tc>
          <w:tcPr>
            <w:tcW w:w="1780" w:type="dxa"/>
            <w:vAlign w:val="bottom"/>
            <w:vMerge w:val="restart"/>
            <w:shd w:val="clear" w:color="auto" w:fill="CCEEFF"/>
          </w:tcPr>
          <w:p>
            <w:pPr>
              <w:ind w:left="120"/>
              <w:spacing w:after="0" w:line="176" w:lineRule="exact"/>
              <w:rPr>
                <w:sz w:val="20"/>
                <w:szCs w:val="20"/>
                <w:color w:val="auto"/>
              </w:rPr>
            </w:pPr>
            <w:r>
              <w:rPr>
                <w:rFonts w:ascii="Arial" w:cs="Arial" w:eastAsia="Arial" w:hAnsi="Arial"/>
                <w:sz w:val="18"/>
                <w:szCs w:val="18"/>
                <w:color w:val="auto"/>
              </w:rPr>
              <w:t>LTM net revenues</w:t>
            </w:r>
          </w:p>
        </w:tc>
        <w:tc>
          <w:tcPr>
            <w:tcW w:w="1660" w:type="dxa"/>
            <w:vAlign w:val="bottom"/>
            <w:gridSpan w:val="4"/>
            <w:vMerge w:val="restart"/>
            <w:shd w:val="clear" w:color="auto" w:fill="CCEEFF"/>
          </w:tcPr>
          <w:p>
            <w:pPr>
              <w:ind w:left="80"/>
              <w:spacing w:after="0" w:line="176" w:lineRule="exact"/>
              <w:rPr>
                <w:sz w:val="20"/>
                <w:szCs w:val="20"/>
                <w:color w:val="auto"/>
              </w:rPr>
            </w:pPr>
            <w:r>
              <w:rPr>
                <w:rFonts w:ascii="Arial" w:cs="Arial" w:eastAsia="Arial" w:hAnsi="Arial"/>
                <w:sz w:val="18"/>
                <w:szCs w:val="18"/>
                <w:color w:val="auto"/>
              </w:rPr>
              <w:t>of years 1-3</w:t>
            </w:r>
          </w:p>
        </w:tc>
        <w:tc>
          <w:tcPr>
            <w:tcW w:w="1500" w:type="dxa"/>
            <w:vAlign w:val="bottom"/>
            <w:gridSpan w:val="3"/>
            <w:vMerge w:val="continue"/>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140" w:type="dxa"/>
            <w:vAlign w:val="bottom"/>
            <w:gridSpan w:val="4"/>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460" w:type="dxa"/>
            <w:vAlign w:val="bottom"/>
            <w:shd w:val="clear" w:color="auto" w:fill="CCEEFF"/>
          </w:tcPr>
          <w:p>
            <w:pPr>
              <w:spacing w:after="0"/>
              <w:rPr>
                <w:sz w:val="7"/>
                <w:szCs w:val="7"/>
                <w:color w:val="auto"/>
              </w:rPr>
            </w:pPr>
          </w:p>
        </w:tc>
        <w:tc>
          <w:tcPr>
            <w:tcW w:w="1560" w:type="dxa"/>
            <w:vAlign w:val="bottom"/>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LTM net revenues</w:t>
            </w:r>
          </w:p>
        </w:tc>
        <w:tc>
          <w:tcPr>
            <w:tcW w:w="1780" w:type="dxa"/>
            <w:vAlign w:val="bottom"/>
            <w:vMerge w:val="continue"/>
            <w:shd w:val="clear" w:color="auto" w:fill="CCEEFF"/>
          </w:tcPr>
          <w:p>
            <w:pPr>
              <w:spacing w:after="0"/>
              <w:rPr>
                <w:sz w:val="7"/>
                <w:szCs w:val="7"/>
                <w:color w:val="auto"/>
              </w:rPr>
            </w:pPr>
          </w:p>
        </w:tc>
        <w:tc>
          <w:tcPr>
            <w:tcW w:w="1660" w:type="dxa"/>
            <w:vAlign w:val="bottom"/>
            <w:gridSpan w:val="4"/>
            <w:vMerge w:val="continue"/>
            <w:shd w:val="clear" w:color="auto" w:fill="CCEEFF"/>
          </w:tcPr>
          <w:p>
            <w:pPr>
              <w:spacing w:after="0"/>
              <w:rPr>
                <w:sz w:val="7"/>
                <w:szCs w:val="7"/>
                <w:color w:val="auto"/>
              </w:rPr>
            </w:pPr>
          </w:p>
        </w:tc>
        <w:tc>
          <w:tcPr>
            <w:tcW w:w="1500" w:type="dxa"/>
            <w:vAlign w:val="bottom"/>
            <w:gridSpan w:val="3"/>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1"/>
              </w:rPr>
              <w:t>years 8-10 less avg.</w:t>
            </w:r>
          </w:p>
        </w:tc>
        <w:tc>
          <w:tcPr>
            <w:tcW w:w="1140" w:type="dxa"/>
            <w:vAlign w:val="bottom"/>
            <w:shd w:val="clear" w:color="auto" w:fill="CCEEFF"/>
          </w:tcPr>
          <w:p>
            <w:pPr>
              <w:spacing w:after="0"/>
              <w:rPr>
                <w:sz w:val="7"/>
                <w:szCs w:val="7"/>
                <w:color w:val="auto"/>
              </w:rPr>
            </w:pPr>
          </w:p>
        </w:tc>
        <w:tc>
          <w:tcPr>
            <w:tcW w:w="2140" w:type="dxa"/>
            <w:vAlign w:val="bottom"/>
            <w:gridSpan w:val="4"/>
            <w:vMerge w:val="restart"/>
            <w:shd w:val="clear" w:color="auto" w:fill="CCEEFF"/>
          </w:tcPr>
          <w:p>
            <w:pPr>
              <w:ind w:left="660"/>
              <w:spacing w:after="0" w:line="176" w:lineRule="exact"/>
              <w:rPr>
                <w:sz w:val="20"/>
                <w:szCs w:val="20"/>
                <w:color w:val="auto"/>
              </w:rPr>
            </w:pPr>
            <w:r>
              <w:rPr>
                <w:rFonts w:ascii="Arial" w:cs="Arial" w:eastAsia="Arial" w:hAnsi="Arial"/>
                <w:sz w:val="18"/>
                <w:szCs w:val="18"/>
                <w:color w:val="auto"/>
                <w:w w:val="90"/>
              </w:rPr>
              <w:t>years 8-10 less avg.</w:t>
            </w:r>
          </w:p>
        </w:tc>
        <w:tc>
          <w:tcPr>
            <w:tcW w:w="0" w:type="dxa"/>
            <w:vAlign w:val="bottom"/>
          </w:tcPr>
          <w:p>
            <w:pPr>
              <w:spacing w:after="0"/>
              <w:rPr>
                <w:sz w:val="1"/>
                <w:szCs w:val="1"/>
                <w:color w:val="auto"/>
              </w:rPr>
            </w:pPr>
          </w:p>
        </w:tc>
      </w:tr>
      <w:tr>
        <w:trPr>
          <w:trHeight w:val="95"/>
        </w:trPr>
        <w:tc>
          <w:tcPr>
            <w:tcW w:w="1460" w:type="dxa"/>
            <w:vAlign w:val="bottom"/>
            <w:shd w:val="clear" w:color="auto" w:fill="CCEEFF"/>
          </w:tcPr>
          <w:p>
            <w:pPr>
              <w:spacing w:after="0"/>
              <w:rPr>
                <w:sz w:val="8"/>
                <w:szCs w:val="8"/>
                <w:color w:val="auto"/>
              </w:rPr>
            </w:pPr>
          </w:p>
        </w:tc>
        <w:tc>
          <w:tcPr>
            <w:tcW w:w="1560" w:type="dxa"/>
            <w:vAlign w:val="bottom"/>
            <w:vMerge w:val="continue"/>
            <w:shd w:val="clear" w:color="auto" w:fill="CCEEFF"/>
          </w:tcPr>
          <w:p>
            <w:pPr>
              <w:spacing w:after="0"/>
              <w:rPr>
                <w:sz w:val="8"/>
                <w:szCs w:val="8"/>
                <w:color w:val="auto"/>
              </w:rPr>
            </w:pPr>
          </w:p>
        </w:tc>
        <w:tc>
          <w:tcPr>
            <w:tcW w:w="17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prior to acquisition)</w:t>
            </w:r>
          </w:p>
        </w:tc>
        <w:tc>
          <w:tcPr>
            <w:tcW w:w="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500" w:type="dxa"/>
            <w:vAlign w:val="bottom"/>
            <w:gridSpan w:val="3"/>
            <w:vMerge w:val="continue"/>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140" w:type="dxa"/>
            <w:vAlign w:val="bottom"/>
            <w:gridSpan w:val="4"/>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460" w:type="dxa"/>
            <w:vAlign w:val="bottom"/>
            <w:shd w:val="clear" w:color="auto" w:fill="CCEEFF"/>
          </w:tcPr>
          <w:p>
            <w:pPr>
              <w:spacing w:after="0"/>
              <w:rPr>
                <w:sz w:val="11"/>
                <w:szCs w:val="11"/>
                <w:color w:val="auto"/>
              </w:rPr>
            </w:pPr>
          </w:p>
        </w:tc>
        <w:tc>
          <w:tcPr>
            <w:tcW w:w="15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prior to acquisition)</w:t>
            </w:r>
          </w:p>
        </w:tc>
        <w:tc>
          <w:tcPr>
            <w:tcW w:w="17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of years 5-7</w:t>
            </w:r>
          </w:p>
        </w:tc>
        <w:tc>
          <w:tcPr>
            <w:tcW w:w="1140" w:type="dxa"/>
            <w:vAlign w:val="bottom"/>
            <w:shd w:val="clear" w:color="auto" w:fill="CCEEFF"/>
          </w:tcPr>
          <w:p>
            <w:pPr>
              <w:spacing w:after="0"/>
              <w:rPr>
                <w:sz w:val="11"/>
                <w:szCs w:val="11"/>
                <w:color w:val="auto"/>
              </w:rPr>
            </w:pPr>
          </w:p>
        </w:tc>
        <w:tc>
          <w:tcPr>
            <w:tcW w:w="2140" w:type="dxa"/>
            <w:vAlign w:val="bottom"/>
            <w:gridSpan w:val="4"/>
            <w:vMerge w:val="restart"/>
            <w:shd w:val="clear" w:color="auto" w:fill="CCEEFF"/>
          </w:tcPr>
          <w:p>
            <w:pPr>
              <w:ind w:left="660"/>
              <w:spacing w:after="0"/>
              <w:rPr>
                <w:sz w:val="20"/>
                <w:szCs w:val="20"/>
                <w:color w:val="auto"/>
              </w:rPr>
            </w:pPr>
            <w:r>
              <w:rPr>
                <w:rFonts w:ascii="Arial" w:cs="Arial" w:eastAsia="Arial" w:hAnsi="Arial"/>
                <w:sz w:val="18"/>
                <w:szCs w:val="18"/>
                <w:color w:val="auto"/>
              </w:rPr>
              <w:t>of years 5-7</w:t>
            </w:r>
          </w:p>
        </w:tc>
        <w:tc>
          <w:tcPr>
            <w:tcW w:w="0" w:type="dxa"/>
            <w:vAlign w:val="bottom"/>
          </w:tcPr>
          <w:p>
            <w:pPr>
              <w:spacing w:after="0"/>
              <w:rPr>
                <w:sz w:val="1"/>
                <w:szCs w:val="1"/>
                <w:color w:val="auto"/>
              </w:rPr>
            </w:pPr>
          </w:p>
        </w:tc>
      </w:tr>
      <w:tr>
        <w:trPr>
          <w:trHeight w:val="94"/>
        </w:trPr>
        <w:tc>
          <w:tcPr>
            <w:tcW w:w="1460" w:type="dxa"/>
            <w:vAlign w:val="bottom"/>
            <w:shd w:val="clear" w:color="auto" w:fill="CCEEFF"/>
          </w:tcPr>
          <w:p>
            <w:pPr>
              <w:spacing w:after="0"/>
              <w:rPr>
                <w:sz w:val="8"/>
                <w:szCs w:val="8"/>
                <w:color w:val="auto"/>
              </w:rPr>
            </w:pPr>
          </w:p>
        </w:tc>
        <w:tc>
          <w:tcPr>
            <w:tcW w:w="1560" w:type="dxa"/>
            <w:vAlign w:val="bottom"/>
            <w:vMerge w:val="continue"/>
            <w:shd w:val="clear" w:color="auto" w:fill="CCEEFF"/>
          </w:tcPr>
          <w:p>
            <w:pPr>
              <w:spacing w:after="0"/>
              <w:rPr>
                <w:sz w:val="8"/>
                <w:szCs w:val="8"/>
                <w:color w:val="auto"/>
              </w:rPr>
            </w:pPr>
          </w:p>
        </w:tc>
        <w:tc>
          <w:tcPr>
            <w:tcW w:w="1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500" w:type="dxa"/>
            <w:vAlign w:val="bottom"/>
            <w:gridSpan w:val="3"/>
            <w:vMerge w:val="continue"/>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140" w:type="dxa"/>
            <w:vAlign w:val="bottom"/>
            <w:gridSpan w:val="4"/>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0"/>
                <w:szCs w:val="20"/>
                <w:color w:val="auto"/>
              </w:rPr>
            </w:pPr>
            <w:r>
              <w:rPr>
                <w:rFonts w:ascii="Arial" w:cs="Arial" w:eastAsia="Arial" w:hAnsi="Arial"/>
                <w:sz w:val="14"/>
                <w:szCs w:val="14"/>
                <w:color w:val="auto"/>
                <w:w w:val="92"/>
              </w:rPr>
              <w:t>____________________</w:t>
            </w:r>
          </w:p>
        </w:tc>
        <w:tc>
          <w:tcPr>
            <w:tcW w:w="15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9"/>
        </w:numPr>
        <w:rPr>
          <w:rFonts w:ascii="Arial" w:cs="Arial" w:eastAsia="Arial" w:hAnsi="Arial"/>
          <w:sz w:val="13"/>
          <w:szCs w:val="13"/>
          <w:i w:val="1"/>
          <w:iCs w:val="1"/>
          <w:color w:val="auto"/>
        </w:rPr>
      </w:pPr>
      <w:r>
        <w:rPr>
          <w:rFonts w:ascii="Arial" w:cs="Arial" w:eastAsia="Arial" w:hAnsi="Arial"/>
          <w:sz w:val="13"/>
          <w:szCs w:val="13"/>
          <w:i w:val="1"/>
          <w:iCs w:val="1"/>
          <w:color w:val="auto"/>
        </w:rPr>
        <w:t>For the JACK Cleveland/Thistledown Lease, the annualized rent is inclusive of an increase of $1.8 million, effective April 1, 2022, related to the gaming patio amenity at JACK Thistledown.</w:t>
      </w:r>
    </w:p>
    <w:p>
      <w:pPr>
        <w:spacing w:after="0" w:line="12" w:lineRule="exact"/>
        <w:rPr>
          <w:rFonts w:ascii="Arial" w:cs="Arial" w:eastAsia="Arial" w:hAnsi="Arial"/>
          <w:sz w:val="13"/>
          <w:szCs w:val="13"/>
          <w:i w:val="1"/>
          <w:iCs w:val="1"/>
          <w:color w:val="auto"/>
        </w:rPr>
      </w:pPr>
    </w:p>
    <w:p>
      <w:pPr>
        <w:ind w:right="20" w:firstLine="8"/>
        <w:spacing w:after="0" w:line="241" w:lineRule="auto"/>
        <w:tabs>
          <w:tab w:leader="none" w:pos="211"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and six months ended June 30, 2022 and 2021.</w:t>
      </w:r>
    </w:p>
    <w:p>
      <w:pPr>
        <w:ind w:left="220" w:hanging="212"/>
        <w:spacing w:after="0"/>
        <w:tabs>
          <w:tab w:leader="none" w:pos="22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Starting in lease year 5, if the change in CPI is less than 0.5%, there will be no escalation in rent for such lease year.</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04"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In the event that the net revenue to rent ratio coverage, as applicable, is below the stated floor, the escalation will be reduced to such amount to achieve the stated net revenue to rent ratio coverage, as applicable, provided that the amount shall never result in a decrease to the prior year’s rent. With respect to the Century Master Lease, if the coverage ratio is below the stated amount the escalator will be reduced to 0.75%.</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27"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Variable (percentage rent) is subject to the percentage rent multiplier. With respect to the Penn National Leases, after the first percentage rent reset, any amounts related to variable (percentage) rent are considered contingent rent in accordance with GAAP. In relation to the Margaritaville Lease, during the three months ended June 30, 2022 and 2021, we recognized $0.9 million and $0.8 million, respectively, in contingent rent. During the six months ended June 30, 2022 and 2021, we recognized $1.8 million,and $1.4 million, respectively, in contingent rent. In relation to the Greektown Lease during the three months ended June 30, 2022 and 2021, we recognized approximately $0.5 million, and $0.2 million, respectively, in contingent rent. During the six months ended June 30, 2022 and 2021, we recognized $1.1 million and $0.2 million, respectively, in contingent rent.</w:t>
      </w:r>
    </w:p>
    <w:p>
      <w:pPr>
        <w:spacing w:after="0" w:line="1" w:lineRule="exact"/>
        <w:rPr>
          <w:rFonts w:ascii="Arial" w:cs="Arial" w:eastAsia="Arial" w:hAnsi="Arial"/>
          <w:sz w:val="14"/>
          <w:szCs w:val="14"/>
          <w:i w:val="1"/>
          <w:iCs w:val="1"/>
          <w:color w:val="auto"/>
        </w:rPr>
      </w:pPr>
    </w:p>
    <w:p>
      <w:pPr>
        <w:ind w:firstLine="8"/>
        <w:spacing w:after="0" w:line="255" w:lineRule="auto"/>
        <w:tabs>
          <w:tab w:leader="none" w:pos="209"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With respect to lease year 0, for the period Caesars Southern Indiana was closed in 2020 due to COVID-19, the Southern Indiana Lease provides for the use of 2019 net revenues, pro rated for the period of such closure.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 Requirements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 Except as specifically provided in the below table, which summarizes the capital expenditure requirements of the respective tenants under the Caesars Leases, the Venetian Lease and the BREIT JV Lease, the tenants under our other Lease Agreements are all required to spend a minimum of 1% of net revenues or net gaming revenues, as the case may be: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Provision</w:t>
            </w:r>
          </w:p>
        </w:tc>
        <w:tc>
          <w:tcPr>
            <w:tcW w:w="100" w:type="dxa"/>
            <w:vAlign w:val="bottom"/>
            <w:vMerge w:val="restart"/>
          </w:tcPr>
          <w:p>
            <w:pPr>
              <w:spacing w:after="0"/>
              <w:rPr>
                <w:sz w:val="17"/>
                <w:szCs w:val="17"/>
                <w:color w:val="auto"/>
              </w:rPr>
            </w:pP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Caesars Regional Master Lease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Caesars Las Vegas Master</w:t>
            </w:r>
          </w:p>
        </w:tc>
        <w:tc>
          <w:tcPr>
            <w:tcW w:w="2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Venetian Lease</w:t>
            </w:r>
          </w:p>
        </w:tc>
        <w:tc>
          <w:tcPr>
            <w:tcW w:w="80" w:type="dxa"/>
            <w:vAlign w:val="bottom"/>
            <w:vMerge w:val="restart"/>
          </w:tcPr>
          <w:p>
            <w:pPr>
              <w:spacing w:after="0"/>
              <w:rPr>
                <w:sz w:val="17"/>
                <w:szCs w:val="17"/>
                <w:color w:val="auto"/>
              </w:rPr>
            </w:pPr>
          </w:p>
        </w:tc>
        <w:tc>
          <w:tcPr>
            <w:tcW w:w="2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BREIT JV Lease</w:t>
            </w:r>
          </w:p>
        </w:tc>
        <w:tc>
          <w:tcPr>
            <w:tcW w:w="0" w:type="dxa"/>
            <w:vAlign w:val="bottom"/>
          </w:tcPr>
          <w:p>
            <w:pPr>
              <w:spacing w:after="0"/>
              <w:rPr>
                <w:sz w:val="1"/>
                <w:szCs w:val="1"/>
                <w:color w:val="auto"/>
              </w:rPr>
            </w:pPr>
          </w:p>
        </w:tc>
      </w:tr>
      <w:tr>
        <w:trPr>
          <w:trHeight w:val="229"/>
        </w:trPr>
        <w:tc>
          <w:tcPr>
            <w:tcW w:w="1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and Joliet Lease</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Lease</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Yearly minimum</w:t>
            </w:r>
          </w:p>
        </w:tc>
        <w:tc>
          <w:tcPr>
            <w:tcW w:w="25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8"/>
              </w:rPr>
              <w:t xml:space="preserve">1% of net revenues </w:t>
            </w:r>
            <w:r>
              <w:rPr>
                <w:rFonts w:ascii="Arial" w:cs="Arial" w:eastAsia="Arial" w:hAnsi="Arial"/>
                <w:sz w:val="23"/>
                <w:szCs w:val="23"/>
                <w:i w:val="1"/>
                <w:iCs w:val="1"/>
                <w:color w:val="auto"/>
                <w:w w:val="88"/>
                <w:vertAlign w:val="superscript"/>
              </w:rPr>
              <w:t>(1)</w:t>
            </w:r>
          </w:p>
        </w:tc>
        <w:tc>
          <w:tcPr>
            <w:tcW w:w="22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7"/>
              </w:rPr>
              <w:t xml:space="preserve">1% of net revenues </w:t>
            </w:r>
            <w:r>
              <w:rPr>
                <w:rFonts w:ascii="Arial" w:cs="Arial" w:eastAsia="Arial" w:hAnsi="Arial"/>
                <w:sz w:val="23"/>
                <w:szCs w:val="23"/>
                <w:i w:val="1"/>
                <w:iCs w:val="1"/>
                <w:color w:val="auto"/>
                <w:w w:val="87"/>
                <w:vertAlign w:val="superscript"/>
              </w:rPr>
              <w:t>(1)</w:t>
            </w:r>
          </w:p>
        </w:tc>
        <w:tc>
          <w:tcPr>
            <w:tcW w:w="2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7"/>
              </w:rPr>
              <w:t>2% of net revenues based on</w:t>
            </w:r>
          </w:p>
        </w:tc>
        <w:tc>
          <w:tcPr>
            <w:tcW w:w="218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88"/>
              </w:rPr>
              <w:t>3.5% of net revenues based</w:t>
            </w:r>
          </w:p>
        </w:tc>
        <w:tc>
          <w:tcPr>
            <w:tcW w:w="0" w:type="dxa"/>
            <w:vAlign w:val="bottom"/>
          </w:tcPr>
          <w:p>
            <w:pPr>
              <w:spacing w:after="0"/>
              <w:rPr>
                <w:sz w:val="1"/>
                <w:szCs w:val="1"/>
                <w:color w:val="auto"/>
              </w:rPr>
            </w:pPr>
          </w:p>
        </w:tc>
      </w:tr>
      <w:tr>
        <w:trPr>
          <w:trHeight w:val="175"/>
        </w:trPr>
        <w:tc>
          <w:tcPr>
            <w:tcW w:w="2000" w:type="dxa"/>
            <w:vAlign w:val="bottom"/>
            <w:gridSpan w:val="2"/>
            <w:vMerge w:val="continue"/>
            <w:shd w:val="clear" w:color="auto" w:fill="CCEEFF"/>
          </w:tcPr>
          <w:p>
            <w:pPr>
              <w:spacing w:after="0"/>
              <w:rPr>
                <w:sz w:val="15"/>
                <w:szCs w:val="15"/>
                <w:color w:val="auto"/>
              </w:rPr>
            </w:pPr>
          </w:p>
        </w:tc>
        <w:tc>
          <w:tcPr>
            <w:tcW w:w="2560" w:type="dxa"/>
            <w:vAlign w:val="bottom"/>
            <w:gridSpan w:val="2"/>
            <w:vMerge w:val="continue"/>
            <w:shd w:val="clear" w:color="auto" w:fill="CCEEFF"/>
          </w:tcPr>
          <w:p>
            <w:pPr>
              <w:spacing w:after="0"/>
              <w:rPr>
                <w:sz w:val="15"/>
                <w:szCs w:val="15"/>
                <w:color w:val="auto"/>
              </w:rPr>
            </w:pPr>
          </w:p>
        </w:tc>
        <w:tc>
          <w:tcPr>
            <w:tcW w:w="2260" w:type="dxa"/>
            <w:vAlign w:val="bottom"/>
            <w:gridSpan w:val="2"/>
            <w:vMerge w:val="continue"/>
            <w:shd w:val="clear" w:color="auto" w:fill="CCEEFF"/>
          </w:tcPr>
          <w:p>
            <w:pPr>
              <w:spacing w:after="0"/>
              <w:rPr>
                <w:sz w:val="15"/>
                <w:szCs w:val="15"/>
                <w:color w:val="auto"/>
              </w:rPr>
            </w:pPr>
          </w:p>
        </w:tc>
        <w:tc>
          <w:tcPr>
            <w:tcW w:w="2240" w:type="dxa"/>
            <w:vAlign w:val="bottom"/>
            <w:gridSpan w:val="2"/>
            <w:vMerge w:val="continue"/>
            <w:shd w:val="clear" w:color="auto" w:fill="CCEEFF"/>
          </w:tcPr>
          <w:p>
            <w:pPr>
              <w:spacing w:after="0"/>
              <w:rPr>
                <w:sz w:val="15"/>
                <w:szCs w:val="15"/>
                <w:color w:val="auto"/>
              </w:rPr>
            </w:pPr>
          </w:p>
        </w:tc>
        <w:tc>
          <w:tcPr>
            <w:tcW w:w="2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on 5-year rolling test, 1.5%</w:t>
            </w:r>
          </w:p>
        </w:tc>
        <w:tc>
          <w:tcPr>
            <w:tcW w:w="0" w:type="dxa"/>
            <w:vAlign w:val="bottom"/>
          </w:tcPr>
          <w:p>
            <w:pPr>
              <w:spacing w:after="0"/>
              <w:rPr>
                <w:sz w:val="1"/>
                <w:szCs w:val="1"/>
                <w:color w:val="auto"/>
              </w:rPr>
            </w:pPr>
          </w:p>
        </w:tc>
      </w:tr>
      <w:tr>
        <w:trPr>
          <w:trHeight w:val="210"/>
        </w:trPr>
        <w:tc>
          <w:tcPr>
            <w:tcW w:w="2000" w:type="dxa"/>
            <w:vAlign w:val="bottom"/>
            <w:tcBorders>
              <w:bottom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expenditure</w:t>
            </w:r>
          </w:p>
        </w:tc>
        <w:tc>
          <w:tcPr>
            <w:tcW w:w="2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1"/>
              </w:rPr>
              <w:t>rolling three-year basis</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monthly reserves</w:t>
            </w:r>
          </w:p>
        </w:tc>
        <w:tc>
          <w:tcPr>
            <w:tcW w:w="0" w:type="dxa"/>
            <w:vAlign w:val="bottom"/>
          </w:tcPr>
          <w:p>
            <w:pPr>
              <w:spacing w:after="0"/>
              <w:rPr>
                <w:sz w:val="1"/>
                <w:szCs w:val="1"/>
                <w:color w:val="auto"/>
              </w:rPr>
            </w:pPr>
          </w:p>
        </w:tc>
      </w:tr>
      <w:tr>
        <w:trPr>
          <w:trHeight w:val="175"/>
        </w:trPr>
        <w:tc>
          <w:tcPr>
            <w:tcW w:w="2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Rolling three-year</w:t>
            </w:r>
          </w:p>
        </w:tc>
        <w:tc>
          <w:tcPr>
            <w:tcW w:w="25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$311 million</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7"/>
              </w:rPr>
              <w:t>$84 million</w:t>
            </w:r>
          </w:p>
        </w:tc>
        <w:tc>
          <w:tcPr>
            <w:tcW w:w="22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N/A</w:t>
            </w:r>
          </w:p>
        </w:tc>
        <w:tc>
          <w:tcPr>
            <w:tcW w:w="218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04"/>
        </w:trPr>
        <w:tc>
          <w:tcPr>
            <w:tcW w:w="2000" w:type="dxa"/>
            <w:vAlign w:val="bottom"/>
            <w:gridSpan w:val="2"/>
          </w:tcPr>
          <w:p>
            <w:pPr>
              <w:ind w:left="20"/>
              <w:spacing w:after="0"/>
              <w:rPr>
                <w:sz w:val="20"/>
                <w:szCs w:val="20"/>
                <w:color w:val="auto"/>
              </w:rPr>
            </w:pPr>
            <w:r>
              <w:rPr>
                <w:rFonts w:ascii="Arial" w:cs="Arial" w:eastAsia="Arial" w:hAnsi="Arial"/>
                <w:sz w:val="18"/>
                <w:szCs w:val="18"/>
                <w:color w:val="auto"/>
              </w:rPr>
              <w:t xml:space="preserve">minimum </w:t>
            </w:r>
            <w:r>
              <w:rPr>
                <w:rFonts w:ascii="Arial" w:cs="Arial" w:eastAsia="Arial" w:hAnsi="Arial"/>
                <w:sz w:val="23"/>
                <w:szCs w:val="23"/>
                <w:i w:val="1"/>
                <w:iCs w:val="1"/>
                <w:color w:val="auto"/>
                <w:vertAlign w:val="superscript"/>
              </w:rPr>
              <w:t>(2)</w:t>
            </w:r>
          </w:p>
        </w:tc>
        <w:tc>
          <w:tcPr>
            <w:tcW w:w="2560" w:type="dxa"/>
            <w:vAlign w:val="bottom"/>
            <w:gridSpan w:val="2"/>
            <w:vMerge w:val="continue"/>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2240" w:type="dxa"/>
            <w:vAlign w:val="bottom"/>
            <w:gridSpan w:val="2"/>
            <w:vMerge w:val="continue"/>
          </w:tcPr>
          <w:p>
            <w:pPr>
              <w:spacing w:after="0"/>
              <w:rPr>
                <w:sz w:val="24"/>
                <w:szCs w:val="24"/>
                <w:color w:val="auto"/>
              </w:rPr>
            </w:pPr>
          </w:p>
        </w:tc>
        <w:tc>
          <w:tcPr>
            <w:tcW w:w="2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900" w:type="dxa"/>
            <w:vAlign w:val="bottom"/>
          </w:tcPr>
          <w:p>
            <w:pPr>
              <w:spacing w:after="0"/>
              <w:rPr>
                <w:sz w:val="20"/>
                <w:szCs w:val="20"/>
                <w:color w:val="auto"/>
              </w:rPr>
            </w:pPr>
            <w:r>
              <w:rPr>
                <w:rFonts w:ascii="Arial" w:cs="Arial" w:eastAsia="Arial" w:hAnsi="Arial"/>
                <w:sz w:val="14"/>
                <w:szCs w:val="14"/>
                <w:color w:val="auto"/>
              </w:rPr>
              <w:t>____________________</w:t>
            </w:r>
          </w:p>
        </w:tc>
        <w:tc>
          <w:tcPr>
            <w:tcW w:w="1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firstLine="8"/>
        <w:spacing w:after="0" w:line="250" w:lineRule="auto"/>
        <w:tabs>
          <w:tab w:leader="none" w:pos="23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The Caesars Leases require a $114.5 million floor on annual capital expenditures for Caesars Palace Las Vegas, Joliet and the Regional Master Lease properties in the aggregate. Additionally, annual building &amp; improvement capital improvements must be equal to or greater than 1% of prior year net revenues.</w:t>
      </w:r>
    </w:p>
    <w:p>
      <w:pPr>
        <w:jc w:val="both"/>
        <w:ind w:firstLine="8"/>
        <w:spacing w:after="0" w:line="271" w:lineRule="auto"/>
        <w:tabs>
          <w:tab w:leader="none" w:pos="213" w:val="left"/>
        </w:tabs>
        <w:numPr>
          <w:ilvl w:val="0"/>
          <w:numId w:val="20"/>
        </w:numPr>
        <w:rPr>
          <w:rFonts w:ascii="Arial" w:cs="Arial" w:eastAsia="Arial" w:hAnsi="Arial"/>
          <w:sz w:val="13"/>
          <w:szCs w:val="13"/>
          <w:i w:val="1"/>
          <w:iCs w:val="1"/>
          <w:color w:val="auto"/>
        </w:rPr>
      </w:pPr>
      <w:r>
        <w:rPr>
          <w:rFonts w:ascii="Arial" w:cs="Arial" w:eastAsia="Arial" w:hAnsi="Arial"/>
          <w:sz w:val="13"/>
          <w:szCs w:val="13"/>
          <w:i w:val="1"/>
          <w:iCs w:val="1"/>
          <w:color w:val="auto"/>
        </w:rPr>
        <w:t>Certain tenants under the Caesars Leases, as applicable, are required to spend $380.3 million on capital expenditures (excluding gaming equipment) over a rolling three-year period, with $286.0 million allocated to the regional assets, $84.0 million allocated to Caesars Palace Las Vegas and the remaining balance of $10.3 million to facilities (other than the Harrah’s Las Vegas Facility) covered by any Caesars Lease in such proportion as such tenants may elect. Additionally, the tenants under the Regional Master Lease and Joliet Lease are required to expend a minimum of $537.5 million on capital expenditures (including gaming equipment) across certain of its affiliates and other assets, together with the $380.3 million requirement.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Portfolio</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investments in loans as of June 30, 2022 and December 31, 2021: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Borders>
              <w:top w:val="single" w:sz="8" w:color="auto"/>
            </w:tcBorders>
            <w:gridSpan w:val="2"/>
            <w:vMerge w:val="restart"/>
          </w:tcPr>
          <w:p>
            <w:pPr>
              <w:ind w:left="800"/>
              <w:spacing w:after="0"/>
              <w:rPr>
                <w:sz w:val="20"/>
                <w:szCs w:val="20"/>
                <w:color w:val="auto"/>
              </w:rPr>
            </w:pPr>
            <w:r>
              <w:rPr>
                <w:rFonts w:ascii="Arial" w:cs="Arial" w:eastAsia="Arial" w:hAnsi="Arial"/>
                <w:sz w:val="16"/>
                <w:szCs w:val="16"/>
                <w:b w:val="1"/>
                <w:bCs w:val="1"/>
                <w:color w:val="auto"/>
              </w:rPr>
              <w:t>Loan Type</w:t>
            </w:r>
          </w:p>
        </w:tc>
        <w:tc>
          <w:tcPr>
            <w:tcW w:w="1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Principal Balance</w:t>
            </w:r>
          </w:p>
        </w:tc>
        <w:tc>
          <w:tcPr>
            <w:tcW w:w="1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Carrying Value</w:t>
            </w:r>
            <w:r>
              <w:rPr>
                <w:rFonts w:ascii="Arial" w:cs="Arial" w:eastAsia="Arial" w:hAnsi="Arial"/>
                <w:sz w:val="21"/>
                <w:szCs w:val="21"/>
                <w:b w:val="1"/>
                <w:bCs w:val="1"/>
                <w:i w:val="1"/>
                <w:iCs w:val="1"/>
                <w:color w:val="auto"/>
                <w:vertAlign w:val="superscript"/>
              </w:rPr>
              <w:t>(1)</w:t>
            </w:r>
          </w:p>
        </w:tc>
        <w:tc>
          <w:tcPr>
            <w:tcW w:w="2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tcPr>
          <w:p>
            <w:pPr>
              <w:ind w:left="80"/>
              <w:spacing w:after="0" w:line="161" w:lineRule="exact"/>
              <w:rPr>
                <w:sz w:val="20"/>
                <w:szCs w:val="20"/>
                <w:color w:val="auto"/>
              </w:rPr>
            </w:pPr>
            <w:r>
              <w:rPr>
                <w:rFonts w:ascii="Arial" w:cs="Arial" w:eastAsia="Arial" w:hAnsi="Arial"/>
                <w:sz w:val="16"/>
                <w:szCs w:val="16"/>
                <w:b w:val="1"/>
                <w:bCs w:val="1"/>
                <w:color w:val="auto"/>
              </w:rPr>
              <w:t>Future Funding</w:t>
            </w:r>
          </w:p>
        </w:tc>
        <w:tc>
          <w:tcPr>
            <w:tcW w:w="1900" w:type="dxa"/>
            <w:vAlign w:val="bottom"/>
            <w:tcBorders>
              <w:top w:val="single" w:sz="8" w:color="auto"/>
            </w:tcBorders>
            <w:gridSpan w:val="2"/>
          </w:tcPr>
          <w:p>
            <w:pPr>
              <w:jc w:val="center"/>
              <w:ind w:right="80"/>
              <w:spacing w:after="0" w:line="161" w:lineRule="exact"/>
              <w:rPr>
                <w:sz w:val="20"/>
                <w:szCs w:val="20"/>
                <w:color w:val="auto"/>
              </w:rPr>
            </w:pPr>
            <w:r>
              <w:rPr>
                <w:rFonts w:ascii="Arial" w:cs="Arial" w:eastAsia="Arial" w:hAnsi="Arial"/>
                <w:sz w:val="16"/>
                <w:szCs w:val="16"/>
                <w:b w:val="1"/>
                <w:bCs w:val="1"/>
                <w:color w:val="auto"/>
                <w:w w:val="90"/>
              </w:rPr>
              <w:t>Weighted Average</w:t>
            </w:r>
          </w:p>
        </w:tc>
        <w:tc>
          <w:tcPr>
            <w:tcW w:w="166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216"/>
        </w:trPr>
        <w:tc>
          <w:tcPr>
            <w:tcW w:w="2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80"/>
              <w:spacing w:after="0" w:line="216" w:lineRule="exact"/>
              <w:rPr>
                <w:sz w:val="20"/>
                <w:szCs w:val="20"/>
                <w:color w:val="auto"/>
              </w:rPr>
            </w:pPr>
            <w:r>
              <w:rPr>
                <w:rFonts w:ascii="Arial" w:cs="Arial" w:eastAsia="Arial" w:hAnsi="Arial"/>
                <w:sz w:val="16"/>
                <w:szCs w:val="16"/>
                <w:b w:val="1"/>
                <w:bCs w:val="1"/>
                <w:color w:val="auto"/>
              </w:rPr>
              <w:t>Commitments</w:t>
            </w:r>
            <w:r>
              <w:rPr>
                <w:rFonts w:ascii="Arial" w:cs="Arial" w:eastAsia="Arial" w:hAnsi="Arial"/>
                <w:sz w:val="21"/>
                <w:szCs w:val="21"/>
                <w:b w:val="1"/>
                <w:bCs w:val="1"/>
                <w:i w:val="1"/>
                <w:iCs w:val="1"/>
                <w:color w:val="auto"/>
                <w:vertAlign w:val="superscript"/>
              </w:rPr>
              <w:t>(2)</w:t>
            </w:r>
          </w:p>
        </w:tc>
        <w:tc>
          <w:tcPr>
            <w:tcW w:w="1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Interest Rate</w:t>
            </w:r>
          </w:p>
        </w:tc>
        <w:tc>
          <w:tcPr>
            <w:tcW w:w="166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8"/>
              </w:rPr>
              <w:t xml:space="preserve">Term </w:t>
            </w:r>
            <w:r>
              <w:rPr>
                <w:rFonts w:ascii="Arial" w:cs="Arial" w:eastAsia="Arial" w:hAnsi="Arial"/>
                <w:sz w:val="21"/>
                <w:szCs w:val="21"/>
                <w:b w:val="1"/>
                <w:bCs w:val="1"/>
                <w:i w:val="1"/>
                <w:iCs w:val="1"/>
                <w:color w:val="auto"/>
                <w:w w:val="88"/>
                <w:vertAlign w:val="superscript"/>
              </w:rPr>
              <w:t>(3)</w:t>
            </w:r>
          </w:p>
        </w:tc>
        <w:tc>
          <w:tcPr>
            <w:tcW w:w="0" w:type="dxa"/>
            <w:vAlign w:val="bottom"/>
          </w:tcPr>
          <w:p>
            <w:pPr>
              <w:spacing w:after="0"/>
              <w:rPr>
                <w:sz w:val="1"/>
                <w:szCs w:val="1"/>
                <w:color w:val="auto"/>
              </w:rPr>
            </w:pPr>
          </w:p>
        </w:tc>
      </w:tr>
      <w:tr>
        <w:trPr>
          <w:trHeight w:val="223"/>
        </w:trPr>
        <w:tc>
          <w:tcPr>
            <w:tcW w:w="2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Senior Secured</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473,900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213,832</w:t>
            </w:r>
          </w:p>
        </w:tc>
        <w:tc>
          <w:tcPr>
            <w:tcW w:w="8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6"/>
              </w:rPr>
              <w:t>3.6 years</w:t>
            </w:r>
          </w:p>
        </w:tc>
        <w:tc>
          <w:tcPr>
            <w:tcW w:w="0" w:type="dxa"/>
            <w:vAlign w:val="bottom"/>
          </w:tcPr>
          <w:p>
            <w:pPr>
              <w:spacing w:after="0"/>
              <w:rPr>
                <w:sz w:val="1"/>
                <w:szCs w:val="1"/>
                <w:color w:val="auto"/>
              </w:rPr>
            </w:pPr>
          </w:p>
        </w:tc>
      </w:tr>
      <w:tr>
        <w:trPr>
          <w:trHeight w:val="229"/>
        </w:trPr>
        <w:tc>
          <w:tcPr>
            <w:tcW w:w="2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Mezzanine</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7,692</w:t>
            </w:r>
          </w:p>
        </w:tc>
        <w:tc>
          <w:tcPr>
            <w:tcW w:w="8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86"/>
              </w:rPr>
              <w:t>4.0 years</w:t>
            </w:r>
          </w:p>
        </w:tc>
        <w:tc>
          <w:tcPr>
            <w:tcW w:w="0" w:type="dxa"/>
            <w:vAlign w:val="bottom"/>
          </w:tcPr>
          <w:p>
            <w:pPr>
              <w:spacing w:after="0"/>
              <w:rPr>
                <w:sz w:val="1"/>
                <w:szCs w:val="1"/>
                <w:color w:val="auto"/>
              </w:rPr>
            </w:pPr>
          </w:p>
        </w:tc>
      </w:tr>
      <w:tr>
        <w:trPr>
          <w:trHeight w:val="248"/>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545,162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221,523</w:t>
            </w:r>
          </w:p>
        </w:tc>
        <w:tc>
          <w:tcPr>
            <w:tcW w:w="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6"/>
              </w:rPr>
              <w:t>3.6 years</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ind w:left="620"/>
              <w:spacing w:after="0"/>
              <w:rPr>
                <w:sz w:val="20"/>
                <w:szCs w:val="20"/>
                <w:color w:val="auto"/>
              </w:rPr>
            </w:pPr>
            <w:r>
              <w:rPr>
                <w:rFonts w:ascii="Arial" w:cs="Arial" w:eastAsia="Arial" w:hAnsi="Arial"/>
                <w:sz w:val="16"/>
                <w:szCs w:val="16"/>
                <w:b w:val="1"/>
                <w:bCs w:val="1"/>
                <w:color w:val="auto"/>
              </w:rPr>
              <w:t>December 31, 2021</w:t>
            </w: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440" w:type="dxa"/>
            <w:vAlign w:val="bottom"/>
            <w:gridSpan w:val="2"/>
            <w:vMerge w:val="restart"/>
          </w:tcPr>
          <w:p>
            <w:pPr>
              <w:ind w:left="800"/>
              <w:spacing w:after="0"/>
              <w:rPr>
                <w:sz w:val="20"/>
                <w:szCs w:val="20"/>
                <w:color w:val="auto"/>
              </w:rPr>
            </w:pPr>
            <w:r>
              <w:rPr>
                <w:rFonts w:ascii="Arial" w:cs="Arial" w:eastAsia="Arial" w:hAnsi="Arial"/>
                <w:sz w:val="16"/>
                <w:szCs w:val="16"/>
                <w:b w:val="1"/>
                <w:bCs w:val="1"/>
                <w:color w:val="auto"/>
              </w:rPr>
              <w:t>Loan Type</w:t>
            </w:r>
          </w:p>
        </w:tc>
        <w:tc>
          <w:tcPr>
            <w:tcW w:w="160" w:type="dxa"/>
            <w:vAlign w:val="bottom"/>
          </w:tcPr>
          <w:p>
            <w:pPr>
              <w:spacing w:after="0"/>
              <w:rPr>
                <w:sz w:val="13"/>
                <w:szCs w:val="13"/>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Principal Balance</w:t>
            </w:r>
          </w:p>
        </w:tc>
        <w:tc>
          <w:tcPr>
            <w:tcW w:w="160" w:type="dxa"/>
            <w:vAlign w:val="bottom"/>
          </w:tcPr>
          <w:p>
            <w:pPr>
              <w:spacing w:after="0"/>
              <w:rPr>
                <w:sz w:val="13"/>
                <w:szCs w:val="13"/>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Carrying Value</w:t>
            </w:r>
            <w:r>
              <w:rPr>
                <w:rFonts w:ascii="Arial" w:cs="Arial" w:eastAsia="Arial" w:hAnsi="Arial"/>
                <w:sz w:val="21"/>
                <w:szCs w:val="21"/>
                <w:b w:val="1"/>
                <w:bCs w:val="1"/>
                <w:i w:val="1"/>
                <w:iCs w:val="1"/>
                <w:color w:val="auto"/>
                <w:vertAlign w:val="superscript"/>
              </w:rPr>
              <w:t>(1)</w:t>
            </w:r>
          </w:p>
        </w:tc>
        <w:tc>
          <w:tcPr>
            <w:tcW w:w="200" w:type="dxa"/>
            <w:vAlign w:val="bottom"/>
          </w:tcPr>
          <w:p>
            <w:pPr>
              <w:spacing w:after="0"/>
              <w:rPr>
                <w:sz w:val="13"/>
                <w:szCs w:val="13"/>
                <w:color w:val="auto"/>
              </w:rPr>
            </w:pPr>
          </w:p>
        </w:tc>
        <w:tc>
          <w:tcPr>
            <w:tcW w:w="156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Future Funding</w:t>
            </w:r>
          </w:p>
        </w:tc>
        <w:tc>
          <w:tcPr>
            <w:tcW w:w="190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16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216"/>
        </w:trPr>
        <w:tc>
          <w:tcPr>
            <w:tcW w:w="2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80"/>
              <w:spacing w:after="0" w:line="216" w:lineRule="exact"/>
              <w:rPr>
                <w:sz w:val="20"/>
                <w:szCs w:val="20"/>
                <w:color w:val="auto"/>
              </w:rPr>
            </w:pPr>
            <w:r>
              <w:rPr>
                <w:rFonts w:ascii="Arial" w:cs="Arial" w:eastAsia="Arial" w:hAnsi="Arial"/>
                <w:sz w:val="16"/>
                <w:szCs w:val="16"/>
                <w:b w:val="1"/>
                <w:bCs w:val="1"/>
                <w:color w:val="auto"/>
              </w:rPr>
              <w:t>Commitments</w:t>
            </w:r>
            <w:r>
              <w:rPr>
                <w:rFonts w:ascii="Arial" w:cs="Arial" w:eastAsia="Arial" w:hAnsi="Arial"/>
                <w:sz w:val="21"/>
                <w:szCs w:val="21"/>
                <w:b w:val="1"/>
                <w:bCs w:val="1"/>
                <w:i w:val="1"/>
                <w:iCs w:val="1"/>
                <w:color w:val="auto"/>
                <w:vertAlign w:val="superscript"/>
              </w:rPr>
              <w:t>(2)</w:t>
            </w:r>
          </w:p>
        </w:tc>
        <w:tc>
          <w:tcPr>
            <w:tcW w:w="1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Interest Rate</w:t>
            </w:r>
          </w:p>
        </w:tc>
        <w:tc>
          <w:tcPr>
            <w:tcW w:w="166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8"/>
              </w:rPr>
              <w:t xml:space="preserve">Term </w:t>
            </w:r>
            <w:r>
              <w:rPr>
                <w:rFonts w:ascii="Arial" w:cs="Arial" w:eastAsia="Arial" w:hAnsi="Arial"/>
                <w:sz w:val="21"/>
                <w:szCs w:val="21"/>
                <w:b w:val="1"/>
                <w:bCs w:val="1"/>
                <w:i w:val="1"/>
                <w:iCs w:val="1"/>
                <w:color w:val="auto"/>
                <w:w w:val="88"/>
                <w:vertAlign w:val="superscript"/>
              </w:rPr>
              <w:t>(3)</w:t>
            </w:r>
          </w:p>
        </w:tc>
        <w:tc>
          <w:tcPr>
            <w:tcW w:w="0" w:type="dxa"/>
            <w:vAlign w:val="bottom"/>
          </w:tcPr>
          <w:p>
            <w:pPr>
              <w:spacing w:after="0"/>
              <w:rPr>
                <w:sz w:val="1"/>
                <w:szCs w:val="1"/>
                <w:color w:val="auto"/>
              </w:rPr>
            </w:pPr>
          </w:p>
        </w:tc>
      </w:tr>
      <w:tr>
        <w:trPr>
          <w:trHeight w:val="223"/>
        </w:trPr>
        <w:tc>
          <w:tcPr>
            <w:tcW w:w="2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Senior Secured</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465,034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6"/>
              </w:rPr>
              <w:t>3.5 years</w:t>
            </w:r>
          </w:p>
        </w:tc>
        <w:tc>
          <w:tcPr>
            <w:tcW w:w="0" w:type="dxa"/>
            <w:vAlign w:val="bottom"/>
          </w:tcPr>
          <w:p>
            <w:pPr>
              <w:spacing w:after="0"/>
              <w:rPr>
                <w:sz w:val="1"/>
                <w:szCs w:val="1"/>
                <w:color w:val="auto"/>
              </w:rPr>
            </w:pPr>
          </w:p>
        </w:tc>
      </w:tr>
      <w:tr>
        <w:trPr>
          <w:trHeight w:val="230"/>
        </w:trPr>
        <w:tc>
          <w:tcPr>
            <w:tcW w:w="2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Mezzanine</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45,886</w:t>
            </w:r>
          </w:p>
        </w:tc>
        <w:tc>
          <w:tcPr>
            <w:tcW w:w="8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86"/>
              </w:rPr>
              <w:t>4.0 years</w:t>
            </w:r>
          </w:p>
        </w:tc>
        <w:tc>
          <w:tcPr>
            <w:tcW w:w="0" w:type="dxa"/>
            <w:vAlign w:val="bottom"/>
          </w:tcPr>
          <w:p>
            <w:pPr>
              <w:spacing w:after="0"/>
              <w:rPr>
                <w:sz w:val="1"/>
                <w:szCs w:val="1"/>
                <w:color w:val="auto"/>
              </w:rPr>
            </w:pPr>
          </w:p>
        </w:tc>
      </w:tr>
      <w:tr>
        <w:trPr>
          <w:trHeight w:val="248"/>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60,886</w:t>
            </w:r>
          </w:p>
        </w:tc>
        <w:tc>
          <w:tcPr>
            <w:tcW w:w="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6"/>
              </w:rPr>
              <w:t>3.5 years</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includes unamortized loan origination costs and are net of allowance for credit losses.</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Our future funding commitments are subject to our borrowers' compliance with the financial covenants and other applicable provisions of each respective loan agreement.</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Assumes all extension options are exercised; however, our loans may be repaid, subject to certain conditions, prior to such date.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Allowance for Credit Losses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ASC 326, we are required to estimate and record non-cash credit losses related to our historical and any future investments in sales-type leases, lease financing receivables and loans.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three and six months ended June 30, 2022, we recognized a $551.9 million and $632.7 million increase, respectively, in our allowance for credit losses primarily driven by initial CECL allowances on our acquisition activity during such periods in the amount of $439.7 million and $515.7 million, respectively, representing 79.9% and 81.5% of the total allowance for three and six months ended June 30, 2022, respectively. The initial CECL allowances were in relation to (i) the closing of the MGP Transactions on April 29, 2022, which included the (a) classification of the MGM Master Lease as a lease financing receivable and (b) the sales-type sub-lease agreements we assumed in connection with the closing of the MGP Transactions and are required to present gross, (ii) the closing of the Venetian Acquisition on February 23, 2022, which included (a) the classification of the Venetian Lease as a sales-type lease, (b) the estimated future funding commitments under the Venetian PGF and (c) the sales-type sub-lease agreements we assumed in connection with the closing of the Venetian Acquisition and are required to present gross, (iii) the future funding commitments upon entry into the BigShots Loan on April 7, 2022, and entry into Cabot Citrus Farms Loan on June 6, 2022. Additional increases were attributable to the increase in the reasonable and supportable period, or R&amp;S Period, probability of default, or PD, of our tenants and their parent guarantors as a result of market volatility during the first and second quarters of 2022. This was partially offset by a decrease in the Long-Term Period PD as a result of standard annual updates that were made to the Long-Term PD default study we utilize to estimate our CECL allowance.</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and six months ended June 30, 2021, we recognized a $29.1 million and $33.5 million decrease, respectively, in our allowance for credit losses primarily driven by (i) the decrease in the R&amp;S Period PD of our tenants and their parent guarantors as a result of an improvement in their economic outlook due to the reopening of all of their gaming operations and relative performance of such operations during the first and second quarters of 2021, (ii) the decrease in the Long-Term Period PD due to a credit rating upgrade of the senior secured debt used to determine the Long-Term Period PD for two of our tenants during the second quarter of 2021, and (iii) the decrease in the R&amp;S Period PD and loss given default, or LGD, as a result of standard annual updates that were made to the inputs and assumptions in the model that we utilize to estimate our CECL allowance.</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2022 and December 31, 2021, and since our formation date on October 6, 2017, all of our Lease Agreements and loan investments are current in payment of their obligations to us and no investments are on non-accrual status.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the allowance for credit losses as of June 30, 2022 and December 31,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w w:val="90"/>
              </w:rPr>
              <w:t>June 30, 2022</w:t>
            </w:r>
          </w:p>
        </w:tc>
        <w:tc>
          <w:tcPr>
            <w:tcW w:w="1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Amortized Cost</w:t>
            </w:r>
          </w:p>
        </w:tc>
        <w:tc>
          <w:tcPr>
            <w:tcW w:w="260" w:type="dxa"/>
            <w:vAlign w:val="bottom"/>
          </w:tcPr>
          <w:p>
            <w:pPr>
              <w:spacing w:after="0"/>
              <w:rPr>
                <w:sz w:val="13"/>
                <w:szCs w:val="13"/>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 xml:space="preserve">Allowance </w:t>
            </w:r>
            <w:r>
              <w:rPr>
                <w:rFonts w:ascii="Arial" w:cs="Arial" w:eastAsia="Arial" w:hAnsi="Arial"/>
                <w:sz w:val="21"/>
                <w:szCs w:val="21"/>
                <w:b w:val="1"/>
                <w:bCs w:val="1"/>
                <w:color w:val="auto"/>
                <w:vertAlign w:val="superscript"/>
              </w:rPr>
              <w:t>(1)</w:t>
            </w:r>
          </w:p>
        </w:tc>
        <w:tc>
          <w:tcPr>
            <w:tcW w:w="220" w:type="dxa"/>
            <w:vAlign w:val="bottom"/>
          </w:tcPr>
          <w:p>
            <w:pPr>
              <w:spacing w:after="0"/>
              <w:rPr>
                <w:sz w:val="13"/>
                <w:szCs w:val="13"/>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Net Investment</w:t>
            </w:r>
          </w:p>
        </w:tc>
        <w:tc>
          <w:tcPr>
            <w:tcW w:w="18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2"/>
              </w:rPr>
              <w:t>Allowance as a %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2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8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3"/>
              </w:rPr>
              <w:t>Amortized Cost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leases - sales-type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17,658,038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17,075,857</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Investments in leases - financing receivables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17,034,801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(548,279)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16,486,522</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3.22 %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loans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545,162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 - sales-type sub-leases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788,572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770,975</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36,027,428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(1,148,912)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34,878,516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w w:val="91"/>
              </w:rPr>
              <w:t>December 31, 2021</w:t>
            </w: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Amortized Cost</w:t>
            </w:r>
          </w:p>
        </w:tc>
        <w:tc>
          <w:tcPr>
            <w:tcW w:w="260" w:type="dxa"/>
            <w:vAlign w:val="bottom"/>
          </w:tcPr>
          <w:p>
            <w:pPr>
              <w:spacing w:after="0"/>
              <w:rPr>
                <w:sz w:val="13"/>
                <w:szCs w:val="13"/>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 xml:space="preserve">Allowance </w:t>
            </w:r>
            <w:r>
              <w:rPr>
                <w:rFonts w:ascii="Arial" w:cs="Arial" w:eastAsia="Arial" w:hAnsi="Arial"/>
                <w:sz w:val="21"/>
                <w:szCs w:val="21"/>
                <w:b w:val="1"/>
                <w:bCs w:val="1"/>
                <w:color w:val="auto"/>
                <w:vertAlign w:val="superscript"/>
              </w:rPr>
              <w:t>(1)</w:t>
            </w:r>
          </w:p>
        </w:tc>
        <w:tc>
          <w:tcPr>
            <w:tcW w:w="220" w:type="dxa"/>
            <w:vAlign w:val="bottom"/>
          </w:tcPr>
          <w:p>
            <w:pPr>
              <w:spacing w:after="0"/>
              <w:rPr>
                <w:sz w:val="13"/>
                <w:szCs w:val="13"/>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Net Investment</w:t>
            </w:r>
          </w:p>
        </w:tc>
        <w:tc>
          <w:tcPr>
            <w:tcW w:w="18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2"/>
              </w:rPr>
              <w:t>Allowance as a %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2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8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3"/>
              </w:rPr>
              <w:t>Amortized Cost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leases - sales-type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13,571,516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13,136,664</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Investments in leases - financing receivables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2,735,948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(91,124)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2,644,824</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loans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 - sales-type sub-leases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273,970</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17,086,749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(533,289)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16,553,460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331" w:lineRule="exact"/>
        <w:rPr>
          <w:sz w:val="20"/>
          <w:szCs w:val="20"/>
          <w:color w:val="auto"/>
        </w:rPr>
      </w:pPr>
    </w:p>
    <w:p>
      <w:pPr>
        <w:ind w:firstLine="8"/>
        <w:spacing w:after="0" w:line="273" w:lineRule="auto"/>
        <w:tabs>
          <w:tab w:leader="none" w:pos="214"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The total allowance excludes the CECL allowance for unfunded commitments, primarily related to the Venetian PGF, the BigShots Loan and the Cabot Citrus Farms Loan. As of June 30, 2022 and December 31, 2021, such allowance is $18.1 million and $1.0 million, respectively, and is recorded in Other liabilities.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reflects the roll-forward of the allowance for credit losses on our real estate portfolio for the six months ended June 30,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1071"/>
              <w:spacing w:after="0"/>
              <w:rPr>
                <w:sz w:val="20"/>
                <w:szCs w:val="20"/>
                <w:color w:val="auto"/>
              </w:rPr>
            </w:pPr>
            <w:r>
              <w:rPr>
                <w:rFonts w:ascii="Arial" w:cs="Arial" w:eastAsia="Arial" w:hAnsi="Arial"/>
                <w:sz w:val="16"/>
                <w:szCs w:val="16"/>
                <w:b w:val="1"/>
                <w:bCs w:val="1"/>
                <w:color w:val="auto"/>
              </w:rPr>
              <w:t>Six Months Ended June 30,</w:t>
            </w:r>
          </w:p>
        </w:tc>
      </w:tr>
      <w:tr>
        <w:trPr>
          <w:trHeight w:val="172"/>
        </w:trPr>
        <w:tc>
          <w:tcPr>
            <w:tcW w:w="20" w:type="dxa"/>
            <w:vAlign w:val="bottom"/>
          </w:tcPr>
          <w:p>
            <w:pPr>
              <w:spacing w:after="0"/>
              <w:rPr>
                <w:sz w:val="14"/>
                <w:szCs w:val="14"/>
                <w:color w:val="auto"/>
              </w:rPr>
            </w:pPr>
          </w:p>
        </w:tc>
        <w:tc>
          <w:tcPr>
            <w:tcW w:w="7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80" w:type="dxa"/>
            <w:vAlign w:val="bottom"/>
          </w:tcPr>
          <w:p>
            <w:pPr>
              <w:spacing w:after="0"/>
              <w:rPr>
                <w:sz w:val="14"/>
                <w:szCs w:val="14"/>
                <w:color w:val="auto"/>
              </w:rPr>
            </w:pPr>
          </w:p>
        </w:tc>
        <w:tc>
          <w:tcPr>
            <w:tcW w:w="1580" w:type="dxa"/>
            <w:vAlign w:val="bottom"/>
          </w:tcPr>
          <w:p>
            <w:pPr>
              <w:jc w:val="right"/>
              <w:ind w:right="792"/>
              <w:spacing w:after="0" w:line="17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jc w:val="right"/>
              <w:ind w:right="771"/>
              <w:spacing w:after="0" w:line="172"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Beginning Balance December 31,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534,326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553,879</w:t>
            </w:r>
          </w:p>
        </w:tc>
      </w:tr>
      <w:tr>
        <w:trPr>
          <w:trHeight w:val="229"/>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Initial allowance from current period investments</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515,697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1,725</w:t>
            </w:r>
          </w:p>
        </w:tc>
      </w:tr>
      <w:tr>
        <w:trPr>
          <w:trHeight w:val="230"/>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period change in credit allowance</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116,999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(35,209)</w:t>
            </w:r>
          </w:p>
        </w:tc>
      </w:tr>
      <w:tr>
        <w:trPr>
          <w:trHeight w:val="229"/>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Charge-offs</w:t>
            </w:r>
          </w:p>
        </w:tc>
        <w:tc>
          <w:tcPr>
            <w:tcW w:w="48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Recoveries</w:t>
            </w:r>
          </w:p>
        </w:tc>
        <w:tc>
          <w:tcPr>
            <w:tcW w:w="4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6"/>
                <w:szCs w:val="16"/>
                <w:b w:val="1"/>
                <w:bCs w:val="1"/>
                <w:color w:val="auto"/>
              </w:rPr>
              <w:t>Ending Balance June 30,</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1,167,022</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520,395</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Indicators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detail the amortized cost basis of our investments by the credit quality indicator we assigned to each lease or loan guarantor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2022 and 2021:</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June 30, 2022</w:t>
            </w: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172"/>
        </w:trPr>
        <w:tc>
          <w:tcPr>
            <w:tcW w:w="28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0" w:type="dxa"/>
            <w:vAlign w:val="bottom"/>
            <w:gridSpan w:val="2"/>
          </w:tcPr>
          <w:p>
            <w:pPr>
              <w:ind w:left="420"/>
              <w:spacing w:after="0" w:line="172" w:lineRule="exact"/>
              <w:rPr>
                <w:sz w:val="20"/>
                <w:szCs w:val="20"/>
                <w:color w:val="auto"/>
              </w:rPr>
            </w:pPr>
            <w:r>
              <w:rPr>
                <w:rFonts w:ascii="Arial" w:cs="Arial" w:eastAsia="Arial" w:hAnsi="Arial"/>
                <w:sz w:val="16"/>
                <w:szCs w:val="16"/>
                <w:b w:val="1"/>
                <w:bCs w:val="1"/>
                <w:color w:val="auto"/>
              </w:rPr>
              <w:t>Ba2</w:t>
            </w:r>
          </w:p>
        </w:tc>
        <w:tc>
          <w:tcPr>
            <w:tcW w:w="1320" w:type="dxa"/>
            <w:vAlign w:val="bottom"/>
            <w:gridSpan w:val="2"/>
          </w:tcPr>
          <w:p>
            <w:pPr>
              <w:ind w:left="480"/>
              <w:spacing w:after="0" w:line="172" w:lineRule="exact"/>
              <w:rPr>
                <w:sz w:val="20"/>
                <w:szCs w:val="20"/>
                <w:color w:val="auto"/>
              </w:rPr>
            </w:pPr>
            <w:r>
              <w:rPr>
                <w:rFonts w:ascii="Arial" w:cs="Arial" w:eastAsia="Arial" w:hAnsi="Arial"/>
                <w:sz w:val="16"/>
                <w:szCs w:val="16"/>
                <w:b w:val="1"/>
                <w:bCs w:val="1"/>
                <w:color w:val="auto"/>
              </w:rPr>
              <w:t>Ba3</w:t>
            </w:r>
          </w:p>
        </w:tc>
        <w:tc>
          <w:tcPr>
            <w:tcW w:w="980" w:type="dxa"/>
            <w:vAlign w:val="bottom"/>
          </w:tcPr>
          <w:p>
            <w:pPr>
              <w:ind w:left="540"/>
              <w:spacing w:after="0" w:line="172" w:lineRule="exact"/>
              <w:rPr>
                <w:sz w:val="20"/>
                <w:szCs w:val="20"/>
                <w:color w:val="auto"/>
              </w:rPr>
            </w:pPr>
            <w:r>
              <w:rPr>
                <w:rFonts w:ascii="Arial" w:cs="Arial" w:eastAsia="Arial" w:hAnsi="Arial"/>
                <w:sz w:val="16"/>
                <w:szCs w:val="16"/>
                <w:b w:val="1"/>
                <w:bCs w:val="1"/>
                <w:color w:val="auto"/>
              </w:rPr>
              <w:t>B1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400"/>
              <w:spacing w:after="0" w:line="172" w:lineRule="exact"/>
              <w:rPr>
                <w:sz w:val="20"/>
                <w:szCs w:val="20"/>
                <w:color w:val="auto"/>
              </w:rPr>
            </w:pPr>
            <w:r>
              <w:rPr>
                <w:rFonts w:ascii="Arial" w:cs="Arial" w:eastAsia="Arial" w:hAnsi="Arial"/>
                <w:sz w:val="16"/>
                <w:szCs w:val="16"/>
                <w:b w:val="1"/>
                <w:bCs w:val="1"/>
                <w:color w:val="auto"/>
              </w:rPr>
              <w:t>B2</w:t>
            </w:r>
          </w:p>
        </w:tc>
        <w:tc>
          <w:tcPr>
            <w:tcW w:w="1120" w:type="dxa"/>
            <w:vAlign w:val="bottom"/>
            <w:gridSpan w:val="2"/>
          </w:tcPr>
          <w:p>
            <w:pPr>
              <w:ind w:left="420"/>
              <w:spacing w:after="0" w:line="172" w:lineRule="exact"/>
              <w:rPr>
                <w:sz w:val="20"/>
                <w:szCs w:val="20"/>
                <w:color w:val="auto"/>
              </w:rPr>
            </w:pPr>
            <w:r>
              <w:rPr>
                <w:rFonts w:ascii="Arial" w:cs="Arial" w:eastAsia="Arial" w:hAnsi="Arial"/>
                <w:sz w:val="16"/>
                <w:szCs w:val="16"/>
                <w:b w:val="1"/>
                <w:bCs w:val="1"/>
                <w:color w:val="auto"/>
              </w:rPr>
              <w:t>B3</w:t>
            </w:r>
          </w:p>
        </w:tc>
        <w:tc>
          <w:tcPr>
            <w:tcW w:w="1080" w:type="dxa"/>
            <w:vAlign w:val="bottom"/>
            <w:gridSpan w:val="2"/>
          </w:tcPr>
          <w:p>
            <w:pPr>
              <w:ind w:left="300"/>
              <w:spacing w:after="0" w:line="172" w:lineRule="exact"/>
              <w:rPr>
                <w:sz w:val="20"/>
                <w:szCs w:val="20"/>
                <w:color w:val="auto"/>
              </w:rPr>
            </w:pPr>
            <w:r>
              <w:rPr>
                <w:rFonts w:ascii="Arial" w:cs="Arial" w:eastAsia="Arial" w:hAnsi="Arial"/>
                <w:sz w:val="15"/>
                <w:szCs w:val="15"/>
                <w:b w:val="1"/>
                <w:bCs w:val="1"/>
                <w:color w:val="auto"/>
              </w:rPr>
              <w:t>N/A</w:t>
            </w:r>
            <w:r>
              <w:rPr>
                <w:rFonts w:ascii="Arial" w:cs="Arial" w:eastAsia="Arial" w:hAnsi="Arial"/>
                <w:sz w:val="19"/>
                <w:szCs w:val="19"/>
                <w:b w:val="1"/>
                <w:bCs w:val="1"/>
                <w:i w:val="1"/>
                <w:iCs w:val="1"/>
                <w:color w:val="auto"/>
                <w:vertAlign w:val="superscript"/>
              </w:rPr>
              <w:t>(2)</w:t>
            </w:r>
          </w:p>
        </w:tc>
        <w:tc>
          <w:tcPr>
            <w:tcW w:w="1220" w:type="dxa"/>
            <w:vAlign w:val="bottom"/>
          </w:tcPr>
          <w:p>
            <w:pPr>
              <w:ind w:left="420"/>
              <w:spacing w:after="0" w:line="172" w:lineRule="exact"/>
              <w:rPr>
                <w:sz w:val="20"/>
                <w:szCs w:val="20"/>
                <w:color w:val="auto"/>
              </w:rPr>
            </w:pPr>
            <w:r>
              <w:rPr>
                <w:rFonts w:ascii="Arial" w:cs="Arial" w:eastAsia="Arial" w:hAnsi="Arial"/>
                <w:sz w:val="16"/>
                <w:szCs w:val="16"/>
                <w:b w:val="1"/>
                <w:bCs w:val="1"/>
                <w:color w:val="auto"/>
              </w:rPr>
              <w:t>Total</w:t>
            </w:r>
          </w:p>
        </w:tc>
      </w:tr>
      <w:tr>
        <w:trPr>
          <w:trHeight w:val="20"/>
        </w:trPr>
        <w:tc>
          <w:tcPr>
            <w:tcW w:w="88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3683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80" w:type="dxa"/>
            <w:vAlign w:val="bottom"/>
            <w:gridSpan w:val="2"/>
          </w:tcPr>
          <w:p>
            <w:pPr>
              <w:spacing w:after="0" w:line="162" w:lineRule="exact"/>
              <w:rPr>
                <w:sz w:val="20"/>
                <w:szCs w:val="20"/>
                <w:color w:val="auto"/>
              </w:rPr>
            </w:pPr>
            <w:r>
              <w:rPr>
                <w:rFonts w:ascii="Arial" w:cs="Arial" w:eastAsia="Arial" w:hAnsi="Arial"/>
                <w:sz w:val="18"/>
                <w:szCs w:val="18"/>
                <w:color w:val="auto"/>
                <w:w w:val="90"/>
              </w:rPr>
              <w:t>Investments in leases - sales-type and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80" w:type="dxa"/>
            <w:vAlign w:val="bottom"/>
            <w:gridSpan w:val="2"/>
          </w:tcPr>
          <w:p>
            <w:pPr>
              <w:spacing w:after="0" w:line="176" w:lineRule="exact"/>
              <w:rPr>
                <w:sz w:val="20"/>
                <w:szCs w:val="20"/>
                <w:color w:val="auto"/>
              </w:rPr>
            </w:pPr>
            <w:r>
              <w:rPr>
                <w:rFonts w:ascii="Arial" w:cs="Arial" w:eastAsia="Arial" w:hAnsi="Arial"/>
                <w:sz w:val="18"/>
                <w:szCs w:val="18"/>
                <w:color w:val="auto"/>
                <w:w w:val="96"/>
              </w:rPr>
              <w:t>financing receivable, Investments in</w:t>
            </w:r>
          </w:p>
        </w:tc>
        <w:tc>
          <w:tcPr>
            <w:tcW w:w="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9"/>
              </w:rPr>
              <w:t>4,214,233</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9"/>
              </w:rPr>
              <w:t>15,566,631</w:t>
            </w:r>
          </w:p>
        </w:tc>
        <w:tc>
          <w:tcPr>
            <w:tcW w:w="100" w:type="dxa"/>
            <w:vAlign w:val="bottom"/>
          </w:tcPr>
          <w:p>
            <w:pPr>
              <w:spacing w:after="0"/>
              <w:rPr>
                <w:sz w:val="15"/>
                <w:szCs w:val="15"/>
                <w:color w:val="auto"/>
              </w:rPr>
            </w:pPr>
          </w:p>
        </w:tc>
        <w:tc>
          <w:tcPr>
            <w:tcW w:w="2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14,948,277</w:t>
            </w:r>
          </w:p>
        </w:tc>
        <w:tc>
          <w:tcPr>
            <w:tcW w:w="38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872,396</w:t>
            </w:r>
          </w:p>
        </w:tc>
        <w:tc>
          <w:tcPr>
            <w:tcW w:w="100" w:type="dxa"/>
            <w:vAlign w:val="bottom"/>
          </w:tcPr>
          <w:p>
            <w:pPr>
              <w:spacing w:after="0"/>
              <w:rPr>
                <w:sz w:val="15"/>
                <w:szCs w:val="15"/>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279,906</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145,986</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w w:val="99"/>
              </w:rPr>
              <w:t>36,027,428</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 xml:space="preserve">loans and Other assets </w:t>
            </w:r>
            <w:r>
              <w:rPr>
                <w:rFonts w:ascii="Arial" w:cs="Arial" w:eastAsia="Arial" w:hAnsi="Arial"/>
                <w:sz w:val="23"/>
                <w:szCs w:val="23"/>
                <w:color w:val="auto"/>
                <w:vertAlign w:val="superscript"/>
              </w:rPr>
              <w:t>(1)</w:t>
            </w:r>
          </w:p>
        </w:tc>
        <w:tc>
          <w:tcPr>
            <w:tcW w:w="260" w:type="dxa"/>
            <w:vAlign w:val="bottom"/>
            <w:gridSpan w:val="2"/>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380" w:type="dxa"/>
            <w:vAlign w:val="bottom"/>
            <w:gridSpan w:val="3"/>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June 30, 2021</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200"/>
              <w:spacing w:after="0" w:line="172" w:lineRule="exact"/>
              <w:rPr>
                <w:sz w:val="20"/>
                <w:szCs w:val="20"/>
                <w:color w:val="auto"/>
              </w:rPr>
            </w:pPr>
            <w:r>
              <w:rPr>
                <w:rFonts w:ascii="Arial" w:cs="Arial" w:eastAsia="Arial" w:hAnsi="Arial"/>
                <w:sz w:val="16"/>
                <w:szCs w:val="16"/>
                <w:b w:val="1"/>
                <w:bCs w:val="1"/>
                <w:color w:val="auto"/>
              </w:rPr>
              <w:t>Ba2</w:t>
            </w:r>
          </w:p>
        </w:tc>
        <w:tc>
          <w:tcPr>
            <w:tcW w:w="240" w:type="dxa"/>
            <w:vAlign w:val="bottom"/>
          </w:tcPr>
          <w:p>
            <w:pPr>
              <w:spacing w:after="0"/>
              <w:rPr>
                <w:sz w:val="14"/>
                <w:szCs w:val="14"/>
                <w:color w:val="auto"/>
              </w:rPr>
            </w:pPr>
          </w:p>
        </w:tc>
        <w:tc>
          <w:tcPr>
            <w:tcW w:w="1060" w:type="dxa"/>
            <w:vAlign w:val="bottom"/>
            <w:gridSpan w:val="2"/>
          </w:tcPr>
          <w:p>
            <w:pPr>
              <w:ind w:left="240"/>
              <w:spacing w:after="0" w:line="172" w:lineRule="exact"/>
              <w:rPr>
                <w:sz w:val="20"/>
                <w:szCs w:val="20"/>
                <w:color w:val="auto"/>
              </w:rPr>
            </w:pPr>
            <w:r>
              <w:rPr>
                <w:rFonts w:ascii="Arial" w:cs="Arial" w:eastAsia="Arial" w:hAnsi="Arial"/>
                <w:sz w:val="16"/>
                <w:szCs w:val="16"/>
                <w:b w:val="1"/>
                <w:bCs w:val="1"/>
                <w:color w:val="auto"/>
              </w:rPr>
              <w:t>Ba3</w:t>
            </w:r>
          </w:p>
        </w:tc>
        <w:tc>
          <w:tcPr>
            <w:tcW w:w="280" w:type="dxa"/>
            <w:vAlign w:val="bottom"/>
          </w:tcPr>
          <w:p>
            <w:pPr>
              <w:spacing w:after="0"/>
              <w:rPr>
                <w:sz w:val="14"/>
                <w:szCs w:val="14"/>
                <w:color w:val="auto"/>
              </w:rPr>
            </w:pPr>
          </w:p>
        </w:tc>
        <w:tc>
          <w:tcPr>
            <w:tcW w:w="960" w:type="dxa"/>
            <w:vAlign w:val="bottom"/>
          </w:tcPr>
          <w:p>
            <w:pPr>
              <w:jc w:val="right"/>
              <w:ind w:right="413"/>
              <w:spacing w:after="0" w:line="172" w:lineRule="exact"/>
              <w:rPr>
                <w:sz w:val="20"/>
                <w:szCs w:val="20"/>
                <w:color w:val="auto"/>
              </w:rPr>
            </w:pPr>
            <w:r>
              <w:rPr>
                <w:rFonts w:ascii="Arial" w:cs="Arial" w:eastAsia="Arial" w:hAnsi="Arial"/>
                <w:sz w:val="16"/>
                <w:szCs w:val="16"/>
                <w:b w:val="1"/>
                <w:bCs w:val="1"/>
                <w:color w:val="auto"/>
              </w:rPr>
              <w:t>B1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B2</w:t>
            </w:r>
          </w:p>
        </w:tc>
        <w:tc>
          <w:tcPr>
            <w:tcW w:w="260" w:type="dxa"/>
            <w:vAlign w:val="bottom"/>
          </w:tcPr>
          <w:p>
            <w:pPr>
              <w:spacing w:after="0"/>
              <w:rPr>
                <w:sz w:val="14"/>
                <w:szCs w:val="14"/>
                <w:color w:val="auto"/>
              </w:rPr>
            </w:pPr>
          </w:p>
        </w:tc>
        <w:tc>
          <w:tcPr>
            <w:tcW w:w="88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B3</w:t>
            </w:r>
          </w:p>
        </w:tc>
        <w:tc>
          <w:tcPr>
            <w:tcW w:w="200" w:type="dxa"/>
            <w:vAlign w:val="bottom"/>
          </w:tcPr>
          <w:p>
            <w:pPr>
              <w:spacing w:after="0"/>
              <w:rPr>
                <w:sz w:val="14"/>
                <w:szCs w:val="14"/>
                <w:color w:val="auto"/>
              </w:rPr>
            </w:pPr>
          </w:p>
        </w:tc>
        <w:tc>
          <w:tcPr>
            <w:tcW w:w="860" w:type="dxa"/>
            <w:vAlign w:val="bottom"/>
            <w:gridSpan w:val="2"/>
          </w:tcPr>
          <w:p>
            <w:pPr>
              <w:ind w:left="80"/>
              <w:spacing w:after="0" w:line="172" w:lineRule="exact"/>
              <w:rPr>
                <w:sz w:val="20"/>
                <w:szCs w:val="20"/>
                <w:color w:val="auto"/>
              </w:rPr>
            </w:pPr>
            <w:r>
              <w:rPr>
                <w:rFonts w:ascii="Arial" w:cs="Arial" w:eastAsia="Arial" w:hAnsi="Arial"/>
                <w:sz w:val="15"/>
                <w:szCs w:val="15"/>
                <w:b w:val="1"/>
                <w:bCs w:val="1"/>
                <w:color w:val="auto"/>
              </w:rPr>
              <w:t>N/A</w:t>
            </w:r>
            <w:r>
              <w:rPr>
                <w:rFonts w:ascii="Arial" w:cs="Arial" w:eastAsia="Arial" w:hAnsi="Arial"/>
                <w:sz w:val="19"/>
                <w:szCs w:val="19"/>
                <w:b w:val="1"/>
                <w:bCs w:val="1"/>
                <w:i w:val="1"/>
                <w:iCs w:val="1"/>
                <w:color w:val="auto"/>
                <w:vertAlign w:val="superscript"/>
              </w:rPr>
              <w:t>(2)</w:t>
            </w:r>
          </w:p>
        </w:tc>
        <w:tc>
          <w:tcPr>
            <w:tcW w:w="240" w:type="dxa"/>
            <w:vAlign w:val="bottom"/>
          </w:tcPr>
          <w:p>
            <w:pPr>
              <w:spacing w:after="0"/>
              <w:rPr>
                <w:sz w:val="14"/>
                <w:szCs w:val="14"/>
                <w:color w:val="auto"/>
              </w:rPr>
            </w:pPr>
          </w:p>
        </w:tc>
        <w:tc>
          <w:tcPr>
            <w:tcW w:w="1000" w:type="dxa"/>
            <w:vAlign w:val="bottom"/>
          </w:tcPr>
          <w:p>
            <w:pPr>
              <w:jc w:val="right"/>
              <w:ind w:right="353"/>
              <w:spacing w:after="0" w:line="17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78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w w:val="90"/>
              </w:rPr>
              <w:t>Investments in leases - sales-type and</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7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financing receivable, Investments in</w:t>
            </w:r>
          </w:p>
        </w:tc>
        <w:tc>
          <w:tcPr>
            <w:tcW w:w="2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954,181</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15,743,112</w:t>
            </w:r>
          </w:p>
        </w:tc>
        <w:tc>
          <w:tcPr>
            <w:tcW w:w="3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281,657</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65,011</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17,043,962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loans and Other assets </w:t>
            </w:r>
            <w:r>
              <w:rPr>
                <w:rFonts w:ascii="Arial" w:cs="Arial" w:eastAsia="Arial" w:hAnsi="Arial"/>
                <w:sz w:val="23"/>
                <w:szCs w:val="23"/>
                <w:color w:val="auto"/>
                <w:vertAlign w:val="superscript"/>
              </w:rPr>
              <w:t>(1)</w:t>
            </w:r>
          </w:p>
        </w:tc>
        <w:tc>
          <w:tcPr>
            <w:tcW w:w="26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80" w:type="dxa"/>
            <w:vAlign w:val="bottom"/>
            <w:gridSpan w:val="3"/>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340" w:hanging="332"/>
        <w:spacing w:after="0" w:line="241" w:lineRule="auto"/>
        <w:tabs>
          <w:tab w:leader="none" w:pos="332"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the CECL allowance for unfunded commitments recorded in Other liabilities as such commitments are not currently reflected on our Balance Sheet, rather the CECL allowance is based on our current best estimate of future funding commitments.</w:t>
      </w:r>
    </w:p>
    <w:p>
      <w:pPr>
        <w:ind w:left="340" w:hanging="332"/>
        <w:spacing w:after="0" w:line="255" w:lineRule="auto"/>
        <w:tabs>
          <w:tab w:leader="none" w:pos="332"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We estimate the CECL allowance for the Chelsea Piers Mortgage Loan, Great Wolf Maryland Loan, BigShots Loan and Cabot Citrus Farms Loan using a traditional commercial real estate model based on standardized credit metrics to estimate potential losses.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Other Assets and Other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assets as of June 30, 2022 and December 31,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6"/>
                <w:szCs w:val="16"/>
                <w:color w:val="auto"/>
              </w:rPr>
            </w:pPr>
          </w:p>
        </w:tc>
        <w:tc>
          <w:tcPr>
            <w:tcW w:w="18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2022</w:t>
            </w:r>
          </w:p>
        </w:tc>
        <w:tc>
          <w:tcPr>
            <w:tcW w:w="240" w:type="dxa"/>
            <w:vAlign w:val="bottom"/>
          </w:tcPr>
          <w:p>
            <w:pPr>
              <w:spacing w:after="0"/>
              <w:rPr>
                <w:sz w:val="16"/>
                <w:szCs w:val="16"/>
                <w:color w:val="auto"/>
              </w:rPr>
            </w:pPr>
          </w:p>
        </w:tc>
        <w:tc>
          <w:tcPr>
            <w:tcW w:w="1820" w:type="dxa"/>
            <w:vAlign w:val="bottom"/>
          </w:tcPr>
          <w:p>
            <w:pPr>
              <w:jc w:val="right"/>
              <w:ind w:right="291"/>
              <w:spacing w:after="0"/>
              <w:rPr>
                <w:sz w:val="20"/>
                <w:szCs w:val="20"/>
                <w:color w:val="auto"/>
              </w:rPr>
            </w:pPr>
            <w:r>
              <w:rPr>
                <w:rFonts w:ascii="Arial" w:cs="Arial" w:eastAsia="Arial" w:hAnsi="Arial"/>
                <w:sz w:val="16"/>
                <w:szCs w:val="16"/>
                <w:b w:val="1"/>
                <w:bCs w:val="1"/>
                <w:color w:val="auto"/>
                <w:w w:val="98"/>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Sales-type sub-leases, net </w:t>
            </w:r>
            <w:r>
              <w:rPr>
                <w:rFonts w:ascii="Arial" w:cs="Arial" w:eastAsia="Arial" w:hAnsi="Arial"/>
                <w:sz w:val="23"/>
                <w:szCs w:val="23"/>
                <w:i w:val="1"/>
                <w:iCs w:val="1"/>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273,970</w:t>
            </w: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Property and equipment used in operations, net</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67,646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68,515</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of use assets and sub-lease right of use assets</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16,811</w:t>
            </w: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Debt financing costs</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20,883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24,928</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acquisition costs</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24,690</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Other receivables</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8,075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Tenant receivables</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6,665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3,660</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Forward-starting interest rate swaps</w:t>
            </w:r>
          </w:p>
        </w:tc>
        <w:tc>
          <w:tcPr>
            <w:tcW w:w="34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884</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w:t>
            </w:r>
          </w:p>
        </w:tc>
      </w:tr>
      <w:tr>
        <w:trPr>
          <w:trHeight w:val="223"/>
        </w:trPr>
        <w:tc>
          <w:tcPr>
            <w:tcW w:w="20" w:type="dxa"/>
            <w:vAlign w:val="bottom"/>
          </w:tcPr>
          <w:p>
            <w:pPr>
              <w:spacing w:after="0"/>
              <w:rPr>
                <w:sz w:val="19"/>
                <w:szCs w:val="19"/>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Total other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949,333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424,693</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spacing w:after="0" w:line="40" w:lineRule="exact"/>
        <w:rPr>
          <w:sz w:val="20"/>
          <w:szCs w:val="20"/>
          <w:color w:val="auto"/>
        </w:rPr>
      </w:pPr>
    </w:p>
    <w:p>
      <w:pPr>
        <w:ind w:firstLine="8"/>
        <w:spacing w:after="0" w:line="273" w:lineRule="auto"/>
        <w:tabs>
          <w:tab w:leader="none" w:pos="205" w:val="left"/>
        </w:tabs>
        <w:numPr>
          <w:ilvl w:val="0"/>
          <w:numId w:val="24"/>
        </w:numPr>
        <w:rPr>
          <w:rFonts w:ascii="Arial" w:cs="Arial" w:eastAsia="Arial" w:hAnsi="Arial"/>
          <w:sz w:val="14"/>
          <w:szCs w:val="14"/>
          <w:i w:val="1"/>
          <w:iCs w:val="1"/>
          <w:color w:val="0000FF"/>
        </w:rPr>
      </w:pPr>
      <w:hyperlink w:anchor="page32">
        <w:r>
          <w:rPr>
            <w:rFonts w:ascii="Arial" w:cs="Arial" w:eastAsia="Arial" w:hAnsi="Arial"/>
            <w:sz w:val="14"/>
            <w:szCs w:val="14"/>
            <w:i w:val="1"/>
            <w:iCs w:val="1"/>
            <w:color w:val="auto"/>
          </w:rPr>
          <w:t xml:space="preserve">As of June 30, 2022 and December 31, 2021, sales-type sub-leases are net of $17.6 million and $6.5 million of Allowance for credit losses, respectively. Refer to </w:t>
        </w:r>
        <w:r>
          <w:rPr>
            <w:rFonts w:ascii="Arial" w:cs="Arial" w:eastAsia="Arial" w:hAnsi="Arial"/>
            <w:sz w:val="14"/>
            <w:szCs w:val="14"/>
            <w:i w:val="1"/>
            <w:iCs w:val="1"/>
            <w:u w:val="single" w:color="auto"/>
            <w:color w:val="0000FF"/>
          </w:rPr>
          <w:t>Note 5 - Allowance for Credit</w:t>
        </w:r>
      </w:hyperlink>
      <w:r>
        <w:rPr>
          <w:rFonts w:ascii="Arial" w:cs="Arial" w:eastAsia="Arial" w:hAnsi="Arial"/>
          <w:sz w:val="14"/>
          <w:szCs w:val="14"/>
          <w:i w:val="1"/>
          <w:iCs w:val="1"/>
          <w:color w:val="auto"/>
        </w:rPr>
        <w:t xml:space="preserve"> </w:t>
      </w:r>
      <w:hyperlink w:anchor="page32">
        <w:r>
          <w:rPr>
            <w:rFonts w:ascii="Arial" w:cs="Arial" w:eastAsia="Arial" w:hAnsi="Arial"/>
            <w:sz w:val="14"/>
            <w:szCs w:val="14"/>
            <w:i w:val="1"/>
            <w:iCs w:val="1"/>
            <w:u w:val="single" w:color="auto"/>
            <w:color w:val="0000FF"/>
          </w:rPr>
          <w:t>Losses</w:t>
        </w:r>
        <w:r>
          <w:rPr>
            <w:rFonts w:ascii="Arial" w:cs="Arial" w:eastAsia="Arial" w:hAnsi="Arial"/>
            <w:sz w:val="14"/>
            <w:szCs w:val="14"/>
            <w:i w:val="1"/>
            <w:iCs w:val="1"/>
            <w:color w:val="0000FF"/>
          </w:rPr>
          <w:t xml:space="preserve"> </w:t>
        </w:r>
        <w:r>
          <w:rPr>
            <w:rFonts w:ascii="Arial" w:cs="Arial" w:eastAsia="Arial" w:hAnsi="Arial"/>
            <w:sz w:val="14"/>
            <w:szCs w:val="14"/>
            <w:i w:val="1"/>
            <w:iCs w:val="1"/>
            <w:color w:val="000000"/>
          </w:rPr>
          <w:t>for further details.</w:t>
        </w:r>
      </w:hyperlink>
    </w:p>
    <w:p>
      <w:pPr>
        <w:spacing w:after="0" w:line="124" w:lineRule="exact"/>
        <w:rPr>
          <w:rFonts w:ascii="Arial" w:cs="Arial" w:eastAsia="Arial" w:hAnsi="Arial"/>
          <w:sz w:val="14"/>
          <w:szCs w:val="14"/>
          <w:i w:val="1"/>
          <w:iCs w:val="1"/>
          <w:color w:val="auto"/>
        </w:rPr>
      </w:pPr>
    </w:p>
    <w:p>
      <w:pPr>
        <w:ind w:right="20"/>
        <w:spacing w:after="0" w:line="277" w:lineRule="auto"/>
        <w:rPr>
          <w:sz w:val="20"/>
          <w:szCs w:val="20"/>
          <w:color w:val="auto"/>
        </w:rPr>
      </w:pPr>
      <w:r>
        <w:rPr>
          <w:rFonts w:ascii="Arial" w:cs="Arial" w:eastAsia="Arial" w:hAnsi="Arial"/>
          <w:sz w:val="18"/>
          <w:szCs w:val="18"/>
          <w:color w:val="auto"/>
        </w:rPr>
        <w:t>Property and equipment used in operations, included within other assets, is primarily attributable to the land, building and improvements of our golf operations and consists of the following as of June 30, 2022 and December 31, 2021:</w:t>
      </w:r>
    </w:p>
    <w:p>
      <w:pPr>
        <w:spacing w:after="0" w:line="149" w:lineRule="exact"/>
        <w:rPr>
          <w:rFonts w:ascii="Arial" w:cs="Arial" w:eastAsia="Arial" w:hAnsi="Arial"/>
          <w:sz w:val="14"/>
          <w:szCs w:val="14"/>
          <w:i w:val="1"/>
          <w:iCs w:val="1"/>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6"/>
          </w:tcPr>
          <w:p>
            <w:pPr>
              <w:jc w:val="right"/>
              <w:ind w:right="660"/>
              <w:spacing w:after="0"/>
              <w:rPr>
                <w:sz w:val="20"/>
                <w:szCs w:val="20"/>
                <w:color w:val="auto"/>
              </w:rPr>
            </w:pPr>
            <w:r>
              <w:rPr>
                <w:rFonts w:ascii="Arial" w:cs="Arial" w:eastAsia="Arial" w:hAnsi="Arial"/>
                <w:sz w:val="16"/>
                <w:szCs w:val="16"/>
                <w:b w:val="1"/>
                <w:bCs w:val="1"/>
                <w:color w:val="auto"/>
              </w:rPr>
              <w:t>June 30, 2022</w:t>
            </w:r>
          </w:p>
        </w:tc>
        <w:tc>
          <w:tcPr>
            <w:tcW w:w="2040" w:type="dxa"/>
            <w:vAlign w:val="bottom"/>
            <w:gridSpan w:val="4"/>
          </w:tcPr>
          <w:p>
            <w:pPr>
              <w:jc w:val="right"/>
              <w:ind w:right="291"/>
              <w:spacing w:after="0"/>
              <w:rPr>
                <w:sz w:val="20"/>
                <w:szCs w:val="20"/>
                <w:color w:val="auto"/>
              </w:rPr>
            </w:pPr>
            <w:r>
              <w:rPr>
                <w:rFonts w:ascii="Arial" w:cs="Arial" w:eastAsia="Arial" w:hAnsi="Arial"/>
                <w:sz w:val="16"/>
                <w:szCs w:val="16"/>
                <w:b w:val="1"/>
                <w:bCs w:val="1"/>
                <w:color w:val="auto"/>
              </w:rPr>
              <w:t>December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59,250</w:t>
            </w: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14,880</w:t>
            </w: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9,289</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9,014</w:t>
            </w:r>
          </w:p>
        </w:tc>
      </w:tr>
      <w:tr>
        <w:trPr>
          <w:trHeight w:val="223"/>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Total property and equipment used in operations</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83,830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83,144</w:t>
            </w: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(14,629)</w:t>
            </w:r>
          </w:p>
        </w:tc>
      </w:tr>
      <w:tr>
        <w:trPr>
          <w:trHeight w:val="223"/>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Total property and equipment used in operations, net</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67,646</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68,515</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5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tcBorders>
              <w:bottom w:val="single" w:sz="8" w:color="auto"/>
            </w:tcBorders>
            <w:gridSpan w:val="7"/>
          </w:tcPr>
          <w:p>
            <w:pPr>
              <w:jc w:val="right"/>
              <w:ind w:right="411"/>
              <w:spacing w:after="0"/>
              <w:rPr>
                <w:sz w:val="20"/>
                <w:szCs w:val="20"/>
                <w:color w:val="auto"/>
              </w:rPr>
            </w:pPr>
            <w:r>
              <w:rPr>
                <w:rFonts w:ascii="Arial" w:cs="Arial" w:eastAsia="Arial" w:hAnsi="Arial"/>
                <w:sz w:val="16"/>
                <w:szCs w:val="16"/>
                <w:b w:val="1"/>
                <w:bCs w:val="1"/>
                <w:color w:val="auto"/>
              </w:rPr>
              <w:t>Six Months Ended June 30,</w:t>
            </w:r>
          </w:p>
        </w:tc>
      </w:tr>
      <w:tr>
        <w:trPr>
          <w:trHeight w:val="172"/>
        </w:trPr>
        <w:tc>
          <w:tcPr>
            <w:tcW w:w="20" w:type="dxa"/>
            <w:vAlign w:val="bottom"/>
          </w:tcPr>
          <w:p>
            <w:pPr>
              <w:spacing w:after="0"/>
              <w:rPr>
                <w:sz w:val="14"/>
                <w:szCs w:val="14"/>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jc w:val="right"/>
              <w:ind w:right="16"/>
              <w:spacing w:after="0" w:line="172" w:lineRule="exact"/>
              <w:rPr>
                <w:sz w:val="20"/>
                <w:szCs w:val="20"/>
                <w:color w:val="auto"/>
              </w:rPr>
            </w:pPr>
            <w:r>
              <w:rPr>
                <w:rFonts w:ascii="Arial" w:cs="Arial" w:eastAsia="Arial" w:hAnsi="Arial"/>
                <w:sz w:val="16"/>
                <w:szCs w:val="16"/>
                <w:b w:val="1"/>
                <w:bCs w:val="1"/>
                <w:color w:val="auto"/>
              </w:rPr>
              <w:t>2022</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93"/>
              <w:spacing w:after="0" w:line="172" w:lineRule="exact"/>
              <w:rPr>
                <w:sz w:val="20"/>
                <w:szCs w:val="20"/>
                <w:color w:val="auto"/>
              </w:rPr>
            </w:pPr>
            <w:r>
              <w:rPr>
                <w:rFonts w:ascii="Arial" w:cs="Arial" w:eastAsia="Arial" w:hAnsi="Arial"/>
                <w:sz w:val="16"/>
                <w:szCs w:val="16"/>
                <w:b w:val="1"/>
                <w:bCs w:val="1"/>
                <w:color w:val="auto"/>
              </w:rPr>
              <w:t>2021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spacing w:after="0" w:line="172" w:lineRule="exact"/>
              <w:rPr>
                <w:sz w:val="20"/>
                <w:szCs w:val="20"/>
                <w:color w:val="auto"/>
              </w:rPr>
            </w:pPr>
            <w:r>
              <w:rPr>
                <w:rFonts w:ascii="Arial" w:cs="Arial" w:eastAsia="Arial" w:hAnsi="Arial"/>
                <w:sz w:val="16"/>
                <w:szCs w:val="16"/>
                <w:b w:val="1"/>
                <w:bCs w:val="1"/>
                <w:color w:val="auto"/>
              </w:rPr>
              <w:t>2022</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51"/>
              <w:spacing w:after="0" w:line="172"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757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r>
    </w:tbl>
    <w:p>
      <w:pPr>
        <w:spacing w:after="0" w:line="292" w:lineRule="exact"/>
        <w:rPr>
          <w:rFonts w:ascii="Arial" w:cs="Arial" w:eastAsia="Arial" w:hAnsi="Arial"/>
          <w:sz w:val="14"/>
          <w:szCs w:val="14"/>
          <w:i w:val="1"/>
          <w:iCs w:val="1"/>
          <w:color w:val="auto"/>
        </w:rPr>
      </w:pPr>
    </w:p>
    <w:p>
      <w:pPr>
        <w:spacing w:after="0"/>
        <w:rPr>
          <w:sz w:val="20"/>
          <w:szCs w:val="20"/>
          <w:color w:val="auto"/>
        </w:rPr>
      </w:pPr>
      <w:r>
        <w:rPr>
          <w:rFonts w:ascii="Arial" w:cs="Arial" w:eastAsia="Arial" w:hAnsi="Arial"/>
          <w:sz w:val="18"/>
          <w:szCs w:val="18"/>
          <w:b w:val="1"/>
          <w:bCs w:val="1"/>
          <w:color w:val="auto"/>
        </w:rPr>
        <w:t>Other Liabilities</w:t>
      </w:r>
    </w:p>
    <w:p>
      <w:pPr>
        <w:spacing w:after="0" w:line="175" w:lineRule="exact"/>
        <w:rPr>
          <w:rFonts w:ascii="Arial" w:cs="Arial" w:eastAsia="Arial" w:hAnsi="Arial"/>
          <w:sz w:val="14"/>
          <w:szCs w:val="14"/>
          <w:i w:val="1"/>
          <w:iCs w:val="1"/>
          <w:color w:val="auto"/>
        </w:rPr>
      </w:pPr>
    </w:p>
    <w:p>
      <w:pPr>
        <w:spacing w:after="0"/>
        <w:rPr>
          <w:sz w:val="20"/>
          <w:szCs w:val="20"/>
          <w:color w:val="auto"/>
        </w:rPr>
      </w:pPr>
      <w:r>
        <w:rPr>
          <w:rFonts w:ascii="Arial" w:cs="Arial" w:eastAsia="Arial" w:hAnsi="Arial"/>
          <w:sz w:val="18"/>
          <w:szCs w:val="18"/>
          <w:color w:val="auto"/>
        </w:rPr>
        <w:t>The following table details the components of our other liabilities as of June 30, 2022 and December 31, 2021:</w:t>
      </w:r>
    </w:p>
    <w:p>
      <w:pPr>
        <w:spacing w:after="0" w:line="204" w:lineRule="exact"/>
        <w:rPr>
          <w:rFonts w:ascii="Arial" w:cs="Arial" w:eastAsia="Arial" w:hAnsi="Arial"/>
          <w:sz w:val="14"/>
          <w:szCs w:val="14"/>
          <w:i w:val="1"/>
          <w:iCs w:val="1"/>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6"/>
                <w:szCs w:val="16"/>
                <w:color w:val="auto"/>
              </w:rPr>
            </w:pPr>
          </w:p>
        </w:tc>
        <w:tc>
          <w:tcPr>
            <w:tcW w:w="18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2022</w:t>
            </w:r>
          </w:p>
        </w:tc>
        <w:tc>
          <w:tcPr>
            <w:tcW w:w="240" w:type="dxa"/>
            <w:vAlign w:val="bottom"/>
          </w:tcPr>
          <w:p>
            <w:pPr>
              <w:spacing w:after="0"/>
              <w:rPr>
                <w:sz w:val="16"/>
                <w:szCs w:val="16"/>
                <w:color w:val="auto"/>
              </w:rPr>
            </w:pPr>
          </w:p>
        </w:tc>
        <w:tc>
          <w:tcPr>
            <w:tcW w:w="1820" w:type="dxa"/>
            <w:vAlign w:val="bottom"/>
          </w:tcPr>
          <w:p>
            <w:pPr>
              <w:jc w:val="right"/>
              <w:ind w:right="291"/>
              <w:spacing w:after="0"/>
              <w:rPr>
                <w:sz w:val="20"/>
                <w:szCs w:val="20"/>
                <w:color w:val="auto"/>
              </w:rPr>
            </w:pPr>
            <w:r>
              <w:rPr>
                <w:rFonts w:ascii="Arial" w:cs="Arial" w:eastAsia="Arial" w:hAnsi="Arial"/>
                <w:sz w:val="16"/>
                <w:szCs w:val="16"/>
                <w:b w:val="1"/>
                <w:bCs w:val="1"/>
                <w:color w:val="auto"/>
                <w:w w:val="98"/>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sub-lease liabilities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280,510</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Deferred financing liabilities</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73,600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73,600</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 and sub-lease liabilities</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16,811</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CECL allowance for unfunded commitments</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18,109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1,037</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r>
      <w:tr>
        <w:trPr>
          <w:trHeight w:val="223"/>
        </w:trPr>
        <w:tc>
          <w:tcPr>
            <w:tcW w:w="20" w:type="dxa"/>
            <w:vAlign w:val="bottom"/>
          </w:tcPr>
          <w:p>
            <w:pPr>
              <w:spacing w:after="0"/>
              <w:rPr>
                <w:sz w:val="19"/>
                <w:szCs w:val="19"/>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Total other liabilities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932,570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375,837</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rFonts w:ascii="Arial" w:cs="Arial" w:eastAsia="Arial" w:hAnsi="Arial"/>
          <w:sz w:val="14"/>
          <w:szCs w:val="14"/>
          <w:i w:val="1"/>
          <w:iCs w:val="1"/>
          <w:color w:val="auto"/>
        </w:rPr>
      </w:pPr>
    </w:p>
    <w:p>
      <w:pPr>
        <w:sectPr>
          <w:pgSz w:w="11900" w:h="16838" w:orient="portrait"/>
          <w:cols w:equalWidth="0" w:num="1">
            <w:col w:w="11240"/>
          </w:cols>
          <w:pgMar w:left="320" w:top="287" w:right="339" w:bottom="1440" w:gutter="0" w:footer="0" w:header="0"/>
        </w:sectPr>
      </w:pPr>
    </w:p>
    <w:p>
      <w:pPr>
        <w:spacing w:after="0" w:line="200" w:lineRule="exact"/>
        <w:rPr>
          <w:rFonts w:ascii="Arial" w:cs="Arial" w:eastAsia="Arial" w:hAnsi="Arial"/>
          <w:sz w:val="14"/>
          <w:szCs w:val="14"/>
          <w:i w:val="1"/>
          <w:iCs w:val="1"/>
          <w:color w:val="auto"/>
        </w:rPr>
      </w:pPr>
    </w:p>
    <w:p>
      <w:pPr>
        <w:spacing w:after="0" w:line="274" w:lineRule="exact"/>
        <w:rPr>
          <w:rFonts w:ascii="Arial" w:cs="Arial" w:eastAsia="Arial" w:hAnsi="Arial"/>
          <w:sz w:val="14"/>
          <w:szCs w:val="14"/>
          <w:i w:val="1"/>
          <w:iCs w:val="1"/>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rFonts w:ascii="Arial" w:cs="Arial" w:eastAsia="Arial" w:hAnsi="Arial"/>
          <w:sz w:val="14"/>
          <w:szCs w:val="14"/>
          <w:i w:val="1"/>
          <w:iCs w:val="1"/>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our debt obligations as of June 30, 2022 and December 31,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00" w:type="dxa"/>
            <w:vAlign w:val="bottom"/>
            <w:gridSpan w:val="5"/>
          </w:tcPr>
          <w:p>
            <w:pPr>
              <w:ind w:left="40"/>
              <w:spacing w:after="0"/>
              <w:rPr>
                <w:sz w:val="20"/>
                <w:szCs w:val="20"/>
                <w:color w:val="auto"/>
              </w:rPr>
            </w:pPr>
            <w:r>
              <w:rPr>
                <w:rFonts w:ascii="Arial" w:cs="Arial" w:eastAsia="Arial" w:hAnsi="Arial"/>
                <w:sz w:val="16"/>
                <w:szCs w:val="16"/>
                <w:b w:val="1"/>
                <w:bCs w:val="1"/>
                <w:color w:val="auto"/>
              </w:rPr>
              <w:t>June 30, 2022</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Description of Debt</w:t>
            </w: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2"/>
            <w:vMerge w:val="continue"/>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Maturity</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Interest Rate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6"/>
                <w:szCs w:val="16"/>
                <w:b w:val="1"/>
                <w:bCs w:val="1"/>
                <w:color w:val="auto"/>
                <w:w w:val="98"/>
              </w:rPr>
              <w:t>Face Value</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gridSpan w:val="2"/>
          </w:tcPr>
          <w:p>
            <w:pPr>
              <w:jc w:val="right"/>
              <w:spacing w:after="0" w:line="210" w:lineRule="exact"/>
              <w:rPr>
                <w:sz w:val="20"/>
                <w:szCs w:val="20"/>
                <w:color w:val="auto"/>
              </w:rPr>
            </w:pPr>
            <w:r>
              <w:rPr>
                <w:rFonts w:ascii="Arial" w:cs="Arial" w:eastAsia="Arial" w:hAnsi="Arial"/>
                <w:sz w:val="16"/>
                <w:szCs w:val="16"/>
                <w:b w:val="1"/>
                <w:bCs w:val="1"/>
                <w:color w:val="auto"/>
                <w:w w:val="95"/>
              </w:rPr>
              <w:t>Carrying Value</w:t>
            </w:r>
            <w:r>
              <w:rPr>
                <w:rFonts w:ascii="Arial" w:cs="Arial" w:eastAsia="Arial" w:hAnsi="Arial"/>
                <w:sz w:val="23"/>
                <w:szCs w:val="23"/>
                <w:i w:val="1"/>
                <w:iCs w:val="1"/>
                <w:color w:val="auto"/>
                <w:w w:val="95"/>
                <w:vertAlign w:val="superscript"/>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800" w:type="dxa"/>
            <w:vAlign w:val="bottom"/>
            <w:gridSpan w:val="2"/>
            <w:shd w:val="clear" w:color="auto" w:fill="CCEEFF"/>
          </w:tcPr>
          <w:p>
            <w:pPr>
              <w:spacing w:after="0" w:line="250"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i w:val="1"/>
                <w:iCs w:val="1"/>
                <w:color w:val="auto"/>
                <w:vertAlign w:val="superscript"/>
              </w:rPr>
              <w:t>(2)</w:t>
            </w:r>
          </w:p>
        </w:tc>
        <w:tc>
          <w:tcPr>
            <w:tcW w:w="3320" w:type="dxa"/>
            <w:vAlign w:val="bottom"/>
            <w:gridSpan w:val="3"/>
            <w:vMerge w:val="restart"/>
            <w:shd w:val="clear" w:color="auto" w:fill="CCEEFF"/>
          </w:tcPr>
          <w:p>
            <w:pPr>
              <w:jc w:val="center"/>
              <w:ind w:left="2230"/>
              <w:spacing w:after="0"/>
              <w:rPr>
                <w:sz w:val="20"/>
                <w:szCs w:val="20"/>
                <w:color w:val="auto"/>
              </w:rPr>
            </w:pPr>
            <w:r>
              <w:rPr>
                <w:rFonts w:ascii="Arial" w:cs="Arial" w:eastAsia="Arial" w:hAnsi="Arial"/>
                <w:sz w:val="18"/>
                <w:szCs w:val="18"/>
                <w:color w:val="auto"/>
                <w:w w:val="89"/>
              </w:rPr>
              <w:t>2026</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SOFR +</w:t>
            </w:r>
          </w:p>
        </w:tc>
        <w:tc>
          <w:tcPr>
            <w:tcW w:w="48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3320" w:type="dxa"/>
            <w:vAlign w:val="bottom"/>
            <w:gridSpan w:val="3"/>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center"/>
              <w:ind w:left="91"/>
              <w:spacing w:after="0" w:line="149" w:lineRule="exact"/>
              <w:rPr>
                <w:sz w:val="20"/>
                <w:szCs w:val="20"/>
                <w:color w:val="auto"/>
              </w:rPr>
            </w:pPr>
            <w:r>
              <w:rPr>
                <w:rFonts w:ascii="Arial" w:cs="Arial" w:eastAsia="Arial" w:hAnsi="Arial"/>
                <w:sz w:val="17"/>
                <w:szCs w:val="17"/>
                <w:color w:val="auto"/>
                <w:w w:val="97"/>
              </w:rPr>
              <w:t>1.050%</w:t>
            </w:r>
          </w:p>
        </w:tc>
        <w:tc>
          <w:tcPr>
            <w:tcW w:w="480" w:type="dxa"/>
            <w:vAlign w:val="bottom"/>
            <w:gridSpan w:val="3"/>
            <w:vMerge w:val="continue"/>
            <w:shd w:val="clear" w:color="auto" w:fill="CCEEFF"/>
          </w:tcPr>
          <w:p>
            <w:pPr>
              <w:spacing w:after="0"/>
              <w:rPr>
                <w:sz w:val="12"/>
                <w:szCs w:val="12"/>
                <w:color w:val="auto"/>
              </w:rPr>
            </w:pPr>
          </w:p>
        </w:tc>
        <w:tc>
          <w:tcPr>
            <w:tcW w:w="1220" w:type="dxa"/>
            <w:vAlign w:val="bottom"/>
            <w:gridSpan w:val="2"/>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Delayed Draw Term Loan </w:t>
            </w:r>
            <w:r>
              <w:rPr>
                <w:rFonts w:ascii="Arial" w:cs="Arial" w:eastAsia="Arial" w:hAnsi="Arial"/>
                <w:sz w:val="23"/>
                <w:szCs w:val="23"/>
                <w:i w:val="1"/>
                <w:iCs w:val="1"/>
                <w:color w:val="auto"/>
                <w:vertAlign w:val="superscript"/>
              </w:rPr>
              <w:t>(2)</w:t>
            </w:r>
          </w:p>
        </w:tc>
        <w:tc>
          <w:tcPr>
            <w:tcW w:w="3320" w:type="dxa"/>
            <w:vAlign w:val="bottom"/>
            <w:gridSpan w:val="3"/>
            <w:vMerge w:val="restart"/>
          </w:tcPr>
          <w:p>
            <w:pPr>
              <w:jc w:val="center"/>
              <w:ind w:left="2230"/>
              <w:spacing w:after="0"/>
              <w:rPr>
                <w:sz w:val="20"/>
                <w:szCs w:val="20"/>
                <w:color w:val="auto"/>
              </w:rPr>
            </w:pPr>
            <w:r>
              <w:rPr>
                <w:rFonts w:ascii="Arial" w:cs="Arial" w:eastAsia="Arial" w:hAnsi="Arial"/>
                <w:sz w:val="18"/>
                <w:szCs w:val="18"/>
                <w:color w:val="auto"/>
                <w:w w:val="89"/>
              </w:rPr>
              <w:t>2025</w:t>
            </w:r>
          </w:p>
        </w:tc>
        <w:tc>
          <w:tcPr>
            <w:tcW w:w="100" w:type="dxa"/>
            <w:vAlign w:val="bottom"/>
          </w:tcPr>
          <w:p>
            <w:pPr>
              <w:spacing w:after="0"/>
              <w:rPr>
                <w:sz w:val="22"/>
                <w:szCs w:val="22"/>
                <w:color w:val="auto"/>
              </w:rPr>
            </w:pPr>
          </w:p>
        </w:tc>
        <w:tc>
          <w:tcPr>
            <w:tcW w:w="940" w:type="dxa"/>
            <w:vAlign w:val="bottom"/>
          </w:tcPr>
          <w:p>
            <w:pPr>
              <w:jc w:val="center"/>
              <w:ind w:left="91"/>
              <w:spacing w:after="0"/>
              <w:rPr>
                <w:sz w:val="20"/>
                <w:szCs w:val="20"/>
                <w:color w:val="auto"/>
              </w:rPr>
            </w:pPr>
            <w:r>
              <w:rPr>
                <w:rFonts w:ascii="Arial" w:cs="Arial" w:eastAsia="Arial" w:hAnsi="Arial"/>
                <w:sz w:val="18"/>
                <w:szCs w:val="18"/>
                <w:color w:val="auto"/>
                <w:w w:val="91"/>
              </w:rPr>
              <w:t>SOFR +</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left="91"/>
              <w:spacing w:after="0" w:line="149" w:lineRule="exact"/>
              <w:rPr>
                <w:sz w:val="20"/>
                <w:szCs w:val="20"/>
                <w:color w:val="auto"/>
              </w:rPr>
            </w:pPr>
            <w:r>
              <w:rPr>
                <w:rFonts w:ascii="Arial" w:cs="Arial" w:eastAsia="Arial" w:hAnsi="Arial"/>
                <w:sz w:val="17"/>
                <w:szCs w:val="17"/>
                <w:color w:val="auto"/>
                <w:w w:val="97"/>
              </w:rPr>
              <w:t>1.200%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November 2019 Notes</w:t>
            </w:r>
            <w:r>
              <w:rPr>
                <w:rFonts w:ascii="Arial" w:cs="Arial" w:eastAsia="Arial" w:hAnsi="Arial"/>
                <w:sz w:val="23"/>
                <w:szCs w:val="23"/>
                <w:i w:val="1"/>
                <w:iCs w:val="1"/>
                <w:color w:val="auto"/>
                <w:vertAlign w:val="superscript"/>
              </w:rPr>
              <w:t>(3)</w:t>
            </w: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2026 Maturity</w:t>
            </w:r>
          </w:p>
        </w:tc>
        <w:tc>
          <w:tcPr>
            <w:tcW w:w="3320" w:type="dxa"/>
            <w:vAlign w:val="bottom"/>
            <w:gridSpan w:val="3"/>
          </w:tcPr>
          <w:p>
            <w:pPr>
              <w:jc w:val="center"/>
              <w:ind w:left="2230"/>
              <w:spacing w:after="0"/>
              <w:rPr>
                <w:sz w:val="20"/>
                <w:szCs w:val="20"/>
                <w:color w:val="auto"/>
              </w:rPr>
            </w:pPr>
            <w:r>
              <w:rPr>
                <w:rFonts w:ascii="Arial" w:cs="Arial" w:eastAsia="Arial" w:hAnsi="Arial"/>
                <w:sz w:val="18"/>
                <w:szCs w:val="18"/>
                <w:color w:val="auto"/>
                <w:w w:val="89"/>
              </w:rPr>
              <w:t>2026</w:t>
            </w:r>
          </w:p>
        </w:tc>
        <w:tc>
          <w:tcPr>
            <w:tcW w:w="100" w:type="dxa"/>
            <w:vAlign w:val="bottom"/>
          </w:tcPr>
          <w:p>
            <w:pPr>
              <w:spacing w:after="0"/>
              <w:rPr>
                <w:sz w:val="19"/>
                <w:szCs w:val="19"/>
                <w:color w:val="auto"/>
              </w:rPr>
            </w:pPr>
          </w:p>
        </w:tc>
        <w:tc>
          <w:tcPr>
            <w:tcW w:w="940" w:type="dxa"/>
            <w:vAlign w:val="bottom"/>
          </w:tcPr>
          <w:p>
            <w:pPr>
              <w:jc w:val="center"/>
              <w:ind w:left="91"/>
              <w:spacing w:after="0"/>
              <w:rPr>
                <w:sz w:val="20"/>
                <w:szCs w:val="20"/>
                <w:color w:val="auto"/>
              </w:rPr>
            </w:pPr>
            <w:r>
              <w:rPr>
                <w:rFonts w:ascii="Arial" w:cs="Arial" w:eastAsia="Arial" w:hAnsi="Arial"/>
                <w:sz w:val="18"/>
                <w:szCs w:val="18"/>
                <w:color w:val="auto"/>
                <w:w w:val="91"/>
              </w:rPr>
              <w:t>4.250%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1,237,398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2029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2029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4.625%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spacing w:after="0" w:line="230" w:lineRule="exact"/>
              <w:rPr>
                <w:sz w:val="20"/>
                <w:szCs w:val="20"/>
                <w:color w:val="auto"/>
              </w:rPr>
            </w:pPr>
            <w:r>
              <w:rPr>
                <w:rFonts w:ascii="Arial" w:cs="Arial" w:eastAsia="Arial" w:hAnsi="Arial"/>
                <w:sz w:val="18"/>
                <w:szCs w:val="18"/>
                <w:color w:val="auto"/>
              </w:rPr>
              <w:t>February 2020 Notes</w:t>
            </w:r>
            <w:r>
              <w:rPr>
                <w:rFonts w:ascii="Arial" w:cs="Arial" w:eastAsia="Arial" w:hAnsi="Arial"/>
                <w:sz w:val="23"/>
                <w:szCs w:val="23"/>
                <w:i w:val="1"/>
                <w:iCs w:val="1"/>
                <w:color w:val="auto"/>
                <w:vertAlign w:val="superscript"/>
              </w:rPr>
              <w:t>(3)</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2025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3.500%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2027 Maturity</w:t>
            </w:r>
          </w:p>
        </w:tc>
        <w:tc>
          <w:tcPr>
            <w:tcW w:w="3320" w:type="dxa"/>
            <w:vAlign w:val="bottom"/>
            <w:gridSpan w:val="3"/>
          </w:tcPr>
          <w:p>
            <w:pPr>
              <w:jc w:val="center"/>
              <w:ind w:left="2230"/>
              <w:spacing w:after="0"/>
              <w:rPr>
                <w:sz w:val="20"/>
                <w:szCs w:val="20"/>
                <w:color w:val="auto"/>
              </w:rPr>
            </w:pPr>
            <w:r>
              <w:rPr>
                <w:rFonts w:ascii="Arial" w:cs="Arial" w:eastAsia="Arial" w:hAnsi="Arial"/>
                <w:sz w:val="18"/>
                <w:szCs w:val="18"/>
                <w:color w:val="auto"/>
                <w:w w:val="89"/>
              </w:rPr>
              <w:t>2027</w:t>
            </w:r>
          </w:p>
        </w:tc>
        <w:tc>
          <w:tcPr>
            <w:tcW w:w="100" w:type="dxa"/>
            <w:vAlign w:val="bottom"/>
          </w:tcPr>
          <w:p>
            <w:pPr>
              <w:spacing w:after="0"/>
              <w:rPr>
                <w:sz w:val="19"/>
                <w:szCs w:val="19"/>
                <w:color w:val="auto"/>
              </w:rPr>
            </w:pPr>
          </w:p>
        </w:tc>
        <w:tc>
          <w:tcPr>
            <w:tcW w:w="940" w:type="dxa"/>
            <w:vAlign w:val="bottom"/>
          </w:tcPr>
          <w:p>
            <w:pPr>
              <w:jc w:val="center"/>
              <w:ind w:left="91"/>
              <w:spacing w:after="0"/>
              <w:rPr>
                <w:sz w:val="20"/>
                <w:szCs w:val="20"/>
                <w:color w:val="auto"/>
              </w:rPr>
            </w:pPr>
            <w:r>
              <w:rPr>
                <w:rFonts w:ascii="Arial" w:cs="Arial" w:eastAsia="Arial" w:hAnsi="Arial"/>
                <w:sz w:val="18"/>
                <w:szCs w:val="18"/>
                <w:color w:val="auto"/>
                <w:w w:val="91"/>
              </w:rPr>
              <w:t>3.750%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742,248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2030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2030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4.125%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987,880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gridSpan w:val="2"/>
          </w:tcPr>
          <w:p>
            <w:pPr>
              <w:spacing w:after="0" w:line="230" w:lineRule="exact"/>
              <w:rPr>
                <w:sz w:val="20"/>
                <w:szCs w:val="20"/>
                <w:color w:val="auto"/>
              </w:rPr>
            </w:pPr>
            <w:r>
              <w:rPr>
                <w:rFonts w:ascii="Arial" w:cs="Arial" w:eastAsia="Arial" w:hAnsi="Arial"/>
                <w:sz w:val="18"/>
                <w:szCs w:val="18"/>
                <w:color w:val="auto"/>
              </w:rPr>
              <w:t>April 2022 Notes</w:t>
            </w:r>
            <w:r>
              <w:rPr>
                <w:rFonts w:ascii="Arial" w:cs="Arial" w:eastAsia="Arial" w:hAnsi="Arial"/>
                <w:sz w:val="23"/>
                <w:szCs w:val="23"/>
                <w:color w:val="auto"/>
                <w:vertAlign w:val="superscript"/>
              </w:rPr>
              <w:t>(3)</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2025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4.375%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2028 Maturity</w:t>
            </w:r>
          </w:p>
        </w:tc>
        <w:tc>
          <w:tcPr>
            <w:tcW w:w="3320" w:type="dxa"/>
            <w:vAlign w:val="bottom"/>
            <w:gridSpan w:val="3"/>
          </w:tcPr>
          <w:p>
            <w:pPr>
              <w:jc w:val="center"/>
              <w:ind w:left="2230"/>
              <w:spacing w:after="0"/>
              <w:rPr>
                <w:sz w:val="20"/>
                <w:szCs w:val="20"/>
                <w:color w:val="auto"/>
              </w:rPr>
            </w:pPr>
            <w:r>
              <w:rPr>
                <w:rFonts w:ascii="Arial" w:cs="Arial" w:eastAsia="Arial" w:hAnsi="Arial"/>
                <w:sz w:val="18"/>
                <w:szCs w:val="18"/>
                <w:color w:val="auto"/>
                <w:w w:val="89"/>
              </w:rPr>
              <w:t>2028</w:t>
            </w:r>
          </w:p>
        </w:tc>
        <w:tc>
          <w:tcPr>
            <w:tcW w:w="100" w:type="dxa"/>
            <w:vAlign w:val="bottom"/>
          </w:tcPr>
          <w:p>
            <w:pPr>
              <w:spacing w:after="0"/>
              <w:rPr>
                <w:sz w:val="19"/>
                <w:szCs w:val="19"/>
                <w:color w:val="auto"/>
              </w:rPr>
            </w:pPr>
          </w:p>
        </w:tc>
        <w:tc>
          <w:tcPr>
            <w:tcW w:w="940" w:type="dxa"/>
            <w:vAlign w:val="bottom"/>
          </w:tcPr>
          <w:p>
            <w:pPr>
              <w:jc w:val="center"/>
              <w:ind w:left="71"/>
              <w:spacing w:after="0" w:line="230" w:lineRule="exact"/>
              <w:rPr>
                <w:sz w:val="20"/>
                <w:szCs w:val="20"/>
                <w:color w:val="auto"/>
              </w:rPr>
            </w:pPr>
            <w:r>
              <w:rPr>
                <w:rFonts w:ascii="Arial" w:cs="Arial" w:eastAsia="Arial" w:hAnsi="Arial"/>
                <w:sz w:val="18"/>
                <w:szCs w:val="18"/>
                <w:color w:val="auto"/>
                <w:w w:val="87"/>
              </w:rPr>
              <w:t xml:space="preserve">4.516% </w:t>
            </w:r>
            <w:r>
              <w:rPr>
                <w:rFonts w:ascii="Arial" w:cs="Arial" w:eastAsia="Arial" w:hAnsi="Arial"/>
                <w:sz w:val="23"/>
                <w:szCs w:val="23"/>
                <w:i w:val="1"/>
                <w:iCs w:val="1"/>
                <w:color w:val="auto"/>
                <w:w w:val="87"/>
                <w:vertAlign w:val="superscript"/>
              </w:rPr>
              <w:t>(4)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1,235,846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2030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2030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71"/>
              <w:spacing w:after="0" w:line="230" w:lineRule="exact"/>
              <w:rPr>
                <w:sz w:val="20"/>
                <w:szCs w:val="20"/>
                <w:color w:val="auto"/>
              </w:rPr>
            </w:pPr>
            <w:r>
              <w:rPr>
                <w:rFonts w:ascii="Arial" w:cs="Arial" w:eastAsia="Arial" w:hAnsi="Arial"/>
                <w:sz w:val="18"/>
                <w:szCs w:val="18"/>
                <w:color w:val="auto"/>
                <w:w w:val="87"/>
              </w:rPr>
              <w:t xml:space="preserve">4.541% </w:t>
            </w:r>
            <w:r>
              <w:rPr>
                <w:rFonts w:ascii="Arial" w:cs="Arial" w:eastAsia="Arial" w:hAnsi="Arial"/>
                <w:sz w:val="23"/>
                <w:szCs w:val="23"/>
                <w:i w:val="1"/>
                <w:iCs w:val="1"/>
                <w:color w:val="auto"/>
                <w:w w:val="87"/>
                <w:vertAlign w:val="superscript"/>
              </w:rPr>
              <w:t>(4)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2032 Maturity</w:t>
            </w:r>
          </w:p>
        </w:tc>
        <w:tc>
          <w:tcPr>
            <w:tcW w:w="3320" w:type="dxa"/>
            <w:vAlign w:val="bottom"/>
            <w:gridSpan w:val="3"/>
          </w:tcPr>
          <w:p>
            <w:pPr>
              <w:jc w:val="center"/>
              <w:ind w:left="2230"/>
              <w:spacing w:after="0"/>
              <w:rPr>
                <w:sz w:val="20"/>
                <w:szCs w:val="20"/>
                <w:color w:val="auto"/>
              </w:rPr>
            </w:pPr>
            <w:r>
              <w:rPr>
                <w:rFonts w:ascii="Arial" w:cs="Arial" w:eastAsia="Arial" w:hAnsi="Arial"/>
                <w:sz w:val="18"/>
                <w:szCs w:val="18"/>
                <w:color w:val="auto"/>
                <w:w w:val="89"/>
              </w:rPr>
              <w:t>2032</w:t>
            </w:r>
          </w:p>
        </w:tc>
        <w:tc>
          <w:tcPr>
            <w:tcW w:w="100" w:type="dxa"/>
            <w:vAlign w:val="bottom"/>
          </w:tcPr>
          <w:p>
            <w:pPr>
              <w:spacing w:after="0"/>
              <w:rPr>
                <w:sz w:val="19"/>
                <w:szCs w:val="19"/>
                <w:color w:val="auto"/>
              </w:rPr>
            </w:pPr>
          </w:p>
        </w:tc>
        <w:tc>
          <w:tcPr>
            <w:tcW w:w="940" w:type="dxa"/>
            <w:vAlign w:val="bottom"/>
          </w:tcPr>
          <w:p>
            <w:pPr>
              <w:jc w:val="center"/>
              <w:ind w:left="71"/>
              <w:spacing w:after="0" w:line="230" w:lineRule="exact"/>
              <w:rPr>
                <w:sz w:val="20"/>
                <w:szCs w:val="20"/>
                <w:color w:val="auto"/>
              </w:rPr>
            </w:pPr>
            <w:r>
              <w:rPr>
                <w:rFonts w:ascii="Arial" w:cs="Arial" w:eastAsia="Arial" w:hAnsi="Arial"/>
                <w:sz w:val="18"/>
                <w:szCs w:val="18"/>
                <w:color w:val="auto"/>
                <w:w w:val="87"/>
              </w:rPr>
              <w:t xml:space="preserve">3.980% </w:t>
            </w:r>
            <w:r>
              <w:rPr>
                <w:rFonts w:ascii="Arial" w:cs="Arial" w:eastAsia="Arial" w:hAnsi="Arial"/>
                <w:sz w:val="23"/>
                <w:szCs w:val="23"/>
                <w:i w:val="1"/>
                <w:iCs w:val="1"/>
                <w:color w:val="auto"/>
                <w:w w:val="87"/>
                <w:vertAlign w:val="superscript"/>
              </w:rPr>
              <w:t>(4)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1,479,804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2052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2052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5.625%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spacing w:after="0" w:line="230" w:lineRule="exact"/>
              <w:rPr>
                <w:sz w:val="20"/>
                <w:szCs w:val="20"/>
                <w:color w:val="auto"/>
              </w:rPr>
            </w:pPr>
            <w:r>
              <w:rPr>
                <w:rFonts w:ascii="Arial" w:cs="Arial" w:eastAsia="Arial" w:hAnsi="Arial"/>
                <w:sz w:val="18"/>
                <w:szCs w:val="18"/>
                <w:color w:val="auto"/>
              </w:rPr>
              <w:t>Exchange Notes</w:t>
            </w:r>
            <w:r>
              <w:rPr>
                <w:rFonts w:ascii="Arial" w:cs="Arial" w:eastAsia="Arial" w:hAnsi="Arial"/>
                <w:sz w:val="23"/>
                <w:szCs w:val="23"/>
                <w:color w:val="auto"/>
                <w:vertAlign w:val="superscript"/>
              </w:rPr>
              <w:t>(3)</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2024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2024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5.625%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1,024,169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1,031,147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2025 Maturity</w:t>
            </w:r>
          </w:p>
        </w:tc>
        <w:tc>
          <w:tcPr>
            <w:tcW w:w="3320" w:type="dxa"/>
            <w:vAlign w:val="bottom"/>
            <w:gridSpan w:val="3"/>
          </w:tcPr>
          <w:p>
            <w:pPr>
              <w:jc w:val="center"/>
              <w:ind w:left="2230"/>
              <w:spacing w:after="0"/>
              <w:rPr>
                <w:sz w:val="20"/>
                <w:szCs w:val="20"/>
                <w:color w:val="auto"/>
              </w:rPr>
            </w:pPr>
            <w:r>
              <w:rPr>
                <w:rFonts w:ascii="Arial" w:cs="Arial" w:eastAsia="Arial" w:hAnsi="Arial"/>
                <w:sz w:val="18"/>
                <w:szCs w:val="18"/>
                <w:color w:val="auto"/>
                <w:w w:val="89"/>
              </w:rPr>
              <w:t>2025</w:t>
            </w:r>
          </w:p>
        </w:tc>
        <w:tc>
          <w:tcPr>
            <w:tcW w:w="100" w:type="dxa"/>
            <w:vAlign w:val="bottom"/>
          </w:tcPr>
          <w:p>
            <w:pPr>
              <w:spacing w:after="0"/>
              <w:rPr>
                <w:sz w:val="19"/>
                <w:szCs w:val="19"/>
                <w:color w:val="auto"/>
              </w:rPr>
            </w:pPr>
          </w:p>
        </w:tc>
        <w:tc>
          <w:tcPr>
            <w:tcW w:w="940" w:type="dxa"/>
            <w:vAlign w:val="bottom"/>
          </w:tcPr>
          <w:p>
            <w:pPr>
              <w:jc w:val="center"/>
              <w:ind w:left="91"/>
              <w:spacing w:after="0"/>
              <w:rPr>
                <w:sz w:val="20"/>
                <w:szCs w:val="20"/>
                <w:color w:val="auto"/>
              </w:rPr>
            </w:pPr>
            <w:r>
              <w:rPr>
                <w:rFonts w:ascii="Arial" w:cs="Arial" w:eastAsia="Arial" w:hAnsi="Arial"/>
                <w:sz w:val="18"/>
                <w:szCs w:val="18"/>
                <w:color w:val="auto"/>
                <w:w w:val="91"/>
              </w:rPr>
              <w:t>4.625%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799,368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780,513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2026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2026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4.500%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2027 Maturity</w:t>
            </w:r>
          </w:p>
        </w:tc>
        <w:tc>
          <w:tcPr>
            <w:tcW w:w="3320" w:type="dxa"/>
            <w:vAlign w:val="bottom"/>
            <w:gridSpan w:val="3"/>
          </w:tcPr>
          <w:p>
            <w:pPr>
              <w:jc w:val="center"/>
              <w:ind w:left="2230"/>
              <w:spacing w:after="0"/>
              <w:rPr>
                <w:sz w:val="20"/>
                <w:szCs w:val="20"/>
                <w:color w:val="auto"/>
              </w:rPr>
            </w:pPr>
            <w:r>
              <w:rPr>
                <w:rFonts w:ascii="Arial" w:cs="Arial" w:eastAsia="Arial" w:hAnsi="Arial"/>
                <w:sz w:val="18"/>
                <w:szCs w:val="18"/>
                <w:color w:val="auto"/>
                <w:w w:val="89"/>
              </w:rPr>
              <w:t>2027</w:t>
            </w:r>
          </w:p>
        </w:tc>
        <w:tc>
          <w:tcPr>
            <w:tcW w:w="100" w:type="dxa"/>
            <w:vAlign w:val="bottom"/>
          </w:tcPr>
          <w:p>
            <w:pPr>
              <w:spacing w:after="0"/>
              <w:rPr>
                <w:sz w:val="19"/>
                <w:szCs w:val="19"/>
                <w:color w:val="auto"/>
              </w:rPr>
            </w:pPr>
          </w:p>
        </w:tc>
        <w:tc>
          <w:tcPr>
            <w:tcW w:w="940" w:type="dxa"/>
            <w:vAlign w:val="bottom"/>
          </w:tcPr>
          <w:p>
            <w:pPr>
              <w:jc w:val="center"/>
              <w:ind w:left="91"/>
              <w:spacing w:after="0"/>
              <w:rPr>
                <w:sz w:val="20"/>
                <w:szCs w:val="20"/>
                <w:color w:val="auto"/>
              </w:rPr>
            </w:pPr>
            <w:r>
              <w:rPr>
                <w:rFonts w:ascii="Arial" w:cs="Arial" w:eastAsia="Arial" w:hAnsi="Arial"/>
                <w:sz w:val="18"/>
                <w:szCs w:val="18"/>
                <w:color w:val="auto"/>
                <w:w w:val="91"/>
              </w:rPr>
              <w:t>5.750%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729,466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739,627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2028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2028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4.500%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2029 Maturity</w:t>
            </w:r>
          </w:p>
        </w:tc>
        <w:tc>
          <w:tcPr>
            <w:tcW w:w="3320" w:type="dxa"/>
            <w:vAlign w:val="bottom"/>
            <w:gridSpan w:val="3"/>
          </w:tcPr>
          <w:p>
            <w:pPr>
              <w:jc w:val="center"/>
              <w:ind w:left="2230"/>
              <w:spacing w:after="0"/>
              <w:rPr>
                <w:sz w:val="20"/>
                <w:szCs w:val="20"/>
                <w:color w:val="auto"/>
              </w:rPr>
            </w:pPr>
            <w:r>
              <w:rPr>
                <w:rFonts w:ascii="Arial" w:cs="Arial" w:eastAsia="Arial" w:hAnsi="Arial"/>
                <w:sz w:val="18"/>
                <w:szCs w:val="18"/>
                <w:color w:val="auto"/>
                <w:w w:val="89"/>
              </w:rPr>
              <w:t>2029</w:t>
            </w:r>
          </w:p>
        </w:tc>
        <w:tc>
          <w:tcPr>
            <w:tcW w:w="100" w:type="dxa"/>
            <w:vAlign w:val="bottom"/>
          </w:tcPr>
          <w:p>
            <w:pPr>
              <w:spacing w:after="0"/>
              <w:rPr>
                <w:sz w:val="19"/>
                <w:szCs w:val="19"/>
                <w:color w:val="auto"/>
              </w:rPr>
            </w:pPr>
          </w:p>
        </w:tc>
        <w:tc>
          <w:tcPr>
            <w:tcW w:w="940" w:type="dxa"/>
            <w:vAlign w:val="bottom"/>
          </w:tcPr>
          <w:p>
            <w:pPr>
              <w:jc w:val="center"/>
              <w:ind w:left="91"/>
              <w:spacing w:after="0"/>
              <w:rPr>
                <w:sz w:val="20"/>
                <w:szCs w:val="20"/>
                <w:color w:val="auto"/>
              </w:rPr>
            </w:pPr>
            <w:r>
              <w:rPr>
                <w:rFonts w:ascii="Arial" w:cs="Arial" w:eastAsia="Arial" w:hAnsi="Arial"/>
                <w:sz w:val="18"/>
                <w:szCs w:val="18"/>
                <w:color w:val="auto"/>
                <w:w w:val="91"/>
              </w:rPr>
              <w:t>3.875%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727,114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655,340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MGP OP Notes</w:t>
            </w:r>
            <w:r>
              <w:rPr>
                <w:rFonts w:ascii="Arial" w:cs="Arial" w:eastAsia="Arial" w:hAnsi="Arial"/>
                <w:sz w:val="23"/>
                <w:szCs w:val="23"/>
                <w:color w:val="auto"/>
                <w:vertAlign w:val="superscript"/>
              </w:rPr>
              <w:t>(3)</w:t>
            </w: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2024 Maturity</w:t>
            </w:r>
          </w:p>
        </w:tc>
        <w:tc>
          <w:tcPr>
            <w:tcW w:w="3320" w:type="dxa"/>
            <w:vAlign w:val="bottom"/>
            <w:gridSpan w:val="3"/>
          </w:tcPr>
          <w:p>
            <w:pPr>
              <w:jc w:val="center"/>
              <w:ind w:left="2230"/>
              <w:spacing w:after="0"/>
              <w:rPr>
                <w:sz w:val="20"/>
                <w:szCs w:val="20"/>
                <w:color w:val="auto"/>
              </w:rPr>
            </w:pPr>
            <w:r>
              <w:rPr>
                <w:rFonts w:ascii="Arial" w:cs="Arial" w:eastAsia="Arial" w:hAnsi="Arial"/>
                <w:sz w:val="18"/>
                <w:szCs w:val="18"/>
                <w:color w:val="auto"/>
                <w:w w:val="89"/>
              </w:rPr>
              <w:t>2024</w:t>
            </w:r>
          </w:p>
        </w:tc>
        <w:tc>
          <w:tcPr>
            <w:tcW w:w="100" w:type="dxa"/>
            <w:vAlign w:val="bottom"/>
          </w:tcPr>
          <w:p>
            <w:pPr>
              <w:spacing w:after="0"/>
              <w:rPr>
                <w:sz w:val="19"/>
                <w:szCs w:val="19"/>
                <w:color w:val="auto"/>
              </w:rPr>
            </w:pPr>
          </w:p>
        </w:tc>
        <w:tc>
          <w:tcPr>
            <w:tcW w:w="940" w:type="dxa"/>
            <w:vAlign w:val="bottom"/>
          </w:tcPr>
          <w:p>
            <w:pPr>
              <w:jc w:val="center"/>
              <w:ind w:left="91"/>
              <w:spacing w:after="0"/>
              <w:rPr>
                <w:sz w:val="20"/>
                <w:szCs w:val="20"/>
                <w:color w:val="auto"/>
              </w:rPr>
            </w:pPr>
            <w:r>
              <w:rPr>
                <w:rFonts w:ascii="Arial" w:cs="Arial" w:eastAsia="Arial" w:hAnsi="Arial"/>
                <w:sz w:val="18"/>
                <w:szCs w:val="18"/>
                <w:color w:val="auto"/>
                <w:w w:val="91"/>
              </w:rPr>
              <w:t>5.625%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2025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4.625%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2026 Maturity</w:t>
            </w:r>
          </w:p>
        </w:tc>
        <w:tc>
          <w:tcPr>
            <w:tcW w:w="3320" w:type="dxa"/>
            <w:vAlign w:val="bottom"/>
            <w:gridSpan w:val="3"/>
          </w:tcPr>
          <w:p>
            <w:pPr>
              <w:jc w:val="center"/>
              <w:ind w:left="2230"/>
              <w:spacing w:after="0"/>
              <w:rPr>
                <w:sz w:val="20"/>
                <w:szCs w:val="20"/>
                <w:color w:val="auto"/>
              </w:rPr>
            </w:pPr>
            <w:r>
              <w:rPr>
                <w:rFonts w:ascii="Arial" w:cs="Arial" w:eastAsia="Arial" w:hAnsi="Arial"/>
                <w:sz w:val="18"/>
                <w:szCs w:val="18"/>
                <w:color w:val="auto"/>
                <w:w w:val="89"/>
              </w:rPr>
              <w:t>2026</w:t>
            </w:r>
          </w:p>
        </w:tc>
        <w:tc>
          <w:tcPr>
            <w:tcW w:w="100" w:type="dxa"/>
            <w:vAlign w:val="bottom"/>
          </w:tcPr>
          <w:p>
            <w:pPr>
              <w:spacing w:after="0"/>
              <w:rPr>
                <w:sz w:val="19"/>
                <w:szCs w:val="19"/>
                <w:color w:val="auto"/>
              </w:rPr>
            </w:pPr>
          </w:p>
        </w:tc>
        <w:tc>
          <w:tcPr>
            <w:tcW w:w="940" w:type="dxa"/>
            <w:vAlign w:val="bottom"/>
          </w:tcPr>
          <w:p>
            <w:pPr>
              <w:jc w:val="center"/>
              <w:ind w:left="91"/>
              <w:spacing w:after="0"/>
              <w:rPr>
                <w:sz w:val="20"/>
                <w:szCs w:val="20"/>
                <w:color w:val="auto"/>
              </w:rPr>
            </w:pPr>
            <w:r>
              <w:rPr>
                <w:rFonts w:ascii="Arial" w:cs="Arial" w:eastAsia="Arial" w:hAnsi="Arial"/>
                <w:sz w:val="18"/>
                <w:szCs w:val="18"/>
                <w:color w:val="auto"/>
                <w:w w:val="91"/>
              </w:rPr>
              <w:t>4.500%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2027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2027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5.750%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2028 Maturity</w:t>
            </w:r>
          </w:p>
        </w:tc>
        <w:tc>
          <w:tcPr>
            <w:tcW w:w="3320" w:type="dxa"/>
            <w:vAlign w:val="bottom"/>
            <w:gridSpan w:val="3"/>
          </w:tcPr>
          <w:p>
            <w:pPr>
              <w:jc w:val="center"/>
              <w:ind w:left="2230"/>
              <w:spacing w:after="0"/>
              <w:rPr>
                <w:sz w:val="20"/>
                <w:szCs w:val="20"/>
                <w:color w:val="auto"/>
              </w:rPr>
            </w:pPr>
            <w:r>
              <w:rPr>
                <w:rFonts w:ascii="Arial" w:cs="Arial" w:eastAsia="Arial" w:hAnsi="Arial"/>
                <w:sz w:val="18"/>
                <w:szCs w:val="18"/>
                <w:color w:val="auto"/>
                <w:w w:val="89"/>
              </w:rPr>
              <w:t>2028</w:t>
            </w:r>
          </w:p>
        </w:tc>
        <w:tc>
          <w:tcPr>
            <w:tcW w:w="100" w:type="dxa"/>
            <w:vAlign w:val="bottom"/>
          </w:tcPr>
          <w:p>
            <w:pPr>
              <w:spacing w:after="0"/>
              <w:rPr>
                <w:sz w:val="19"/>
                <w:szCs w:val="19"/>
                <w:color w:val="auto"/>
              </w:rPr>
            </w:pPr>
          </w:p>
        </w:tc>
        <w:tc>
          <w:tcPr>
            <w:tcW w:w="940" w:type="dxa"/>
            <w:vAlign w:val="bottom"/>
          </w:tcPr>
          <w:p>
            <w:pPr>
              <w:jc w:val="center"/>
              <w:ind w:left="91"/>
              <w:spacing w:after="0"/>
              <w:rPr>
                <w:sz w:val="20"/>
                <w:szCs w:val="20"/>
                <w:color w:val="auto"/>
              </w:rPr>
            </w:pPr>
            <w:r>
              <w:rPr>
                <w:rFonts w:ascii="Arial" w:cs="Arial" w:eastAsia="Arial" w:hAnsi="Arial"/>
                <w:sz w:val="18"/>
                <w:szCs w:val="18"/>
                <w:color w:val="auto"/>
                <w:w w:val="91"/>
              </w:rPr>
              <w:t>4.500%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2029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2029</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91"/>
              <w:spacing w:after="0"/>
              <w:rPr>
                <w:sz w:val="20"/>
                <w:szCs w:val="20"/>
                <w:color w:val="auto"/>
              </w:rPr>
            </w:pPr>
            <w:r>
              <w:rPr>
                <w:rFonts w:ascii="Arial" w:cs="Arial" w:eastAsia="Arial" w:hAnsi="Arial"/>
                <w:sz w:val="18"/>
                <w:szCs w:val="18"/>
                <w:color w:val="auto"/>
                <w:w w:val="91"/>
              </w:rPr>
              <w:t>3.875%</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tcPr>
          <w:p>
            <w:pPr>
              <w:jc w:val="center"/>
              <w:ind w:left="91"/>
              <w:spacing w:after="0" w:line="223" w:lineRule="exact"/>
              <w:rPr>
                <w:sz w:val="20"/>
                <w:szCs w:val="20"/>
                <w:color w:val="auto"/>
              </w:rPr>
            </w:pPr>
            <w:r>
              <w:rPr>
                <w:rFonts w:ascii="Arial" w:cs="Arial" w:eastAsia="Arial" w:hAnsi="Arial"/>
                <w:sz w:val="18"/>
                <w:szCs w:val="18"/>
                <w:color w:val="auto"/>
                <w:w w:val="84"/>
              </w:rPr>
              <w:t xml:space="preserve">4.496% </w:t>
            </w:r>
            <w:r>
              <w:rPr>
                <w:rFonts w:ascii="Arial" w:cs="Arial" w:eastAsia="Arial" w:hAnsi="Arial"/>
                <w:sz w:val="23"/>
                <w:szCs w:val="23"/>
                <w:i w:val="1"/>
                <w:iCs w:val="1"/>
                <w:color w:val="auto"/>
                <w:w w:val="84"/>
                <w:vertAlign w:val="superscript"/>
              </w:rPr>
              <w:t>(5)</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13,950,000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13,721,500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20" w:type="dxa"/>
            <w:vAlign w:val="bottom"/>
            <w:vMerge w:val="restart"/>
          </w:tcPr>
          <w:p>
            <w:pPr>
              <w:jc w:val="right"/>
              <w:ind w:right="2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16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ind w:left="760"/>
              <w:spacing w:after="0"/>
              <w:rPr>
                <w:sz w:val="20"/>
                <w:szCs w:val="20"/>
                <w:color w:val="auto"/>
              </w:rPr>
            </w:pPr>
            <w:r>
              <w:rPr>
                <w:rFonts w:ascii="Arial" w:cs="Arial" w:eastAsia="Arial" w:hAnsi="Arial"/>
                <w:sz w:val="16"/>
                <w:szCs w:val="16"/>
                <w:b w:val="1"/>
                <w:bCs w:val="1"/>
                <w:color w:val="auto"/>
              </w:rPr>
              <w:t>December 31, 2021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6160" w:type="dxa"/>
            <w:vAlign w:val="bottom"/>
            <w:gridSpan w:val="3"/>
          </w:tcPr>
          <w:p>
            <w:pPr>
              <w:spacing w:after="0"/>
              <w:rPr>
                <w:sz w:val="20"/>
                <w:szCs w:val="20"/>
                <w:color w:val="auto"/>
              </w:rPr>
            </w:pPr>
            <w:r>
              <w:rPr>
                <w:rFonts w:ascii="Arial" w:cs="Arial" w:eastAsia="Arial" w:hAnsi="Arial"/>
                <w:sz w:val="16"/>
                <w:szCs w:val="16"/>
                <w:b w:val="1"/>
                <w:bCs w:val="1"/>
                <w:color w:val="auto"/>
              </w:rPr>
              <w:t>Description of Debt</w:t>
            </w: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Maturity</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Interest Rate</w:t>
            </w:r>
          </w:p>
        </w:tc>
        <w:tc>
          <w:tcPr>
            <w:tcW w:w="200" w:type="dxa"/>
            <w:vAlign w:val="bottom"/>
          </w:tcPr>
          <w:p>
            <w:pPr>
              <w:spacing w:after="0"/>
              <w:rPr>
                <w:sz w:val="24"/>
                <w:szCs w:val="24"/>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Face Value</w:t>
            </w: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Carrying Value</w:t>
            </w:r>
            <w:r>
              <w:rPr>
                <w:rFonts w:ascii="Arial" w:cs="Arial" w:eastAsia="Arial" w:hAnsi="Arial"/>
                <w:sz w:val="23"/>
                <w:szCs w:val="23"/>
                <w:i w:val="1"/>
                <w:iCs w:val="1"/>
                <w:color w:val="auto"/>
                <w:w w:val="92"/>
                <w:vertAlign w:val="superscript"/>
              </w:rPr>
              <w:t>(1)</w:t>
            </w:r>
          </w:p>
        </w:tc>
      </w:tr>
      <w:tr>
        <w:trPr>
          <w:trHeight w:val="223"/>
        </w:trPr>
        <w:tc>
          <w:tcPr>
            <w:tcW w:w="6060" w:type="dxa"/>
            <w:vAlign w:val="bottom"/>
            <w:tcBorders>
              <w:top w:val="single" w:sz="8" w:color="auto"/>
            </w:tcBorders>
            <w:gridSpan w:val="3"/>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Secured Revolving Credit Facility </w:t>
            </w:r>
            <w:r>
              <w:rPr>
                <w:rFonts w:ascii="Arial" w:cs="Arial" w:eastAsia="Arial" w:hAnsi="Arial"/>
                <w:sz w:val="23"/>
                <w:szCs w:val="23"/>
                <w:i w:val="1"/>
                <w:iCs w:val="1"/>
                <w:color w:val="auto"/>
                <w:vertAlign w:val="superscript"/>
              </w:rPr>
              <w:t>(6)</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L + 2.00%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160" w:type="dxa"/>
            <w:vAlign w:val="bottom"/>
            <w:gridSpan w:val="3"/>
          </w:tcPr>
          <w:p>
            <w:pPr>
              <w:spacing w:after="0" w:line="230" w:lineRule="exact"/>
              <w:rPr>
                <w:sz w:val="20"/>
                <w:szCs w:val="20"/>
                <w:color w:val="auto"/>
              </w:rPr>
            </w:pPr>
            <w:r>
              <w:rPr>
                <w:rFonts w:ascii="Arial" w:cs="Arial" w:eastAsia="Arial" w:hAnsi="Arial"/>
                <w:sz w:val="18"/>
                <w:szCs w:val="18"/>
                <w:color w:val="auto"/>
              </w:rPr>
              <w:t>November 2019 Notes</w:t>
            </w:r>
            <w:r>
              <w:rPr>
                <w:rFonts w:ascii="Arial" w:cs="Arial" w:eastAsia="Arial" w:hAnsi="Arial"/>
                <w:sz w:val="23"/>
                <w:szCs w:val="23"/>
                <w:i w:val="1"/>
                <w:iCs w:val="1"/>
                <w:color w:val="auto"/>
                <w:vertAlign w:val="superscript"/>
              </w:rPr>
              <w:t>(3)</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2026 Maturity</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1,235,972</w:t>
            </w:r>
          </w:p>
        </w:tc>
      </w:tr>
      <w:tr>
        <w:trPr>
          <w:trHeight w:val="230"/>
        </w:trPr>
        <w:tc>
          <w:tcPr>
            <w:tcW w:w="20" w:type="dxa"/>
            <w:vAlign w:val="bottom"/>
          </w:tcPr>
          <w:p>
            <w:pPr>
              <w:spacing w:after="0"/>
              <w:rPr>
                <w:sz w:val="19"/>
                <w:szCs w:val="19"/>
                <w:color w:val="auto"/>
              </w:rPr>
            </w:pPr>
          </w:p>
        </w:tc>
        <w:tc>
          <w:tcPr>
            <w:tcW w:w="6160" w:type="dxa"/>
            <w:vAlign w:val="bottom"/>
            <w:gridSpan w:val="3"/>
          </w:tcPr>
          <w:p>
            <w:pPr>
              <w:ind w:left="220"/>
              <w:spacing w:after="0"/>
              <w:rPr>
                <w:sz w:val="20"/>
                <w:szCs w:val="20"/>
                <w:color w:val="auto"/>
              </w:rPr>
            </w:pPr>
            <w:r>
              <w:rPr>
                <w:rFonts w:ascii="Arial" w:cs="Arial" w:eastAsia="Arial" w:hAnsi="Arial"/>
                <w:sz w:val="18"/>
                <w:szCs w:val="18"/>
                <w:color w:val="auto"/>
              </w:rPr>
              <w:t>2029 Maturity</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987,331</w:t>
            </w:r>
          </w:p>
        </w:tc>
      </w:tr>
      <w:tr>
        <w:trPr>
          <w:trHeight w:val="229"/>
        </w:trPr>
        <w:tc>
          <w:tcPr>
            <w:tcW w:w="20" w:type="dxa"/>
            <w:vAlign w:val="bottom"/>
            <w:shd w:val="clear" w:color="auto" w:fill="CCEEFF"/>
          </w:tcPr>
          <w:p>
            <w:pPr>
              <w:spacing w:after="0"/>
              <w:rPr>
                <w:sz w:val="19"/>
                <w:szCs w:val="19"/>
                <w:color w:val="auto"/>
              </w:rPr>
            </w:pPr>
          </w:p>
        </w:tc>
        <w:tc>
          <w:tcPr>
            <w:tcW w:w="616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February 2020 Notes</w:t>
            </w:r>
            <w:r>
              <w:rPr>
                <w:rFonts w:ascii="Arial" w:cs="Arial" w:eastAsia="Arial" w:hAnsi="Arial"/>
                <w:sz w:val="23"/>
                <w:szCs w:val="23"/>
                <w:i w:val="1"/>
                <w:iCs w:val="1"/>
                <w:color w:val="auto"/>
                <w:vertAlign w:val="superscript"/>
              </w:rPr>
              <w:t>(3)</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60" w:type="dxa"/>
            <w:vAlign w:val="bottom"/>
            <w:gridSpan w:val="3"/>
          </w:tcPr>
          <w:p>
            <w:pPr>
              <w:ind w:left="220"/>
              <w:spacing w:after="0"/>
              <w:rPr>
                <w:sz w:val="20"/>
                <w:szCs w:val="20"/>
                <w:color w:val="auto"/>
              </w:rPr>
            </w:pPr>
            <w:r>
              <w:rPr>
                <w:rFonts w:ascii="Arial" w:cs="Arial" w:eastAsia="Arial" w:hAnsi="Arial"/>
                <w:sz w:val="18"/>
                <w:szCs w:val="18"/>
                <w:color w:val="auto"/>
              </w:rPr>
              <w:t>2025 Maturity</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742,677</w:t>
            </w:r>
          </w:p>
        </w:tc>
      </w:tr>
      <w:tr>
        <w:trPr>
          <w:trHeight w:val="230"/>
        </w:trPr>
        <w:tc>
          <w:tcPr>
            <w:tcW w:w="20" w:type="dxa"/>
            <w:vAlign w:val="bottom"/>
            <w:shd w:val="clear" w:color="auto" w:fill="CCEEFF"/>
          </w:tcPr>
          <w:p>
            <w:pPr>
              <w:spacing w:after="0"/>
              <w:rPr>
                <w:sz w:val="19"/>
                <w:szCs w:val="19"/>
                <w:color w:val="auto"/>
              </w:rPr>
            </w:pPr>
          </w:p>
        </w:tc>
        <w:tc>
          <w:tcPr>
            <w:tcW w:w="6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2027 Maturity</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741,409</w:t>
            </w:r>
          </w:p>
        </w:tc>
      </w:tr>
      <w:tr>
        <w:trPr>
          <w:trHeight w:val="229"/>
        </w:trPr>
        <w:tc>
          <w:tcPr>
            <w:tcW w:w="2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2030 Maturity</w:t>
            </w: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2030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4.125%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987,134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gridSpan w:val="3"/>
            <w:shd w:val="clear" w:color="auto" w:fill="CCEEFF"/>
          </w:tcPr>
          <w:p>
            <w:pPr>
              <w:spacing w:after="0" w:line="223"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i w:val="1"/>
                <w:iCs w:val="1"/>
                <w:color w:val="auto"/>
                <w:vertAlign w:val="superscript"/>
              </w:rPr>
              <w:t>(5)</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4,694,523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unamortized original issue discount and unamortized debt issuance costs incurred in conjunction with debt.</w:t>
      </w:r>
    </w:p>
    <w:p>
      <w:pPr>
        <w:spacing w:after="0" w:line="1" w:lineRule="exact"/>
        <w:rPr>
          <w:rFonts w:ascii="Arial" w:cs="Arial" w:eastAsia="Arial" w:hAnsi="Arial"/>
          <w:sz w:val="14"/>
          <w:szCs w:val="14"/>
          <w:i w:val="1"/>
          <w:iCs w:val="1"/>
          <w:color w:val="auto"/>
        </w:rPr>
      </w:pPr>
    </w:p>
    <w:p>
      <w:pPr>
        <w:jc w:val="both"/>
        <w:ind w:left="340" w:hanging="332"/>
        <w:spacing w:after="0" w:line="260" w:lineRule="auto"/>
        <w:tabs>
          <w:tab w:leader="none" w:pos="332" w:val="left"/>
        </w:tabs>
        <w:numPr>
          <w:ilvl w:val="0"/>
          <w:numId w:val="25"/>
        </w:numPr>
        <w:rPr>
          <w:rFonts w:ascii="Arial" w:cs="Arial" w:eastAsia="Arial" w:hAnsi="Arial"/>
          <w:sz w:val="13"/>
          <w:szCs w:val="13"/>
          <w:i w:val="1"/>
          <w:iCs w:val="1"/>
          <w:color w:val="auto"/>
        </w:rPr>
      </w:pPr>
      <w:r>
        <w:rPr>
          <w:rFonts w:ascii="Arial" w:cs="Arial" w:eastAsia="Arial" w:hAnsi="Arial"/>
          <w:sz w:val="13"/>
          <w:szCs w:val="13"/>
          <w:i w:val="1"/>
          <w:iCs w:val="1"/>
          <w:color w:val="auto"/>
        </w:rPr>
        <w:t>Interest on any outstanding balance is payable monthly. Borrowings under the Revolving Credit Facility and Delayed Draw Term Loan bear interest at a rate based on a credit rating-based pricing grid with a range of 0.775% to 1.325% margin plus SOFR and a range of 0.85% to 1.60% margin plus SOFR, respectively, depending on our credit ratings, with an additional 0.10% adjustment. Additionally, the commitment fees under the Revolving Credit Facility and Delayed Draw Term Loan are calculated on a credit rating-based pricing grid with a range of</w:t>
      </w:r>
    </w:p>
    <w:p>
      <w:pPr>
        <w:ind w:left="340" w:right="20"/>
        <w:spacing w:after="0" w:line="241" w:lineRule="auto"/>
        <w:rPr>
          <w:rFonts w:ascii="Arial" w:cs="Arial" w:eastAsia="Arial" w:hAnsi="Arial"/>
          <w:sz w:val="13"/>
          <w:szCs w:val="13"/>
          <w:i w:val="1"/>
          <w:iCs w:val="1"/>
          <w:color w:val="auto"/>
        </w:rPr>
      </w:pPr>
      <w:r>
        <w:rPr>
          <w:rFonts w:ascii="Arial" w:cs="Arial" w:eastAsia="Arial" w:hAnsi="Arial"/>
          <w:sz w:val="14"/>
          <w:szCs w:val="14"/>
          <w:i w:val="1"/>
          <w:iCs w:val="1"/>
          <w:color w:val="auto"/>
        </w:rPr>
        <w:t>0.15% to 0.375%, for both instruments depending on our credit ratings. For the three and six months ended June 30, 2022, the commitment fees for both the Revolving Credit Facility and Delayed Draw Term Loan were 0.375%.</w:t>
      </w:r>
    </w:p>
    <w:p>
      <w:pPr>
        <w:ind w:left="320" w:hanging="312"/>
        <w:spacing w:after="0"/>
        <w:tabs>
          <w:tab w:leader="none" w:pos="32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semi-annually.</w:t>
      </w:r>
    </w:p>
    <w:p>
      <w:pPr>
        <w:spacing w:after="0" w:line="1" w:lineRule="exact"/>
        <w:rPr>
          <w:rFonts w:ascii="Arial" w:cs="Arial" w:eastAsia="Arial" w:hAnsi="Arial"/>
          <w:sz w:val="14"/>
          <w:szCs w:val="14"/>
          <w:i w:val="1"/>
          <w:iCs w:val="1"/>
          <w:color w:val="auto"/>
        </w:rPr>
      </w:pPr>
    </w:p>
    <w:p>
      <w:pPr>
        <w:ind w:left="340" w:hanging="332"/>
        <w:spacing w:after="0" w:line="241" w:lineRule="auto"/>
        <w:tabs>
          <w:tab w:leader="none" w:pos="332" w:val="left"/>
        </w:tabs>
        <w:numPr>
          <w:ilvl w:val="0"/>
          <w:numId w:val="25"/>
        </w:numPr>
        <w:rPr>
          <w:rFonts w:ascii="Arial" w:cs="Arial" w:eastAsia="Arial" w:hAnsi="Arial"/>
          <w:sz w:val="14"/>
          <w:szCs w:val="14"/>
          <w:i w:val="1"/>
          <w:iCs w:val="1"/>
          <w:color w:val="0000FF"/>
        </w:rPr>
      </w:pPr>
      <w:hyperlink w:anchor="page41">
        <w:r>
          <w:rPr>
            <w:rFonts w:ascii="Arial" w:cs="Arial" w:eastAsia="Arial" w:hAnsi="Arial"/>
            <w:sz w:val="14"/>
            <w:szCs w:val="14"/>
            <w:i w:val="1"/>
            <w:iCs w:val="1"/>
            <w:color w:val="auto"/>
          </w:rPr>
          <w:t xml:space="preserve">Interest rates represent the contractual interest rates adjusted to account for the impact of the forward-starting interest rate swaps and treasury locks (as further described in </w:t>
        </w:r>
        <w:r>
          <w:rPr>
            <w:rFonts w:ascii="Arial" w:cs="Arial" w:eastAsia="Arial" w:hAnsi="Arial"/>
            <w:sz w:val="14"/>
            <w:szCs w:val="14"/>
            <w:i w:val="1"/>
            <w:iCs w:val="1"/>
            <w:u w:val="single" w:color="auto"/>
            <w:color w:val="0000FF"/>
          </w:rPr>
          <w:t>Note 8 -</w:t>
        </w:r>
      </w:hyperlink>
      <w:r>
        <w:rPr>
          <w:rFonts w:ascii="Arial" w:cs="Arial" w:eastAsia="Arial" w:hAnsi="Arial"/>
          <w:sz w:val="14"/>
          <w:szCs w:val="14"/>
          <w:i w:val="1"/>
          <w:iCs w:val="1"/>
          <w:color w:val="auto"/>
        </w:rPr>
        <w:t xml:space="preserve"> </w:t>
      </w:r>
      <w:hyperlink w:anchor="page41">
        <w:r>
          <w:rPr>
            <w:rFonts w:ascii="Arial" w:cs="Arial" w:eastAsia="Arial" w:hAnsi="Arial"/>
            <w:sz w:val="14"/>
            <w:szCs w:val="14"/>
            <w:i w:val="1"/>
            <w:iCs w:val="1"/>
            <w:u w:val="single" w:color="auto"/>
            <w:color w:val="0000FF"/>
          </w:rPr>
          <w:t>Derivatives</w:t>
        </w:r>
        <w:r>
          <w:rPr>
            <w:rFonts w:ascii="Arial" w:cs="Arial" w:eastAsia="Arial" w:hAnsi="Arial"/>
            <w:sz w:val="14"/>
            <w:szCs w:val="14"/>
            <w:i w:val="1"/>
            <w:iCs w:val="1"/>
            <w:color w:val="000000"/>
          </w:rPr>
          <w:t>). The contractual interest rates on the April 2022 Notes maturing 2028, 2030 and 2032 are 4.750%, 4.950% and 5.125%, respectively.</w:t>
        </w:r>
      </w:hyperlink>
    </w:p>
    <w:p>
      <w:pPr>
        <w:jc w:val="both"/>
        <w:ind w:left="340" w:hanging="332"/>
        <w:spacing w:after="0" w:line="241" w:lineRule="auto"/>
        <w:tabs>
          <w:tab w:leader="none" w:pos="332"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The interest rate represents the weighted average interest rates of the Senior Unsecured Notes adjusted to account for the impact of the forward-starting interest rate swaps and treasury locks (as further described in </w:t>
      </w:r>
      <w:hyperlink w:anchor="page41">
        <w:r>
          <w:rPr>
            <w:rFonts w:ascii="Arial" w:cs="Arial" w:eastAsia="Arial" w:hAnsi="Arial"/>
            <w:sz w:val="14"/>
            <w:szCs w:val="14"/>
            <w:i w:val="1"/>
            <w:iCs w:val="1"/>
            <w:u w:val="single" w:color="auto"/>
            <w:color w:val="0000FF"/>
          </w:rPr>
          <w:t>Note 8 - Derivatives</w:t>
        </w:r>
      </w:hyperlink>
      <w:r>
        <w:rPr>
          <w:rFonts w:ascii="Arial" w:cs="Arial" w:eastAsia="Arial" w:hAnsi="Arial"/>
          <w:sz w:val="14"/>
          <w:szCs w:val="14"/>
          <w:i w:val="1"/>
          <w:iCs w:val="1"/>
          <w:color w:val="auto"/>
        </w:rPr>
        <w:t>), as applicable. The contractual weighted average interest rate as of June 30, 2022, which excludes the impact of the forward-starting interest rate swaps and treasury locks, is 4.67%</w:t>
      </w:r>
    </w:p>
    <w:p>
      <w:pPr>
        <w:spacing w:after="0" w:line="1" w:lineRule="exact"/>
        <w:rPr>
          <w:rFonts w:ascii="Arial" w:cs="Arial" w:eastAsia="Arial" w:hAnsi="Arial"/>
          <w:sz w:val="14"/>
          <w:szCs w:val="14"/>
          <w:i w:val="1"/>
          <w:iCs w:val="1"/>
          <w:color w:val="auto"/>
        </w:rPr>
      </w:pPr>
    </w:p>
    <w:p>
      <w:pPr>
        <w:jc w:val="both"/>
        <w:ind w:left="340" w:hanging="332"/>
        <w:spacing w:after="0" w:line="248" w:lineRule="auto"/>
        <w:tabs>
          <w:tab w:leader="none" w:pos="332"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On February 8, 2022, we terminated the Secured Revolving Credit Facility (including the first priority lien on substantially all of VICI PropCo’s and its existing and subsequently acquired wholly owned material domestic restricted subsidiaries’ material assets) and the Existing Credit Agreement, and entered into the Credit Agreement providing for the Credit Facilities, as described below.</w:t>
      </w:r>
    </w:p>
    <w:p>
      <w:pPr>
        <w:spacing w:after="0" w:line="141" w:lineRule="exact"/>
        <w:rPr>
          <w:rFonts w:ascii="Arial" w:cs="Arial" w:eastAsia="Arial" w:hAnsi="Arial"/>
          <w:sz w:val="14"/>
          <w:szCs w:val="14"/>
          <w:i w:val="1"/>
          <w:iCs w:val="1"/>
          <w:color w:val="auto"/>
        </w:rPr>
      </w:pPr>
    </w:p>
    <w:p>
      <w:pPr>
        <w:spacing w:after="0"/>
        <w:rPr>
          <w:sz w:val="20"/>
          <w:szCs w:val="20"/>
          <w:color w:val="auto"/>
        </w:rPr>
      </w:pPr>
      <w:r>
        <w:rPr>
          <w:rFonts w:ascii="Arial" w:cs="Arial" w:eastAsia="Arial" w:hAnsi="Arial"/>
          <w:sz w:val="18"/>
          <w:szCs w:val="18"/>
          <w:color w:val="auto"/>
        </w:rPr>
        <w:t>The following table is a schedule of future minimum principal payments of our debt obligations as of June 30, 2022:</w:t>
      </w:r>
    </w:p>
    <w:p>
      <w:pPr>
        <w:spacing w:after="0" w:line="190" w:lineRule="exact"/>
        <w:rPr>
          <w:rFonts w:ascii="Arial" w:cs="Arial" w:eastAsia="Arial" w:hAnsi="Arial"/>
          <w:sz w:val="14"/>
          <w:szCs w:val="14"/>
          <w:i w:val="1"/>
          <w:iCs w:val="1"/>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340" w:type="dxa"/>
            <w:vAlign w:val="bottom"/>
          </w:tcPr>
          <w:p>
            <w:pPr>
              <w:spacing w:after="0"/>
              <w:rPr>
                <w:sz w:val="16"/>
                <w:szCs w:val="16"/>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Future Minimum Principal</w:t>
            </w:r>
          </w:p>
        </w:tc>
      </w:tr>
      <w:tr>
        <w:trPr>
          <w:trHeight w:val="175"/>
        </w:trPr>
        <w:tc>
          <w:tcPr>
            <w:tcW w:w="20" w:type="dxa"/>
            <w:vAlign w:val="bottom"/>
          </w:tcPr>
          <w:p>
            <w:pPr>
              <w:spacing w:after="0"/>
              <w:rPr>
                <w:sz w:val="15"/>
                <w:szCs w:val="15"/>
                <w:color w:val="auto"/>
              </w:rPr>
            </w:pPr>
          </w:p>
        </w:tc>
        <w:tc>
          <w:tcPr>
            <w:tcW w:w="9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Pr>
          <w:p>
            <w:pPr>
              <w:spacing w:after="0"/>
              <w:rPr>
                <w:sz w:val="15"/>
                <w:szCs w:val="15"/>
                <w:color w:val="auto"/>
              </w:rPr>
            </w:pPr>
          </w:p>
        </w:tc>
        <w:tc>
          <w:tcPr>
            <w:tcW w:w="1620" w:type="dxa"/>
            <w:vAlign w:val="bottom"/>
          </w:tcPr>
          <w:p>
            <w:pPr>
              <w:jc w:val="right"/>
              <w:ind w:right="571"/>
              <w:spacing w:after="0" w:line="175" w:lineRule="exact"/>
              <w:rPr>
                <w:sz w:val="20"/>
                <w:szCs w:val="20"/>
                <w:color w:val="auto"/>
              </w:rPr>
            </w:pPr>
            <w:r>
              <w:rPr>
                <w:rFonts w:ascii="Arial" w:cs="Arial" w:eastAsia="Arial" w:hAnsi="Arial"/>
                <w:sz w:val="16"/>
                <w:szCs w:val="16"/>
                <w:b w:val="1"/>
                <w:bCs w:val="1"/>
                <w:color w:val="auto"/>
              </w:rPr>
              <w:t>Payments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8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8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2,050,000</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8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1,500,000</w:t>
            </w:r>
          </w:p>
        </w:tc>
      </w:tr>
      <w:tr>
        <w:trPr>
          <w:trHeight w:val="230"/>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7,600,000</w:t>
            </w:r>
          </w:p>
        </w:tc>
      </w:tr>
      <w:tr>
        <w:trPr>
          <w:trHeight w:val="223"/>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Total minimum principal payments</w:t>
            </w: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13,950,000</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83" w:lineRule="exact"/>
        <w:rPr>
          <w:rFonts w:ascii="Arial" w:cs="Arial" w:eastAsia="Arial" w:hAnsi="Arial"/>
          <w:sz w:val="14"/>
          <w:szCs w:val="14"/>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171" w:lineRule="exact"/>
        <w:rPr>
          <w:rFonts w:ascii="Arial" w:cs="Arial" w:eastAsia="Arial" w:hAnsi="Arial"/>
          <w:sz w:val="14"/>
          <w:szCs w:val="14"/>
          <w:i w:val="1"/>
          <w:iCs w:val="1"/>
          <w:color w:val="auto"/>
        </w:rPr>
      </w:pPr>
    </w:p>
    <w:p>
      <w:pPr>
        <w:spacing w:after="0"/>
        <w:rPr>
          <w:sz w:val="20"/>
          <w:szCs w:val="20"/>
          <w:color w:val="auto"/>
        </w:rPr>
      </w:pPr>
      <w:r>
        <w:rPr>
          <w:rFonts w:ascii="Arial" w:cs="Arial" w:eastAsia="Arial" w:hAnsi="Arial"/>
          <w:sz w:val="18"/>
          <w:szCs w:val="18"/>
          <w:i w:val="1"/>
          <w:iCs w:val="1"/>
          <w:color w:val="auto"/>
        </w:rPr>
        <w:t>Exchange Notes</w:t>
      </w:r>
    </w:p>
    <w:p>
      <w:pPr>
        <w:spacing w:after="0" w:line="171" w:lineRule="exact"/>
        <w:rPr>
          <w:rFonts w:ascii="Arial" w:cs="Arial" w:eastAsia="Arial" w:hAnsi="Arial"/>
          <w:sz w:val="14"/>
          <w:szCs w:val="14"/>
          <w:i w:val="1"/>
          <w:iCs w:val="1"/>
          <w:color w:val="auto"/>
        </w:rPr>
      </w:pPr>
    </w:p>
    <w:p>
      <w:pPr>
        <w:jc w:val="both"/>
        <w:spacing w:after="0" w:line="296" w:lineRule="auto"/>
        <w:rPr>
          <w:sz w:val="20"/>
          <w:szCs w:val="20"/>
          <w:color w:val="auto"/>
        </w:rPr>
      </w:pPr>
      <w:r>
        <w:rPr>
          <w:rFonts w:ascii="Arial" w:cs="Arial" w:eastAsia="Arial" w:hAnsi="Arial"/>
          <w:sz w:val="16"/>
          <w:szCs w:val="16"/>
          <w:color w:val="auto"/>
        </w:rPr>
        <w:t>On April 29, 2022, the VICI Issuers issued $1,024.2 million in aggregate principal amount of 5.625% Senior Notes due 2024, $799.4 million in aggregate principal amount of 4.625% Senior Notes due 2025, $480.5 million in aggregate principal amount of 4.500% Senior Notes due 2026, $729.5 million in aggregate principal amount of 5.750% Senior Notes due 2027, $349.3 million in aggregate principal amount of 4.500% Senior Notes due 2028 and $727.1 million in aggregate principal amount of 3.875% Senior Notes due 2029 in exchange for the validly tendered and not validly withdrawn MGP OP Notes, originally issued by the MGP Issuers, pursuant to the settlement of the Exchange Offers and Consent Solicitations in connection</w:t>
      </w:r>
    </w:p>
    <w:p>
      <w:pPr>
        <w:spacing w:after="0" w:line="200" w:lineRule="exact"/>
        <w:rPr>
          <w:rFonts w:ascii="Arial" w:cs="Arial" w:eastAsia="Arial" w:hAnsi="Arial"/>
          <w:sz w:val="14"/>
          <w:szCs w:val="14"/>
          <w:i w:val="1"/>
          <w:iCs w:val="1"/>
          <w:color w:val="auto"/>
        </w:rPr>
      </w:pPr>
    </w:p>
    <w:p>
      <w:pPr>
        <w:spacing w:after="0" w:line="339" w:lineRule="exact"/>
        <w:rPr>
          <w:rFonts w:ascii="Arial" w:cs="Arial" w:eastAsia="Arial" w:hAnsi="Arial"/>
          <w:sz w:val="14"/>
          <w:szCs w:val="14"/>
          <w:i w:val="1"/>
          <w:iCs w:val="1"/>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rFonts w:ascii="Arial" w:cs="Arial" w:eastAsia="Arial" w:hAnsi="Arial"/>
          <w:sz w:val="14"/>
          <w:szCs w:val="14"/>
          <w:i w:val="1"/>
          <w:iCs w:val="1"/>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the closing of the MGP Transactions. The Exchange Notes were issued with the same interest rate, maturity date and redemption terms as the corresponding series of MGP OP Notes, in each case under a supplemental indenture dated as of April 29, 2022, between the VICI Issuers and UMB Bank, National Association, as trustee (the “Trustee”).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Exchange Notes due 2025, 2026, 2027, 2028, and 2029 are redeemable at our option, in whole or in part, at any time on or after February 1, 2024, March 15, 2025, June 1, 2026, November 1, 2026, October 15, 2027 and November 15, 2028, respectively, at the redemption prices set forth in the respective indenture governing such Exchange Notes. We may redeem some or all of such notes prior to such respective dates at a price equal to 100% of the principal amount thereof plus a “make-whole” premium.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MGP OP Notes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Following the issuance of the Exchange Notes pursuant to the settlement of the Exchange Offers and Consent Solicitations, $25.8 million in aggregate principal amount of MGP OP Notes due 2024, $0.6 million in aggregate principal amount of MGP OP Notes due 2025, $19.5 million in aggregate principal amount of MGP OP Notes due 2026, $20.5 million in aggregate principal amount of MGP OP Notes due 2027, $0.7 million in aggregate principal amount of MGP OP Notes due 2028 and $22.9 million in aggregate principal amount of MGP OP Notes due 2029 remain outstanding.</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series of the MGP OP Notes is redeemable at our option, in whole or in part, at any time on or after the same dates as set forth above with respect to the corresponding maturity series of the Exchange Notes. We may redeem some or all of such notes prior to such respective dates at a price equal to 100% of the principal amount thereof plus a “make-whole” premium.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2022 Notes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April 29, 2022, VICI LP, our wholly owned subsidiary, issued (i) $500.0 million in aggregate principal amount of 4.375% Senior Notes due 2025, which mature on May 15, 2025, (ii) $1,250.0 million in aggregate principal amount of 4.750% Senior Notes due 2028, which mature on February 15, 2028,</w:t>
      </w:r>
    </w:p>
    <w:p>
      <w:pPr>
        <w:jc w:val="both"/>
        <w:ind w:firstLine="8"/>
        <w:spacing w:after="0" w:line="270" w:lineRule="auto"/>
        <w:tabs>
          <w:tab w:leader="none" w:pos="342" w:val="left"/>
        </w:tabs>
        <w:numPr>
          <w:ilvl w:val="0"/>
          <w:numId w:val="26"/>
        </w:numPr>
        <w:rPr>
          <w:rFonts w:ascii="Arial" w:cs="Arial" w:eastAsia="Arial" w:hAnsi="Arial"/>
          <w:sz w:val="17"/>
          <w:szCs w:val="17"/>
          <w:color w:val="auto"/>
        </w:rPr>
      </w:pPr>
      <w:r>
        <w:rPr>
          <w:rFonts w:ascii="Arial" w:cs="Arial" w:eastAsia="Arial" w:hAnsi="Arial"/>
          <w:sz w:val="17"/>
          <w:szCs w:val="17"/>
          <w:color w:val="auto"/>
        </w:rPr>
        <w:t>$1,000.0 million in aggregate principal amount of 4.950% Senior Notes due 2030, which mature on February 15, 2030, (iv) $1,500.0 million in aggregate principal amount of 5.125% Senior Notes due 2032, which mature on May 15, 2032, and (v) $750.0 million in aggregate principal amount of 5.625% Senior Notes due 2052, which mature on May 15, 2052, (collectively, the “April 2022 Notes”) in each case under a supplemental indenture dated as of April 29, 2022, between VICI LP and the Trustee. We used the net proceeds of the offering to (i) fund the consideration for the redemption of a majority of the VICI OP Units received by MGM in the Partnership Merger for $4,404.0 million in cash in connection with the closing of the MGP Transactions on April 29, 2022, and (ii) pay down the outstanding $600.0 million balance on our Revolving Credit Facility.</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Prior to their maturity date, in the case of the April 2022 Notes due 2025, and January 15, 2028 (one month prior to the maturity date of the April 2022 Notes due 2028), December 15, 2029 (two months prior to the maturity date of the April 2022 Notes due 2030), February 15, 2032 (three months prior to the maturity date of the April 2022 Notes due 2032) and November 15, 2051 (six months prior to the maturity date of the April 2022 Notes due 2052), respectively, in the case of the April 2022 Notes due 2028, 2030, 2032 and 2052, we may redeem the April 2022 Notes at our option, in whole or in part, at any time and from time to time, at a price equal to 100% of the principal amount thereof plus a “make-whole” premium. On or after January 15, 2028, December 15, 2029, February 15, 2032 and November 15, 2051, respectively, we may redeem the April 2022 Notes due 2028, 2030, 2032 and 2052 at a redemption price equal to 100% of the principal amount of such Notes to be redeemed, plus accrued and unpaid interest thereon to the redemption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2019 Notes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26, 2019, the VICI Issuers issued (i) $1,250.0 million in aggregate principal amount of 4.250% Senior Notes due 2026, which mature on December 1, 2026, and (ii) $1,000.0 million in aggregate principal amount of 4.625% Senior Notes due 2029, which mature on December 1, 2029 (collectively, the “November 2019 Notes”), under separate indentures, each dated as of November 26, 2019, among the VICI Issuers, the subsidiary guarantors party thereto and the Trustee.</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November 2019 Notes due 2026 and 2029 are redeemable at our option, in whole or in part, at any time on or after December 1, 2022 and December 1, 2024, respectively, at the redemption prices set forth in the respective indenture. We may redeem some or all of the November 2019 Notes due 2026 or 2029 prior to such respective dates at a price equal to 100% of the principal amount thereof plus a “make-whole” premium. Prior to December 1, 2022, we may redeem up to 40% of the aggregate principal amount of the November 2019 Notes due 2026 or 2029 using the proceeds of certain equity offerings at the redemption price set forth in the respective indenture.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2020 Notes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5, 2020, the VICI Issuers issued (i) $750.0 million in aggregate principal amount of 3.500% Senior Notes due 2025, which mature on February 15, 2025, (ii) $750.0 million in aggregate principal amount of 3.750% Senior Notes due 2027, which mature on February 15, 2027, and (iii) $1,000.0 million in aggregate principal amount of 4.125% Senior Notes due 2030, which mature on August 15, 2030 (collectively, the “February 2020 Notes”), under separate indentures, each dated as of February 5, 2020, among the VICI Issuers, the subsidiary guarantors party thereto and the Trustee.</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February 2020 Notes due 2025, 2027 and 2030 are redeemable at our option, in whole or in part, at any time on or after February 15, 2022, February 15, 2023, and February 15, 2025, respectively, at the redemption prices set forth in the respective indenture. We may redeem some or all of the February 2020 Notes due 2025, 2027 and 2030 prior to such respective dates at a price equal to 100% of the principal amount thereof plus a “make-whole” premium. Prior to February 15, 2022, with respect to the February 2020 Notes due 2025, and February 15, 2023, with respect to the February 2020 Notes due 2027 and 2030, we may redeem up to 40% of the aggregate principal amount of the February 2020 Notes due 2025, 2027 and 2030 using the proceeds of certain equity offerings at the redemption price set forth in the respective indenture.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 and Financial 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None of the Senior Unsecured Notes are guaranteed by any subsidiaries of VICI LP. The Exchange Notes, the MGP OP Notes and the April 2022 Notes benefit from a pledge of the limited partnership interests of VICI LP directly owned by VICI OP (the “Limited Equity Pledge”). The Limited Equity Pledge has also been granted in favor of (i) the administrative agent and the lenders under the Credit Agreement and (ii) the trustee under the indentures governing, and the holders of, the November 2019 Notes and the February 2020 Notes.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Until February 8, 2022, the November 2019 Notes and February 2020 Notes were fully and unconditionally guaranteed, jointly and severally, on a senior unsecured basis by each guaranteed indebtedness under the Existing Credit Agreement. All subsidiary guarantees were released upon the termination of the Existing Credit Agreement concurrently with the execution of the Credit Agreement on February 8, 2022.</w:t>
      </w:r>
    </w:p>
    <w:p>
      <w:pPr>
        <w:spacing w:after="0" w:line="130"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VICI LP and its subsidiaries represent our “Real Property Business” segment, with the “Golf Course Business” segment corresponding to the portion of our business operated through entities that are not direct or indirect subsidiaries of VICI LP or obligors of the November 2019 Notes, February 2020 Notes and Exchange Notes. Refer to </w:t>
      </w:r>
      <w:hyperlink w:anchor="page51">
        <w:r>
          <w:rPr>
            <w:rFonts w:ascii="Arial" w:cs="Arial" w:eastAsia="Arial" w:hAnsi="Arial"/>
            <w:sz w:val="18"/>
            <w:szCs w:val="18"/>
            <w:u w:val="single" w:color="auto"/>
            <w:color w:val="0000FF"/>
          </w:rPr>
          <w:t>Note 14 - Segment Information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about our segments.</w:t>
      </w:r>
    </w:p>
    <w:p>
      <w:pPr>
        <w:spacing w:after="0" w:line="13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Pursuant to the terms of the respective indentures, in the event that the November 2019 Notes, February 2020 Notes and Exchange Notes (i) are rated investment grade by at least two of S&amp;P, Moody’s and Fitch and (ii) no default or event of default has occurred and is continuing under the respective indentures, VICI LP and its restricted subsidiaries will no longer be subject to certain of the restrictive covenants under such indentures. On April 18, 2022, the November 2019 Notes, February 2020 Notes and Exchange Notes were rated investment grade by each of S&amp;P and Fitch and VICI LP notified the Trustee of such Suspension Date (as defined in the indentures). Accordingly, VICI LP and its restricted subsidiaries are no longer subject to certain of the restrictive covenants under such indentures, but are subject to a maintenance covenant requiring VICI LP and its restricted subsidiaries to maintain a certain total unencumbered assets to unsecured debt ratio. In the event that the November 2019 Notes, February 2020 Notes and Exchange Notes are no longer rated investment grade by at least two of S&amp;P, Moody’s and Fitch, then VICI LP and its restricted subsidiaries will again be subject to all of the covenants of the respective indentures, as applicable, but will no longer be subject to the maintenance covenant.</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indenture governing the April 2022 Notes contains certain covenants that limit the ability of VICI LP and its subsidiaries to incur secured and unsecured indebtedness and VICI LP to consummate a merger, consolidation or sale of all or substantially all of its assets. In addition, VICI LP is required to maintain total unencumbered assets of at least 150% of total unsecured indebtedness. These covenants are subject to a number of important exceptions and qualifications.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Credit Facilities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February 8, 2022, VICI LP entered into the Credit Agreement providing for (i) the Revolving Credit Facility in the amount of $2.5 billion scheduled to mature on March 31, 2026 and (ii) the Delayed Draw Term Loan in the amount of $1.0 billion scheduled to mature on March 31, 2025. The Revolving Credit Facility includes two six-month maturity extension options and the Delayed Draw Term Loan includes two twelve-month extension options, in each case, the exercise of which is subject to customary conditions and the payment of an extension fee of 0.0625% on the extended commitments, in the case of each six-month extension of the Revolving Credit Facility, and 0.125% on the extended term loans, in the case of each twelve-month extension of the Delayed Draw Term Loan. The Credit Facilities include the option to increase the revolving loan commitments by up to $1.0 billion and increase the delayed draw term loan commitments or add one or more new tranches of term loans by up to $1.0 billion in the aggregate, in each case, to the extent that any one or more lenders (from the syndicate or otherwise) agree to provide such additional credit extensions. On July 15, 2022, the Credit Agreement was amended pursuant to a First Amendment among VICI LP and the lenders party to the Credit Agreement, in order to permit borrowings under the Revolving Credit Facility in certain foreign currencies in an aggregate principal amount of up to the equivalent of $1.25 billion.</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Borrowings under the Credit Facilities will bear interest, at VICI LP’s option, (i) with respect to the Revolving Credit Facility, at a rate based on SOFR (including a credit spread adjustment) plus a margin ranging from 0.775% to 1.325% or a base rate plus a margin ranging from 0.00% to 0.325%, in each case, with the actual margin determined according to VICI LP’s debt ratings, and (ii) with respect to the Delayed Draw Term Loan, at a rate based on SOFR (including a credit spread adjustment) plus a margin ranging from 0.85% to 1.60% or a base rate plus a margin ranging from 0.00% to 0.60%, in each case, with the actual margin determined according to VICI LP’s debt ratings. The base rate is the highest of (i) the prime rate of interest last quoted by the Wall Street Journal in the U.S. then in effect, (ii) the NYFRB rate from time to time plus 0.5% and (iii) the SOFR rate for a one-month interest period plus 1.0%, subject in each case to a floor of 1.0%. In addition, the Revolving Credit Facility requires the payment of a facility fee ranging from 0.15% to 0.375% (depending on VICI LP’s debt rating) of total revolving commitments.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the terms of the Credit Agreement, VICI LP is subject to, among other things, customary covenants and the maintenance of various financial covenants. The Credit Agreement is consistent with certain tax-related requirements related to security for the Company’s debt.</w:t>
      </w:r>
    </w:p>
    <w:p>
      <w:pPr>
        <w:spacing w:after="0" w:line="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February 18, 2022, we drew on the Revolving Credit Facility in the amount of $600.0 million to fund a portion of the purchase price of the Venetian Acquisition. On April 29, 2022, we repaid the outstanding balance of the Revolving Credit Facility using the proceeds from the April 2022 Notes offering.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71" w:lineRule="exact"/>
        <w:rPr>
          <w:sz w:val="20"/>
          <w:szCs w:val="20"/>
          <w:color w:val="auto"/>
        </w:rPr>
      </w:pPr>
    </w:p>
    <w:p>
      <w:pPr>
        <w:jc w:val="both"/>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In December 2017, VICI PropCo entered into a credit agreement (as amended, amended and restated and otherwise modified, the “2017 Credit Agreement”), comprised of a $2.2 billion Term Loan B Facility and a $1.0 billion Secured Revolving Credit Facility (the Term Loan B Facility and the Secured Revolving Credit Facility, as amended, are referred to together as the “Senior Secured Credit Facilities”). On September 15, 2021, we used the proceeds from the settlement of the June 2020 Forward Sale Agreement (as defined in </w:t>
      </w:r>
      <w:hyperlink w:anchor="page46">
        <w:r>
          <w:rPr>
            <w:rFonts w:ascii="Arial" w:cs="Arial" w:eastAsia="Arial" w:hAnsi="Arial"/>
            <w:sz w:val="17"/>
            <w:szCs w:val="17"/>
            <w:u w:val="single" w:color="auto"/>
            <w:color w:val="0000FF"/>
          </w:rPr>
          <w:t>Note 11- Stockholders’ Equity</w:t>
        </w:r>
      </w:hyperlink>
      <w:r>
        <w:rPr>
          <w:rFonts w:ascii="Arial" w:cs="Arial" w:eastAsia="Arial" w:hAnsi="Arial"/>
          <w:sz w:val="17"/>
          <w:szCs w:val="17"/>
          <w:color w:val="auto"/>
        </w:rPr>
        <w:t>) and the proceeds from the issuance of 65,000,000 shares of common stock from the September 2021 equity offering to repay in full the Term Loan B Facility, including outstanding accrued interest. In connection with the full repayment, we recognized a loss on extinguishment of debt of $15.6 million during the year ended December 31, 2021, representing the write-off of the remaining unamortized deferred financing costs.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repayment in full of the Term Loan B Facility, the Secured Revolving Credit Facility remained in effect pursuant to the 2017 Credit Agreement. On February 8, 2022, we terminated the Secured Revolving Credit Facility (including the first priority lien on substantially all of VICI PropCo’s material assets and those of its existing and subsequently acquired wholly owned material domestic restricted subsidiaries) and the 2017 Credit Agreement, and entered into the Credit Agreement providing for the Credit Facilities, as described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MGP Transactions Bridge Facility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4, 2021, in connection with the completion of the MGP Transactions, VICI PropCo entered into a Commitment Letter (the “MGP Transactions Commitment Letter”) with Morgan Stanley Senior Funding, Inc., JPMorgan Chase Bank, N.A.</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and Citigroup Global Markets Inc. (collectively, the “MGP Transactions Bridge Lender”), pursuant to which, and subject to the terms and conditions set forth therein, the MGP Transactions Bridge Lender provided commitments in an amount up to $9.3 billion in the aggregate, consisting of a 364-day first lien secured bridge facility (the “MGP Transactions Bridge Facility”), for the purpose of providing a portion of the financing necessary to fund (i) the consideration to be paid in connection with the Redemption pursuant to the terms of the MGP Master Transaction Agreement, (ii) amounts to be paid in connection with offers to repurchase the MGP OP Notes pursuant to their respective indentures if the assumption of such notes by VICI LP in the Mergers is unsuccessful and (iii) related fees and expenses. On September 23, 2021, following the successful early tender results and participation of the Exchange Offers and Consent Solicitations, the execution of the MGP OP Supplemental Indentures and the elimination of the change of control covenants in connection therewith, $4,242.0 million in committed financing (representing the second tranche of the MGP Transactions Bridge Facility) was terminated in accordance with the terms of the MGP Transactions Commitment Letter. On April 29, 2022, the remaining commitments under the MGP Transactions Bridge Facility were fully terminated in connection with the closing of the MGP Transactions.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MGP Transactions Bridge Facility was subject to a tiered commitment fee based on the period the commitment is outstanding and a structuring fee. For the three and six months ended June 30, 2022, we recognized $3.8 million and $15.3 million, respectively, of fees related to the MGP Transactions Bridge Facility in Interest expense on our Statement of Operations. We did not recognize any such amount for the three and six months ended June 30, 2021 since the MGP Transactions Bridge Facility was entered into on August 4,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Venetian Acquisition Bridge Facility</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2, 2021, in connection with the Venetian Acquisition, VICI PropCo entered into a Commitment Letter (the “Venetian Acquisition Commitment Letter”) with Deutsche Bank Securities Inc. and Deutsche Bank AG Cayman Islands Branch, and Morgan Stanley Senior Funding, Inc. (collectively, the “Venetian Acquisition Bridge Lender”), pursuant to which, and subject to the terms and conditions set forth therein, the Venetian Acquisition Bridge Lender has provided commitments in an amount up to $4.0 billion in the aggregate, consisting of a 364-day first lien secured bridge facility (the “Venetian Acquisition Bridge Facility”), for the purpose of providing a portion of the financing necessary to fund the consideration in connection with the Venetian PropCo Acquisition. On March 8, 2021, following the entry into the March 2021 Forward Sale Agreements, the commitments under the Venetian Acquisition Bridge Facility were reduced by $1,890.0 million. On December 13, 2021, the commitments under Venetian Bridge Acquisition Facility were reduced by an additional $1,410.0 million. On February 23, 2022, the remaining commitments under the Venetian Acquisition Bridge Facility were fully terminated in connection with the closing of the Venetian Acquisition.</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Venetian Acquisition Bridge Facility was subject to a tiered commitment fee based on the period the commitment is outstanding and a structuring fee. For the six months ended June 30, 2022 and 2021, we recognized $1.0 million and $7.9 million, respectively, of fees related to the Venetian Acquisition Bridge Facility in Interest expense on our Statement of Operations. For the three months ended June 30, 2021, we recognized $7.9 million of fees related to the Venetian Acquisition Bridge Facility in Interest expense on our Statement of Operations. As the Venetian Acquisition Bridge Facility was terminated in February 2022, no such expense was recorded for the three months ended June 30,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above, our debt obligations are subject to certain customary financial and protective covenants that restrict VICI LP, VICI PropCo and its subsidiaries’ ability to incur additional debt, sell certain asset and restrict certain payments, among other things. These covenants are subject to a number of exceptions and qualifications, including the ability to make restricted payments to maintain our REIT status. At June 30, 2022, we are in compliance with all financial covenants under our debt obligations.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Derivatives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our outstanding interest rate derivatives that were designated as cash flow hedges of interest rate risk as of December 31,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there were no derivative instruments outstanding.</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60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4"/>
          </w:tcPr>
          <w:p>
            <w:pPr>
              <w:ind w:left="320"/>
              <w:spacing w:after="0"/>
              <w:rPr>
                <w:sz w:val="20"/>
                <w:szCs w:val="20"/>
                <w:color w:val="auto"/>
              </w:rPr>
            </w:pPr>
            <w:r>
              <w:rPr>
                <w:rFonts w:ascii="Arial" w:cs="Arial" w:eastAsia="Arial" w:hAnsi="Arial"/>
                <w:sz w:val="16"/>
                <w:szCs w:val="16"/>
                <w:b w:val="1"/>
                <w:bCs w:val="1"/>
                <w:color w:val="auto"/>
              </w:rPr>
              <w:t>December 31, 2021</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Instrument</w:t>
            </w:r>
          </w:p>
        </w:tc>
        <w:tc>
          <w:tcPr>
            <w:tcW w:w="100" w:type="dxa"/>
            <w:vAlign w:val="bottom"/>
            <w:vMerge w:val="restart"/>
          </w:tcPr>
          <w:p>
            <w:pPr>
              <w:spacing w:after="0"/>
              <w:rPr>
                <w:sz w:val="13"/>
                <w:szCs w:val="13"/>
                <w:color w:val="auto"/>
              </w:rPr>
            </w:pPr>
          </w:p>
        </w:tc>
        <w:tc>
          <w:tcPr>
            <w:tcW w:w="150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92"/>
              </w:rPr>
              <w:t>Number of</w:t>
            </w:r>
          </w:p>
        </w:tc>
        <w:tc>
          <w:tcPr>
            <w:tcW w:w="102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Fixed Rate</w:t>
            </w:r>
          </w:p>
        </w:tc>
        <w:tc>
          <w:tcPr>
            <w:tcW w:w="10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1040" w:type="dxa"/>
            <w:vAlign w:val="bottom"/>
            <w:vMerge w:val="restart"/>
          </w:tcPr>
          <w:p>
            <w:pPr>
              <w:jc w:val="right"/>
              <w:ind w:right="256"/>
              <w:spacing w:after="0"/>
              <w:rPr>
                <w:sz w:val="20"/>
                <w:szCs w:val="20"/>
                <w:color w:val="auto"/>
              </w:rPr>
            </w:pPr>
            <w:r>
              <w:rPr>
                <w:rFonts w:ascii="Arial" w:cs="Arial" w:eastAsia="Arial" w:hAnsi="Arial"/>
                <w:sz w:val="16"/>
                <w:szCs w:val="16"/>
                <w:b w:val="1"/>
                <w:bCs w:val="1"/>
                <w:color w:val="auto"/>
              </w:rPr>
              <w:t>Notional</w:t>
            </w:r>
          </w:p>
        </w:tc>
        <w:tc>
          <w:tcPr>
            <w:tcW w:w="100" w:type="dxa"/>
            <w:vAlign w:val="bottom"/>
            <w:vMerge w:val="restart"/>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Index</w:t>
            </w:r>
          </w:p>
        </w:tc>
        <w:tc>
          <w:tcPr>
            <w:tcW w:w="120" w:type="dxa"/>
            <w:vAlign w:val="bottom"/>
            <w:vMerge w:val="restart"/>
          </w:tcPr>
          <w:p>
            <w:pPr>
              <w:spacing w:after="0"/>
              <w:rPr>
                <w:sz w:val="13"/>
                <w:szCs w:val="13"/>
                <w:color w:val="auto"/>
              </w:rPr>
            </w:pPr>
          </w:p>
        </w:tc>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Instruments</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6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Forward-starting interest rate swap</w:t>
            </w: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4"/>
                <w:szCs w:val="14"/>
                <w:color w:val="auto"/>
              </w:rPr>
            </w:pPr>
          </w:p>
        </w:tc>
        <w:tc>
          <w:tcPr>
            <w:tcW w:w="13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1.3465%    $</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0"/>
              </w:rPr>
              <w:t>USD SOFR-</w:t>
            </w:r>
          </w:p>
        </w:tc>
        <w:tc>
          <w:tcPr>
            <w:tcW w:w="120" w:type="dxa"/>
            <w:vAlign w:val="bottom"/>
            <w:shd w:val="clear" w:color="auto" w:fill="CCEEFF"/>
          </w:tcPr>
          <w:p>
            <w:pPr>
              <w:spacing w:after="0"/>
              <w:rPr>
                <w:sz w:val="14"/>
                <w:szCs w:val="14"/>
                <w:color w:val="auto"/>
              </w:rPr>
            </w:pPr>
          </w:p>
        </w:tc>
        <w:tc>
          <w:tcPr>
            <w:tcW w:w="2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May 2, 2032</w:t>
            </w:r>
          </w:p>
        </w:tc>
        <w:tc>
          <w:tcPr>
            <w:tcW w:w="0" w:type="dxa"/>
            <w:vAlign w:val="bottom"/>
          </w:tcPr>
          <w:p>
            <w:pPr>
              <w:spacing w:after="0"/>
              <w:rPr>
                <w:sz w:val="1"/>
                <w:szCs w:val="1"/>
                <w:color w:val="auto"/>
              </w:rPr>
            </w:pPr>
          </w:p>
        </w:tc>
      </w:tr>
      <w:tr>
        <w:trPr>
          <w:trHeight w:val="229"/>
        </w:trPr>
        <w:tc>
          <w:tcPr>
            <w:tcW w:w="3600" w:type="dxa"/>
            <w:vAlign w:val="bottom"/>
            <w:gridSpan w:val="3"/>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3"/>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COMPOUND</w:t>
            </w:r>
          </w:p>
        </w:tc>
        <w:tc>
          <w:tcPr>
            <w:tcW w:w="2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Forward-Starting Derivatives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December 2021 through April 2022, we entered into five forward-starting interest rate swap agreements with an aggregate notional amount of $2.5 billion and two U.S. Treasury Rate Lock agreements with an aggregate notional amount of $500.0 million to hedge against changes in future cash flows resulting from changes in interest rates from the trade date through the forecasted issuance date of $3.0 billion of long-term debt. The forward-starting interest rate swaps and treasury locks were designated as cash-flow hedges. In April 2022 in connection with the April 2022 Notes offering, we settled the outstanding forward-starting interest rate swaps for total net proceeds of $202.3 million and the treasury locks for total net proceeds of $4.5 million. Since the forward-starting swaps and treasury locks were hedging the interest rate risk on the April 2022 Notes, the unrealized gain in Accumulated other comprehensive income will be amortized over the term of the respective derivative instruments, which matches that of the underlying note, as a reduction in interest expense.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of our forward-starting derivative financial instruments on our Statement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w w:val="94"/>
              </w:rPr>
              <w:t>Three Months Ended June 30,</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6"/>
                <w:szCs w:val="16"/>
                <w:b w:val="1"/>
                <w:bCs w:val="1"/>
                <w:color w:val="auto"/>
                <w:w w:val="99"/>
              </w:rPr>
              <w:t>Six Months Ended June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4"/>
                <w:szCs w:val="14"/>
                <w:color w:val="auto"/>
              </w:rPr>
            </w:pPr>
          </w:p>
        </w:tc>
        <w:tc>
          <w:tcPr>
            <w:tcW w:w="1140" w:type="dxa"/>
            <w:vAlign w:val="bottom"/>
          </w:tcPr>
          <w:p>
            <w:pPr>
              <w:jc w:val="right"/>
              <w:ind w:right="455"/>
              <w:spacing w:after="0" w:line="17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4"/>
                <w:szCs w:val="14"/>
                <w:color w:val="auto"/>
              </w:rPr>
            </w:pPr>
          </w:p>
        </w:tc>
        <w:tc>
          <w:tcPr>
            <w:tcW w:w="1080" w:type="dxa"/>
            <w:vAlign w:val="bottom"/>
          </w:tcPr>
          <w:p>
            <w:pPr>
              <w:jc w:val="right"/>
              <w:ind w:right="135"/>
              <w:spacing w:after="0" w:line="172" w:lineRule="exact"/>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455"/>
              <w:spacing w:after="0" w:line="17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453"/>
              <w:spacing w:after="0" w:line="172"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 recorded in other comprehensive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91,939</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60" w:type="dxa"/>
            <w:vAlign w:val="bottom"/>
            <w:gridSpan w:val="2"/>
          </w:tcPr>
          <w:p>
            <w:pPr>
              <w:spacing w:after="0" w:line="176" w:lineRule="exact"/>
              <w:rPr>
                <w:sz w:val="20"/>
                <w:szCs w:val="20"/>
                <w:color w:val="auto"/>
              </w:rPr>
            </w:pPr>
            <w:r>
              <w:rPr>
                <w:rFonts w:ascii="Arial" w:cs="Arial" w:eastAsia="Arial" w:hAnsi="Arial"/>
                <w:sz w:val="18"/>
                <w:szCs w:val="18"/>
                <w:color w:val="auto"/>
                <w:w w:val="93"/>
              </w:rPr>
              <w:t>Reduction in interest expense related to the amortization of the forward-</w:t>
            </w:r>
          </w:p>
        </w:tc>
        <w:tc>
          <w:tcPr>
            <w:tcW w:w="260" w:type="dxa"/>
            <w:vAlign w:val="bottom"/>
          </w:tcPr>
          <w:p>
            <w:pPr>
              <w:spacing w:after="0"/>
              <w:rPr>
                <w:sz w:val="15"/>
                <w:szCs w:val="15"/>
                <w:color w:val="auto"/>
              </w:rPr>
            </w:pPr>
          </w:p>
        </w:tc>
        <w:tc>
          <w:tcPr>
            <w:tcW w:w="1140" w:type="dxa"/>
            <w:vAlign w:val="bottom"/>
            <w:vMerge w:val="restart"/>
          </w:tcPr>
          <w:p>
            <w:pPr>
              <w:ind w:left="580"/>
              <w:spacing w:after="0"/>
              <w:rPr>
                <w:sz w:val="20"/>
                <w:szCs w:val="20"/>
                <w:color w:val="auto"/>
              </w:rPr>
            </w:pPr>
            <w:r>
              <w:rPr>
                <w:rFonts w:ascii="Arial" w:cs="Arial" w:eastAsia="Arial" w:hAnsi="Arial"/>
                <w:sz w:val="18"/>
                <w:szCs w:val="18"/>
                <w:color w:val="auto"/>
                <w:w w:val="94"/>
              </w:rPr>
              <w:t>(4,159)</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(4,159)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vMerge w:val="restart"/>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starting interest rate swaps and treasury locks</w:t>
            </w:r>
          </w:p>
        </w:tc>
        <w:tc>
          <w:tcPr>
            <w:tcW w:w="2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2018 and January 2019, we entered into six interest rate swap agreements with third party financial institutions having an aggregate notional amount of $2.0 billion. The interest rate swap transactions were designated as cash flow hedges that effectively fix the LIBOR component of the interest rate on a portion of the outstanding debt under the Term Loan B Facility at 2.8297%. On September 15, 2021, in connection with the full repayment of the Term Loan B Facility, we unwound and settled all of our outstanding interest rate swap agreements resulting in a cash payment of $66.9 million, inclusive of accrued interest of $2.7 million. As the Term Loan B Facility was repaid in full with proceeds from the issuance of 65,000,000 shares of common stock on September 14, 2021 and proceeds from the settlement of the June 2020 Forward Sale Agreement with no replacement debt, the full amount held in Other comprehensive income, $64.2 million, was immediately reclassified to Interest expense.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of our interest rate swaps derivative financial instruments on our Statement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80" w:type="dxa"/>
            <w:vAlign w:val="bottom"/>
            <w:gridSpan w:val="4"/>
          </w:tcPr>
          <w:p>
            <w:pPr>
              <w:jc w:val="right"/>
              <w:ind w:right="413"/>
              <w:spacing w:after="0"/>
              <w:rPr>
                <w:sz w:val="20"/>
                <w:szCs w:val="20"/>
                <w:color w:val="auto"/>
              </w:rPr>
            </w:pPr>
            <w:r>
              <w:rPr>
                <w:rFonts w:ascii="Arial" w:cs="Arial" w:eastAsia="Arial" w:hAnsi="Arial"/>
                <w:sz w:val="16"/>
                <w:szCs w:val="16"/>
                <w:b w:val="1"/>
                <w:bCs w:val="1"/>
                <w:color w:val="auto"/>
                <w:w w:val="99"/>
              </w:rPr>
              <w:t>Six Months Ended June 30,</w:t>
            </w:r>
          </w:p>
        </w:tc>
      </w:tr>
      <w:tr>
        <w:trPr>
          <w:trHeight w:val="172"/>
        </w:trPr>
        <w:tc>
          <w:tcPr>
            <w:tcW w:w="20" w:type="dxa"/>
            <w:vAlign w:val="bottom"/>
          </w:tcPr>
          <w:p>
            <w:pPr>
              <w:spacing w:after="0"/>
              <w:rPr>
                <w:sz w:val="14"/>
                <w:szCs w:val="14"/>
                <w:color w:val="auto"/>
              </w:rPr>
            </w:pPr>
          </w:p>
        </w:tc>
        <w:tc>
          <w:tcPr>
            <w:tcW w:w="5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55"/>
              <w:spacing w:after="0" w:line="172"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3"/>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5"/>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3"/>
              <w:spacing w:after="0" w:line="172"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 recorded in other comprehensive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21,706</w:t>
            </w:r>
          </w:p>
        </w:tc>
      </w:tr>
      <w:tr>
        <w:trPr>
          <w:trHeight w:val="230"/>
        </w:trPr>
        <w:tc>
          <w:tcPr>
            <w:tcW w:w="2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Interest from interest rate swaps recorded in interest expense</w:t>
            </w:r>
          </w:p>
        </w:tc>
        <w:tc>
          <w:tcPr>
            <w:tcW w:w="260" w:type="dxa"/>
            <w:vAlign w:val="bottom"/>
          </w:tcPr>
          <w:p>
            <w:pPr>
              <w:spacing w:after="0"/>
              <w:rPr>
                <w:sz w:val="20"/>
                <w:szCs w:val="20"/>
                <w:color w:val="auto"/>
              </w:rPr>
            </w:pPr>
          </w:p>
        </w:tc>
        <w:tc>
          <w:tcPr>
            <w:tcW w:w="154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21,168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Fair Value</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assets and liabilities measured at fair value on a recurring basis as of December 31, 2021. As of June 30, 2022, there were no assets and liabilities measured at fair value on a recurring basis.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6"/>
                <w:szCs w:val="16"/>
                <w:b w:val="1"/>
                <w:bCs w:val="1"/>
                <w:color w:val="auto"/>
                <w:w w:val="91"/>
              </w:rPr>
              <w:t>December 31, 2021</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360"/>
              <w:spacing w:after="0" w:line="172" w:lineRule="exact"/>
              <w:rPr>
                <w:sz w:val="20"/>
                <w:szCs w:val="20"/>
                <w:color w:val="auto"/>
              </w:rPr>
            </w:pPr>
            <w:r>
              <w:rPr>
                <w:rFonts w:ascii="Arial" w:cs="Arial" w:eastAsia="Arial" w:hAnsi="Arial"/>
                <w:sz w:val="16"/>
                <w:szCs w:val="16"/>
                <w:b w:val="1"/>
                <w:bCs w:val="1"/>
                <w:color w:val="auto"/>
                <w:w w:val="94"/>
              </w:rPr>
              <w:t>Fair Value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Carrying Amount</w:t>
            </w:r>
          </w:p>
        </w:tc>
        <w:tc>
          <w:tcPr>
            <w:tcW w:w="300" w:type="dxa"/>
            <w:vAlign w:val="bottom"/>
          </w:tcPr>
          <w:p>
            <w:pPr>
              <w:spacing w:after="0"/>
              <w:rPr>
                <w:sz w:val="19"/>
                <w:szCs w:val="19"/>
                <w:color w:val="auto"/>
              </w:rPr>
            </w:pPr>
          </w:p>
        </w:tc>
        <w:tc>
          <w:tcPr>
            <w:tcW w:w="1640" w:type="dxa"/>
            <w:vAlign w:val="bottom"/>
            <w:gridSpan w:val="3"/>
          </w:tcPr>
          <w:p>
            <w:pPr>
              <w:ind w:left="200"/>
              <w:spacing w:after="0"/>
              <w:rPr>
                <w:sz w:val="20"/>
                <w:szCs w:val="20"/>
                <w:color w:val="auto"/>
              </w:rPr>
            </w:pPr>
            <w:r>
              <w:rPr>
                <w:rFonts w:ascii="Arial" w:cs="Arial" w:eastAsia="Arial" w:hAnsi="Arial"/>
                <w:sz w:val="18"/>
                <w:szCs w:val="18"/>
                <w:b w:val="1"/>
                <w:bCs w:val="1"/>
                <w:color w:val="auto"/>
              </w:rPr>
              <w:t>Level 1</w:t>
            </w: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260" w:type="dxa"/>
            <w:vAlign w:val="bottom"/>
          </w:tcPr>
          <w:p>
            <w:pPr>
              <w:ind w:left="2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80" w:type="dxa"/>
            <w:vAlign w:val="bottom"/>
            <w:gridSpan w:val="2"/>
          </w:tcPr>
          <w:p>
            <w:pPr>
              <w:ind w:left="280"/>
              <w:spacing w:after="0" w:line="176" w:lineRule="exact"/>
              <w:rPr>
                <w:sz w:val="20"/>
                <w:szCs w:val="20"/>
                <w:color w:val="auto"/>
              </w:rPr>
            </w:pPr>
            <w:r>
              <w:rPr>
                <w:rFonts w:ascii="Arial" w:cs="Arial" w:eastAsia="Arial" w:hAnsi="Arial"/>
                <w:sz w:val="18"/>
                <w:szCs w:val="18"/>
                <w:color w:val="auto"/>
                <w:w w:val="97"/>
              </w:rPr>
              <w:t>Derivative instruments - forward-starting interest rate</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884</w:t>
            </w:r>
          </w:p>
        </w:tc>
        <w:tc>
          <w:tcPr>
            <w:tcW w:w="14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gridSpan w:val="3"/>
            <w:vMerge w:val="restart"/>
          </w:tcPr>
          <w:p>
            <w:pPr>
              <w:jc w:val="center"/>
              <w:ind w:left="753"/>
              <w:spacing w:after="0"/>
              <w:rPr>
                <w:sz w:val="20"/>
                <w:szCs w:val="20"/>
                <w:color w:val="auto"/>
              </w:rPr>
            </w:pPr>
            <w:r>
              <w:rPr>
                <w:rFonts w:ascii="Arial" w:cs="Arial" w:eastAsia="Arial" w:hAnsi="Arial"/>
                <w:sz w:val="18"/>
                <w:szCs w:val="18"/>
                <w:color w:val="auto"/>
              </w:rPr>
              <w:t>—   $</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884</w:t>
            </w:r>
          </w:p>
        </w:tc>
        <w:tc>
          <w:tcPr>
            <w:tcW w:w="14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 xml:space="preserve">swap </w:t>
            </w:r>
            <w:r>
              <w:rPr>
                <w:rFonts w:ascii="Arial" w:cs="Arial" w:eastAsia="Arial" w:hAnsi="Arial"/>
                <w:sz w:val="23"/>
                <w:szCs w:val="23"/>
                <w:i w:val="1"/>
                <w:iCs w:val="1"/>
                <w:color w:val="auto"/>
                <w:vertAlign w:val="superscript"/>
              </w:rPr>
              <w:t>(1)</w:t>
            </w:r>
          </w:p>
        </w:tc>
        <w:tc>
          <w:tcPr>
            <w:tcW w:w="180" w:type="dxa"/>
            <w:vAlign w:val="bottom"/>
            <w:vMerge w:val="continue"/>
          </w:tcPr>
          <w:p>
            <w:pPr>
              <w:spacing w:after="0"/>
              <w:rPr>
                <w:sz w:val="24"/>
                <w:szCs w:val="24"/>
                <w:color w:val="auto"/>
              </w:rPr>
            </w:pPr>
          </w:p>
        </w:tc>
        <w:tc>
          <w:tcPr>
            <w:tcW w:w="1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1640" w:type="dxa"/>
            <w:vAlign w:val="bottom"/>
            <w:gridSpan w:val="3"/>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55" w:lineRule="exact"/>
        <w:rPr>
          <w:sz w:val="20"/>
          <w:szCs w:val="20"/>
          <w:color w:val="auto"/>
        </w:rPr>
      </w:pPr>
    </w:p>
    <w:p>
      <w:pPr>
        <w:ind w:right="240" w:firstLine="8"/>
        <w:spacing w:after="0" w:line="273" w:lineRule="auto"/>
        <w:tabs>
          <w:tab w:leader="none" w:pos="204"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estimated fair values of our financial instruments as of June 30, 2022 and December 31, 2021 for which fair value is only disclosed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gridSpan w:val="5"/>
          </w:tcPr>
          <w:p>
            <w:pPr>
              <w:ind w:left="640"/>
              <w:spacing w:after="0"/>
              <w:rPr>
                <w:sz w:val="20"/>
                <w:szCs w:val="20"/>
                <w:color w:val="auto"/>
              </w:rPr>
            </w:pPr>
            <w:r>
              <w:rPr>
                <w:rFonts w:ascii="Arial" w:cs="Arial" w:eastAsia="Arial" w:hAnsi="Arial"/>
                <w:sz w:val="16"/>
                <w:szCs w:val="16"/>
                <w:b w:val="1"/>
                <w:bCs w:val="1"/>
                <w:color w:val="auto"/>
              </w:rPr>
              <w:t>June 30, 2022</w:t>
            </w:r>
          </w:p>
        </w:tc>
        <w:tc>
          <w:tcPr>
            <w:tcW w:w="320" w:type="dxa"/>
            <w:vAlign w:val="bottom"/>
          </w:tcPr>
          <w:p>
            <w:pPr>
              <w:spacing w:after="0"/>
              <w:rPr>
                <w:sz w:val="18"/>
                <w:szCs w:val="18"/>
                <w:color w:val="auto"/>
              </w:rPr>
            </w:pPr>
          </w:p>
        </w:tc>
        <w:tc>
          <w:tcPr>
            <w:tcW w:w="246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December 31, 2021</w:t>
            </w:r>
          </w:p>
        </w:tc>
      </w:tr>
      <w:tr>
        <w:trPr>
          <w:trHeight w:val="172"/>
        </w:trPr>
        <w:tc>
          <w:tcPr>
            <w:tcW w:w="20" w:type="dxa"/>
            <w:vAlign w:val="bottom"/>
          </w:tcPr>
          <w:p>
            <w:pPr>
              <w:spacing w:after="0"/>
              <w:rPr>
                <w:sz w:val="14"/>
                <w:szCs w:val="14"/>
                <w:color w:val="auto"/>
              </w:rPr>
            </w:pPr>
          </w:p>
        </w:tc>
        <w:tc>
          <w:tcPr>
            <w:tcW w:w="5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40" w:type="dxa"/>
            <w:vAlign w:val="bottom"/>
            <w:tcBorders>
              <w:top w:val="single" w:sz="8" w:color="auto"/>
            </w:tcBorders>
            <w:gridSpan w:val="3"/>
          </w:tcPr>
          <w:p>
            <w:pPr>
              <w:ind w:left="40"/>
              <w:spacing w:after="0" w:line="172" w:lineRule="exact"/>
              <w:rPr>
                <w:sz w:val="20"/>
                <w:szCs w:val="20"/>
                <w:color w:val="auto"/>
              </w:rPr>
            </w:pPr>
            <w:r>
              <w:rPr>
                <w:rFonts w:ascii="Arial" w:cs="Arial" w:eastAsia="Arial" w:hAnsi="Arial"/>
                <w:sz w:val="16"/>
                <w:szCs w:val="16"/>
                <w:b w:val="1"/>
                <w:bCs w:val="1"/>
                <w:color w:val="auto"/>
              </w:rPr>
              <w:t>Carrying Amount</w:t>
            </w: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31"/>
              <w:spacing w:after="0" w:line="172" w:lineRule="exact"/>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4"/>
                <w:szCs w:val="14"/>
                <w:color w:val="auto"/>
              </w:rPr>
            </w:pPr>
          </w:p>
        </w:tc>
        <w:tc>
          <w:tcPr>
            <w:tcW w:w="1440" w:type="dxa"/>
            <w:vAlign w:val="bottom"/>
            <w:tcBorders>
              <w:top w:val="single" w:sz="8" w:color="auto"/>
            </w:tcBorders>
            <w:gridSpan w:val="3"/>
          </w:tcPr>
          <w:p>
            <w:pPr>
              <w:ind w:left="40"/>
              <w:spacing w:after="0" w:line="172" w:lineRule="exact"/>
              <w:rPr>
                <w:sz w:val="20"/>
                <w:szCs w:val="20"/>
                <w:color w:val="auto"/>
              </w:rPr>
            </w:pPr>
            <w:r>
              <w:rPr>
                <w:rFonts w:ascii="Arial" w:cs="Arial" w:eastAsia="Arial" w:hAnsi="Arial"/>
                <w:sz w:val="16"/>
                <w:szCs w:val="16"/>
                <w:b w:val="1"/>
                <w:bCs w:val="1"/>
                <w:color w:val="auto"/>
              </w:rPr>
              <w:t>Carrying Amount</w:t>
            </w: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11"/>
              <w:spacing w:after="0" w:line="172" w:lineRule="exact"/>
              <w:rPr>
                <w:sz w:val="20"/>
                <w:szCs w:val="20"/>
                <w:color w:val="auto"/>
              </w:rPr>
            </w:pPr>
            <w:r>
              <w:rPr>
                <w:rFonts w:ascii="Arial" w:cs="Arial" w:eastAsia="Arial" w:hAnsi="Arial"/>
                <w:sz w:val="16"/>
                <w:szCs w:val="16"/>
                <w:b w:val="1"/>
                <w:bCs w:val="1"/>
                <w:color w:val="auto"/>
              </w:rPr>
              <w:t>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i w:val="1"/>
                <w:iCs w:val="1"/>
                <w:color w:val="auto"/>
              </w:rPr>
              <w:t>Financial assets: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52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Investments in leases - financing receivables </w:t>
            </w:r>
            <w:r>
              <w:rPr>
                <w:rFonts w:ascii="Arial" w:cs="Arial" w:eastAsia="Arial" w:hAnsi="Arial"/>
                <w:sz w:val="23"/>
                <w:szCs w:val="23"/>
                <w:i w:val="1"/>
                <w:iCs w:val="1"/>
                <w:color w:val="auto"/>
                <w:vertAlign w:val="superscript"/>
              </w:rPr>
              <w:t>(1)</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16,486,522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17,457,867</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2,644,824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3,104,337</w:t>
            </w: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Investments in loans </w:t>
            </w:r>
            <w:r>
              <w:rPr>
                <w:rFonts w:ascii="Arial" w:cs="Arial" w:eastAsia="Arial" w:hAnsi="Arial"/>
                <w:sz w:val="23"/>
                <w:szCs w:val="23"/>
                <w:i w:val="1"/>
                <w:iCs w:val="1"/>
                <w:color w:val="auto"/>
                <w:vertAlign w:val="superscript"/>
              </w:rPr>
              <w:t>(2)</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498,614</w:t>
            </w:r>
          </w:p>
        </w:tc>
      </w:tr>
      <w:tr>
        <w:trPr>
          <w:trHeight w:val="230"/>
        </w:trPr>
        <w:tc>
          <w:tcPr>
            <w:tcW w:w="20" w:type="dxa"/>
            <w:vAlign w:val="bottom"/>
          </w:tcPr>
          <w:p>
            <w:pPr>
              <w:spacing w:after="0"/>
              <w:rPr>
                <w:sz w:val="19"/>
                <w:szCs w:val="19"/>
                <w:color w:val="auto"/>
              </w:rPr>
            </w:pPr>
          </w:p>
        </w:tc>
        <w:tc>
          <w:tcPr>
            <w:tcW w:w="55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614,001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614,001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739,614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739,614</w:t>
            </w: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20" w:type="dxa"/>
            <w:vAlign w:val="bottom"/>
            <w:gridSpan w:val="2"/>
          </w:tcPr>
          <w:p>
            <w:pPr>
              <w:ind w:left="20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Revolving Credit Facility</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520" w:type="dxa"/>
            <w:vAlign w:val="bottom"/>
            <w:gridSpan w:val="2"/>
          </w:tcPr>
          <w:p>
            <w:pPr>
              <w:ind w:left="340"/>
              <w:spacing w:after="0"/>
              <w:rPr>
                <w:sz w:val="20"/>
                <w:szCs w:val="20"/>
                <w:color w:val="auto"/>
              </w:rPr>
            </w:pPr>
            <w:r>
              <w:rPr>
                <w:rFonts w:ascii="Arial" w:cs="Arial" w:eastAsia="Arial" w:hAnsi="Arial"/>
                <w:sz w:val="18"/>
                <w:szCs w:val="18"/>
                <w:color w:val="auto"/>
              </w:rPr>
              <w:t>Delayed Draw Term Loan</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340"/>
              <w:spacing w:after="0" w:line="230" w:lineRule="exact"/>
              <w:rPr>
                <w:sz w:val="20"/>
                <w:szCs w:val="20"/>
                <w:color w:val="auto"/>
              </w:rPr>
            </w:pPr>
            <w:r>
              <w:rPr>
                <w:rFonts w:ascii="Arial" w:cs="Arial" w:eastAsia="Arial" w:hAnsi="Arial"/>
                <w:sz w:val="18"/>
                <w:szCs w:val="18"/>
                <w:color w:val="auto"/>
              </w:rPr>
              <w:t xml:space="preserve">Senior Unsecured Notes </w:t>
            </w:r>
            <w:r>
              <w:rPr>
                <w:rFonts w:ascii="Arial" w:cs="Arial" w:eastAsia="Arial" w:hAnsi="Arial"/>
                <w:sz w:val="23"/>
                <w:szCs w:val="23"/>
                <w:i w:val="1"/>
                <w:iCs w:val="1"/>
                <w:color w:val="auto"/>
                <w:vertAlign w:val="superscript"/>
              </w:rPr>
              <w:t>(3)</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13,721,500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13,031,735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4,694,523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4,955,000</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ind w:left="340" w:hanging="332"/>
        <w:spacing w:after="0" w:line="241" w:lineRule="auto"/>
        <w:tabs>
          <w:tab w:leader="none" w:pos="332"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These investments represent the JACK Cleveland/Thistledown Lease, the Harrah’s Original Call Properties and the MGM Master Lease. The fair value of these assets are based on significant “unobservable” market inputs and, as such, these fair value measurements are considered Level 3 of the fair value hierarchy.</w:t>
      </w:r>
    </w:p>
    <w:p>
      <w:pPr>
        <w:ind w:left="320" w:hanging="312"/>
        <w:spacing w:after="0"/>
        <w:tabs>
          <w:tab w:leader="none" w:pos="32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We believe the current principal balance of these investments approximates their fair value.</w:t>
      </w:r>
    </w:p>
    <w:p>
      <w:pPr>
        <w:spacing w:after="0" w:line="1" w:lineRule="exact"/>
        <w:rPr>
          <w:rFonts w:ascii="Arial" w:cs="Arial" w:eastAsia="Arial" w:hAnsi="Arial"/>
          <w:sz w:val="14"/>
          <w:szCs w:val="14"/>
          <w:i w:val="1"/>
          <w:iCs w:val="1"/>
          <w:color w:val="auto"/>
        </w:rPr>
      </w:pPr>
    </w:p>
    <w:p>
      <w:pPr>
        <w:ind w:left="340" w:hanging="332"/>
        <w:spacing w:after="0" w:line="255" w:lineRule="auto"/>
        <w:tabs>
          <w:tab w:leader="none" w:pos="332"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of our debt instruments was estimated using quoted prices for identical or similar liabilities in markets that are not active and, as such, these fair value measurements are considered Level 2 of the fair value hierarchy.</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June 30, 2022, we are not subject to any litigation that we believe could have, individually or in the aggregate, a material adverse effect on our business, financial condition or results of operations, liquidity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liable under various operating leases for: (i) land at the Cascata golf course, which expires in 2038 and has three 10-year extension options and (ii) certain corporate offices, the most material of which is our corporate headquarters in New York, NY, which expires in 2030 and has one five-year renewal option. The discount rates for the leases were determined based on the yield of our then current secured borrowings, adjusted to match borrowings of similar terms, and are between 5.3% and 5.5%. The weighted average remaining lease term as of June 30, 2022 under our operating leases was 14.0 years.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rental expense, included in golf operations and general and administrative expenses in our Statement of Operations and contractual rent expense under these agreements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6"/>
                <w:szCs w:val="16"/>
                <w:b w:val="1"/>
                <w:bCs w:val="1"/>
                <w:color w:val="auto"/>
                <w:w w:val="99"/>
              </w:rPr>
              <w:t>Six Months Ended June 30,</w:t>
            </w:r>
          </w:p>
        </w:tc>
      </w:tr>
      <w:tr>
        <w:trPr>
          <w:trHeight w:val="172"/>
        </w:trPr>
        <w:tc>
          <w:tcPr>
            <w:tcW w:w="20" w:type="dxa"/>
            <w:vAlign w:val="bottom"/>
          </w:tcPr>
          <w:p>
            <w:pPr>
              <w:spacing w:after="0"/>
              <w:rPr>
                <w:sz w:val="14"/>
                <w:szCs w:val="14"/>
                <w:color w:val="auto"/>
              </w:rPr>
            </w:pPr>
          </w:p>
        </w:tc>
        <w:tc>
          <w:tcPr>
            <w:tcW w:w="5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jc w:val="right"/>
              <w:ind w:right="16"/>
              <w:spacing w:after="0" w:line="172" w:lineRule="exact"/>
              <w:rPr>
                <w:sz w:val="20"/>
                <w:szCs w:val="20"/>
                <w:color w:val="auto"/>
              </w:rPr>
            </w:pPr>
            <w:r>
              <w:rPr>
                <w:rFonts w:ascii="Arial" w:cs="Arial" w:eastAsia="Arial" w:hAnsi="Arial"/>
                <w:sz w:val="16"/>
                <w:szCs w:val="16"/>
                <w:b w:val="1"/>
                <w:bCs w:val="1"/>
                <w:color w:val="auto"/>
              </w:rPr>
              <w:t>2022</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75"/>
              <w:spacing w:after="0" w:line="172" w:lineRule="exact"/>
              <w:rPr>
                <w:sz w:val="20"/>
                <w:szCs w:val="20"/>
                <w:color w:val="auto"/>
              </w:rPr>
            </w:pPr>
            <w:r>
              <w:rPr>
                <w:rFonts w:ascii="Arial" w:cs="Arial" w:eastAsia="Arial" w:hAnsi="Arial"/>
                <w:sz w:val="16"/>
                <w:szCs w:val="16"/>
                <w:b w:val="1"/>
                <w:bCs w:val="1"/>
                <w:color w:val="auto"/>
              </w:rPr>
              <w:t>2021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455"/>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53"/>
              <w:spacing w:after="0" w:line="172" w:lineRule="exact"/>
              <w:rPr>
                <w:sz w:val="20"/>
                <w:szCs w:val="20"/>
                <w:color w:val="auto"/>
              </w:rPr>
            </w:pPr>
            <w:r>
              <w:rPr>
                <w:rFonts w:ascii="Arial" w:cs="Arial" w:eastAsia="Arial" w:hAnsi="Arial"/>
                <w:sz w:val="16"/>
                <w:szCs w:val="16"/>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expense</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r>
      <w:tr>
        <w:trPr>
          <w:trHeight w:val="230"/>
        </w:trPr>
        <w:tc>
          <w:tcPr>
            <w:tcW w:w="2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Contractual rent</w:t>
            </w: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470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940</w:t>
            </w:r>
          </w:p>
        </w:tc>
      </w:tr>
    </w:tbl>
    <w:p>
      <w:pPr>
        <w:spacing w:after="0" w:line="2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2022, we have a 48.2 million right of use asset and corresponding lease liability recorded in Other assets and Other liabilities, respectively, on our Balance Sheet related to our operating lease commitments for which we are the lessee.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lease commitments relating to the base lease rent portion of noncancelable operating leases at June 30, 2022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6"/>
                <w:szCs w:val="16"/>
                <w:color w:val="auto"/>
              </w:rPr>
            </w:pPr>
          </w:p>
        </w:tc>
        <w:tc>
          <w:tcPr>
            <w:tcW w:w="2140" w:type="dxa"/>
            <w:vAlign w:val="bottom"/>
          </w:tcPr>
          <w:p>
            <w:pPr>
              <w:jc w:val="right"/>
              <w:ind w:right="431"/>
              <w:spacing w:after="0"/>
              <w:rPr>
                <w:sz w:val="20"/>
                <w:szCs w:val="20"/>
                <w:color w:val="auto"/>
              </w:rPr>
            </w:pPr>
            <w:r>
              <w:rPr>
                <w:rFonts w:ascii="Arial" w:cs="Arial" w:eastAsia="Arial" w:hAnsi="Arial"/>
                <w:sz w:val="16"/>
                <w:szCs w:val="16"/>
                <w:b w:val="1"/>
                <w:bCs w:val="1"/>
                <w:color w:val="auto"/>
              </w:rPr>
              <w:t>Lease Commitments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1,858</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1,908</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1,979</w:t>
            </w:r>
          </w:p>
        </w:tc>
      </w:tr>
      <w:tr>
        <w:trPr>
          <w:trHeight w:val="229"/>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15,137</w:t>
            </w:r>
          </w:p>
        </w:tc>
      </w:tr>
      <w:tr>
        <w:trPr>
          <w:trHeight w:val="223"/>
        </w:trPr>
        <w:tc>
          <w:tcPr>
            <w:tcW w:w="20" w:type="dxa"/>
            <w:vAlign w:val="bottom"/>
          </w:tcPr>
          <w:p>
            <w:pPr>
              <w:spacing w:after="0"/>
              <w:rPr>
                <w:sz w:val="19"/>
                <w:szCs w:val="19"/>
                <w:color w:val="auto"/>
              </w:rPr>
            </w:pPr>
          </w:p>
        </w:tc>
        <w:tc>
          <w:tcPr>
            <w:tcW w:w="8740" w:type="dxa"/>
            <w:vAlign w:val="bottom"/>
            <w:gridSpan w:val="2"/>
          </w:tcPr>
          <w:p>
            <w:pPr>
              <w:ind w:left="200"/>
              <w:spacing w:after="0"/>
              <w:rPr>
                <w:sz w:val="20"/>
                <w:szCs w:val="20"/>
                <w:color w:val="auto"/>
              </w:rPr>
            </w:pPr>
            <w:r>
              <w:rPr>
                <w:rFonts w:ascii="Arial" w:cs="Arial" w:eastAsia="Arial" w:hAnsi="Arial"/>
                <w:sz w:val="18"/>
                <w:szCs w:val="18"/>
                <w:color w:val="auto"/>
              </w:rPr>
              <w:t>Total minimum lease commitments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Discounting factor</w:t>
            </w: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9,169</w:t>
            </w:r>
          </w:p>
        </w:tc>
      </w:tr>
      <w:tr>
        <w:trPr>
          <w:trHeight w:val="230"/>
        </w:trPr>
        <w:tc>
          <w:tcPr>
            <w:tcW w:w="20" w:type="dxa"/>
            <w:vAlign w:val="bottom"/>
          </w:tcPr>
          <w:p>
            <w:pPr>
              <w:spacing w:after="0"/>
              <w:rPr>
                <w:sz w:val="20"/>
                <w:szCs w:val="20"/>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Lease liability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16,545</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Sub-Lease Commitments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our acquisitions necessitate that we assume, as the lessee, ground and use leases that are integral to the operations of the property, the cost of which is passed to our tenants through the Lease Agreements, which require the tenants to pay all costs associated with such ground and use leases and provide for their direct payment to the landlord.</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determined we are the primary obligor of certain of such ground and use leases and, accordingly, have presented these leases on a gross basis on our Balance Sheet and Statement of Operations. The following is a summary of the leases, the lease classification of which has been determined to be either an operating sub-lease or finance sub-lease.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Sub-Lease Commitments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the following information, we assessed the lease classification of certain of the sub-leases to our tenants through the Lease Agreements, and our obligation as primary obligor of the leases and determined that they meet the definition of an operating lease. Accordingly, we have recorded sub-lease right-of-use assets in Other assets and sub-lease liabilities in Other liabilities.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2022</w:t>
            </w:r>
          </w:p>
        </w:tc>
        <w:tc>
          <w:tcPr>
            <w:tcW w:w="240" w:type="dxa"/>
            <w:vAlign w:val="bottom"/>
          </w:tcPr>
          <w:p>
            <w:pPr>
              <w:spacing w:after="0"/>
              <w:rPr>
                <w:sz w:val="16"/>
                <w:szCs w:val="16"/>
                <w:color w:val="auto"/>
              </w:rPr>
            </w:pPr>
          </w:p>
        </w:tc>
        <w:tc>
          <w:tcPr>
            <w:tcW w:w="1820" w:type="dxa"/>
            <w:vAlign w:val="bottom"/>
          </w:tcPr>
          <w:p>
            <w:pPr>
              <w:ind w:left="140"/>
              <w:spacing w:after="0"/>
              <w:rPr>
                <w:sz w:val="20"/>
                <w:szCs w:val="20"/>
                <w:color w:val="auto"/>
              </w:rPr>
            </w:pPr>
            <w:r>
              <w:rPr>
                <w:rFonts w:ascii="Arial" w:cs="Arial" w:eastAsia="Arial" w:hAnsi="Arial"/>
                <w:sz w:val="16"/>
                <w:szCs w:val="16"/>
                <w:b w:val="1"/>
                <w:bCs w:val="1"/>
                <w:color w:val="auto"/>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 assets (operating sub-leases)</w:t>
            </w:r>
          </w:p>
        </w:tc>
        <w:tc>
          <w:tcPr>
            <w:tcW w:w="25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Other liabilities (operating sub-lease liabilities)</w:t>
            </w:r>
          </w:p>
        </w:tc>
        <w:tc>
          <w:tcPr>
            <w:tcW w:w="2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31,744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ind w:left="1560"/>
              <w:spacing w:after="0"/>
              <w:rPr>
                <w:sz w:val="20"/>
                <w:szCs w:val="20"/>
                <w:color w:val="auto"/>
              </w:rPr>
            </w:pPr>
            <w:r>
              <w:rPr>
                <w:rFonts w:ascii="Arial" w:cs="Arial" w:eastAsia="Arial" w:hAnsi="Arial"/>
                <w:sz w:val="18"/>
                <w:szCs w:val="18"/>
                <w:color w:val="auto"/>
              </w:rPr>
              <w:t>—</w:t>
            </w:r>
          </w:p>
        </w:tc>
      </w:tr>
      <w:tr>
        <w:trPr>
          <w:trHeight w:val="90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560" w:type="dxa"/>
            <w:vAlign w:val="bottom"/>
          </w:tcPr>
          <w:p>
            <w:pPr>
              <w:jc w:val="right"/>
              <w:ind w:right="1230"/>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rental income and rental expense, included in Other income and Other expenses, respectively, in our Statement of Operations and contractual rent expense under these agreements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ind w:left="80"/>
              <w:spacing w:after="0"/>
              <w:rPr>
                <w:sz w:val="20"/>
                <w:szCs w:val="20"/>
                <w:color w:val="auto"/>
              </w:rPr>
            </w:pPr>
            <w:r>
              <w:rPr>
                <w:rFonts w:ascii="Arial" w:cs="Arial" w:eastAsia="Arial" w:hAnsi="Arial"/>
                <w:sz w:val="16"/>
                <w:szCs w:val="16"/>
                <w:b w:val="1"/>
                <w:bCs w:val="1"/>
                <w:color w:val="auto"/>
              </w:rPr>
              <w:t>Six Months Ended June 30,</w:t>
            </w:r>
          </w:p>
        </w:tc>
      </w:tr>
      <w:tr>
        <w:trPr>
          <w:trHeight w:val="172"/>
        </w:trPr>
        <w:tc>
          <w:tcPr>
            <w:tcW w:w="20" w:type="dxa"/>
            <w:vAlign w:val="bottom"/>
          </w:tcPr>
          <w:p>
            <w:pPr>
              <w:spacing w:after="0"/>
              <w:rPr>
                <w:sz w:val="14"/>
                <w:szCs w:val="14"/>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2022</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35"/>
              <w:spacing w:after="0" w:line="172" w:lineRule="exact"/>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spacing w:after="0" w:line="172" w:lineRule="exact"/>
              <w:rPr>
                <w:sz w:val="20"/>
                <w:szCs w:val="20"/>
                <w:color w:val="auto"/>
              </w:rPr>
            </w:pPr>
            <w:r>
              <w:rPr>
                <w:rFonts w:ascii="Arial" w:cs="Arial" w:eastAsia="Arial" w:hAnsi="Arial"/>
                <w:sz w:val="16"/>
                <w:szCs w:val="16"/>
                <w:b w:val="1"/>
                <w:bCs w:val="1"/>
                <w:color w:val="auto"/>
              </w:rPr>
              <w:t>2022</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31"/>
              <w:spacing w:after="0" w:line="172" w:lineRule="exact"/>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 and expense</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1,712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2,283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Contractual rent</w:t>
            </w: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1,590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20" w:type="dxa"/>
            <w:vAlign w:val="bottom"/>
            <w:gridSpan w:val="4"/>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40"/>
              <w:spacing w:after="0"/>
              <w:rPr>
                <w:sz w:val="20"/>
                <w:szCs w:val="20"/>
                <w:color w:val="auto"/>
              </w:rPr>
            </w:pPr>
            <w:r>
              <w:rPr>
                <w:rFonts w:ascii="Arial" w:cs="Arial" w:eastAsia="Arial" w:hAnsi="Arial"/>
                <w:sz w:val="18"/>
                <w:szCs w:val="18"/>
                <w:color w:val="auto"/>
                <w:w w:val="97"/>
              </w:rPr>
              <w:t>2,118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472"/>
        </w:trPr>
        <w:tc>
          <w:tcPr>
            <w:tcW w:w="7920" w:type="dxa"/>
            <w:vAlign w:val="bottom"/>
            <w:gridSpan w:val="7"/>
          </w:tcPr>
          <w:p>
            <w:pPr>
              <w:spacing w:after="0"/>
              <w:rPr>
                <w:sz w:val="20"/>
                <w:szCs w:val="20"/>
                <w:color w:val="auto"/>
              </w:rPr>
            </w:pPr>
            <w:r>
              <w:rPr>
                <w:rFonts w:ascii="Arial" w:cs="Arial" w:eastAsia="Arial" w:hAnsi="Arial"/>
                <w:sz w:val="18"/>
                <w:szCs w:val="18"/>
                <w:color w:val="auto"/>
              </w:rPr>
              <w:t>The future minimum lease commitments relating to the sub-leases at June 30, 2022 are as follows: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2"/>
        </w:trPr>
        <w:tc>
          <w:tcPr>
            <w:tcW w:w="2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0" w:type="dxa"/>
            <w:vAlign w:val="bottom"/>
            <w:gridSpan w:val="5"/>
          </w:tcPr>
          <w:p>
            <w:pPr>
              <w:ind w:left="40"/>
              <w:spacing w:after="0"/>
              <w:rPr>
                <w:sz w:val="20"/>
                <w:szCs w:val="20"/>
                <w:color w:val="auto"/>
              </w:rPr>
            </w:pPr>
            <w:r>
              <w:rPr>
                <w:rFonts w:ascii="Arial" w:cs="Arial" w:eastAsia="Arial" w:hAnsi="Arial"/>
                <w:sz w:val="16"/>
                <w:szCs w:val="16"/>
                <w:b w:val="1"/>
                <w:bCs w:val="1"/>
                <w:color w:val="auto"/>
              </w:rPr>
              <w:t>Lease Commitments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40" w:type="dxa"/>
            <w:vAlign w:val="bottom"/>
            <w:gridSpan w:val="3"/>
            <w:shd w:val="clear" w:color="auto" w:fill="CCEEFF"/>
          </w:tcPr>
          <w:p>
            <w:pPr>
              <w:spacing w:after="0"/>
              <w:rPr>
                <w:sz w:val="19"/>
                <w:szCs w:val="19"/>
                <w:color w:val="auto"/>
              </w:rPr>
            </w:pP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20" w:type="dxa"/>
            <w:vAlign w:val="bottom"/>
          </w:tcPr>
          <w:p>
            <w:pPr>
              <w:spacing w:after="0"/>
              <w:rPr>
                <w:sz w:val="19"/>
                <w:szCs w:val="19"/>
                <w:color w:val="auto"/>
              </w:rPr>
            </w:pP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4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6,585</w:t>
            </w:r>
          </w:p>
        </w:tc>
        <w:tc>
          <w:tcPr>
            <w:tcW w:w="20" w:type="dxa"/>
            <w:vAlign w:val="bottom"/>
          </w:tcPr>
          <w:p>
            <w:pPr>
              <w:spacing w:after="0"/>
              <w:rPr>
                <w:sz w:val="19"/>
                <w:szCs w:val="19"/>
                <w:color w:val="auto"/>
              </w:rPr>
            </w:pP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20" w:type="dxa"/>
            <w:vAlign w:val="bottom"/>
          </w:tcPr>
          <w:p>
            <w:pPr>
              <w:spacing w:after="0"/>
              <w:rPr>
                <w:sz w:val="19"/>
                <w:szCs w:val="19"/>
                <w:color w:val="auto"/>
              </w:rPr>
            </w:pP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4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5,129</w:t>
            </w:r>
          </w:p>
        </w:tc>
        <w:tc>
          <w:tcPr>
            <w:tcW w:w="20" w:type="dxa"/>
            <w:vAlign w:val="bottom"/>
          </w:tcPr>
          <w:p>
            <w:pPr>
              <w:spacing w:after="0"/>
              <w:rPr>
                <w:sz w:val="19"/>
                <w:szCs w:val="19"/>
                <w:color w:val="auto"/>
              </w:rPr>
            </w:pP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20" w:type="dxa"/>
            <w:vAlign w:val="bottom"/>
          </w:tcPr>
          <w:p>
            <w:pPr>
              <w:spacing w:after="0"/>
              <w:rPr>
                <w:sz w:val="19"/>
                <w:szCs w:val="19"/>
                <w:color w:val="auto"/>
              </w:rPr>
            </w:pP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4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4,010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Total minimum lease commitments</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0" w:type="dxa"/>
            <w:vAlign w:val="bottom"/>
            <w:gridSpan w:val="3"/>
          </w:tcPr>
          <w:p>
            <w:pPr>
              <w:spacing w:after="0"/>
              <w:rPr>
                <w:sz w:val="19"/>
                <w:szCs w:val="19"/>
                <w:color w:val="auto"/>
              </w:rPr>
            </w:pPr>
          </w:p>
        </w:tc>
        <w:tc>
          <w:tcPr>
            <w:tcW w:w="4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34,559</w:t>
            </w:r>
          </w:p>
        </w:tc>
        <w:tc>
          <w:tcPr>
            <w:tcW w:w="20" w:type="dxa"/>
            <w:vAlign w:val="bottom"/>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Discounting factor</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Sub-lease liabilities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20" w:type="dxa"/>
            <w:vAlign w:val="bottom"/>
            <w:gridSpan w:val="4"/>
          </w:tcPr>
          <w:p>
            <w:pPr>
              <w:jc w:val="right"/>
              <w:ind w:right="27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31,744</w:t>
            </w:r>
          </w:p>
        </w:tc>
        <w:tc>
          <w:tcPr>
            <w:tcW w:w="20" w:type="dxa"/>
            <w:vAlign w:val="bottom"/>
          </w:tcPr>
          <w:p>
            <w:pPr>
              <w:spacing w:after="0"/>
              <w:rPr>
                <w:sz w:val="20"/>
                <w:szCs w:val="20"/>
                <w:color w:val="auto"/>
              </w:rPr>
            </w:pPr>
          </w:p>
        </w:tc>
      </w:tr>
    </w:tbl>
    <w:p>
      <w:pPr>
        <w:spacing w:after="0" w:line="2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discount rate for the operating sub-leases were determined based on the yield of our secured borrowings at the time of assumption of the leases, adjusted to match borrowings of similar terms, and are between 2.6% and 2.9%. The weighted average remaining lease term as of June 30, 2022 under our operating sub-lease was 7.4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Sub-Lease Commitments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respect to the following information, we assessed the lease classification of certain of the sub-leases to our tenants through the Lease Agreements, and our obligation as primary obligor of the ground and use leases and determined that they meet the definition of a sales-type lease and finance lease. Accordingly, we have recorded a sales-type sub-lease in Other assets and finance sub-lease liability in Other liabilities.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balance and location in our Balance Sheet of the ground and use sub-leases as of June 30, 2022 and December 31, 2021: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6"/>
                <w:szCs w:val="16"/>
                <w:color w:val="auto"/>
              </w:rPr>
            </w:pPr>
          </w:p>
        </w:tc>
        <w:tc>
          <w:tcPr>
            <w:tcW w:w="180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2022</w:t>
            </w:r>
          </w:p>
        </w:tc>
        <w:tc>
          <w:tcPr>
            <w:tcW w:w="240" w:type="dxa"/>
            <w:vAlign w:val="bottom"/>
          </w:tcPr>
          <w:p>
            <w:pPr>
              <w:spacing w:after="0"/>
              <w:rPr>
                <w:sz w:val="16"/>
                <w:szCs w:val="16"/>
                <w:color w:val="auto"/>
              </w:rPr>
            </w:pPr>
          </w:p>
        </w:tc>
        <w:tc>
          <w:tcPr>
            <w:tcW w:w="1820" w:type="dxa"/>
            <w:vAlign w:val="bottom"/>
          </w:tcPr>
          <w:p>
            <w:pPr>
              <w:jc w:val="right"/>
              <w:ind w:right="293"/>
              <w:spacing w:after="0"/>
              <w:rPr>
                <w:sz w:val="20"/>
                <w:szCs w:val="20"/>
                <w:color w:val="auto"/>
              </w:rPr>
            </w:pPr>
            <w:r>
              <w:rPr>
                <w:rFonts w:ascii="Arial" w:cs="Arial" w:eastAsia="Arial" w:hAnsi="Arial"/>
                <w:sz w:val="16"/>
                <w:szCs w:val="16"/>
                <w:b w:val="1"/>
                <w:bCs w:val="1"/>
                <w:color w:val="auto"/>
                <w:w w:val="98"/>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 assets (sales-type sub-leases, net)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273,970</w:t>
            </w:r>
          </w:p>
        </w:tc>
      </w:tr>
      <w:tr>
        <w:trPr>
          <w:trHeight w:val="230"/>
        </w:trPr>
        <w:tc>
          <w:tcPr>
            <w:tcW w:w="20" w:type="dxa"/>
            <w:vAlign w:val="bottom"/>
          </w:tcPr>
          <w:p>
            <w:pPr>
              <w:spacing w:after="0"/>
              <w:rPr>
                <w:sz w:val="20"/>
                <w:szCs w:val="20"/>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Other liabilities (finance sub-lease liabilities)</w:t>
            </w:r>
          </w:p>
        </w:tc>
        <w:tc>
          <w:tcPr>
            <w:tcW w:w="3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788,572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280,510</w:t>
            </w:r>
          </w:p>
        </w:tc>
      </w:tr>
    </w:tbl>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rental income and rental expense, included in Other income and Other expenses, respectively, in our Statement of Operations and contractual rent expense under these agreements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600" w:type="dxa"/>
            <w:vAlign w:val="bottom"/>
            <w:gridSpan w:val="4"/>
          </w:tcPr>
          <w:p>
            <w:pPr>
              <w:jc w:val="right"/>
              <w:ind w:right="413"/>
              <w:spacing w:after="0"/>
              <w:rPr>
                <w:sz w:val="20"/>
                <w:szCs w:val="20"/>
                <w:color w:val="auto"/>
              </w:rPr>
            </w:pPr>
            <w:r>
              <w:rPr>
                <w:rFonts w:ascii="Arial" w:cs="Arial" w:eastAsia="Arial" w:hAnsi="Arial"/>
                <w:sz w:val="16"/>
                <w:szCs w:val="16"/>
                <w:b w:val="1"/>
                <w:bCs w:val="1"/>
                <w:color w:val="auto"/>
              </w:rPr>
              <w:t>Six Months Ended June 30,</w:t>
            </w:r>
          </w:p>
        </w:tc>
      </w:tr>
      <w:tr>
        <w:trPr>
          <w:trHeight w:val="172"/>
        </w:trPr>
        <w:tc>
          <w:tcPr>
            <w:tcW w:w="20" w:type="dxa"/>
            <w:vAlign w:val="bottom"/>
          </w:tcPr>
          <w:p>
            <w:pPr>
              <w:spacing w:after="0"/>
              <w:rPr>
                <w:sz w:val="14"/>
                <w:szCs w:val="14"/>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54"/>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53"/>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5"/>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3"/>
              <w:spacing w:after="0" w:line="172"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 and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11,300</w:t>
            </w:r>
          </w:p>
        </w:tc>
      </w:tr>
      <w:tr>
        <w:trPr>
          <w:trHeight w:val="230"/>
        </w:trPr>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Contractual rent</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11,675</w:t>
            </w:r>
          </w:p>
        </w:tc>
      </w:tr>
      <w:tr>
        <w:trPr>
          <w:trHeight w:val="90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954"/>
              <w:spacing w:after="0"/>
              <w:rPr>
                <w:sz w:val="20"/>
                <w:szCs w:val="20"/>
                <w:color w:val="auto"/>
              </w:rPr>
            </w:pPr>
            <w:r>
              <w:rPr>
                <w:rFonts w:ascii="Arial" w:cs="Arial" w:eastAsia="Arial" w:hAnsi="Arial"/>
                <w:sz w:val="18"/>
                <w:szCs w:val="18"/>
                <w:color w:val="auto"/>
                <w:w w:val="99"/>
              </w:rPr>
              <w:t>45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The future minimum lease commitments relating to the ground and use sub-leases at June 30, 2022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6"/>
                <w:szCs w:val="16"/>
                <w:color w:val="auto"/>
              </w:rPr>
            </w:pPr>
          </w:p>
        </w:tc>
        <w:tc>
          <w:tcPr>
            <w:tcW w:w="2140" w:type="dxa"/>
            <w:vAlign w:val="bottom"/>
          </w:tcPr>
          <w:p>
            <w:pPr>
              <w:jc w:val="right"/>
              <w:ind w:right="431"/>
              <w:spacing w:after="0"/>
              <w:rPr>
                <w:sz w:val="20"/>
                <w:szCs w:val="20"/>
                <w:color w:val="auto"/>
              </w:rPr>
            </w:pPr>
            <w:r>
              <w:rPr>
                <w:rFonts w:ascii="Arial" w:cs="Arial" w:eastAsia="Arial" w:hAnsi="Arial"/>
                <w:sz w:val="16"/>
                <w:szCs w:val="16"/>
                <w:b w:val="1"/>
                <w:bCs w:val="1"/>
                <w:color w:val="auto"/>
              </w:rPr>
              <w:t>Lease Commitments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33,206</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58,769</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59,039</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59,174</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59,174</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59,174</w:t>
            </w:r>
          </w:p>
        </w:tc>
      </w:tr>
      <w:tr>
        <w:trPr>
          <w:trHeight w:val="230"/>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2,555,535</w:t>
            </w:r>
          </w:p>
        </w:tc>
      </w:tr>
      <w:tr>
        <w:trPr>
          <w:trHeight w:val="223"/>
        </w:trPr>
        <w:tc>
          <w:tcPr>
            <w:tcW w:w="20" w:type="dxa"/>
            <w:vAlign w:val="bottom"/>
          </w:tcPr>
          <w:p>
            <w:pPr>
              <w:spacing w:after="0"/>
              <w:rPr>
                <w:sz w:val="19"/>
                <w:szCs w:val="19"/>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Total minimum lease commitments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2,884,070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Discounting factor</w:t>
            </w: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2,095,498</w:t>
            </w:r>
          </w:p>
        </w:tc>
      </w:tr>
      <w:tr>
        <w:trPr>
          <w:trHeight w:val="230"/>
        </w:trPr>
        <w:tc>
          <w:tcPr>
            <w:tcW w:w="20" w:type="dxa"/>
            <w:vAlign w:val="bottom"/>
          </w:tcPr>
          <w:p>
            <w:pPr>
              <w:spacing w:after="0"/>
              <w:rPr>
                <w:sz w:val="20"/>
                <w:szCs w:val="20"/>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Finance sub-lease liability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788,572</w:t>
            </w:r>
          </w:p>
        </w:tc>
      </w:tr>
    </w:tbl>
    <w:p>
      <w:pPr>
        <w:spacing w:after="0" w:line="2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discount rates for the finance ground and use sub-leases were determined based on the yield of our secured borrowings at the time of assumption of the leases, adjusted to match borrowings of similar terms, and are between 6% and 8%. The weighted average remaining lease term as of June 30, 2022 under our finance sub-leases was 55.2 years.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Stockholders'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we have the authority to issue 1,400,000,000 shares of stock, consisting of 1,350,000,000 shares of common stock, $0.01 par value per share, and 50,000,000 shares of preferred stock, $0.01 par value per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Follow-on Offerings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September 2021 Offering</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14, 2021, we completed a primary follow-on offering of 115,000,000 shares of common stock consisting of (i) 65,000,000 shares of common stock (including 15,000,000 shares sold pursuant to the exercise in full of the underwriters’ option to purchase additional common stock) and (ii) 50,000,000 shares of common stock that were subject to forward sale agreements (collectively, the “September 2021 Forward Sale Agreements”), which required settlement by September 9, 2022, in each case at a public offering price of $29.50 per share for an aggregate offering value of $3.4 billion, resulting in net proceeds, after deduction of the underwriting discount and expenses, of $1,859.0 million from the sale of the 65,000,000 shares (including 15,000,000 shares sold pursuant to the exercise in full of the underwriters’ option to purchase additional common stock). We did not initially receive any proceeds from the sale of the 50,000,000 shares subject to the September 2021 Forward Sale Agreements, which were sold to the underwriters by the forward purchasers or their respective affiliates and remained subject to settlement in accordance with the terms of the September 2021 Forward Sale Agreements.</w:t>
      </w:r>
    </w:p>
    <w:p>
      <w:pPr>
        <w:spacing w:after="0" w:line="1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18, 2022, we settled the September 2021 Forward Sale Agreements by delivering 50,000,000 shares of our common stock to the forward purchases, in exchange for total net proceeds of approximately $1,390.6 million, which were used to pay for a portion of the purchase price of the Venetian Acquisition. The physical settlement of the September 2021 Forward Sale Agreements were calculated based on the initial forward sale price per share of $28.62, as adjusted for a floating interest rate factor and other fixed amounts based on the passage of time, as specified in the September 2021 Forward Sale Agreements, resulting in a net forward sale price on the settlement date of $27.81 per share.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2021 Offering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4, 2021, we completed a primary follow-on offering of 69,000,000 shares of common stock (inclusive of 9,000,000 shares sold pursuant to the exercise in full of the underwriters’ option to purchase additional common stock) at a public offering price of $29.00 per share for an aggregate offering value of $2,001.0 million, all of which were subject to forward sale agreements (the “March 2021 Forward Sale Agreements”), which required settlement by March 4, 2022. We did not initially</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receive any proceeds from the sale of the shares of common stock in the offering, which were sold to the underwriters by the forward purchasers or their respective affiliates.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18, 2022, we settled the March 2021 Forward Sale Agreements by delivering 69,000,000 shares of our common stock to the forward purchases, in exchange for total net proceeds of approximately $1,828.6 million, which were used to pay for a portion of the purchase price of the Venetian Acquisition. The physical settlement of the March 2021 Forward Sale Agreements were calculated based on the initial forward sale price per share of $28.06, as adjusted for a floating interest rate factor and other fixed amounts based on the passage of time, as specified in the March 2021 Forward Sale Agreements, resulting in a net forward sale price on the settlement date of $26.50 per share.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2020 Offering</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17, 2020, we completed a primary follow-on offering of 29,900,000 shares of common stock (inclusive of 3,900,000 shares sold pursuant to the exercise in full of the underwriters’ option to purchase additional common stock) at a public offering price of $22.15 per share for an aggregate offering value of $662.3 million, all of which were subject to a forward sale agreement (the “June 2020 Forward Sale Agreement”), which initially required settlement by September 17, 2020. On September 16, 2020, we amended the June 2020 Forward Sale Agreement to extend the maturity date from September 17, 2020 to June 17, 2021. We did not initially receive any proceeds from the sale of the shares of common stock in the offering, which were sold to the underwriters by the forward purchaser or its affiliates.</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28, 2020, we partially settled the June 2020 Forward Sale Agreement by delivering 3,000,000 shares of our common stock to the forward purchaser, in exchange for total net proceeds of approximately $63.0 million, which was calculated based on the net forward sale price on the settlement date of $21.04 per share. On September 9, 2021, we physically settled the remaining shares under the June 2020 Forward Sale Agreement by delivering 26,900,000 shares of our common stock to the forward purchaser in exchange for total net proceeds of approximately $526.9 million, which was calculated based on the net forward sale price on the settlement date of $19.59 per share. The physical settlements of the June 2020 Forward Sale Agreement were calculated based on the initial forward sale price per share of $21.37, as adjusted for a floating interest rate factor and other fixed amounts based on the passage of time, as specified in the June 2020 Forward Sale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2021, we entered into an equity distribution agreement (the “ATM Agreement”), subsequently amended in November 2021, pursuant to which we may sell, from time to time, up to an aggregate sales price of $1,000.0 million of our common stock (the “ATM Program”). Sales of common stock, if any, made pursuant to the ATM Program may be sold in negotiated transactions or transactions that are deemed to be “at the market” offerings, as defined in Rule 415 of the Securities Act. The ATM Program also provides that the Company may sell shares of its common stock under the ATM Program through forward sale contracts. Actual sales under the ATM Program will depend on a variety of factors including market conditions, the trading price of our common stock, our capital needs, and our determination of the appropriate sources of funding to meet such needs.</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three and six months ended June 30, 2022, we sold a total of 11,380,980 shares under the ATM Program at a weighted average price per share of $32.28 for an aggregate value of $367.4 million, all of which were sold subject to a forward sale agreement (the “June 2022 ATM Forward Sale Agreement”). After fees and other adjustments calculated in accordance with the forward sale agreement, the aggregate net value of $360.0 million yielded a net initial forward sales price per share of $31.64. We did not receive any proceeds from the sale of shares at the time we entered into the June 2022 ATM Forward Sale Agreement. We determined that the June 2022 ATM Forward Sale Agreement meets the criteria for equity classification and, therefore, is exempt from derivative accounting. We recorded the June 2022 ATM Forward Sale Agreement at fair value at inception, which we determined to be zero. Subsequent changes to fair value are not required under equity classification. We expect to settle the shares under the June 2022 ATM Forward Sale Agreements entirely by the physical delivery of shares of our common stock in exchange for cash proceeds, although we may elect cash settlement or net share settlement for all or a portion of our obligations under the June 2022 ATM Forward Sale Agreement.</w:t>
      </w:r>
    </w:p>
    <w:p>
      <w:pPr>
        <w:spacing w:after="0" w:line="11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June 30, 2022, the net forward sales price per share under the June 2022 ATM Forward Sale Agreement was $31.64 and would result in us receiving approximately $360.0 million in net cash proceeds if we were to physically settle the shares under the June 2022 ATM Forward Sale Agreement. Alternatively, if we were to cash settle the shares under the June 2022 ATM Forward Sale Agreement, it would result in a cash inflow of $21.0 million or, if we were to net share settle the shares under the June 2022 ATM Forward Sale Agreement, it would result in us receiving approximately 0.7 million shares.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2021, we did not sell any shares under the ATM Program. We have no obligation to sell the remaining shares available for sale under the ATM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issuance of outstanding shares of common stock, including restricted common stock: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80" w:type="dxa"/>
            <w:vAlign w:val="bottom"/>
            <w:tcBorders>
              <w:bottom w:val="single" w:sz="8" w:color="auto"/>
            </w:tcBorders>
            <w:gridSpan w:val="3"/>
          </w:tcPr>
          <w:p>
            <w:pPr>
              <w:jc w:val="right"/>
              <w:ind w:right="101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Common Stock Outstanding</w:t>
            </w: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753"/>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 January 1,</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628,942,092</w:t>
            </w:r>
          </w:p>
        </w:tc>
        <w:tc>
          <w:tcPr>
            <w:tcW w:w="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536,669,722</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upon physical settlement of forward sale agreements</w:t>
            </w:r>
          </w:p>
        </w:tc>
        <w:tc>
          <w:tcPr>
            <w:tcW w:w="2000" w:type="dxa"/>
            <w:vAlign w:val="bottom"/>
          </w:tcPr>
          <w:p>
            <w:pPr>
              <w:jc w:val="right"/>
              <w:spacing w:after="0"/>
              <w:rPr>
                <w:sz w:val="20"/>
                <w:szCs w:val="20"/>
                <w:color w:val="auto"/>
              </w:rPr>
            </w:pPr>
            <w:r>
              <w:rPr>
                <w:rFonts w:ascii="Arial" w:cs="Arial" w:eastAsia="Arial" w:hAnsi="Arial"/>
                <w:sz w:val="18"/>
                <w:szCs w:val="18"/>
                <w:color w:val="auto"/>
              </w:rPr>
              <w:t>119,000,000</w:t>
            </w:r>
          </w:p>
        </w:tc>
        <w:tc>
          <w:tcPr>
            <w:tcW w:w="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Issuance of common stock in connection with the REIT Mergers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214,552,532</w:t>
            </w:r>
          </w:p>
        </w:tc>
        <w:tc>
          <w:tcPr>
            <w:tcW w:w="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0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Issuance of restricted and unrestricted common stock under the stock incentive program, net of</w:t>
            </w: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596,361</w:t>
            </w:r>
          </w:p>
        </w:tc>
        <w:tc>
          <w:tcPr>
            <w:tcW w:w="80" w:type="dxa"/>
            <w:vAlign w:val="bottom"/>
          </w:tcPr>
          <w:p>
            <w:pPr>
              <w:spacing w:after="0"/>
              <w:rPr>
                <w:sz w:val="15"/>
                <w:szCs w:val="15"/>
                <w:color w:val="auto"/>
              </w:rPr>
            </w:pP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374,095</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forfeitures</w:t>
            </w:r>
          </w:p>
        </w:tc>
        <w:tc>
          <w:tcPr>
            <w:tcW w:w="20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 June 30,</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963,090,985</w:t>
            </w:r>
          </w:p>
        </w:tc>
        <w:tc>
          <w:tcPr>
            <w:tcW w:w="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537,043,817</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(on a per share basis) during the six months ended June 30, 2022 and 2021 were as follows: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Six Months Ended June 30,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3"/>
              </w:rPr>
              <w:t>Declaration Date</w:t>
            </w:r>
          </w:p>
        </w:tc>
        <w:tc>
          <w:tcPr>
            <w:tcW w:w="20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3"/>
              </w:rPr>
              <w:t>Record Date</w:t>
            </w:r>
          </w:p>
        </w:tc>
        <w:tc>
          <w:tcPr>
            <w:tcW w:w="19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Payment Date</w:t>
            </w:r>
          </w:p>
        </w:tc>
        <w:tc>
          <w:tcPr>
            <w:tcW w:w="34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3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Dividend</w:t>
            </w:r>
          </w:p>
        </w:tc>
      </w:tr>
      <w:tr>
        <w:trPr>
          <w:trHeight w:val="226"/>
        </w:trPr>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10, 2022</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24, 2022</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April 7, 2022</w:t>
            </w:r>
          </w:p>
        </w:tc>
        <w:tc>
          <w:tcPr>
            <w:tcW w:w="12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January 1, 2022 - March 31, 2022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0.3600</w:t>
            </w:r>
          </w:p>
        </w:tc>
      </w:tr>
      <w:tr>
        <w:trPr>
          <w:trHeight w:val="230"/>
        </w:trPr>
        <w:tc>
          <w:tcPr>
            <w:tcW w:w="20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June 9, 2022</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23, 2022</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7, 2022</w:t>
            </w:r>
          </w:p>
        </w:tc>
        <w:tc>
          <w:tcPr>
            <w:tcW w:w="34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April 1, 2022 - June 30, 2022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0.3600</w:t>
            </w:r>
          </w:p>
        </w:tc>
      </w:tr>
      <w:tr>
        <w:trPr>
          <w:trHeight w:val="320"/>
        </w:trPr>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4"/>
          </w:tcPr>
          <w:p>
            <w:pPr>
              <w:ind w:left="460"/>
              <w:spacing w:after="0"/>
              <w:rPr>
                <w:sz w:val="20"/>
                <w:szCs w:val="20"/>
                <w:color w:val="auto"/>
              </w:rPr>
            </w:pPr>
            <w:r>
              <w:rPr>
                <w:rFonts w:ascii="Arial" w:cs="Arial" w:eastAsia="Arial" w:hAnsi="Arial"/>
                <w:sz w:val="16"/>
                <w:szCs w:val="16"/>
                <w:b w:val="1"/>
                <w:bCs w:val="1"/>
                <w:color w:val="auto"/>
              </w:rPr>
              <w:t>Six Months Ended June 30, 2021</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10"/>
        </w:trPr>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Declaration Date</w:t>
            </w:r>
          </w:p>
        </w:tc>
        <w:tc>
          <w:tcPr>
            <w:tcW w:w="2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Record Date</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Payment Date</w:t>
            </w:r>
          </w:p>
        </w:tc>
        <w:tc>
          <w:tcPr>
            <w:tcW w:w="3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360" w:type="dxa"/>
            <w:vAlign w:val="bottom"/>
          </w:tcPr>
          <w:p>
            <w:pPr>
              <w:spacing w:after="0"/>
              <w:rPr>
                <w:sz w:val="18"/>
                <w:szCs w:val="18"/>
                <w:color w:val="auto"/>
              </w:rPr>
            </w:pPr>
          </w:p>
        </w:tc>
        <w:tc>
          <w:tcPr>
            <w:tcW w:w="1460" w:type="dxa"/>
            <w:vAlign w:val="bottom"/>
          </w:tcPr>
          <w:p>
            <w:pPr>
              <w:jc w:val="right"/>
              <w:ind w:right="513"/>
              <w:spacing w:after="0"/>
              <w:rPr>
                <w:sz w:val="20"/>
                <w:szCs w:val="20"/>
                <w:color w:val="auto"/>
              </w:rPr>
            </w:pPr>
            <w:r>
              <w:rPr>
                <w:rFonts w:ascii="Arial" w:cs="Arial" w:eastAsia="Arial" w:hAnsi="Arial"/>
                <w:sz w:val="16"/>
                <w:szCs w:val="16"/>
                <w:b w:val="1"/>
                <w:bCs w:val="1"/>
                <w:color w:val="auto"/>
              </w:rPr>
              <w:t>Dividend</w:t>
            </w:r>
          </w:p>
        </w:tc>
      </w:tr>
      <w:tr>
        <w:trPr>
          <w:trHeight w:val="226"/>
        </w:trPr>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11, 2021</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25, 2021</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April 8, 2021</w:t>
            </w:r>
          </w:p>
        </w:tc>
        <w:tc>
          <w:tcPr>
            <w:tcW w:w="12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January 1, 2021 - March 31, 2021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0.3300</w:t>
            </w:r>
          </w:p>
        </w:tc>
      </w:tr>
      <w:tr>
        <w:trPr>
          <w:trHeight w:val="230"/>
        </w:trPr>
        <w:tc>
          <w:tcPr>
            <w:tcW w:w="20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June 10, 2021</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24, 2021</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8, 2021</w:t>
            </w:r>
          </w:p>
        </w:tc>
        <w:tc>
          <w:tcPr>
            <w:tcW w:w="34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April 1, 2021 - June 30, 2021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0.3300</w:t>
            </w: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Earnings Per Share and Earnings Per Unit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75" w:lineRule="exact"/>
        <w:rPr>
          <w:sz w:val="20"/>
          <w:szCs w:val="20"/>
          <w:color w:val="auto"/>
        </w:rPr>
      </w:pPr>
    </w:p>
    <w:p>
      <w:pPr>
        <w:jc w:val="both"/>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Basic earnings per share is computed by dividing net income attributable to common stockholders by the weighted-average number of shares of common stock outstanding during the period, excluding net income attributable to participating securities (unvested restricted stock awards). Diluted earnings per share reflects the additional dilution for all potentially dilutive securities such as stock options, unvested restricted shares, unvested performance-based restricted shares and the shares to be issued by us upon settlement of any outstanding forward sale agreements for the period such dilutive security is outstanding. The shares issuable upon settlement of any outstanding forward sale agreements, as described in </w:t>
      </w:r>
      <w:hyperlink w:anchor="page46">
        <w:r>
          <w:rPr>
            <w:rFonts w:ascii="Arial" w:cs="Arial" w:eastAsia="Arial" w:hAnsi="Arial"/>
            <w:sz w:val="16"/>
            <w:szCs w:val="16"/>
            <w:u w:val="single" w:color="auto"/>
            <w:color w:val="0000FF"/>
          </w:rPr>
          <w:t>Note 11 - Stockholders' Equity</w:t>
        </w:r>
      </w:hyperlink>
      <w:r>
        <w:rPr>
          <w:rFonts w:ascii="Arial" w:cs="Arial" w:eastAsia="Arial" w:hAnsi="Arial"/>
          <w:sz w:val="16"/>
          <w:szCs w:val="16"/>
          <w:color w:val="auto"/>
        </w:rPr>
        <w:t>, are reflected in the diluted earnings per share calculations using the treasury stock method for the period outstanding prior to settlement. Under this method, the number of shares of our common stock used in calculating diluted earnings per share is deemed to be increased by the excess, if any, of the number of shares of common stock that would be issued upon full physical settlement of the shares under any outstanding forward sale agreements for the period prior to settlement over the number of shares of common stock that could be purchased by us in the market (based on the average market price during the period prior to settlement) using the proceeds receivable upon full physical settlement (based on the adjusted forward sales price immediately prior to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reconcile the weighted-average shares of common stock outstanding used in the calculation of basic earnings per share to the weighted-average shares of common stock outstanding used in the calculation of diluted earnings per share: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600" w:type="dxa"/>
            <w:vAlign w:val="bottom"/>
            <w:gridSpan w:val="4"/>
          </w:tcPr>
          <w:p>
            <w:pPr>
              <w:jc w:val="right"/>
              <w:ind w:right="412"/>
              <w:spacing w:after="0"/>
              <w:rPr>
                <w:sz w:val="20"/>
                <w:szCs w:val="20"/>
                <w:color w:val="auto"/>
              </w:rPr>
            </w:pPr>
            <w:r>
              <w:rPr>
                <w:rFonts w:ascii="Arial" w:cs="Arial" w:eastAsia="Arial" w:hAnsi="Arial"/>
                <w:sz w:val="16"/>
                <w:szCs w:val="16"/>
                <w:b w:val="1"/>
                <w:bCs w:val="1"/>
                <w:color w:val="auto"/>
              </w:rPr>
              <w:t>Six Months Ended June 30,</w:t>
            </w:r>
          </w:p>
        </w:tc>
      </w:tr>
      <w:tr>
        <w:trPr>
          <w:trHeight w:val="172"/>
        </w:trPr>
        <w:tc>
          <w:tcPr>
            <w:tcW w:w="20" w:type="dxa"/>
            <w:vAlign w:val="bottom"/>
          </w:tcPr>
          <w:p>
            <w:pPr>
              <w:spacing w:after="0"/>
              <w:rPr>
                <w:sz w:val="14"/>
                <w:szCs w:val="14"/>
                <w:color w:val="auto"/>
              </w:rPr>
            </w:pPr>
          </w:p>
        </w:tc>
        <w:tc>
          <w:tcPr>
            <w:tcW w:w="53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53"/>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52"/>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3"/>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2"/>
              <w:spacing w:after="0" w:line="172" w:lineRule="exact"/>
              <w:rPr>
                <w:sz w:val="20"/>
                <w:szCs w:val="20"/>
                <w:color w:val="auto"/>
              </w:rPr>
            </w:pPr>
            <w:r>
              <w:rPr>
                <w:rFonts w:ascii="Arial" w:cs="Arial" w:eastAsia="Arial" w:hAnsi="Arial"/>
                <w:sz w:val="16"/>
                <w:szCs w:val="16"/>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Determination of shares: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Weighted-average shares of common stock outstanding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896,546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536,692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791,030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536,587</w:t>
            </w: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Assumed conversion of restricted stock </w:t>
            </w:r>
            <w:r>
              <w:rPr>
                <w:rFonts w:ascii="Arial" w:cs="Arial" w:eastAsia="Arial" w:hAnsi="Arial"/>
                <w:sz w:val="23"/>
                <w:szCs w:val="23"/>
                <w:i w:val="1"/>
                <w:iCs w:val="1"/>
                <w:color w:val="auto"/>
                <w:vertAlign w:val="superscript"/>
              </w:rPr>
              <w:t>(1)</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29"/>
        </w:trPr>
        <w:tc>
          <w:tcPr>
            <w:tcW w:w="20" w:type="dxa"/>
            <w:vAlign w:val="bottom"/>
          </w:tcPr>
          <w:p>
            <w:pPr>
              <w:spacing w:after="0"/>
              <w:rPr>
                <w:sz w:val="19"/>
                <w:szCs w:val="19"/>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Assumed settlement of forward sale agreements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12,100</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34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Diluted weighted-average shares of common stock outstanding</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896,546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1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24"/>
                <w:szCs w:val="24"/>
                <w:color w:val="auto"/>
              </w:rPr>
            </w:pPr>
          </w:p>
        </w:tc>
        <w:tc>
          <w:tcPr>
            <w:tcW w:w="2600" w:type="dxa"/>
            <w:vAlign w:val="bottom"/>
            <w:gridSpan w:val="4"/>
          </w:tcPr>
          <w:p>
            <w:pPr>
              <w:jc w:val="right"/>
              <w:ind w:right="412"/>
              <w:spacing w:after="0"/>
              <w:rPr>
                <w:sz w:val="20"/>
                <w:szCs w:val="20"/>
                <w:color w:val="auto"/>
              </w:rPr>
            </w:pPr>
            <w:r>
              <w:rPr>
                <w:rFonts w:ascii="Arial" w:cs="Arial" w:eastAsia="Arial" w:hAnsi="Arial"/>
                <w:sz w:val="16"/>
                <w:szCs w:val="16"/>
                <w:b w:val="1"/>
                <w:bCs w:val="1"/>
                <w:color w:val="auto"/>
              </w:rPr>
              <w:t>Six Months Ended June 30,</w:t>
            </w:r>
          </w:p>
        </w:tc>
      </w:tr>
      <w:tr>
        <w:trPr>
          <w:trHeight w:val="172"/>
        </w:trPr>
        <w:tc>
          <w:tcPr>
            <w:tcW w:w="20" w:type="dxa"/>
            <w:vAlign w:val="bottom"/>
          </w:tcPr>
          <w:p>
            <w:pPr>
              <w:spacing w:after="0"/>
              <w:rPr>
                <w:sz w:val="14"/>
                <w:szCs w:val="14"/>
                <w:color w:val="auto"/>
              </w:rPr>
            </w:pPr>
          </w:p>
        </w:tc>
        <w:tc>
          <w:tcPr>
            <w:tcW w:w="53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53"/>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52"/>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3"/>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2"/>
              <w:spacing w:after="0" w:line="172" w:lineRule="exact"/>
              <w:rPr>
                <w:sz w:val="20"/>
                <w:szCs w:val="20"/>
                <w:color w:val="auto"/>
              </w:rPr>
            </w:pPr>
            <w:r>
              <w:rPr>
                <w:rFonts w:ascii="Arial" w:cs="Arial" w:eastAsia="Arial" w:hAnsi="Arial"/>
                <w:sz w:val="16"/>
                <w:szCs w:val="16"/>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(57,706)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300,709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182,677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570,510</w:t>
            </w: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Weighted-average shares of common stock outstanding</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896,546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536,587</w:t>
            </w:r>
          </w:p>
        </w:tc>
      </w:tr>
      <w:tr>
        <w:trPr>
          <w:trHeight w:val="223"/>
        </w:trPr>
        <w:tc>
          <w:tcPr>
            <w:tcW w:w="20" w:type="dxa"/>
            <w:vAlign w:val="bottom"/>
          </w:tcPr>
          <w:p>
            <w:pPr>
              <w:spacing w:after="0"/>
              <w:rPr>
                <w:sz w:val="19"/>
                <w:szCs w:val="19"/>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Basic EPS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340" w:type="dxa"/>
            <w:vAlign w:val="bottom"/>
            <w:gridSpan w:val="3"/>
          </w:tcPr>
          <w:p>
            <w:pPr>
              <w:spacing w:after="0"/>
              <w:rPr>
                <w:sz w:val="20"/>
                <w:szCs w:val="20"/>
                <w:color w:val="auto"/>
              </w:rPr>
            </w:pPr>
            <w:r>
              <w:rPr>
                <w:rFonts w:ascii="Arial" w:cs="Arial" w:eastAsia="Arial" w:hAnsi="Arial"/>
                <w:sz w:val="18"/>
                <w:szCs w:val="18"/>
                <w:b w:val="1"/>
                <w:bCs w:val="1"/>
                <w:color w:val="auto"/>
              </w:rPr>
              <w:t>Diluted:</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570,510</w:t>
            </w:r>
          </w:p>
        </w:tc>
      </w:tr>
      <w:tr>
        <w:trPr>
          <w:trHeight w:val="229"/>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Diluted weighted-average shares of common stock outstanding</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896,546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793,225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549,621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Diluted EPS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jc w:val="both"/>
        <w:ind w:left="340" w:hanging="332"/>
        <w:spacing w:after="0" w:line="248" w:lineRule="auto"/>
        <w:tabs>
          <w:tab w:leader="none" w:pos="332"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For the three months ended June 30, 2022, any such amounts have been excluded from the diluted weighted average number of shares of common stock as we were in a net loss position and the effect of inclusion would have been anti-dilutive. Assuming we had net income for the quarter, using the treasury stock method, the assumed conversion of our restricted stock would have been in the amount of 816,708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Unit</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section presents the basic earnings per unit (“EPU”) and diluted EPU of VICI OP, our operating partnership and the direct parent and 100% interest holder in VICI LP. VICI LP’s interests are not expressed in units. However, given that VICI OP has a unit ownership structure and the financial information of VICI OP is substantially identical with that of VICI LP, we have elected to present the EPU of VICI OP. Basic EPU is computed by dividing net income attributable to partners’ capital by the weighted-average number of units outstanding during the period. In accordance with the VICI OP limited liability company agreement, for each share of common stock issued at VICI, a corresponding unit is issued by VICI OP. Accordingly, diluted EPU reflects the additional dilution for all potentially dilutive units resulting from potentially dilutive VICI stock issuances, such as options, unvested restricted stock awards, unvested performance-based restricted stock unit awards and the units to be issued by us upon settlement of any outstanding forward sale agreements of VICI for the period such dilutive security is outstanding. The units issuable upon settlement of any outstanding forward sale agreements of VICI are reflected in the diluted EPU calculations using the treasury stock method for the period outstanding prior to settlement. Under this method, the number of units used in calculating diluted EPU is deemed to be increased by the excess, if any, of the number of units that would be issued upon full physical settlement of the units under any outstanding forward sale agreements for the period prior to settlement over the number of shares of VICI common stock that could be purchased by us in the market (based on the average market price during the period prior to settlement) using the proceeds receivable upon full physical settlement (based on the adjusted forward sales price immediately prior to settlement). Upon VICI’s physical settlement of the shares of VICI common stock under the outstanding forward sale agreement, the delivery of shares of VICI common stock resulted in an increase in the number of VICI OP units outstanding and resulting dilution to EPU.</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reconcile the weighted-average units outstanding used in the calculation of basic EPU to the weighted-average units outstanding used in the calculation of diluted EPU:</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8"/>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6"/>
          </w:tcPr>
          <w:p>
            <w:pPr>
              <w:jc w:val="right"/>
              <w:ind w:right="412"/>
              <w:spacing w:after="0"/>
              <w:rPr>
                <w:sz w:val="20"/>
                <w:szCs w:val="20"/>
                <w:color w:val="auto"/>
              </w:rPr>
            </w:pPr>
            <w:r>
              <w:rPr>
                <w:rFonts w:ascii="Arial" w:cs="Arial" w:eastAsia="Arial" w:hAnsi="Arial"/>
                <w:sz w:val="16"/>
                <w:szCs w:val="16"/>
                <w:b w:val="1"/>
                <w:bCs w:val="1"/>
                <w:color w:val="auto"/>
                <w:w w:val="99"/>
              </w:rPr>
              <w:t>Six Months Ended June 30,</w:t>
            </w:r>
          </w:p>
        </w:tc>
      </w:tr>
      <w:tr>
        <w:trPr>
          <w:trHeight w:val="172"/>
        </w:trPr>
        <w:tc>
          <w:tcPr>
            <w:tcW w:w="20" w:type="dxa"/>
            <w:vAlign w:val="bottom"/>
          </w:tcPr>
          <w:p>
            <w:pPr>
              <w:spacing w:after="0"/>
              <w:rPr>
                <w:sz w:val="14"/>
                <w:szCs w:val="14"/>
                <w:color w:val="auto"/>
              </w:rPr>
            </w:pPr>
          </w:p>
        </w:tc>
        <w:tc>
          <w:tcPr>
            <w:tcW w:w="53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3"/>
              <w:spacing w:after="0" w:line="172" w:lineRule="exact"/>
              <w:rPr>
                <w:sz w:val="20"/>
                <w:szCs w:val="20"/>
                <w:color w:val="auto"/>
              </w:rPr>
            </w:pPr>
            <w:r>
              <w:rPr>
                <w:rFonts w:ascii="Arial" w:cs="Arial" w:eastAsia="Arial" w:hAnsi="Arial"/>
                <w:sz w:val="16"/>
                <w:szCs w:val="16"/>
                <w:b w:val="1"/>
                <w:bCs w:val="1"/>
                <w:color w:val="auto"/>
              </w:rPr>
              <w:t>2022</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52"/>
              <w:spacing w:after="0" w:line="172" w:lineRule="exact"/>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3"/>
              <w:spacing w:after="0" w:line="172" w:lineRule="exact"/>
              <w:rPr>
                <w:sz w:val="20"/>
                <w:szCs w:val="20"/>
                <w:color w:val="auto"/>
              </w:rPr>
            </w:pPr>
            <w:r>
              <w:rPr>
                <w:rFonts w:ascii="Arial" w:cs="Arial" w:eastAsia="Arial" w:hAnsi="Arial"/>
                <w:sz w:val="16"/>
                <w:szCs w:val="16"/>
                <w:b w:val="1"/>
                <w:bCs w:val="1"/>
                <w:color w:val="auto"/>
              </w:rPr>
              <w:t>2022</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2"/>
              <w:spacing w:after="0" w:line="172"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Determination of units: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Weighted-average units outstanding</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905,014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536,692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795,287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536,587</w:t>
            </w: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Assumed conversion of VICI restricted stock </w:t>
            </w:r>
            <w:r>
              <w:rPr>
                <w:rFonts w:ascii="Arial" w:cs="Arial" w:eastAsia="Arial" w:hAnsi="Arial"/>
                <w:sz w:val="23"/>
                <w:szCs w:val="23"/>
                <w:i w:val="1"/>
                <w:iCs w:val="1"/>
                <w:color w:val="auto"/>
                <w:vertAlign w:val="superscript"/>
              </w:rPr>
              <w:t>(1)</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29"/>
        </w:trPr>
        <w:tc>
          <w:tcPr>
            <w:tcW w:w="20" w:type="dxa"/>
            <w:vAlign w:val="bottom"/>
          </w:tcPr>
          <w:p>
            <w:pPr>
              <w:spacing w:after="0"/>
              <w:rPr>
                <w:sz w:val="19"/>
                <w:szCs w:val="19"/>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Assumed settlement of VICI forward sale agreements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12,100</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34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Diluted weighted-average units outstanding</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905,014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554,439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797,482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71"/>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8"/>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gridSpan w:val="6"/>
          </w:tcPr>
          <w:p>
            <w:pPr>
              <w:jc w:val="right"/>
              <w:ind w:right="412"/>
              <w:spacing w:after="0"/>
              <w:rPr>
                <w:sz w:val="20"/>
                <w:szCs w:val="20"/>
                <w:color w:val="auto"/>
              </w:rPr>
            </w:pPr>
            <w:r>
              <w:rPr>
                <w:rFonts w:ascii="Arial" w:cs="Arial" w:eastAsia="Arial" w:hAnsi="Arial"/>
                <w:sz w:val="16"/>
                <w:szCs w:val="16"/>
                <w:b w:val="1"/>
                <w:bCs w:val="1"/>
                <w:color w:val="auto"/>
                <w:w w:val="99"/>
              </w:rPr>
              <w:t>Six Months Ended June 30,</w:t>
            </w:r>
          </w:p>
        </w:tc>
      </w:tr>
      <w:tr>
        <w:trPr>
          <w:trHeight w:val="172"/>
        </w:trPr>
        <w:tc>
          <w:tcPr>
            <w:tcW w:w="20" w:type="dxa"/>
            <w:vAlign w:val="bottom"/>
          </w:tcPr>
          <w:p>
            <w:pPr>
              <w:spacing w:after="0"/>
              <w:rPr>
                <w:sz w:val="14"/>
                <w:szCs w:val="14"/>
                <w:color w:val="auto"/>
              </w:rPr>
            </w:pPr>
          </w:p>
        </w:tc>
        <w:tc>
          <w:tcPr>
            <w:tcW w:w="53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13"/>
              <w:spacing w:after="0" w:line="172" w:lineRule="exact"/>
              <w:rPr>
                <w:sz w:val="20"/>
                <w:szCs w:val="20"/>
                <w:color w:val="auto"/>
              </w:rPr>
            </w:pPr>
            <w:r>
              <w:rPr>
                <w:rFonts w:ascii="Arial" w:cs="Arial" w:eastAsia="Arial" w:hAnsi="Arial"/>
                <w:sz w:val="16"/>
                <w:szCs w:val="16"/>
                <w:b w:val="1"/>
                <w:bCs w:val="1"/>
                <w:color w:val="auto"/>
              </w:rPr>
              <w:t>2022</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12"/>
              <w:spacing w:after="0" w:line="172" w:lineRule="exact"/>
              <w:rPr>
                <w:sz w:val="20"/>
                <w:szCs w:val="20"/>
                <w:color w:val="auto"/>
              </w:rPr>
            </w:pPr>
            <w:r>
              <w:rPr>
                <w:rFonts w:ascii="Arial" w:cs="Arial" w:eastAsia="Arial" w:hAnsi="Arial"/>
                <w:sz w:val="16"/>
                <w:szCs w:val="16"/>
                <w:b w:val="1"/>
                <w:bCs w:val="1"/>
                <w:color w:val="auto"/>
              </w:rPr>
              <w:t>2021</w:t>
            </w: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33"/>
              <w:spacing w:after="0" w:line="172" w:lineRule="exact"/>
              <w:rPr>
                <w:sz w:val="20"/>
                <w:szCs w:val="20"/>
                <w:color w:val="auto"/>
              </w:rPr>
            </w:pPr>
            <w:r>
              <w:rPr>
                <w:rFonts w:ascii="Arial" w:cs="Arial" w:eastAsia="Arial" w:hAnsi="Arial"/>
                <w:sz w:val="16"/>
                <w:szCs w:val="16"/>
                <w:b w:val="1"/>
                <w:bCs w:val="1"/>
                <w:color w:val="auto"/>
              </w:rPr>
              <w:t>2022</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2"/>
              <w:spacing w:after="0" w:line="172" w:lineRule="exact"/>
              <w:rPr>
                <w:sz w:val="20"/>
                <w:szCs w:val="20"/>
                <w:color w:val="auto"/>
              </w:rPr>
            </w:pPr>
            <w:r>
              <w:rPr>
                <w:rFonts w:ascii="Arial" w:cs="Arial" w:eastAsia="Arial" w:hAnsi="Arial"/>
                <w:sz w:val="16"/>
                <w:szCs w:val="16"/>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Net (loss) income attributable to partners</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(63,035)</w:t>
            </w:r>
          </w:p>
        </w:tc>
        <w:tc>
          <w:tcPr>
            <w:tcW w:w="8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298,889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175,312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567,482</w:t>
            </w: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Weighted-average units outstanding</w:t>
            </w: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905,014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536,692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795,287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536,587</w:t>
            </w:r>
          </w:p>
        </w:tc>
      </w:tr>
      <w:tr>
        <w:trPr>
          <w:trHeight w:val="223"/>
        </w:trPr>
        <w:tc>
          <w:tcPr>
            <w:tcW w:w="20" w:type="dxa"/>
            <w:vAlign w:val="bottom"/>
          </w:tcPr>
          <w:p>
            <w:pPr>
              <w:spacing w:after="0"/>
              <w:rPr>
                <w:sz w:val="19"/>
                <w:szCs w:val="19"/>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Basic EPU</w:t>
            </w: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340" w:type="dxa"/>
            <w:vAlign w:val="bottom"/>
            <w:gridSpan w:val="3"/>
          </w:tcPr>
          <w:p>
            <w:pPr>
              <w:spacing w:after="0"/>
              <w:rPr>
                <w:sz w:val="20"/>
                <w:szCs w:val="20"/>
                <w:color w:val="auto"/>
              </w:rPr>
            </w:pPr>
            <w:r>
              <w:rPr>
                <w:rFonts w:ascii="Arial" w:cs="Arial" w:eastAsia="Arial" w:hAnsi="Arial"/>
                <w:sz w:val="18"/>
                <w:szCs w:val="18"/>
                <w:b w:val="1"/>
                <w:bCs w:val="1"/>
                <w:color w:val="auto"/>
              </w:rPr>
              <w:t>Diluted:</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(loss) income attributable to partners</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(63,035)</w:t>
            </w: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567,482</w:t>
            </w:r>
          </w:p>
        </w:tc>
      </w:tr>
      <w:tr>
        <w:trPr>
          <w:trHeight w:val="230"/>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Weighted-average units outstanding</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905,014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554,439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797,482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549,621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Diluted EPU</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jc w:val="both"/>
        <w:ind w:left="340" w:hanging="332"/>
        <w:spacing w:after="0" w:line="248" w:lineRule="auto"/>
        <w:tabs>
          <w:tab w:leader="none" w:pos="332"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For the three months ended June 30, 2022, any such amounts have been excluded from the diluted weighted average number of units as we were in a net loss position and the effect of inclusion would have been anti-dilutive. Assuming we had net income for the quarter, using the treasury stock method, the assumed conversion of VICI restricted stock to units would have been in the amount of 816,708 shares.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Stock-Based Compensation</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2017 Stock Incentive Plan (the “Plan”) is designed to provide long-term equity-based compensation to our directors and employees. It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June 30, 2022, 10.9 million shares of common stock remained available for issuance by us as equity awards under the Plan.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stock-based compensation expense recorded as General and administrative expense in the Statement of Operations: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980" w:type="dxa"/>
            <w:vAlign w:val="bottom"/>
            <w:gridSpan w:val="6"/>
          </w:tcPr>
          <w:p>
            <w:pPr>
              <w:ind w:left="40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80" w:type="dxa"/>
            <w:vAlign w:val="bottom"/>
            <w:gridSpan w:val="4"/>
          </w:tcPr>
          <w:p>
            <w:pPr>
              <w:jc w:val="right"/>
              <w:ind w:right="415"/>
              <w:spacing w:after="0"/>
              <w:rPr>
                <w:sz w:val="20"/>
                <w:szCs w:val="20"/>
                <w:color w:val="auto"/>
              </w:rPr>
            </w:pPr>
            <w:r>
              <w:rPr>
                <w:rFonts w:ascii="Arial" w:cs="Arial" w:eastAsia="Arial" w:hAnsi="Arial"/>
                <w:sz w:val="16"/>
                <w:szCs w:val="16"/>
                <w:b w:val="1"/>
                <w:bCs w:val="1"/>
                <w:color w:val="auto"/>
                <w:w w:val="99"/>
              </w:rPr>
              <w:t>Six Months Ended June 30,</w:t>
            </w:r>
          </w:p>
        </w:tc>
      </w:tr>
      <w:tr>
        <w:trPr>
          <w:trHeight w:val="172"/>
        </w:trPr>
        <w:tc>
          <w:tcPr>
            <w:tcW w:w="20" w:type="dxa"/>
            <w:vAlign w:val="bottom"/>
          </w:tcPr>
          <w:p>
            <w:pPr>
              <w:spacing w:after="0"/>
              <w:rPr>
                <w:sz w:val="14"/>
                <w:szCs w:val="14"/>
                <w:color w:val="auto"/>
              </w:rPr>
            </w:pPr>
          </w:p>
        </w:tc>
        <w:tc>
          <w:tcPr>
            <w:tcW w:w="5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b w:val="1"/>
                <w:bCs w:val="1"/>
                <w:color w:val="auto"/>
              </w:rPr>
              <w:t>2022</w:t>
            </w:r>
          </w:p>
        </w:tc>
        <w:tc>
          <w:tcPr>
            <w:tcW w:w="5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5"/>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6"/>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5"/>
              <w:spacing w:after="0" w:line="172"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3,236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activity of our time-based restricted stock and performance-based restricted stock units: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960" w:type="dxa"/>
            <w:vAlign w:val="bottom"/>
            <w:gridSpan w:val="5"/>
          </w:tcPr>
          <w:p>
            <w:pPr>
              <w:ind w:left="800"/>
              <w:spacing w:after="0"/>
              <w:rPr>
                <w:sz w:val="20"/>
                <w:szCs w:val="20"/>
                <w:color w:val="auto"/>
              </w:rPr>
            </w:pPr>
            <w:r>
              <w:rPr>
                <w:rFonts w:ascii="Arial" w:cs="Arial" w:eastAsia="Arial" w:hAnsi="Arial"/>
                <w:sz w:val="16"/>
                <w:szCs w:val="16"/>
                <w:b w:val="1"/>
                <w:bCs w:val="1"/>
                <w:color w:val="auto"/>
              </w:rPr>
              <w:t>Six Months Ended June 30, 2022</w:t>
            </w:r>
          </w:p>
        </w:tc>
        <w:tc>
          <w:tcPr>
            <w:tcW w:w="3860" w:type="dxa"/>
            <w:vAlign w:val="bottom"/>
            <w:gridSpan w:val="4"/>
          </w:tcPr>
          <w:p>
            <w:pPr>
              <w:jc w:val="right"/>
              <w:ind w:right="712"/>
              <w:spacing w:after="0"/>
              <w:rPr>
                <w:sz w:val="20"/>
                <w:szCs w:val="20"/>
                <w:color w:val="auto"/>
              </w:rPr>
            </w:pPr>
            <w:r>
              <w:rPr>
                <w:rFonts w:ascii="Arial" w:cs="Arial" w:eastAsia="Arial" w:hAnsi="Arial"/>
                <w:sz w:val="16"/>
                <w:szCs w:val="16"/>
                <w:b w:val="1"/>
                <w:bCs w:val="1"/>
                <w:color w:val="auto"/>
              </w:rPr>
              <w:t>Six Months Ended June 30, 2021</w:t>
            </w: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40" w:type="dxa"/>
            <w:vAlign w:val="bottom"/>
            <w:tcBorders>
              <w:top w:val="single" w:sz="8" w:color="auto"/>
            </w:tcBorders>
            <w:gridSpan w:val="2"/>
            <w:vMerge w:val="restart"/>
          </w:tcPr>
          <w:p>
            <w:pPr>
              <w:ind w:left="640"/>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center"/>
              <w:ind w:right="32"/>
              <w:spacing w:after="0" w:line="158" w:lineRule="exact"/>
              <w:rPr>
                <w:sz w:val="20"/>
                <w:szCs w:val="20"/>
                <w:color w:val="auto"/>
              </w:rPr>
            </w:pPr>
            <w:r>
              <w:rPr>
                <w:rFonts w:ascii="Arial" w:cs="Arial" w:eastAsia="Arial" w:hAnsi="Arial"/>
                <w:sz w:val="16"/>
                <w:szCs w:val="16"/>
                <w:b w:val="1"/>
                <w:bCs w:val="1"/>
                <w:color w:val="auto"/>
                <w:w w:val="93"/>
              </w:rPr>
              <w:t>Weighted Average Grant</w:t>
            </w:r>
          </w:p>
        </w:tc>
        <w:tc>
          <w:tcPr>
            <w:tcW w:w="100" w:type="dxa"/>
            <w:vAlign w:val="bottom"/>
          </w:tcPr>
          <w:p>
            <w:pPr>
              <w:spacing w:after="0"/>
              <w:rPr>
                <w:sz w:val="13"/>
                <w:szCs w:val="13"/>
                <w:color w:val="auto"/>
              </w:rPr>
            </w:pPr>
          </w:p>
        </w:tc>
        <w:tc>
          <w:tcPr>
            <w:tcW w:w="1840" w:type="dxa"/>
            <w:vAlign w:val="bottom"/>
            <w:tcBorders>
              <w:top w:val="single" w:sz="8" w:color="auto"/>
            </w:tcBorders>
            <w:gridSpan w:val="2"/>
            <w:vMerge w:val="restart"/>
          </w:tcPr>
          <w:p>
            <w:pPr>
              <w:ind w:left="640"/>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right"/>
              <w:ind w:right="52"/>
              <w:spacing w:after="0" w:line="158" w:lineRule="exact"/>
              <w:rPr>
                <w:sz w:val="20"/>
                <w:szCs w:val="20"/>
                <w:color w:val="auto"/>
              </w:rPr>
            </w:pPr>
            <w:r>
              <w:rPr>
                <w:rFonts w:ascii="Arial" w:cs="Arial" w:eastAsia="Arial" w:hAnsi="Arial"/>
                <w:sz w:val="16"/>
                <w:szCs w:val="16"/>
                <w:b w:val="1"/>
                <w:bCs w:val="1"/>
                <w:color w:val="auto"/>
                <w:w w:val="93"/>
              </w:rPr>
              <w:t>Weighted Average Grant</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5"/>
              </w:rPr>
              <w:t>Date Fair Value</w:t>
            </w:r>
          </w:p>
        </w:tc>
        <w:tc>
          <w:tcPr>
            <w:tcW w:w="1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jc w:val="right"/>
              <w:ind w:right="372"/>
              <w:spacing w:after="0" w:line="175" w:lineRule="exact"/>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30"/>
        </w:trPr>
        <w:tc>
          <w:tcPr>
            <w:tcW w:w="3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29"/>
        </w:trPr>
        <w:tc>
          <w:tcPr>
            <w:tcW w:w="3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Outstanding at end of period</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there was $24.6 million of unrecognized compensation cost related to non-vested stock-based compensation arrangements under the Plan. This cost is expected to be recognized over a weighted average period of 2.2 years.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Segment Information</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real property business and our golf course business represent two reportable segments. The real property business segment consists of leased real property and our real estate lending activities and represents the substantial majority of our business. The golf course business segment, which is wholly owned by VICI, consists of four golf courses, with each being operating segments that are aggregated into one reportable segment.</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each reportable segment presented below are consistent with the way our management assesses these results and allocates resources. The following table presents certain information with respect to our segments: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center"/>
              <w:ind w:left="652"/>
              <w:spacing w:after="0"/>
              <w:rPr>
                <w:sz w:val="20"/>
                <w:szCs w:val="20"/>
                <w:color w:val="auto"/>
              </w:rPr>
            </w:pPr>
            <w:r>
              <w:rPr>
                <w:rFonts w:ascii="Arial" w:cs="Arial" w:eastAsia="Arial" w:hAnsi="Arial"/>
                <w:sz w:val="16"/>
                <w:szCs w:val="16"/>
                <w:b w:val="1"/>
                <w:bCs w:val="1"/>
                <w:color w:val="auto"/>
                <w:w w:val="92"/>
              </w:rPr>
              <w:t>Three Months Ended June 30, 2022</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center"/>
              <w:ind w:left="652"/>
              <w:spacing w:after="0"/>
              <w:rPr>
                <w:sz w:val="20"/>
                <w:szCs w:val="20"/>
                <w:color w:val="auto"/>
              </w:rPr>
            </w:pPr>
            <w:r>
              <w:rPr>
                <w:rFonts w:ascii="Arial" w:cs="Arial" w:eastAsia="Arial" w:hAnsi="Arial"/>
                <w:sz w:val="16"/>
                <w:szCs w:val="16"/>
                <w:b w:val="1"/>
                <w:bCs w:val="1"/>
                <w:color w:val="auto"/>
                <w:w w:val="91"/>
              </w:rPr>
              <w:t>Three Months Ended June 30, 2021</w:t>
            </w: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2"/>
              </w:rPr>
              <w:t>Real Property</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4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VICI Consolidated</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2"/>
              </w:rPr>
              <w:t>Real Property</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4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VICI Consolidated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84"/>
              </w:rPr>
              <w:t>Business</w:t>
            </w:r>
          </w:p>
        </w:tc>
        <w:tc>
          <w:tcPr>
            <w:tcW w:w="200" w:type="dxa"/>
            <w:vAlign w:val="bottom"/>
          </w:tcPr>
          <w:p>
            <w:pPr>
              <w:spacing w:after="0"/>
              <w:rPr>
                <w:sz w:val="15"/>
                <w:szCs w:val="15"/>
                <w:color w:val="auto"/>
              </w:rPr>
            </w:pPr>
          </w:p>
        </w:tc>
        <w:tc>
          <w:tcPr>
            <w:tcW w:w="1260" w:type="dxa"/>
            <w:vAlign w:val="bottom"/>
            <w:gridSpan w:val="2"/>
          </w:tcPr>
          <w:p>
            <w:pPr>
              <w:jc w:val="center"/>
              <w:ind w:right="300"/>
              <w:spacing w:after="0" w:line="175" w:lineRule="exact"/>
              <w:rPr>
                <w:sz w:val="20"/>
                <w:szCs w:val="20"/>
                <w:color w:val="auto"/>
              </w:rPr>
            </w:pPr>
            <w:r>
              <w:rPr>
                <w:rFonts w:ascii="Arial" w:cs="Arial" w:eastAsia="Arial" w:hAnsi="Arial"/>
                <w:sz w:val="16"/>
                <w:szCs w:val="16"/>
                <w:b w:val="1"/>
                <w:bCs w:val="1"/>
                <w:color w:val="auto"/>
                <w:w w:val="84"/>
              </w:rPr>
              <w:t>Business</w:t>
            </w:r>
          </w:p>
        </w:tc>
        <w:tc>
          <w:tcPr>
            <w:tcW w:w="14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80" w:type="dxa"/>
            <w:vAlign w:val="bottom"/>
          </w:tcPr>
          <w:p>
            <w:pPr>
              <w:spacing w:after="0"/>
              <w:rPr>
                <w:sz w:val="15"/>
                <w:szCs w:val="15"/>
                <w:color w:val="auto"/>
              </w:rPr>
            </w:pPr>
          </w:p>
        </w:tc>
        <w:tc>
          <w:tcPr>
            <w:tcW w:w="1280" w:type="dxa"/>
            <w:vAlign w:val="bottom"/>
            <w:gridSpan w:val="2"/>
          </w:tcPr>
          <w:p>
            <w:pPr>
              <w:jc w:val="center"/>
              <w:ind w:right="300"/>
              <w:spacing w:after="0" w:line="175" w:lineRule="exact"/>
              <w:rPr>
                <w:sz w:val="20"/>
                <w:szCs w:val="20"/>
                <w:color w:val="auto"/>
              </w:rPr>
            </w:pPr>
            <w:r>
              <w:rPr>
                <w:rFonts w:ascii="Arial" w:cs="Arial" w:eastAsia="Arial" w:hAnsi="Arial"/>
                <w:sz w:val="16"/>
                <w:szCs w:val="16"/>
                <w:b w:val="1"/>
                <w:bCs w:val="1"/>
                <w:color w:val="auto"/>
                <w:w w:val="81"/>
              </w:rPr>
              <w:t>Business</w:t>
            </w:r>
          </w:p>
        </w:tc>
        <w:tc>
          <w:tcPr>
            <w:tcW w:w="14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(133,128)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(133,128)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(79,806)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Income from unconsolidated</w:t>
            </w: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15,134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15,134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w:t>
            </w:r>
          </w:p>
        </w:tc>
        <w:tc>
          <w:tcPr>
            <w:tcW w:w="1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60" w:type="dxa"/>
            <w:vAlign w:val="bottom"/>
            <w:gridSpan w:val="2"/>
          </w:tcPr>
          <w:p>
            <w:pPr>
              <w:spacing w:after="0" w:line="176" w:lineRule="exact"/>
              <w:rPr>
                <w:sz w:val="20"/>
                <w:szCs w:val="20"/>
                <w:color w:val="auto"/>
              </w:rPr>
            </w:pPr>
            <w:r>
              <w:rPr>
                <w:rFonts w:ascii="Arial" w:cs="Arial" w:eastAsia="Arial" w:hAnsi="Arial"/>
                <w:sz w:val="18"/>
                <w:szCs w:val="18"/>
                <w:color w:val="auto"/>
              </w:rPr>
              <w:t>(Loss) income before income</w:t>
            </w: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(60,702)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3,588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(57,114)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302,005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304,333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taxes</w:t>
            </w: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(60,947)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(58,141)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301,264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303,077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37,186,796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102,421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37,289,217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17,126,115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93,433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17,219,548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15,155,509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15,174,330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7,467,470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7,484,479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center"/>
              <w:ind w:left="652"/>
              <w:spacing w:after="0"/>
              <w:rPr>
                <w:sz w:val="20"/>
                <w:szCs w:val="20"/>
                <w:color w:val="auto"/>
              </w:rPr>
            </w:pPr>
            <w:r>
              <w:rPr>
                <w:rFonts w:ascii="Arial" w:cs="Arial" w:eastAsia="Arial" w:hAnsi="Arial"/>
                <w:sz w:val="16"/>
                <w:szCs w:val="16"/>
                <w:b w:val="1"/>
                <w:bCs w:val="1"/>
                <w:color w:val="auto"/>
                <w:w w:val="91"/>
              </w:rPr>
              <w:t>Six Months Ended June 30, 2022</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632"/>
              <w:spacing w:after="0"/>
              <w:rPr>
                <w:sz w:val="20"/>
                <w:szCs w:val="20"/>
                <w:color w:val="auto"/>
              </w:rPr>
            </w:pPr>
            <w:r>
              <w:rPr>
                <w:rFonts w:ascii="Arial" w:cs="Arial" w:eastAsia="Arial" w:hAnsi="Arial"/>
                <w:sz w:val="16"/>
                <w:szCs w:val="16"/>
                <w:b w:val="1"/>
                <w:bCs w:val="1"/>
                <w:color w:val="auto"/>
                <w:w w:val="91"/>
              </w:rPr>
              <w:t>Six Months Ended June 30, 2021</w:t>
            </w: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2"/>
              </w:rPr>
              <w:t>Real Property</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4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VICI Consolidated</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2"/>
              </w:rPr>
              <w:t>Real Property</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4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VICI 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84"/>
              </w:rPr>
              <w:t>Business</w:t>
            </w:r>
          </w:p>
        </w:tc>
        <w:tc>
          <w:tcPr>
            <w:tcW w:w="200" w:type="dxa"/>
            <w:vAlign w:val="bottom"/>
          </w:tcPr>
          <w:p>
            <w:pPr>
              <w:spacing w:after="0"/>
              <w:rPr>
                <w:sz w:val="15"/>
                <w:szCs w:val="15"/>
                <w:color w:val="auto"/>
              </w:rPr>
            </w:pPr>
          </w:p>
        </w:tc>
        <w:tc>
          <w:tcPr>
            <w:tcW w:w="1260" w:type="dxa"/>
            <w:vAlign w:val="bottom"/>
            <w:gridSpan w:val="2"/>
          </w:tcPr>
          <w:p>
            <w:pPr>
              <w:jc w:val="center"/>
              <w:ind w:right="300"/>
              <w:spacing w:after="0" w:line="175" w:lineRule="exact"/>
              <w:rPr>
                <w:sz w:val="20"/>
                <w:szCs w:val="20"/>
                <w:color w:val="auto"/>
              </w:rPr>
            </w:pPr>
            <w:r>
              <w:rPr>
                <w:rFonts w:ascii="Arial" w:cs="Arial" w:eastAsia="Arial" w:hAnsi="Arial"/>
                <w:sz w:val="16"/>
                <w:szCs w:val="16"/>
                <w:b w:val="1"/>
                <w:bCs w:val="1"/>
                <w:color w:val="auto"/>
                <w:w w:val="84"/>
              </w:rPr>
              <w:t>Business</w:t>
            </w:r>
          </w:p>
        </w:tc>
        <w:tc>
          <w:tcPr>
            <w:tcW w:w="14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80" w:type="dxa"/>
            <w:vAlign w:val="bottom"/>
          </w:tcPr>
          <w:p>
            <w:pPr>
              <w:spacing w:after="0"/>
              <w:rPr>
                <w:sz w:val="15"/>
                <w:szCs w:val="15"/>
                <w:color w:val="auto"/>
              </w:rPr>
            </w:pPr>
          </w:p>
        </w:tc>
        <w:tc>
          <w:tcPr>
            <w:tcW w:w="1280" w:type="dxa"/>
            <w:vAlign w:val="bottom"/>
            <w:gridSpan w:val="2"/>
          </w:tcPr>
          <w:p>
            <w:pPr>
              <w:jc w:val="center"/>
              <w:ind w:right="300"/>
              <w:spacing w:after="0" w:line="175" w:lineRule="exact"/>
              <w:rPr>
                <w:sz w:val="20"/>
                <w:szCs w:val="20"/>
                <w:color w:val="auto"/>
              </w:rPr>
            </w:pPr>
            <w:r>
              <w:rPr>
                <w:rFonts w:ascii="Arial" w:cs="Arial" w:eastAsia="Arial" w:hAnsi="Arial"/>
                <w:sz w:val="16"/>
                <w:szCs w:val="16"/>
                <w:b w:val="1"/>
                <w:bCs w:val="1"/>
                <w:color w:val="auto"/>
                <w:w w:val="81"/>
              </w:rPr>
              <w:t>Business</w:t>
            </w:r>
          </w:p>
        </w:tc>
        <w:tc>
          <w:tcPr>
            <w:tcW w:w="14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1,060,452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1,079,248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(201,270)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(201,270)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(156,854)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(156,854)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Income from unconsolidated</w:t>
            </w: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15,134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15,134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w:t>
            </w:r>
          </w:p>
        </w:tc>
        <w:tc>
          <w:tcPr>
            <w:tcW w:w="1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179,791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185,974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573,040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576,916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179,708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184,547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572,157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575,176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37,186,796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102,421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37,289,217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17,126,115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93,433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17,219,548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15,155,509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15,174,330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7,467,470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7,484,479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52</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165" w:lineRule="exact"/>
        <w:rPr>
          <w:sz w:val="20"/>
          <w:szCs w:val="20"/>
          <w:color w:val="auto"/>
        </w:rPr>
      </w:pPr>
    </w:p>
    <w:p>
      <w:pPr>
        <w:jc w:val="both"/>
        <w:spacing w:after="0" w:line="293" w:lineRule="auto"/>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The following discussion and analysis of the financial position and operating results of VICI Properties Inc. and VICI Properties L.P. for the three and six months ended June 30, 2022 should be read in conjunction with the Financial Statements and related notes thereto and other financial information contained elsewhere in this Quarterly Report on Form 10-Q and the audited consolidated financial statements and related notes for the year ended December 31, 2021, which, in the case of VICI Properties Inc., were included in our </w:t>
      </w:r>
      <w:hyperlink r:id="rId81">
        <w:r>
          <w:rPr>
            <w:rFonts w:ascii="Arial" w:cs="Arial" w:eastAsia="Arial" w:hAnsi="Arial"/>
            <w:sz w:val="16"/>
            <w:szCs w:val="16"/>
            <w:i w:val="1"/>
            <w:iCs w:val="1"/>
            <w:u w:val="single" w:color="auto"/>
            <w:color w:val="0000FF"/>
          </w:rPr>
          <w:t>Annual Report on Form 10-K for the year ended December 31, 2021</w:t>
        </w:r>
      </w:hyperlink>
      <w:r>
        <w:rPr>
          <w:rFonts w:ascii="Arial" w:cs="Arial" w:eastAsia="Arial" w:hAnsi="Arial"/>
          <w:sz w:val="16"/>
          <w:szCs w:val="16"/>
          <w:i w:val="1"/>
          <w:iCs w:val="1"/>
          <w:color w:val="auto"/>
        </w:rPr>
        <w:t xml:space="preserve"> and in the case of VICI Properties L.P. were included as an </w:t>
      </w:r>
      <w:hyperlink r:id="rId29">
        <w:r>
          <w:rPr>
            <w:rFonts w:ascii="Arial" w:cs="Arial" w:eastAsia="Arial" w:hAnsi="Arial"/>
            <w:sz w:val="16"/>
            <w:szCs w:val="16"/>
            <w:i w:val="1"/>
            <w:iCs w:val="1"/>
            <w:u w:val="single" w:color="auto"/>
            <w:color w:val="0000FF"/>
          </w:rPr>
          <w:t>exhibit to Form 8-K filed on April 18, 2022</w:t>
        </w:r>
      </w:hyperlink>
      <w:r>
        <w:rPr>
          <w:rFonts w:ascii="Arial" w:cs="Arial" w:eastAsia="Arial" w:hAnsi="Arial"/>
          <w:sz w:val="16"/>
          <w:szCs w:val="16"/>
          <w:i w:val="1"/>
          <w:iCs w:val="1"/>
          <w:color w:val="auto"/>
        </w:rPr>
        <w:t xml:space="preserve">. All defined terms included herein have the same meaning as those set forth in the </w:t>
      </w:r>
      <w:hyperlink w:anchor="page14">
        <w:r>
          <w:rPr>
            <w:rFonts w:ascii="Arial" w:cs="Arial" w:eastAsia="Arial" w:hAnsi="Arial"/>
            <w:sz w:val="16"/>
            <w:szCs w:val="16"/>
            <w:i w:val="1"/>
            <w:iCs w:val="1"/>
            <w:u w:val="single" w:color="auto"/>
            <w:color w:val="0000FF"/>
          </w:rPr>
          <w:t>Notes to the Consolidated Financial Statements</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i w:val="1"/>
          <w:iCs w:val="1"/>
          <w:color w:val="auto"/>
        </w:rPr>
        <w:t>contained within this Quarterly Report on Form 10-Q.</w:t>
      </w:r>
    </w:p>
    <w:p>
      <w:pPr>
        <w:spacing w:after="0" w:line="156" w:lineRule="exact"/>
        <w:rPr>
          <w:rFonts w:ascii="Arial" w:cs="Arial" w:eastAsia="Arial" w:hAnsi="Arial"/>
          <w:sz w:val="16"/>
          <w:szCs w:val="16"/>
          <w:i w:val="1"/>
          <w:iCs w:val="1"/>
          <w:color w:val="auto"/>
        </w:rPr>
      </w:pPr>
    </w:p>
    <w:p>
      <w:pPr>
        <w:jc w:val="cente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24" w:lineRule="exact"/>
        <w:rPr>
          <w:rFonts w:ascii="Arial" w:cs="Arial" w:eastAsia="Arial" w:hAnsi="Arial"/>
          <w:sz w:val="16"/>
          <w:szCs w:val="16"/>
          <w:i w:val="1"/>
          <w:iCs w:val="1"/>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Quarterly Report on Form 10-Q, including statements such as “anticipate,” “believe,” “estimate,” “expect,” “intend,” “plan,” “project,” “target,” “can,” “could,” “may,” “should,” “will,” “would” or similar expressions, which constitute “forward-looking statements” within the meaning of federal securities law. Forward-looking statements are based on our current plans, expectations and projections about future events. We therefore caution you therefore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spacing w:after="0" w:line="178" w:lineRule="exact"/>
        <w:rPr>
          <w:rFonts w:ascii="Arial" w:cs="Arial" w:eastAsia="Arial" w:hAnsi="Arial"/>
          <w:sz w:val="16"/>
          <w:szCs w:val="16"/>
          <w:i w:val="1"/>
          <w:iCs w:val="1"/>
          <w:color w:val="auto"/>
        </w:rPr>
      </w:pPr>
    </w:p>
    <w:p>
      <w:pPr>
        <w:jc w:val="both"/>
        <w:spacing w:after="0" w:line="266" w:lineRule="auto"/>
        <w:rPr>
          <w:sz w:val="20"/>
          <w:szCs w:val="20"/>
          <w:color w:val="auto"/>
        </w:rPr>
      </w:pPr>
      <w:r>
        <w:rPr>
          <w:rFonts w:ascii="Arial" w:cs="Arial" w:eastAsia="Arial" w:hAnsi="Arial"/>
          <w:sz w:val="17"/>
          <w:szCs w:val="17"/>
          <w:color w:val="auto"/>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the impact of the COVID-19 pandemic on our and our tenants’ financial condition, results of operations, cash flows and performance (including the impact of actions taken to contain the pandemic or mitigate its impact, the direct and indirect economic effects of the pandemic and containment measures on our tenants, and the ability of our tenants to successfully operate their businesses through the COVID-19 pandemic); risks associated with our recently closed transactions, including our ability or failure to realize the anticipated benefits thereof; the impact of changes in general economic conditions and market developments, including rising inflation, consumer confidence, supply chain disruptions, unemployment levels and depressed real estate prices resulting from the severity and duration of any downturn in the U.S. or global economy; our dependence on our tenants as tenants of our properties and their guarantors as guarantors of the lease payments and the negative consequences any material adverse effect on their respective businesses could have on us; the anticipated benefits of the Partner Property Growth Fund; our borrowers’ ability to repay their outstanding loan obligations to us; our dependence on the gaming industry; our ability to pursue our business and growth strategies may be limited by our substantial debt service requirements and by the requirement that we distribute 90% of our REIT taxable income in order to qualify for taxation as a REIT and that we distribute 100% of our REIT taxable income in order to avoid current entity-level U.S. federal income taxes; our inability to maintain our qualification for taxation as a REIT; the impact of extensive regulation from gaming and other regulatory authorities; the ability of our tenants to obtain and maintain regulatory approvals in connection with the operation of our properties, or the imposition of conditions to such regulatory approvals; the possibility that our tenants may choose not to renew the Lease Agreements following the initial or subsequent terms of the leases; restrictions on our ability to sell our properties subject to the Lease Agreements; our tenants and any guarantors’ historical results may not be a reliable indicator of their future results; our substantial amount of indebtedness, including indebtedness assumed and incurred by us in connection with the completion of the MGP Transactions, and ability to service, refinance and otherwise fulfill our obligations under such indebtedness; our historical financial information may not be reliable indicators of our future results of operations, financial condition and cash flows; the impact of a rise in interest rates which have begun increasing from historic lows, on us; our inability to successfully pursue investments in, and acquisitions of, additional properties; the possibility that we identify significant environmental, tax, legal or other issues that materially and adversely impact the value of assets acquired or secured as collateral (or other benefits we expect to receive) in any of our recently completed transactions; the effects of our recently completed transactions on us, including the future impact on our financial condition, financial and operating results, cash flows, strategy and plans; the impact of changes to the U.S. federal income tax laws; the possibility of</w:t>
      </w:r>
    </w:p>
    <w:p>
      <w:pPr>
        <w:spacing w:after="0" w:line="200" w:lineRule="exact"/>
        <w:rPr>
          <w:rFonts w:ascii="Arial" w:cs="Arial" w:eastAsia="Arial" w:hAnsi="Arial"/>
          <w:sz w:val="16"/>
          <w:szCs w:val="16"/>
          <w:i w:val="1"/>
          <w:iCs w:val="1"/>
          <w:color w:val="auto"/>
        </w:rPr>
      </w:pPr>
    </w:p>
    <w:p>
      <w:pPr>
        <w:spacing w:after="0" w:line="200" w:lineRule="exact"/>
        <w:rPr>
          <w:rFonts w:ascii="Arial" w:cs="Arial" w:eastAsia="Arial" w:hAnsi="Arial"/>
          <w:sz w:val="16"/>
          <w:szCs w:val="16"/>
          <w:i w:val="1"/>
          <w:iCs w:val="1"/>
          <w:color w:val="auto"/>
        </w:rPr>
      </w:pPr>
    </w:p>
    <w:p>
      <w:pPr>
        <w:spacing w:after="0" w:line="230" w:lineRule="exact"/>
        <w:rPr>
          <w:rFonts w:ascii="Arial" w:cs="Arial" w:eastAsia="Arial" w:hAnsi="Arial"/>
          <w:sz w:val="16"/>
          <w:szCs w:val="16"/>
          <w:i w:val="1"/>
          <w:iCs w:val="1"/>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rFonts w:ascii="Arial" w:cs="Arial" w:eastAsia="Arial" w:hAnsi="Arial"/>
          <w:sz w:val="16"/>
          <w:szCs w:val="16"/>
          <w:i w:val="1"/>
          <w:iCs w:val="1"/>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adverse tax consequences as a result of our recently completed transactions, including tax protection agreements to which we are a party; increased volatility in our stock price as a result of our recently completed transactions; the impact of climate change, natural disasters, war, political and public health conditions or uncertainty or civil unrest, violence or terrorist activities or threats on our properties and changes in economic conditions or heightened travel security and health measures instituted in response to these events; the loss of the services of key personnel; the inability to attract, retain and motivate employees; the costs and liabilities associated with environmental compliance; failure to establish and maintain an effective system of integrated internal controls; VICI’s reliance on distributions received from VICI LP to make distributions to our stockholders; the potential impact on the amount of our cash distributions if we were to sell any of our properties in the future; our ability to continue to make distributions to holders of our common stock or maintain anticipated levels of distributions over time; 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and additional factors discussed herein and listed from time to time as “Risk Factors” in our filings with the SEC, including without limitation, in our Annual Report on Form 10-K, Quarterly Reports on Form 10-Q and Current Reports on Form 8-K.</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of the assumptions underlying forward-looking statements could be inaccurate. You are cautioned not to place undue reliance on any forward-looking statements. All forward-looking statements are made as of the date of this Quarterly Report on Form 10-Q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an owner and acquirer of experiential real estate assets across leading gaming, hospitality, entertainment and leisure destinations. Our national, geographically diverse portfolio currently consists of 43 market leading properties, including Caesars Palace Las Vegas, MGM Grand and the Venetian Resort, three of the most iconic entertainment facilities on the Las Vegas Strip. Our entertainment facilities are leased to leading brands that seek to drive consumer loyalty and value with guests through superior services, experiences, products and continuous innovation. Across over 122 million square feet, our well-maintained properties are currently located across urban, destination and drive-to markets in fifteen states, contain approximately 58,700 hotel rooms and feature over 450 restaurants, bars, nightclubs, and sportsbooks.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portfolio also includes certain real estate debt investments that we have originated for strategic reasons in connection with transactions that either do or may provide the potential to convert our investment into the ownership of certain of the underlying real estate in the future. In addition, we own approximately 34 acres of undeveloped or underdeveloped land on and adjacent to the Las Vegas Strip that is leased to Caesars, which we may look to monetize as appropriate. VICI also owns and operates four championship golf courses located near certain of our properties, two of which are in close proximity to the Las Vegas Strip.</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lease our properties to subsidiaries of, or entities managed by, Apollo, Caesars, Century Casinos, EBCI, JACK Entertainment, MGM, Penn National and Seminole Hard Rock, with Caesars and MGM being our largest tenants. We believe we have a mutually beneficial relationship with each of our tenants, all of which are leading owners and operators of gaming, entertainment and leisure properties. Our long-term triple-net Lease Agreements with our tenants provide us with a highly predictable revenue stream with embedded growth potential. We believe our geographic diversification limits the effect of 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real estate investment trust with long-term investments, we expect our relationship with our partners will position us for the acquisition of additional properties across leisure and hospitality over the long-term.</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portfolio is competitively positioned and well-maintained. Pursuant to the terms of the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Our long-term triple-net leases provide our tenants with complete control over management at our leased properties, including sole responsibility for all operations and related expenses, including property taxes, insurance and maintenance, repair, improvement and other capital expenditures, as well as over the implementation of environmental sustainability and other initiatives. Given our scale and deep industry knowledge, we believe we are well-positioned to execute highly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complementary single-asset and portfolio acquisitions, as well as other investments, to augment growth as market conditions allow, with a focus on disciplined capital allocation.</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our operations as a real estate investment trust (“REIT”) for U.S. federal income tax purposes. We generally will not be subject to U.S. federal income taxes on our taxable income to the extent that we annually distribute all of our net taxable income to stockholders and maintain our qualification as a REIT. We believe our election of REIT status, combined with the income generation from the Lease Agreements, will enhance our ability to make distributions to our stockholders, providing investors with current income as well as long-term growth, subject to the macroeconomic impact of the COVID-19 pandemic, other global events and market conditions more broadly. We conduct our real property business through VICI OP and our golf course business through a taxable REIT subsidiary (a “TRS”), VICI Golf.</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information included in this Quarterly Report on Form 10-Q is our consolidated results (including the real property business and the golf course business) for the three and six months ended June 30,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the emergence of the COVID-19 pandemic in early 2020, among the broader public health, societal and global impacts, the pandemic has resulted in governmental and/or regulatory actions imposing, among other things, temporary closures or restrictions from time to time on our tenants’ operations at our properties and our golf course operations. Although all of our leased properties and our golf courses are currently open and operating, without restriction in some jurisdictions, they remain subject to any current or future operating limitations, restrictions or closures imposed by governmental and/or regulatory authorities. While our tenants’ recent performance at many of our leased properties has been at or above pre-pandemic levels, our tenants may continue to face additional challenges and uncertainty due to the impact of the COVID-19 pandemic, such as complying with operational and capacity restrictions and ensuring sufficient employee staffing and service levels, sustaining customer engagement and maintaining improved operating margins and financial performance.</w:t>
      </w:r>
    </w:p>
    <w:p>
      <w:pPr>
        <w:spacing w:after="0" w:line="138" w:lineRule="exact"/>
        <w:rPr>
          <w:sz w:val="20"/>
          <w:szCs w:val="20"/>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All of our tenants have fulfilled their rent obligations through July 2022 and we regularly engage with our tenants in connection with their business performance, operations, liquidity and financial results. As a triple-net lessor, we believe we are generally in a strong creditor position and structurally insulated from operational and performance impacts of our tenants, both positive and negative. However, the full extent to which the COVID-19 pandemic adversely affects our tenants, and ultimately impacts us, depends on future developments that cannot be predicted with confidence, including the actions taken to contain the pandemic or mitigate its impact, including the availability, distribution, public acceptance and efficacy of approved vaccines, new or mutated variants of COVID-19 (including vaccine-resistant variants) or a similar virus, the direct and indirect economic effects of the pandemic and containment measures on our tenants, our tenants’ financial performance and any future operating limitations or closures. For more information, refer to the section entitled “Risk Factors” in our </w:t>
      </w:r>
      <w:hyperlink r:id="rId81">
        <w:r>
          <w:rPr>
            <w:rFonts w:ascii="Arial" w:cs="Arial" w:eastAsia="Arial" w:hAnsi="Arial"/>
            <w:sz w:val="18"/>
            <w:szCs w:val="18"/>
            <w:u w:val="single" w:color="auto"/>
            <w:color w:val="0000FF"/>
          </w:rPr>
          <w:t>Annual Report on Form 10-K for the year ended December 31,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as updated from time to time in our other filings with the SEC.</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ACTIVITIES DURING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Acquisition and Investment Activity</w:t>
      </w:r>
    </w:p>
    <w:p>
      <w:pPr>
        <w:spacing w:after="0" w:line="171" w:lineRule="exact"/>
        <w:rPr>
          <w:sz w:val="20"/>
          <w:szCs w:val="20"/>
          <w:color w:val="auto"/>
        </w:rPr>
      </w:pPr>
    </w:p>
    <w:p>
      <w:pPr>
        <w:jc w:val="both"/>
        <w:ind w:left="660" w:hanging="328"/>
        <w:spacing w:after="0" w:line="288"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MGP Transactions. </w:t>
      </w:r>
      <w:r>
        <w:rPr>
          <w:rFonts w:ascii="Arial" w:cs="Arial" w:eastAsia="Arial" w:hAnsi="Arial"/>
          <w:sz w:val="16"/>
          <w:szCs w:val="16"/>
          <w:color w:val="auto"/>
        </w:rPr>
        <w:t>On April 29, 2022, we closed on the previously announced MGP Transactions governed by the MGP Master Transaction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pursuant to which we acquired MGP for total consideration of $11.6 billion, plus the assumption of approximately $5.7 billion principal amount of debt, inclusive of our 50.1% share of the BREIT JV CMBS debt. Upon closing, the MGP Transactions added $1,012.2 million of annualized rent to our portfolio from 15 Class A entertainment casino resort properties spread across nine regions and comprising 36,000 hotel rooms, 3.6 million square feet of meeting and convention space and hundreds of food, beverage and entertainment venues. Under the terms of the MGP Master Transaction Agreement, holders of MGP Common Shares received 1.366 shares of our newly issued common stock in exchange for each Class A common share of MGP. The fixed Exchange Ratio represented an agreed upon price of $43.00 per share of MGP Class A common shares based on VICI’s trailing 5-day volume weighted average price of $31.47 as of July 30, 2021. MGM received $43.00 per unit in cash for the redemption of the majority of its MGP OP units that it held for total cash consideration of approximately $4.404 billion and also retained approximately 12.2 million units in VICI OP. The MGP Class B share that was held by MGM was cancelled and ceased to exist.</w:t>
      </w:r>
    </w:p>
    <w:p>
      <w:pPr>
        <w:spacing w:after="0" w:line="114" w:lineRule="exact"/>
        <w:rPr>
          <w:rFonts w:ascii="Arial" w:cs="Arial" w:eastAsia="Arial" w:hAnsi="Arial"/>
          <w:sz w:val="16"/>
          <w:szCs w:val="16"/>
          <w:color w:val="auto"/>
        </w:rPr>
      </w:pPr>
    </w:p>
    <w:p>
      <w:pPr>
        <w:jc w:val="both"/>
        <w:ind w:left="660"/>
        <w:spacing w:after="0" w:line="269" w:lineRule="auto"/>
        <w:rPr>
          <w:rFonts w:ascii="Arial" w:cs="Arial" w:eastAsia="Arial" w:hAnsi="Arial"/>
          <w:sz w:val="16"/>
          <w:szCs w:val="16"/>
          <w:color w:val="auto"/>
        </w:rPr>
      </w:pPr>
      <w:r>
        <w:rPr>
          <w:rFonts w:ascii="Arial" w:cs="Arial" w:eastAsia="Arial" w:hAnsi="Arial"/>
          <w:sz w:val="17"/>
          <w:szCs w:val="17"/>
          <w:color w:val="auto"/>
        </w:rPr>
        <w:t>Simultaneous with the closing of the Mergers on April 29, 2022, we entered into the MGM Master Lease. The MGM Master Lease has an initial term of 25 years, with three 10-year tenant renewal options and has an initial total annual rent of $860.0 million. Rent under the MGM Master Lease escalates at a rate of 2.0% per annum for the first 10 years and thereafter at the greater of 2.0% per annum or the increase in CPI, subject to a 3.0% cap. The total annual rent under the MGM Master Lease will be reduced by (i) $90.0 million upon the close of MGM’s pending sale of the operations of the Mirage to Hard Rock and entrance into the Mirage Lease, as further described below, and (ii) $40.0 million upon the close of MGM’s pending sale of the operations of Gold Strike, as described above. Additionally, we retained MGP’s 50.1% ownership stake in the BREIT JV, which owns the real estate assets of MGM Grand Las Vegas and Mandalay Bay. The BREIT JV Lease provides for current total annual base rent of approximately $303.8 million, of which approximately $152.2 million is attributable to our investment in the BREIT JV, and an initial term of thirty years with two 10-year tenant renewal options. Rent under the BREIT JV Lease escalates at a rate of 2.0% per annum for the first fifteen years and thereafter at the greater of 2.0% per annum or CPI, subject to a 3.0% cap. The tenant’s obligations under the MGM Master Lease and the BREIT JV Lease continue to be guaranteed by MGM.</w:t>
      </w:r>
    </w:p>
    <w:p>
      <w:pPr>
        <w:spacing w:after="0" w:line="127" w:lineRule="exact"/>
        <w:rPr>
          <w:rFonts w:ascii="Arial" w:cs="Arial" w:eastAsia="Arial" w:hAnsi="Arial"/>
          <w:sz w:val="16"/>
          <w:szCs w:val="16"/>
          <w:color w:val="auto"/>
        </w:rPr>
      </w:pPr>
    </w:p>
    <w:p>
      <w:pPr>
        <w:jc w:val="both"/>
        <w:ind w:left="660" w:hanging="328"/>
        <w:spacing w:after="0" w:line="269"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Venetian Acquisition. </w:t>
      </w:r>
      <w:r>
        <w:rPr>
          <w:rFonts w:ascii="Arial" w:cs="Arial" w:eastAsia="Arial" w:hAnsi="Arial"/>
          <w:sz w:val="17"/>
          <w:szCs w:val="17"/>
          <w:color w:val="auto"/>
        </w:rPr>
        <w:t>On February 23, 2022, we closed on the previously announced transaction to acquire all of the land and real estate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with the Venetian Resort from LVS for $4.0 billion in cash, and the Venetian Tenant acquired the operating assets of the Venetian Resort for $2.25 billion, of which $1.2 billion is in the form of a secured term loan from LVS and the remainder was paid in cash. We funded the Venetian Acquisition with (i) $3.2 billion in net proceeds from the physical settlement of the March 2021 Forward Sale Agreements and the September 2021 Forward Sale Agreements, (ii) an initial draw on the Revolving Credit Facility of $600.0 million, and (iii) cash on hand. Simultaneous with the closing of the Venetian Acquisition, we entered into the Venetian Lease with the Venetian Tenant. The Venetian Lease has an initial total annual rent of $250.0 million and an initial term of 30 years, with two ten-year tenant renewal options. The annual rent is subject to escalation equal to the greater of 2.0% and the increase in the CPI, capped at 3.0%, beginning in the earlier of (i) the beginning of the third lease year, and (ii) the month following the month in which the net revenue generated by the Venetian Resort returns to its 2019 level (the year immediately prior to the onset of the COVID-19 pandemic) on a trailing twelve-month basis.</w:t>
      </w:r>
    </w:p>
    <w:p>
      <w:pPr>
        <w:spacing w:after="0" w:line="131" w:lineRule="exact"/>
        <w:rPr>
          <w:rFonts w:ascii="Arial" w:cs="Arial" w:eastAsia="Arial" w:hAnsi="Arial"/>
          <w:sz w:val="17"/>
          <w:szCs w:val="17"/>
          <w:color w:val="auto"/>
        </w:rPr>
      </w:pPr>
    </w:p>
    <w:p>
      <w:pPr>
        <w:jc w:val="both"/>
        <w:ind w:left="660"/>
        <w:spacing w:after="0" w:line="279" w:lineRule="auto"/>
        <w:rPr>
          <w:rFonts w:ascii="Arial" w:cs="Arial" w:eastAsia="Arial" w:hAnsi="Arial"/>
          <w:sz w:val="17"/>
          <w:szCs w:val="17"/>
          <w:color w:val="auto"/>
        </w:rPr>
      </w:pPr>
      <w:r>
        <w:rPr>
          <w:rFonts w:ascii="Arial" w:cs="Arial" w:eastAsia="Arial" w:hAnsi="Arial"/>
          <w:sz w:val="17"/>
          <w:szCs w:val="17"/>
          <w:color w:val="auto"/>
        </w:rPr>
        <w:t>In connection with the Venetian Acquisition, we entered into the Venetian PGF with the Venetian Tenant. Under the Venetian PGF, we agreed to provide up to $1.0 billion for various development and construction projects affecting the Venetian Resort to be identified by the Venetian Tenant and that satisfy certain criteria more particularly set forth in the Venetian PGF, in consideration of additional incremental rent to be paid by the Venetian Tenant under the Venetian Lease and calculated in accordance with a formula set forth in the Venetian PGF.</w:t>
      </w:r>
    </w:p>
    <w:p>
      <w:pPr>
        <w:spacing w:after="0" w:line="117" w:lineRule="exact"/>
        <w:rPr>
          <w:rFonts w:ascii="Arial" w:cs="Arial" w:eastAsia="Arial" w:hAnsi="Arial"/>
          <w:sz w:val="17"/>
          <w:szCs w:val="17"/>
          <w:color w:val="auto"/>
        </w:rPr>
      </w:pPr>
    </w:p>
    <w:p>
      <w:pPr>
        <w:jc w:val="both"/>
        <w:ind w:left="660"/>
        <w:spacing w:after="0" w:line="273" w:lineRule="auto"/>
        <w:rPr>
          <w:rFonts w:ascii="Arial" w:cs="Arial" w:eastAsia="Arial" w:hAnsi="Arial"/>
          <w:sz w:val="17"/>
          <w:szCs w:val="17"/>
          <w:color w:val="auto"/>
        </w:rPr>
      </w:pPr>
      <w:r>
        <w:rPr>
          <w:rFonts w:ascii="Arial" w:cs="Arial" w:eastAsia="Arial" w:hAnsi="Arial"/>
          <w:sz w:val="17"/>
          <w:szCs w:val="17"/>
          <w:color w:val="auto"/>
        </w:rPr>
        <w:t>In addition, LVS agreed with the Venetian Tenant pursuant to the Contingent Lease Support Agreement entered into simultaneously with the closing of the Venetian Acquisition to provide lease payment support designed to guarantee the Venetian Tenant’s rent obligations under the Venetian Lease through 2023, subject to early termination if EBITDAR (as defined in such agreement) generated by the Venetian Resort in 2022 equals or exceeds $550.0 million, or a tenant change of control occurs. We are a third-party beneficiary of the Contingent Lease Support Agreement and have certain enforcement rights pursuant thereto. The Contingent Lease Support Agreement is limited to coverage of the Venetian Tenant’s rent obligations and does not cover any environmental expenses, litigation claims, or any cure or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enforcement costs. The obligations of the Venetian Tenant under the Venetian Lease are not guaranteed by Apollo or any of its affiliates. After the termination of the Contingent Lease Support Agreement, the Venetian Tenant will be required to provide a letter of credit to secure seven and one-half months of the rent, real estate taxes and assessments and insurance obligations of the Venetian Tenant if the operating results from the Venetian Resort do not exceed certain thresholds.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Origination Activity</w:t>
      </w:r>
    </w:p>
    <w:p>
      <w:pPr>
        <w:spacing w:after="0" w:line="171" w:lineRule="exact"/>
        <w:rPr>
          <w:sz w:val="20"/>
          <w:szCs w:val="20"/>
          <w:color w:val="auto"/>
        </w:rPr>
      </w:pPr>
    </w:p>
    <w:p>
      <w:pPr>
        <w:jc w:val="both"/>
        <w:ind w:left="660" w:hanging="328"/>
        <w:spacing w:after="0" w:line="25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Great Wolf South Florida Loan. </w:t>
      </w:r>
      <w:r>
        <w:rPr>
          <w:rFonts w:ascii="Arial" w:cs="Arial" w:eastAsia="Arial" w:hAnsi="Arial"/>
          <w:sz w:val="18"/>
          <w:szCs w:val="18"/>
          <w:color w:val="auto"/>
        </w:rPr>
        <w:t>On July 1, 2022, we entered into the Great Wolf South Florida Loan with Great Wolf, under which we agreed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up to $59.0 million of mezzanine financing, the proceeds of which will be used to fund the development of Great Wolf Lodge South Florida, a more than $250.0 million, 500-room indoor water park resort project in Collier County, FL. The Great Wolf South Florida Loan has an initial term of 4 years with one 12-month extension option subject to certain conditions and is expected to be funded with cash on hand in accordance with a construction draw schedule.</w:t>
      </w:r>
    </w:p>
    <w:p>
      <w:pPr>
        <w:spacing w:after="0" w:line="133" w:lineRule="exact"/>
        <w:rPr>
          <w:rFonts w:ascii="Arial" w:cs="Arial" w:eastAsia="Arial" w:hAnsi="Arial"/>
          <w:sz w:val="18"/>
          <w:szCs w:val="18"/>
          <w:color w:val="auto"/>
        </w:rPr>
      </w:pPr>
    </w:p>
    <w:p>
      <w:pPr>
        <w:jc w:val="both"/>
        <w:ind w:left="660" w:hanging="328"/>
        <w:spacing w:after="0" w:line="293"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Cabot Citrus Farms Loan. </w:t>
      </w:r>
      <w:r>
        <w:rPr>
          <w:rFonts w:ascii="Arial" w:cs="Arial" w:eastAsia="Arial" w:hAnsi="Arial"/>
          <w:sz w:val="16"/>
          <w:szCs w:val="16"/>
          <w:color w:val="auto"/>
        </w:rPr>
        <w:t>On June 6, 2022, we entered into the Cabot Citrus Farms Loan with Cabot, a developer, owner and operator of world-class destination golf resorts and communities, under which we agreed to provide up to $120.0 million of mortgage financing, the proceeds of which will be used to fund Cabot’s property-wide transformation of Cabot Citrus Farms in Brooksville, Florida, with the addition of a new clubhouse, luxury lodging, health and wellness facilities and a vibrant village center. We also entered into a Purchase and Sale Agreement, pursuant to which we will convert a portion of the Cabot Citrus Farms Loan into the ownership of certain Cabot Citrus Farms real estate assets and simultaneously enter into a triple-net lease with Cabot that has an initial term of 25 years, with five 5-year tenant renewal options.</w:t>
      </w:r>
    </w:p>
    <w:p>
      <w:pPr>
        <w:spacing w:after="0" w:line="110"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BigShots Loan. </w:t>
      </w:r>
      <w:r>
        <w:rPr>
          <w:rFonts w:ascii="Arial" w:cs="Arial" w:eastAsia="Arial" w:hAnsi="Arial"/>
          <w:sz w:val="18"/>
          <w:szCs w:val="18"/>
          <w:color w:val="auto"/>
        </w:rPr>
        <w:t>On April 7, 2022, we entered into the BigShots Loan with BigShots Golf, a subsidiary of ClubCorp, an Apollo fund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under which we agreed to provide up to $80.0 million of mortgage financing for the construction of certain new BigShots Golf facilities throughout the United States.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and Capital Markets Activity</w:t>
      </w:r>
    </w:p>
    <w:p>
      <w:pPr>
        <w:spacing w:after="0" w:line="117" w:lineRule="exact"/>
        <w:rPr>
          <w:sz w:val="20"/>
          <w:szCs w:val="20"/>
          <w:color w:val="auto"/>
        </w:rPr>
      </w:pPr>
    </w:p>
    <w:p>
      <w:pPr>
        <w:jc w:val="both"/>
        <w:ind w:left="660" w:hanging="328"/>
        <w:spacing w:after="0" w:line="273"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Issuance of Exchange Notes. </w:t>
      </w:r>
      <w:r>
        <w:rPr>
          <w:rFonts w:ascii="Arial" w:cs="Arial" w:eastAsia="Arial" w:hAnsi="Arial"/>
          <w:sz w:val="17"/>
          <w:szCs w:val="17"/>
          <w:color w:val="auto"/>
        </w:rPr>
        <w:t>In connection with the closing of the MGP Transactions on April 29, 2022, the VICI Issuers issued $4,110.0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 aggregate principal amount of Exchange Notes in exchange for the validly tendered and not validly withdrawn MGP OP Notes pursuant to the settlement of the Exchange Offers and Consent Solicitations (each, as defined in </w:t>
      </w:r>
      <w:hyperlink w:anchor="page22">
        <w:r>
          <w:rPr>
            <w:rFonts w:ascii="Arial" w:cs="Arial" w:eastAsia="Arial" w:hAnsi="Arial"/>
            <w:sz w:val="17"/>
            <w:szCs w:val="17"/>
            <w:u w:val="single" w:color="auto"/>
            <w:color w:val="0000FF"/>
          </w:rPr>
          <w:t>Note 3 - Property Transactions</w:t>
        </w:r>
      </w:hyperlink>
      <w:r>
        <w:rPr>
          <w:rFonts w:ascii="Arial" w:cs="Arial" w:eastAsia="Arial" w:hAnsi="Arial"/>
          <w:sz w:val="17"/>
          <w:szCs w:val="17"/>
          <w:color w:val="auto"/>
        </w:rPr>
        <w:t xml:space="preserve">). The Exchange Notes were issued with the same interest rate, maturity date and redemption terms as the corresponding series of MGP OP Notes. Following the issuance of the Exchange Notes pursuant to the settlement of the Exchange Offers and Consent Solicitations, $90.0 million in aggregate principal amount of MGP OP Notes remained outstanding. See </w:t>
      </w:r>
      <w:hyperlink w:anchor="page35">
        <w:r>
          <w:rPr>
            <w:rFonts w:ascii="Arial" w:cs="Arial" w:eastAsia="Arial" w:hAnsi="Arial"/>
            <w:sz w:val="17"/>
            <w:szCs w:val="17"/>
            <w:u w:val="single" w:color="auto"/>
            <w:color w:val="0000FF"/>
          </w:rPr>
          <w:t>Note 7 - Debt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additional information.</w:t>
      </w:r>
    </w:p>
    <w:p>
      <w:pPr>
        <w:spacing w:after="0" w:line="69" w:lineRule="exact"/>
        <w:rPr>
          <w:rFonts w:ascii="Arial" w:cs="Arial" w:eastAsia="Arial" w:hAnsi="Arial"/>
          <w:sz w:val="17"/>
          <w:szCs w:val="17"/>
          <w:color w:val="auto"/>
        </w:rPr>
      </w:pPr>
    </w:p>
    <w:p>
      <w:pPr>
        <w:jc w:val="both"/>
        <w:ind w:left="660" w:hanging="328"/>
        <w:spacing w:after="0" w:line="270"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Issuance of April 2022 Notes. </w:t>
      </w:r>
      <w:r>
        <w:rPr>
          <w:rFonts w:ascii="Arial" w:cs="Arial" w:eastAsia="Arial" w:hAnsi="Arial"/>
          <w:sz w:val="17"/>
          <w:szCs w:val="17"/>
          <w:color w:val="auto"/>
        </w:rPr>
        <w:t>In connection with the closing of the MGP Transactions on April 29, 2022, VICI LP issued (i) $500.0 million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aggregate principal amount of 4.375% 2025 Notes, (ii) $1,250.0 million in aggregate principal amount of 4.750% 2028 Notes, (iii) $1,000.0 million in aggregate principal amount of 4.950% 2030 Notes, (iv) $1,500.0 million in aggregate principal amount of 5.125% 2032 Notes, and (v) $750.0 million in aggregate principal amount of 5.625% 2052 Notes, in each case under a supplemental indenture dated as of April 29, 2022, between VICI LP and the Trustee (as defined in </w:t>
      </w:r>
      <w:hyperlink w:anchor="page35">
        <w:r>
          <w:rPr>
            <w:rFonts w:ascii="Arial" w:cs="Arial" w:eastAsia="Arial" w:hAnsi="Arial"/>
            <w:sz w:val="17"/>
            <w:szCs w:val="17"/>
            <w:u w:val="single" w:color="auto"/>
            <w:color w:val="0000FF"/>
          </w:rPr>
          <w:t>Note 7 - Debt</w:t>
        </w:r>
      </w:hyperlink>
      <w:r>
        <w:rPr>
          <w:rFonts w:ascii="Arial" w:cs="Arial" w:eastAsia="Arial" w:hAnsi="Arial"/>
          <w:sz w:val="17"/>
          <w:szCs w:val="17"/>
          <w:color w:val="auto"/>
        </w:rPr>
        <w:t>). We used the net proceeds of the offering to (i) fund the consideration for the redemption of a majority of the VICI OP Units received by MGM in the Partnership Merger for $4,404.0 million in cash in connection with the closing of the MGP Transactions on April 29, 2022, and (ii) pay down the outstanding $600.0 million balance on our Revolving Credit Facility. The weighted average interest rate for the senior notes issued in the April 2022 Notes offering is 5.00%, and the adjusted weighted average interest rate, after taking into account the impact of the forward starting interest rate swaps and treasury locks, is 4.51%.</w:t>
      </w:r>
    </w:p>
    <w:p>
      <w:pPr>
        <w:spacing w:after="0" w:line="72"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3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Settlement of September 2021 Forward Sale Agreements and March 2021 Forward Sale Agreements. </w:t>
      </w:r>
      <w:r>
        <w:rPr>
          <w:rFonts w:ascii="Arial" w:cs="Arial" w:eastAsia="Arial" w:hAnsi="Arial"/>
          <w:sz w:val="17"/>
          <w:szCs w:val="17"/>
          <w:color w:val="auto"/>
        </w:rPr>
        <w:t>On February 18, 2022, we physically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settled the September 2021 Forward Sale Agreements and the March 2021 Forward Sale Agreements in exchange for total net proceeds of approximately $3.2 billion, which were used to pay for a portion of the purchase price of the Venetian Acquisition.</w:t>
      </w:r>
    </w:p>
    <w:p>
      <w:pPr>
        <w:spacing w:after="0" w:line="57" w:lineRule="exact"/>
        <w:rPr>
          <w:rFonts w:ascii="Arial" w:cs="Arial" w:eastAsia="Arial" w:hAnsi="Arial"/>
          <w:sz w:val="17"/>
          <w:szCs w:val="17"/>
          <w:b w:val="1"/>
          <w:bCs w:val="1"/>
          <w:i w:val="1"/>
          <w:iCs w:val="1"/>
          <w:color w:val="auto"/>
        </w:rPr>
      </w:pPr>
    </w:p>
    <w:p>
      <w:pPr>
        <w:jc w:val="both"/>
        <w:ind w:left="660" w:hanging="328"/>
        <w:spacing w:after="0" w:line="25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Entry into New Unsecured Credit Agreement. </w:t>
      </w:r>
      <w:r>
        <w:rPr>
          <w:rFonts w:ascii="Arial" w:cs="Arial" w:eastAsia="Arial" w:hAnsi="Arial"/>
          <w:sz w:val="18"/>
          <w:szCs w:val="18"/>
          <w:color w:val="auto"/>
        </w:rPr>
        <w:t>On February 8, 2022, we entered into the Credit Facilities pursuant to the Credit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comprised of (i) the Revolving Credit Facility in the amount of $2.5 billion scheduled to mature on March 31, 2026 and (ii) the Delayed Draw Term Loan in the amount of $1.0 billion scheduled to mature on March 31, 2025. Concurrently, we terminated our Secured Revolving Credit Facility (including the first priority lien on substantially all of VICI PropCo’s and its existing and subsequently acquired wholly owned material domestic</w:t>
      </w:r>
    </w:p>
    <w:p>
      <w:pPr>
        <w:spacing w:after="0" w:line="200" w:lineRule="exact"/>
        <w:rPr>
          <w:rFonts w:ascii="Arial" w:cs="Arial" w:eastAsia="Arial" w:hAnsi="Arial"/>
          <w:sz w:val="17"/>
          <w:szCs w:val="17"/>
          <w:color w:val="auto"/>
        </w:rPr>
      </w:pPr>
    </w:p>
    <w:p>
      <w:pPr>
        <w:spacing w:after="0" w:line="366"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660"/>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restricted subsidiaries’ material assets) and 2017 Credit Agreement (as defined in </w:t>
      </w:r>
      <w:hyperlink w:anchor="page35">
        <w:r>
          <w:rPr>
            <w:rFonts w:ascii="Arial" w:cs="Arial" w:eastAsia="Arial" w:hAnsi="Arial"/>
            <w:sz w:val="16"/>
            <w:szCs w:val="16"/>
            <w:u w:val="single" w:color="auto"/>
            <w:color w:val="0000FF"/>
          </w:rPr>
          <w:t>Note 7 - Debt</w:t>
        </w:r>
      </w:hyperlink>
      <w:r>
        <w:rPr>
          <w:rFonts w:ascii="Arial" w:cs="Arial" w:eastAsia="Arial" w:hAnsi="Arial"/>
          <w:sz w:val="16"/>
          <w:szCs w:val="16"/>
          <w:color w:val="auto"/>
        </w:rPr>
        <w:t>). The Credit Facilities include the option to increase the revolving loan commitments by up to $1.0 billion in the aggregate and increase the delayed draw term loan commitments or add one or more new tranches of term loans by up to $1.0 billion in the aggregate, in each case, to the extent that any one or more lenders (from the syndicate or otherwise) agree to provide such additional credit extensions. Borrowings under the Credit Facilities will bear interest, at VICI LP’s option, (i) with respect to the Revolving Credit Facility, at a rate based on SOFR (including a credit spread adjustment) plus a margin ranging from 0.775% to 1.325% or a base rate plus a margin ranging from 0.00% to 0.325%, in each case, with the actual margin determined according to VICI LP’s debt ratings, and (ii) with respect to the Delayed Draw Term Loan, at a rate based on SOFR (including a credit spread adjustment) plus a margin ranging from 0.85% to 1.60% or a base rate plus a margin ranging from 0.00% to 0.60%, in each case, with the actual margin determined according to VICI LP’s debt ratings. On February 18, 2022, we drew on the Revolving Credit Facility in the amount of $600.0 million to fund a portion of the purchase price of the Venetian Acquisition. On April 29, 2022, we repaid the outstanding balance of the Revolving Credit Facility using the proceeds from the April 2022 Notes and cash on hand. On July 15, 2022, the Credit Agreement was amended pursuant to a First Amendment among VICI LP and the lenders party to the Credit Agreement, in order to permit borrowings under the Revolving Credit Facility in certain foreign currencies in an aggregate principal amount of up to the equivalent of $1.25 billion.</w:t>
      </w:r>
    </w:p>
    <w:p>
      <w:pPr>
        <w:spacing w:after="0" w:line="120" w:lineRule="exact"/>
        <w:rPr>
          <w:sz w:val="20"/>
          <w:szCs w:val="20"/>
          <w:color w:val="auto"/>
        </w:rPr>
      </w:pPr>
    </w:p>
    <w:p>
      <w:pPr>
        <w:jc w:val="both"/>
        <w:ind w:left="660" w:hanging="328"/>
        <w:spacing w:after="0" w:line="271" w:lineRule="auto"/>
        <w:tabs>
          <w:tab w:leader="none" w:pos="628" w:val="left"/>
        </w:tabs>
        <w:numPr>
          <w:ilvl w:val="0"/>
          <w:numId w:val="3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Entry into Forward-Starting Interest Rate Swap Agreements and U.S. Treasury Rate Locks. </w:t>
      </w:r>
      <w:r>
        <w:rPr>
          <w:rFonts w:ascii="Arial" w:cs="Arial" w:eastAsia="Arial" w:hAnsi="Arial"/>
          <w:sz w:val="17"/>
          <w:szCs w:val="17"/>
          <w:color w:val="auto"/>
        </w:rPr>
        <w:t>From December 2021 through April 2022,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entered into five forward-starting interest rate swap agreements with an aggregate notional amount of $2,500.0 million and two U.S. Treasury Rate Lock agreements with an aggregate notional amount of $500.0 million. The interest rate swap agreements and treasury locks were intended to reduce the variability in the forecasted interest expense related to the fixed-rate debt we expected to incur in connection with closing the MGP Transactions. In connection with the April 2022 Notes offering, we settled the outstanding forward-starting interest rate swaps and treasury locks for net proceeds of $206.8 million. Since the forward-starting swaps and treasury locks were hedging the interest rate risk on the April 2022 Notes, the unrealized gain in Accumulated other comprehensive income is being amortized over the term of the respective derivative instruments, which matches that of the underlying note, as a reduction in interest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Leasing Activity</w:t>
      </w:r>
    </w:p>
    <w:p>
      <w:pPr>
        <w:spacing w:after="0" w:line="171" w:lineRule="exact"/>
        <w:rPr>
          <w:sz w:val="20"/>
          <w:szCs w:val="20"/>
          <w:color w:val="auto"/>
        </w:rPr>
      </w:pPr>
    </w:p>
    <w:p>
      <w:pPr>
        <w:jc w:val="both"/>
        <w:ind w:left="660" w:hanging="328"/>
        <w:spacing w:after="0" w:line="290" w:lineRule="auto"/>
        <w:tabs>
          <w:tab w:leader="none" w:pos="655" w:val="left"/>
        </w:tabs>
        <w:numPr>
          <w:ilvl w:val="0"/>
          <w:numId w:val="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Gold Strike Lease. </w:t>
      </w:r>
      <w:r>
        <w:rPr>
          <w:rFonts w:ascii="Arial" w:cs="Arial" w:eastAsia="Arial" w:hAnsi="Arial"/>
          <w:sz w:val="16"/>
          <w:szCs w:val="16"/>
          <w:color w:val="auto"/>
        </w:rPr>
        <w:t>On June 9, 2022, in connection with MGM’s agreement to sell the operations of Gold Strike, we agreed to enter into the Gold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Strike Lease with CNB related to the land and real estate assets of Gold Strike, and enter into an amendment to the MGM Master Lease relating to the sale of Gold Strike. The Gold Strike Lease will have initial annual base rent of $40.0 million with other economic terms substantially similar to the MGM Master Lease, including a base term of 25 years with three 10-year tenant renewal options, escalation of 2.0% per annum (with escalation of the greater of 2.0% and CPI, capped at 3.0%, beginning in lease year 11) and minimum capital expenditure requirements of 1.0% of annual net revenue. Upon the closing of the sale of Gold Strike, the MGM Master Lease will be amended to account for MGM’s divestiture of the Gold Strike operations and will result in a reduction of the annual base rent under the MGM Master Lease by $40.0 million. We expect these transactions to be completed in the first half of 2023, and they remain subject to customary closing conditions and regulatory approvals.</w:t>
      </w:r>
    </w:p>
    <w:p>
      <w:pPr>
        <w:spacing w:after="0" w:line="111" w:lineRule="exact"/>
        <w:rPr>
          <w:rFonts w:ascii="Arial" w:cs="Arial" w:eastAsia="Arial" w:hAnsi="Arial"/>
          <w:sz w:val="16"/>
          <w:szCs w:val="16"/>
          <w:b w:val="1"/>
          <w:bCs w:val="1"/>
          <w:i w:val="1"/>
          <w:iCs w:val="1"/>
          <w:color w:val="auto"/>
        </w:rPr>
      </w:pPr>
    </w:p>
    <w:p>
      <w:pPr>
        <w:jc w:val="both"/>
        <w:ind w:left="660" w:hanging="328"/>
        <w:spacing w:after="0" w:line="269" w:lineRule="auto"/>
        <w:tabs>
          <w:tab w:leader="none" w:pos="655" w:val="left"/>
        </w:tabs>
        <w:numPr>
          <w:ilvl w:val="0"/>
          <w:numId w:val="3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Mirage Lease. </w:t>
      </w:r>
      <w:r>
        <w:rPr>
          <w:rFonts w:ascii="Arial" w:cs="Arial" w:eastAsia="Arial" w:hAnsi="Arial"/>
          <w:sz w:val="17"/>
          <w:szCs w:val="17"/>
          <w:color w:val="auto"/>
        </w:rPr>
        <w:t>On December 13, 2021, in connection with MGM’s agreement to sell the operations of the Mirage Hotel &amp; Casino to Hard Rock,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agreed to enter into the Mirage Lease, and enter into an amendment to the MGM Master Lease relating to the sale of the Mirage. The Mirage Lease will have initial annual base rent of $90.0 million with other economic terms substantially similar to the MGM Master Lease, including a base term of 25 years with three 10-year tenant renewal options, escalation of 2.0% per annum (with escalation of the greater of 2.0% and CPI, capped at 3.0%, beginning in lease year 11) and minimum capital expenditure requirements of 1.0% of annual net revenue. Upon the closing of the sale of the Mirage, the MGM Master Lease will be amended to account for MGM’s divestiture of the Mirage operations and will result in a reduction of the annual base rent under the MGM Master Lease by $90.0 million. We expect these transactions to be completed in the fourth quarter of 2022, and they remain subject to customary closing conditions and regulatory approvals. Additionally, subject to certain conditions, we may fund up to $1.5 billion of Hard Rock’s redevelopment plan for the Mirage through our Partner Property Growth Fund if Hard Rock elects to seek third-party financing for such redevelopment. Specific terms of the redevelopment and related funding remain under discussion and subject to final documentation.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discussion of VICI and VICI LP are presented combined as there are no material differences between the two reporting entities.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Further, Golf revenues and Golf expenses, which are wholly attributable to VICI, are shown as separate line items in the Statement of Operations of VICI.</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real property business and our golf course business represent our two reportable segments. The real property business segment consists of leased real property and loan investments and represents the substantial majority of our business. The golf course business segment, which is a wholly-owned subsidiary of VICI, consists of four golf courses, with each being operating segments that are aggregated into one reportable segment. The results of each reportable segment presented below are consistent with the way our management assesses these results and allocates resources.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vMerge w:val="restart"/>
          </w:tcPr>
          <w:p>
            <w:pPr>
              <w:spacing w:after="0"/>
              <w:rPr>
                <w:sz w:val="20"/>
                <w:szCs w:val="20"/>
                <w:color w:val="auto"/>
              </w:rPr>
            </w:pPr>
            <w:r>
              <w:rPr>
                <w:rFonts w:ascii="Arial" w:cs="Arial" w:eastAsia="Arial" w:hAnsi="Arial"/>
                <w:sz w:val="16"/>
                <w:szCs w:val="16"/>
                <w:b w:val="1"/>
                <w:bCs w:val="1"/>
                <w:color w:val="auto"/>
                <w:w w:val="99"/>
              </w:rPr>
              <w:t>Three Months Ended June 30,</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5"/>
          </w:tcPr>
          <w:p>
            <w:pPr>
              <w:ind w:left="280"/>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5"/>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60" w:type="dxa"/>
            <w:vAlign w:val="bottom"/>
            <w:gridSpan w:val="2"/>
          </w:tcPr>
          <w:p>
            <w:pPr>
              <w:spacing w:after="0" w:line="175" w:lineRule="exact"/>
              <w:rPr>
                <w:sz w:val="20"/>
                <w:szCs w:val="20"/>
                <w:color w:val="auto"/>
              </w:rPr>
            </w:pPr>
            <w:r>
              <w:rPr>
                <w:rFonts w:ascii="Arial" w:cs="Arial" w:eastAsia="Arial" w:hAnsi="Arial"/>
                <w:sz w:val="16"/>
                <w:szCs w:val="16"/>
                <w:b w:val="1"/>
                <w:bCs w:val="1"/>
                <w:i w:val="1"/>
                <w:iCs w:val="1"/>
                <w:color w:val="auto"/>
              </w:rPr>
              <w:t>(In thousands)</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11"/>
              <w:spacing w:after="0" w:line="175"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10"/>
              <w:spacing w:after="0" w:line="175"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Variance</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11"/>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90"/>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0"/>
              <w:spacing w:after="0" w:line="175" w:lineRule="exact"/>
              <w:rPr>
                <w:sz w:val="20"/>
                <w:szCs w:val="20"/>
                <w:color w:val="auto"/>
              </w:rPr>
            </w:pPr>
            <w:r>
              <w:rPr>
                <w:rFonts w:ascii="Arial" w:cs="Arial" w:eastAsia="Arial" w:hAnsi="Arial"/>
                <w:sz w:val="16"/>
                <w:szCs w:val="16"/>
                <w:b w:val="1"/>
                <w:bCs w:val="1"/>
                <w:color w:val="auto"/>
                <w:w w:val="98"/>
              </w:rPr>
              <w:t>Variance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220"/>
              <w:spacing w:after="0"/>
              <w:rPr>
                <w:sz w:val="20"/>
                <w:szCs w:val="20"/>
                <w:color w:val="auto"/>
              </w:rPr>
            </w:pPr>
            <w:r>
              <w:rPr>
                <w:rFonts w:ascii="Arial" w:cs="Arial" w:eastAsia="Arial" w:hAnsi="Arial"/>
                <w:sz w:val="18"/>
                <w:szCs w:val="18"/>
                <w:color w:val="auto"/>
              </w:rPr>
              <w:t>Income from sales-type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375,169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291,132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84,037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701,904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581,278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120,626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Income from lease financing receivables and loans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22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9,988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Golf revenues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662,623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376,400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1,079,248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750,710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328,538</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expenses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Golf expenses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 in allowance for credit losses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666,180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Transaction and acquisition expenses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602,523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708,011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691,022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(133,128)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(79,806)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(53,322)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(201,270)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8"/>
              </w:rPr>
              <w:t>(156,854)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(44,416)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(Loss) income before income taxes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(57,114)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304,333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(361,447)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185,974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576,916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(390,942)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303,077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(361,218)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184,547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575,176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(390,629)</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6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Less: Net (loss) income attributable to non-</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w w:val="93"/>
              </w:rPr>
              <w:t>Net (loss) income attributable to common stockholders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300,709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(358,415)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182,677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570,510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(387,833)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59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2022 and 2021, our revenue was comprised of the following items: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Three Months Ended June 30,</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ind w:left="300"/>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13"/>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12"/>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Variance</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93"/>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312"/>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2"/>
              <w:spacing w:after="0" w:line="175" w:lineRule="exact"/>
              <w:rPr>
                <w:sz w:val="20"/>
                <w:szCs w:val="20"/>
                <w:color w:val="auto"/>
              </w:rPr>
            </w:pPr>
            <w:r>
              <w:rPr>
                <w:rFonts w:ascii="Arial" w:cs="Arial" w:eastAsia="Arial" w:hAnsi="Arial"/>
                <w:sz w:val="16"/>
                <w:szCs w:val="16"/>
                <w:b w:val="1"/>
                <w:bCs w:val="1"/>
                <w:color w:val="auto"/>
                <w:w w:val="98"/>
              </w:rPr>
              <w:t>Variance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Income from loans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Golf revenues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662,623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286,223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1,079,248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750,710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328,538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Leasing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sales-type and financing receivables leases: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vMerge w:val="restart"/>
          </w:tcPr>
          <w:p>
            <w:pPr>
              <w:spacing w:after="0"/>
              <w:rPr>
                <w:sz w:val="20"/>
                <w:szCs w:val="20"/>
                <w:color w:val="auto"/>
              </w:rPr>
            </w:pPr>
            <w:r>
              <w:rPr>
                <w:rFonts w:ascii="Arial" w:cs="Arial" w:eastAsia="Arial" w:hAnsi="Arial"/>
                <w:sz w:val="16"/>
                <w:szCs w:val="16"/>
                <w:b w:val="1"/>
                <w:bCs w:val="1"/>
                <w:color w:val="auto"/>
                <w:w w:val="99"/>
              </w:rPr>
              <w:t>Three Months Ended June 30,</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ind w:left="300"/>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5"/>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ind w:left="280"/>
              <w:spacing w:after="0" w:line="175"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12"/>
              <w:spacing w:after="0" w:line="175"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Variance</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93"/>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80"/>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ind w:left="80"/>
              <w:spacing w:after="0" w:line="175" w:lineRule="exact"/>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sales-type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375,169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581,278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120,626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Income from lease financing receivables </w:t>
            </w:r>
            <w:r>
              <w:rPr>
                <w:rFonts w:ascii="Arial" w:cs="Arial" w:eastAsia="Arial" w:hAnsi="Arial"/>
                <w:sz w:val="23"/>
                <w:szCs w:val="23"/>
                <w:i w:val="1"/>
                <w:iCs w:val="1"/>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8"/>
              </w:rPr>
              <w:t>251,345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191,276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5"/>
              </w:rPr>
              <w:t>119,961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8"/>
              </w:rPr>
              <w:t>194,403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leasing revenue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626,514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701,239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315,029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Non-cash adjustment </w:t>
            </w:r>
            <w:r>
              <w:rPr>
                <w:rFonts w:ascii="Arial" w:cs="Arial" w:eastAsia="Arial" w:hAnsi="Arial"/>
                <w:sz w:val="23"/>
                <w:szCs w:val="23"/>
                <w:i w:val="1"/>
                <w:iCs w:val="1"/>
                <w:color w:val="auto"/>
                <w:vertAlign w:val="superscript"/>
              </w:rPr>
              <w:t>(2)</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2"/>
              </w:rPr>
              <w:t>(86,408)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(57,010)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2"/>
              </w:rPr>
              <w:t>(57,275)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2"/>
              </w:rPr>
              <w:t>(64,686)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contractual leasing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8"/>
              </w:rPr>
              <w:t>540,106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321,803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218,303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894,307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8"/>
              </w:rPr>
              <w:t>643,964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8"/>
              </w:rPr>
              <w:t>250,343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jc w:val="both"/>
        <w:ind w:firstLine="8"/>
        <w:spacing w:after="0" w:line="241" w:lineRule="auto"/>
        <w:tabs>
          <w:tab w:leader="none" w:pos="212"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MGM Master Lease, Harrah’s Original Call Properties and the JACK Cleveland/Thistledown Lease, all of which were sale leaseback transactions. In accordance with ASC 842, since the lease agreements were determined to meet the definition of a sales-type lease and control of the asset is not considered to have transferred to us, such lease agreements are accounted for as financings under ASC 310.</w:t>
      </w:r>
    </w:p>
    <w:p>
      <w:pPr>
        <w:spacing w:after="0" w:line="1" w:lineRule="exact"/>
        <w:rPr>
          <w:rFonts w:ascii="Arial" w:cs="Arial" w:eastAsia="Arial" w:hAnsi="Arial"/>
          <w:sz w:val="14"/>
          <w:szCs w:val="14"/>
          <w:i w:val="1"/>
          <w:iCs w:val="1"/>
          <w:color w:val="auto"/>
        </w:rPr>
      </w:pPr>
    </w:p>
    <w:p>
      <w:pPr>
        <w:ind w:right="20" w:firstLine="8"/>
        <w:spacing w:after="0" w:line="255" w:lineRule="auto"/>
        <w:tabs>
          <w:tab w:leader="none" w:pos="211"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income from sales-type leases and lease financing receivables in order to recognize income on an effective interest basis at a constant rate of return over the term of the leases.</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Leasing revenue is generated from rent from our Lease Agreements. Total leasing revenue increased $275.3 million and $315.0 million during the three and six months ended June 30, 2022, respectively, compared to the three and six months ended June 30, 2021, respectively. Total contractual leasing revenue increased $218.3 million and $250.3 million during the three and six months ended June 30, 2022, respectively, compared to the three and six months ended June 30, 2021, respectively. The increases were primarily driven by the addition of the MGM Master Lease and Venetian Lease to our portfolio in April 2022 and February 2022, respectively, as well as the annual escalators from certain of our other Lease Agreements.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Loans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Income from loans increased $0.4 million during the three months ended June 30, 2022 compared to the three months ended June 30, 2021. The increase was driven by the addition of the Cabot Citrus Farms Loan and the Great Wolf Lodge Maryland mezzanine loan (the “Great Wolf Maryland Loan”) to our real estate investment portfolio in June 2022 and June 2021, respectively. Income from loans decreased by $0.2 million during the six months ended June 30, 2022 compared to the six months ended June 30, 2021. The decrease was driven by repayment of the $70.0 million term loan with JACK Entertainment in October 2021, partially offset by the addition of the Cabot Citrus Farms Loan and Great Wolf Maryland Loan described above.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income increased $8.6 million and $10.0 million during the three and six months ended June 30, 2022, respectively, compared to the three and six months ended June 30, 2021, respectively. The increase was driven primarily by the additional income and offsetting expense as a result of the assumption of certain sub-leases in connection with the closing of the Venetian Acquisition and MGP Transactions. The Lease Agreements require the tenants to pay all costs associated with such ground and use sub-leases and provide for their direct payment to the landlord.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Revenues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Revenues from VICI’s golf operations increased $1.9 million and $3.7 million during the three and six months ended June 30, 2022, respectively, compared to the three and six months ended June 30, 2021, respectively. The change was primarily driven by an increase in rounds played at the golf courses and an increase in the contractual fees paid to us by Caesars for the use of our golf courses, pursuant to a golf course use agreement.</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2022 and 2021, our operating expenses were comprised of the following items: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vMerge w:val="restart"/>
          </w:tcPr>
          <w:p>
            <w:pPr>
              <w:spacing w:after="0"/>
              <w:rPr>
                <w:sz w:val="20"/>
                <w:szCs w:val="20"/>
                <w:color w:val="auto"/>
              </w:rPr>
            </w:pPr>
            <w:r>
              <w:rPr>
                <w:rFonts w:ascii="Arial" w:cs="Arial" w:eastAsia="Arial" w:hAnsi="Arial"/>
                <w:sz w:val="16"/>
                <w:szCs w:val="16"/>
                <w:b w:val="1"/>
                <w:bCs w:val="1"/>
                <w:color w:val="auto"/>
                <w:w w:val="99"/>
              </w:rPr>
              <w:t>Three Months Ended June 30,</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ind w:left="240"/>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5"/>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12"/>
              <w:spacing w:after="0" w:line="175"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11"/>
              <w:spacing w:after="0" w:line="175"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Variance</w:t>
            </w: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13"/>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291"/>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1"/>
              <w:spacing w:after="0" w:line="175" w:lineRule="exact"/>
              <w:rPr>
                <w:sz w:val="20"/>
                <w:szCs w:val="20"/>
                <w:color w:val="auto"/>
              </w:rPr>
            </w:pPr>
            <w:r>
              <w:rPr>
                <w:rFonts w:ascii="Arial" w:cs="Arial" w:eastAsia="Arial" w:hAnsi="Arial"/>
                <w:sz w:val="16"/>
                <w:szCs w:val="16"/>
                <w:b w:val="1"/>
                <w:bCs w:val="1"/>
                <w:color w:val="auto"/>
                <w:w w:val="98"/>
              </w:rPr>
              <w:t>Variance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Golf expenses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allowance for credit losses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551,876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666,180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Transaction and acquisition expenses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602,523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708,011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691,022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increased $4.2 million and $5.5 million for the three and six months ended June 30, 2022, respectively, as compared to the three and six months ended June 30, 2021, respectively. The increase was primarily driven by an increase in compensation, including stock-based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expenses increased $8.6 million and $10.0 million during the three and six months ended June 30, 2022, respectively, compared to the three and six months ended June 30, 2021, respectively, driven primarily by the additional income and offsetting expense as a result of the assumption of certain sub-leases in connection with the Venetian Acquisition and MGP Transactions. The Lease Agreements require the tenants to pay all costs associated with such ground and use sub-leases and provide for their direct payment to the landlord.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Expenses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Expenses from golf operations for VICI increased $0.6 million and $1.4 million during the three and six months ended June 30, 2022, respectively, compared to the three and six months ended June 30, 2021, respectively. The change was primarily driven by an increase in rounds of golf played across our golf courses.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Allowance for Credit Losses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three and six months ended June 30, 2022, we recognized a $551.9 million and $632.7 million increase, respectively, in our allowance for credit losses primarily driven by initial CECL allowances on our acquisition activity during such periods in the amount of $439.7 million and $515.7 million, respectively, representing 79.9% and 81.5% of the total allowance for three and six months ended June 30, 2022, respectively. The initial CECL allowances were in relation to (i) the closing of the MGP Transactions on April 29, 2022, which included the (a) classification of the MGM Master Lease as a lease financing receivable and (b) the sales-type sub-lease agreements we assumed in connection with the closing of the MGP Transactions and are required to present gross, (ii) the closing of the Venetian Acquisition on February 23, 2022, which included (a) the classification of the Venetian Lease as a sales-type lease, (b) the estimated future funding commitments under the Venetian PGF and (c) the sales-type sub-lease agreements we assumed in connection with the closing of the Venetian Acquisition and are required to present gross, (iii) the future funding commitments upon entry into the BigShots Loan on April 7, 2022, and entry into Cabot Citrus Farms Loan on June 6, 2022. Additional increases were attributable to the increase in the reasonable and supportable period, or R&amp;S Period, probability of default, or PD, of our tenants and their parent guarantors as a result of market volatility during the first and second quarters of 2022. This was partially offset by a decrease in the Long-Term</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Period PD as a result of standard annual updates that were made to the Long-Term PD default study we utilize to estimate our CECL allowance.</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and six months ended June 30, 2021, we recognized a $29.1 million and $33.5 million decrease, respectively, in our allowance for credit losses primarily driven by (i) the decrease in the R&amp;S Period PD of our tenants and their parent guarantors as a result of an improvement in their economic outlook due to the reopening of all of their gaming operations and relative performance of such operations during the first and second quarters of 2021, (ii) the decrease in the Long-Term Period PD due to a credit rating upgrade of the senior secured debt used to determine the Long-Term Period PD for two of our tenants during the second quarter of 2021, and (iii) the decrease in the R&amp;S Period PD and R&amp;S Period LGD as a result of standard annual updates that were made to the inputs and assumptions in the model that we utilize to estimate our CECL allowance.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Acquisition Expenses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 and acquisition expenses increased $15.9 million and $7.9 million during the three and six months ended June 30, 2022, respectively, compared to the three and six months ended June 30, 2021, respectively. Changes in transaction and acquisition expenses are related to fluctuations in (i) costs incurred for investments during the period that are not capitalizable under GAAP and (ii) costs incurred for investments that we are no longer pursuing.</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Non-Operating Income and Expenses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months ended June 30, 2022 and 2021, our non-operating income and expenses were comprised of the following items: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6"/>
            <w:vMerge w:val="restart"/>
          </w:tcPr>
          <w:p>
            <w:pPr>
              <w:jc w:val="right"/>
              <w:ind w:right="290"/>
              <w:spacing w:after="0"/>
              <w:rPr>
                <w:sz w:val="20"/>
                <w:szCs w:val="20"/>
                <w:color w:val="auto"/>
              </w:rPr>
            </w:pPr>
            <w:r>
              <w:rPr>
                <w:rFonts w:ascii="Arial" w:cs="Arial" w:eastAsia="Arial" w:hAnsi="Arial"/>
                <w:sz w:val="16"/>
                <w:szCs w:val="16"/>
                <w:b w:val="1"/>
                <w:bCs w:val="1"/>
                <w:color w:val="auto"/>
                <w:w w:val="91"/>
              </w:rPr>
              <w:t>Three Months Ended June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6"/>
          </w:tcPr>
          <w:p>
            <w:pPr>
              <w:jc w:val="center"/>
              <w:ind w:right="490"/>
              <w:spacing w:after="0"/>
              <w:rPr>
                <w:sz w:val="20"/>
                <w:szCs w:val="20"/>
                <w:color w:val="auto"/>
              </w:rPr>
            </w:pPr>
            <w:r>
              <w:rPr>
                <w:rFonts w:ascii="Arial" w:cs="Arial" w:eastAsia="Arial" w:hAnsi="Arial"/>
                <w:sz w:val="16"/>
                <w:szCs w:val="16"/>
                <w:b w:val="1"/>
                <w:bCs w:val="1"/>
                <w:color w:val="auto"/>
                <w:w w:val="90"/>
              </w:rPr>
              <w:t>Six Months Ended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center"/>
              <w:ind w:left="455"/>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5"/>
                <w:szCs w:val="15"/>
                <w:color w:val="auto"/>
              </w:rPr>
            </w:pPr>
          </w:p>
        </w:tc>
        <w:tc>
          <w:tcPr>
            <w:tcW w:w="1000" w:type="dxa"/>
            <w:vAlign w:val="bottom"/>
          </w:tcPr>
          <w:p>
            <w:pPr>
              <w:jc w:val="right"/>
              <w:ind w:right="314"/>
              <w:spacing w:after="0" w:line="181"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92"/>
              <w:spacing w:after="0" w:line="18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60"/>
              <w:spacing w:after="0" w:line="181" w:lineRule="exact"/>
              <w:rPr>
                <w:sz w:val="20"/>
                <w:szCs w:val="20"/>
                <w:color w:val="auto"/>
              </w:rPr>
            </w:pPr>
            <w:r>
              <w:rPr>
                <w:rFonts w:ascii="Arial" w:cs="Arial" w:eastAsia="Arial" w:hAnsi="Arial"/>
                <w:sz w:val="16"/>
                <w:szCs w:val="16"/>
                <w:b w:val="1"/>
                <w:bCs w:val="1"/>
                <w:color w:val="auto"/>
              </w:rPr>
              <w:t>Variance</w:t>
            </w:r>
          </w:p>
        </w:tc>
        <w:tc>
          <w:tcPr>
            <w:tcW w:w="260" w:type="dxa"/>
            <w:vAlign w:val="bottom"/>
          </w:tcPr>
          <w:p>
            <w:pPr>
              <w:spacing w:after="0"/>
              <w:rPr>
                <w:sz w:val="15"/>
                <w:szCs w:val="15"/>
                <w:color w:val="auto"/>
              </w:rPr>
            </w:pPr>
          </w:p>
        </w:tc>
        <w:tc>
          <w:tcPr>
            <w:tcW w:w="860" w:type="dxa"/>
            <w:vAlign w:val="bottom"/>
          </w:tcPr>
          <w:p>
            <w:pPr>
              <w:jc w:val="right"/>
              <w:ind w:right="315"/>
              <w:spacing w:after="0" w:line="181"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ind w:left="80"/>
              <w:spacing w:after="0" w:line="18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52"/>
              <w:spacing w:after="0" w:line="181" w:lineRule="exact"/>
              <w:rPr>
                <w:sz w:val="20"/>
                <w:szCs w:val="20"/>
                <w:color w:val="auto"/>
              </w:rPr>
            </w:pPr>
            <w:r>
              <w:rPr>
                <w:rFonts w:ascii="Arial" w:cs="Arial" w:eastAsia="Arial" w:hAnsi="Arial"/>
                <w:sz w:val="16"/>
                <w:szCs w:val="16"/>
                <w:b w:val="1"/>
                <w:bCs w:val="1"/>
                <w:color w:val="auto"/>
                <w:w w:val="98"/>
              </w:rPr>
              <w:t>Variance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(133,128)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(79,806)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(201,270)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ind w:left="60"/>
              <w:spacing w:after="0"/>
              <w:rPr>
                <w:sz w:val="20"/>
                <w:szCs w:val="20"/>
                <w:color w:val="auto"/>
              </w:rPr>
            </w:pPr>
            <w:r>
              <w:rPr>
                <w:rFonts w:ascii="Arial" w:cs="Arial" w:eastAsia="Arial" w:hAnsi="Arial"/>
                <w:sz w:val="18"/>
                <w:szCs w:val="18"/>
                <w:color w:val="auto"/>
                <w:w w:val="93"/>
              </w:rPr>
              <w:t>(156,854)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(44,416)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Unconsolidated Affiliate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from unconsolidated affiliate during the three and six months ended June 30, 2022 represents our 50.1% share of the income of the BREIT JV for the period from acquisition on April 29, 2022 through June 30, 2022. The income from unconsolidated affiliate includes the amortization of certain basis differences arising from the differences between our purchase price and the underlying carrying value of the joint venture. As the BREIT JV interest was acquired by us on April 29, 2022 in connection with the closing of the MGP Transactions, no such income was recognized for the three and six months ended June 30,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Interest expense increased $53.3 million and $44.4 million during the three and six months ended June 30, 2022, respectively, as compared to the three and six months ended June 30, 2021, respectively. The increase during the three and six months ended June 30, 2022 was primarily related to the increase in debt from the (i) issuance of the April 2022 Notes, (ii) issuance of the Exchange Notes and (iii) assumption of the MGP OP Notes, the combination of which resulted in an additional $9.2 billion in notional amount of debt at a weighted average interest rate of 4.70%, net of the impact of the forward-starting interest rate swaps and treasury locks. Further increases were related to (i) the amortization of the commitment fees associated with the Venetian Acquisition Bridge Facility and the MGP Transactions Bridge Facility, (ii) the commitment fees on the Revolving Credit Facility and Delayed Draw Term Loan, and (iii) additional interest on the $600.0 million draw on the Revolving Credit Facility (which was repaid in full on April 29, 2022). The increases were partially offset by the full repayment of the Term Loan B Facility and termination of associated interest rate swap agreements in September 2021.</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weighted average annualized interest rate of our debt, net of the impact of the forward-starting interest rate swaps and treasury locks, increased to 4.38% and 4.25% during the three and six months ended June 30, 2022, respectively, from 4.01% and 4.03% during the three and six months ended June 30, 2021, respectively, as a result of a higher weighted average effective interest rate on the April 2022 Notes, Exchange Notes and MGP OP Notes as compared to our outstanding debt during such periods.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MEASURES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VICI’s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VICI’s business.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FFO is a non-GAAP financial measure that is considered a supplemental measure for the real estate industry and a supplement to GAAP measures. Consistent with the definition used by the National Association of Real Estate Investment Trusts (NAREIT), we define FFO as VICI’s net income (or loss) attributable to common stockholders (computed in accordance with GAAP) excluding (i) gains (or losses) from sales of certain real estate assets, (ii) depreciation and amortization related to real estate, (iii) gains and losses from change in control, (iv) impairment write-downs of certain real estate assets and investments in entities when the impairment is directly attributable to decreases in the value of depreciable real estate held by the entity and (v) our proportionate share of such adjustments from our investment in unconsolidated affiliate.</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AFFO is a non-GAAP financial measure that we use as a supplemental operating measure to evaluate VICI’s performance. We calculate VICI’s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non-recurring non-cash transactions, our proportionate share of non-cash adjustments from our investment in unconsolidated affiliate (including the amortization of any basis differences) with respect to certain of the foregoing and non-cash adjustments attributable to non-controlling interest with respect to certain of the foregoing.</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calculate VICI’s Adjusted EBITDA by adding or subtracting from AFFO contractual interest expense (including the impact of the forward-starting interest rate swaps and treasury locks) and interest income (collectively, interest expense, net), income tax expense and our proportionate share of such adjustments from our investment in unconsolidated affiliate.</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non-GAAP financial measures: (i) do not represent VICI’s cash flow from operations as defined by GAAP; (ii) should not be considered as an alternative to VICI’s net income as a measure of operating performance or to cash flows from operating, investing and financing activities; and (iii) are not alternatives to VICI’s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VICI’s financial results in accordance with GAAP.</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VICI’s Net Income to FFO, FFO per Share, AFFO, AFFO per Share and Adjusted EBITDA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640" w:type="dxa"/>
            <w:vAlign w:val="bottom"/>
            <w:gridSpan w:val="4"/>
          </w:tcPr>
          <w:p>
            <w:pPr>
              <w:jc w:val="right"/>
              <w:ind w:right="41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share data and per share data)</w:t>
            </w: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51"/>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50"/>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51"/>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50"/>
              <w:spacing w:after="0" w:line="172"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12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attributable to common stockholders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Real estate depreciation</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Joint venture depreciation and non-controlling interest adjustments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FFO attributable to common stockholders</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(50,396)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300,709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189,987</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570,510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leasing and financing adjustments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Non-cash change in allowance for credit losses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551,876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632,696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(33,484)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stock-based compensation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Transaction and acquisition expenses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debt issuance costs and original issue discount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Other depreciation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w w:val="91"/>
              </w:rPr>
              <w:t>(Gain) loss on extinguishment of debt and interest rate swap settlements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Joint venture non-cash adjustments and non-controlling interest</w:t>
            </w:r>
          </w:p>
        </w:tc>
        <w:tc>
          <w:tcPr>
            <w:tcW w:w="2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(12,058)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(11,856)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AFFO attributable to common stockholders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430,050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256,127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735,545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511,139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Joint venture interest expense and non-controlling interest adjustments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Adjusted EBITDA attributable to common stockholders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564,490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327,225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922,457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653,059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Net (loss) income per common share</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FFO per common share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20" w:type="dxa"/>
            <w:vAlign w:val="bottom"/>
            <w:gridSpan w:val="8"/>
          </w:tcPr>
          <w:p>
            <w:pPr>
              <w:spacing w:after="0" w:line="230" w:lineRule="exact"/>
              <w:rPr>
                <w:sz w:val="20"/>
                <w:szCs w:val="20"/>
                <w:color w:val="auto"/>
              </w:rPr>
            </w:pPr>
            <w:r>
              <w:rPr>
                <w:rFonts w:ascii="Arial" w:cs="Arial" w:eastAsia="Arial" w:hAnsi="Arial"/>
                <w:sz w:val="18"/>
                <w:szCs w:val="18"/>
                <w:b w:val="1"/>
                <w:bCs w:val="1"/>
                <w:color w:val="auto"/>
                <w:w w:val="98"/>
              </w:rPr>
              <w:t xml:space="preserve">Weighted average number of shares of common stock outstanding - Net (Loss) Income and FFO </w:t>
            </w:r>
            <w:r>
              <w:rPr>
                <w:rFonts w:ascii="Arial" w:cs="Arial" w:eastAsia="Arial" w:hAnsi="Arial"/>
                <w:sz w:val="23"/>
                <w:szCs w:val="23"/>
                <w:b w:val="1"/>
                <w:bCs w:val="1"/>
                <w:i w:val="1"/>
                <w:iCs w:val="1"/>
                <w:color w:val="auto"/>
                <w:w w:val="98"/>
                <w:vertAlign w:val="superscript"/>
              </w:rPr>
              <w:t>(1)</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896,545,880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536,692,167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791,029,664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536,586,921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896,545,880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554,438,981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793,224,837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549,620,976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12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AFFO per common share</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20" w:type="dxa"/>
            <w:vAlign w:val="bottom"/>
            <w:gridSpan w:val="5"/>
            <w:shd w:val="clear" w:color="auto" w:fill="CCEEFF"/>
          </w:tcPr>
          <w:p>
            <w:pPr>
              <w:spacing w:after="0" w:line="230" w:lineRule="exact"/>
              <w:rPr>
                <w:sz w:val="20"/>
                <w:szCs w:val="20"/>
                <w:color w:val="auto"/>
              </w:rPr>
            </w:pPr>
            <w:r>
              <w:rPr>
                <w:rFonts w:ascii="Arial" w:cs="Arial" w:eastAsia="Arial" w:hAnsi="Arial"/>
                <w:sz w:val="18"/>
                <w:szCs w:val="18"/>
                <w:b w:val="1"/>
                <w:bCs w:val="1"/>
                <w:color w:val="auto"/>
              </w:rPr>
              <w:t xml:space="preserve">Weighted average number of shares of common stock outstanding - AFFO </w:t>
            </w:r>
            <w:r>
              <w:rPr>
                <w:rFonts w:ascii="Arial" w:cs="Arial" w:eastAsia="Arial" w:hAnsi="Arial"/>
                <w:sz w:val="23"/>
                <w:szCs w:val="23"/>
                <w:b w:val="1"/>
                <w:bCs w:val="1"/>
                <w:i w:val="1"/>
                <w:iCs w:val="1"/>
                <w:color w:val="auto"/>
                <w:vertAlign w:val="superscript"/>
              </w:rPr>
              <w:t>(1)</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896,545,880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536,692,167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791,029,664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536,586,921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897,362,588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554,438,981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793,224,837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549,620,976</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jc w:val="both"/>
        <w:ind w:left="340" w:hanging="332"/>
        <w:spacing w:after="0" w:line="246" w:lineRule="auto"/>
        <w:tabs>
          <w:tab w:leader="none" w:pos="332"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For the three months ended June 30, 2022, the diluted weighted average number of shares of common stock outstanding in relation to AFFO is adjusted to include the dilutive effect, using the treasury stock method, of the assumed conversion of our restricted stock in the amount of 816,708 shares. For the three months ended June 30, 2022, such amounts have been excluded from the diluted weighted average number of shares of common stock in relation to net (loss) income and FFO as these were in loss positions and the effect of inclusion would have been anti-dilutive.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2022, our available cash balances, capacity under our Revolving Credit Facility and Delayed Draw Term Loan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2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600" w:type="dxa"/>
            <w:vAlign w:val="bottom"/>
          </w:tcPr>
          <w:p>
            <w:pPr>
              <w:spacing w:after="0"/>
              <w:rPr>
                <w:sz w:val="16"/>
                <w:szCs w:val="16"/>
                <w:color w:val="auto"/>
              </w:rPr>
            </w:pPr>
          </w:p>
        </w:tc>
        <w:tc>
          <w:tcPr>
            <w:tcW w:w="2420" w:type="dxa"/>
            <w:vAlign w:val="bottom"/>
          </w:tcPr>
          <w:p>
            <w:pPr>
              <w:jc w:val="right"/>
              <w:ind w:right="972"/>
              <w:spacing w:after="0"/>
              <w:rPr>
                <w:sz w:val="20"/>
                <w:szCs w:val="20"/>
                <w:color w:val="auto"/>
              </w:rPr>
            </w:pPr>
            <w:r>
              <w:rPr>
                <w:rFonts w:ascii="Arial" w:cs="Arial" w:eastAsia="Arial" w:hAnsi="Arial"/>
                <w:sz w:val="15"/>
                <w:szCs w:val="15"/>
                <w:b w:val="1"/>
                <w:bCs w:val="1"/>
                <w:color w:val="auto"/>
              </w:rPr>
              <w:t>June 30, 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614,001</w:t>
            </w:r>
          </w:p>
        </w:tc>
      </w:tr>
      <w:tr>
        <w:trPr>
          <w:trHeight w:val="229"/>
        </w:trPr>
        <w:tc>
          <w:tcPr>
            <w:tcW w:w="20" w:type="dxa"/>
            <w:vAlign w:val="bottom"/>
          </w:tcPr>
          <w:p>
            <w:pPr>
              <w:spacing w:after="0"/>
              <w:rPr>
                <w:sz w:val="19"/>
                <w:szCs w:val="19"/>
                <w:color w:val="auto"/>
              </w:rPr>
            </w:pPr>
          </w:p>
        </w:tc>
        <w:tc>
          <w:tcPr>
            <w:tcW w:w="82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Capacity under Revolving Credit Facility </w:t>
            </w:r>
            <w:r>
              <w:rPr>
                <w:rFonts w:ascii="Arial" w:cs="Arial" w:eastAsia="Arial" w:hAnsi="Arial"/>
                <w:sz w:val="23"/>
                <w:szCs w:val="23"/>
                <w:i w:val="1"/>
                <w:iCs w:val="1"/>
                <w:color w:val="auto"/>
                <w:vertAlign w:val="superscript"/>
              </w:rPr>
              <w:t>(1)</w:t>
            </w:r>
          </w:p>
        </w:tc>
        <w:tc>
          <w:tcPr>
            <w:tcW w:w="6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2,500,000</w:t>
            </w:r>
          </w:p>
        </w:tc>
      </w:tr>
      <w:tr>
        <w:trPr>
          <w:trHeight w:val="257"/>
        </w:trPr>
        <w:tc>
          <w:tcPr>
            <w:tcW w:w="20" w:type="dxa"/>
            <w:vAlign w:val="bottom"/>
            <w:shd w:val="clear" w:color="auto" w:fill="CCEEFF"/>
          </w:tcPr>
          <w:p>
            <w:pPr>
              <w:spacing w:after="0"/>
              <w:rPr>
                <w:sz w:val="22"/>
                <w:szCs w:val="22"/>
                <w:color w:val="auto"/>
              </w:rPr>
            </w:pPr>
          </w:p>
        </w:tc>
        <w:tc>
          <w:tcPr>
            <w:tcW w:w="82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Capacity under Delayed Draw Term Loan </w:t>
            </w:r>
            <w:r>
              <w:rPr>
                <w:rFonts w:ascii="Arial" w:cs="Arial" w:eastAsia="Arial" w:hAnsi="Arial"/>
                <w:sz w:val="23"/>
                <w:szCs w:val="23"/>
                <w:i w:val="1"/>
                <w:iCs w:val="1"/>
                <w:color w:val="auto"/>
                <w:vertAlign w:val="superscript"/>
              </w:rPr>
              <w:t>(1)</w:t>
            </w:r>
          </w:p>
        </w:tc>
        <w:tc>
          <w:tcPr>
            <w:tcW w:w="600" w:type="dxa"/>
            <w:vAlign w:val="bottom"/>
            <w:shd w:val="clear" w:color="auto" w:fill="CCEEFF"/>
          </w:tcPr>
          <w:p>
            <w:pPr>
              <w:spacing w:after="0"/>
              <w:rPr>
                <w:sz w:val="22"/>
                <w:szCs w:val="22"/>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57"/>
        </w:trPr>
        <w:tc>
          <w:tcPr>
            <w:tcW w:w="20" w:type="dxa"/>
            <w:vAlign w:val="bottom"/>
            <w:tcBorders>
              <w:bottom w:val="single" w:sz="8" w:color="CCEEFF"/>
            </w:tcBorders>
          </w:tcPr>
          <w:p>
            <w:pPr>
              <w:spacing w:after="0"/>
              <w:rPr>
                <w:sz w:val="22"/>
                <w:szCs w:val="22"/>
                <w:color w:val="auto"/>
              </w:rPr>
            </w:pPr>
          </w:p>
        </w:tc>
        <w:tc>
          <w:tcPr>
            <w:tcW w:w="8200" w:type="dxa"/>
            <w:vAlign w:val="bottom"/>
            <w:tcBorders>
              <w:bottom w:val="single" w:sz="8" w:color="CCEEFF"/>
            </w:tcBorders>
            <w:gridSpan w:val="2"/>
          </w:tcPr>
          <w:p>
            <w:pPr>
              <w:spacing w:after="0" w:line="256" w:lineRule="exact"/>
              <w:rPr>
                <w:sz w:val="20"/>
                <w:szCs w:val="20"/>
                <w:color w:val="auto"/>
              </w:rPr>
            </w:pPr>
            <w:r>
              <w:rPr>
                <w:rFonts w:ascii="Arial" w:cs="Arial" w:eastAsia="Arial" w:hAnsi="Arial"/>
                <w:sz w:val="18"/>
                <w:szCs w:val="18"/>
                <w:color w:val="auto"/>
              </w:rPr>
              <w:t xml:space="preserve">Proceeds available from settlement of the June 2022 ATM Forward Sale Agreement </w:t>
            </w:r>
            <w:r>
              <w:rPr>
                <w:rFonts w:ascii="Arial" w:cs="Arial" w:eastAsia="Arial" w:hAnsi="Arial"/>
                <w:sz w:val="23"/>
                <w:szCs w:val="23"/>
                <w:i w:val="1"/>
                <w:iCs w:val="1"/>
                <w:color w:val="auto"/>
                <w:vertAlign w:val="superscript"/>
              </w:rPr>
              <w:t>(2)</w:t>
            </w:r>
          </w:p>
        </w:tc>
        <w:tc>
          <w:tcPr>
            <w:tcW w:w="6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360,042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4,474,043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47" w:lineRule="auto"/>
        <w:tabs>
          <w:tab w:leader="none" w:pos="332"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In addition, the Credit Facilities include the option to increase the revolving loan commitments by up to $1.0 billion and increase the Delayed Draw Term Loan commitments or add one or more new tranches of term loans by up to $1.0 billion in the aggregate, in each case, to the extent that any one or more lenders (from the syndicate or otherwise) agree to provide such additional credit extensions.</w:t>
      </w:r>
    </w:p>
    <w:p>
      <w:pPr>
        <w:ind w:left="320" w:hanging="312"/>
        <w:spacing w:after="0"/>
        <w:tabs>
          <w:tab w:leader="none" w:pos="320" w:val="left"/>
        </w:tabs>
        <w:numPr>
          <w:ilvl w:val="0"/>
          <w:numId w:val="38"/>
        </w:numPr>
        <w:rPr>
          <w:rFonts w:ascii="Arial" w:cs="Arial" w:eastAsia="Arial" w:hAnsi="Arial"/>
          <w:sz w:val="13"/>
          <w:szCs w:val="13"/>
          <w:i w:val="1"/>
          <w:iCs w:val="1"/>
          <w:color w:val="auto"/>
        </w:rPr>
      </w:pPr>
      <w:r>
        <w:rPr>
          <w:rFonts w:ascii="Arial" w:cs="Arial" w:eastAsia="Arial" w:hAnsi="Arial"/>
          <w:sz w:val="13"/>
          <w:szCs w:val="13"/>
          <w:i w:val="1"/>
          <w:iCs w:val="1"/>
          <w:color w:val="auto"/>
        </w:rPr>
        <w:t>Assumes the physical settlement of the 11,380,980 shares under the June 2022 ATM Forward Sale Agreement at the forward sale price per share of $31.64, calculated as of June 30, 2022.</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have sufficient liquidity to meet our material cash requirements, including our contractual obligations and commitments as well as our additional funding requirements, primarily through currently available cash and cash equivalents, cash received under our Lease Agreements, existing borrowings from banks, including our Delayed Draw Term Loan and undrawn capacity under our Revolving Credit Facility, and proceeds from future issuances of debt and equity securities (including issuances under our ATM Agreement) for the next 12 months and in future periods.</w:t>
      </w:r>
    </w:p>
    <w:p>
      <w:pPr>
        <w:spacing w:after="0" w:line="117" w:lineRule="exact"/>
        <w:rPr>
          <w:sz w:val="20"/>
          <w:szCs w:val="20"/>
          <w:color w:val="auto"/>
        </w:rPr>
      </w:pPr>
    </w:p>
    <w:p>
      <w:pPr>
        <w:jc w:val="both"/>
        <w:spacing w:after="0" w:line="289" w:lineRule="auto"/>
        <w:rPr>
          <w:rFonts w:ascii="Arial" w:cs="Arial" w:eastAsia="Arial" w:hAnsi="Arial"/>
          <w:sz w:val="16"/>
          <w:szCs w:val="16"/>
          <w:color w:val="0000FF"/>
        </w:rPr>
      </w:pPr>
      <w:r>
        <w:rPr>
          <w:rFonts w:ascii="Arial" w:cs="Arial" w:eastAsia="Arial" w:hAnsi="Arial"/>
          <w:sz w:val="16"/>
          <w:szCs w:val="16"/>
          <w:color w:val="auto"/>
        </w:rPr>
        <w:t xml:space="preserve">All of the Lease Agreements call for an initial term of between fifteen and thirty years with additional tenant renewal options and are designed to provide us with a reliable and predictable long-term revenue stream. Our cash flows from operations and our ability to access capital resources could be adversely affected due to uncertain economic factors and volatility in the financial and credit markets, including as a result of the COVID-19 pandemic. In particular, in connection with the COVID-19 pandemic and its impact on our tenants’ operations and financial performance, we can provide no assurances that our tenants will not default on their leases or fail to make full rental payments if their businesses become challenged due to, among other things, current or future adverse economic conditions. In the event our tenants are unable to make all of their contractual rent payments as provided by the Lease Agreements, we believe we have sufficient liquidity from the other sources discussed above to meet all of our contractual obligations for a significant period of time. Additionally, we do not have any debt maturities until 2024. For more information, refer to the risk factors incorporated by reference into </w:t>
      </w:r>
      <w:hyperlink w:anchor="page71">
        <w:r>
          <w:rPr>
            <w:rFonts w:ascii="Arial" w:cs="Arial" w:eastAsia="Arial" w:hAnsi="Arial"/>
            <w:sz w:val="16"/>
            <w:szCs w:val="16"/>
            <w:u w:val="single" w:color="auto"/>
            <w:color w:val="0000FF"/>
          </w:rPr>
          <w:t>Part II. Item 1A. Risk Factors</w:t>
        </w:r>
        <w:r>
          <w:rPr>
            <w:rFonts w:ascii="Arial" w:cs="Arial" w:eastAsia="Arial" w:hAnsi="Arial"/>
            <w:sz w:val="16"/>
            <w:szCs w:val="16"/>
            <w:color w:val="0000FF"/>
          </w:rPr>
          <w:t xml:space="preserve"> </w:t>
        </w:r>
      </w:hyperlink>
      <w:r>
        <w:rPr>
          <w:rFonts w:ascii="Arial" w:cs="Arial" w:eastAsia="Arial" w:hAnsi="Arial"/>
          <w:sz w:val="16"/>
          <w:szCs w:val="16"/>
          <w:color w:val="000000"/>
        </w:rPr>
        <w:t>herein</w:t>
      </w:r>
      <w:r>
        <w:rPr>
          <w:rFonts w:ascii="Arial" w:cs="Arial" w:eastAsia="Arial" w:hAnsi="Arial"/>
          <w:sz w:val="16"/>
          <w:szCs w:val="16"/>
          <w:color w:val="0000FF"/>
        </w:rPr>
        <w:t xml:space="preserve"> </w:t>
      </w:r>
      <w:r>
        <w:rPr>
          <w:rFonts w:ascii="Arial" w:cs="Arial" w:eastAsia="Arial" w:hAnsi="Arial"/>
          <w:sz w:val="16"/>
          <w:szCs w:val="16"/>
          <w:color w:val="000000"/>
        </w:rPr>
        <w:t>from our</w:t>
      </w:r>
      <w:r>
        <w:rPr>
          <w:rFonts w:ascii="Arial" w:cs="Arial" w:eastAsia="Arial" w:hAnsi="Arial"/>
          <w:sz w:val="16"/>
          <w:szCs w:val="16"/>
          <w:color w:val="0000FF"/>
        </w:rPr>
        <w:t xml:space="preserve"> </w:t>
      </w:r>
      <w:hyperlink r:id="rId81">
        <w:r>
          <w:rPr>
            <w:rFonts w:ascii="Arial" w:cs="Arial" w:eastAsia="Arial" w:hAnsi="Arial"/>
            <w:sz w:val="16"/>
            <w:szCs w:val="16"/>
            <w:u w:val="single" w:color="auto"/>
            <w:color w:val="0000FF"/>
          </w:rPr>
          <w:t>Annual Report on Form 10-K for the year ended December 31, 2021</w:t>
        </w:r>
      </w:hyperlink>
      <w:r>
        <w:rPr>
          <w:rFonts w:ascii="Arial" w:cs="Arial" w:eastAsia="Arial" w:hAnsi="Arial"/>
          <w:sz w:val="16"/>
          <w:szCs w:val="16"/>
          <w:color w:val="000000"/>
        </w:rPr>
        <w:t>.</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raise funds through the issuance of debt and equity securities and access to other third-party sources of capital in the future will be dependent on, among other things, general economic conditions, general market conditions for REITs and investment grade issuers, market perceptions, the trading price of our stock and uncertainties related to COVID-19 and the impact of our response and our tenants’ responses to COVID-19. We will continue to analyze which sources of capital are most advantageous to us at any particular point in time, but the capital markets may not be consistently available on terms we deem attractive, or at all.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Our short-term obligations consist primarily of regular interest payments on our debt obligations, dividends to our common stockholders, distributions to the VICI OP unit holders, normal recurring operating expenses, recurring expenditures for corporate and administrative needs, certain lease and other contractual commitments related to our golf operations and certain non-recurring expenditures. For more information on our material contractual commitments, refer to </w:t>
      </w:r>
      <w:hyperlink w:anchor="page43">
        <w:r>
          <w:rPr>
            <w:rFonts w:ascii="Arial" w:cs="Arial" w:eastAsia="Arial" w:hAnsi="Arial"/>
            <w:sz w:val="18"/>
            <w:szCs w:val="18"/>
            <w:u w:val="single" w:color="auto"/>
            <w:color w:val="0000FF"/>
          </w:rPr>
          <w:t>Note 10 - Commitments and Contingent Liabilities</w:t>
        </w:r>
      </w:hyperlink>
      <w:r>
        <w:rPr>
          <w:rFonts w:ascii="Arial" w:cs="Arial" w:eastAsia="Arial" w:hAnsi="Arial"/>
          <w:sz w:val="18"/>
          <w:szCs w:val="18"/>
          <w:color w:val="auto"/>
        </w:rPr>
        <w:t>.</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long-term obligations consist primarily of principal payments on our outstanding debt obligations and future funding commitments under our lease and loan agreements. As of June 30, 2022, we have $14.0 billion of debt obligations outstanding (excluding approximately $1.5 billion of debt obligations held by the BREIT JV), none of which are maturing in the next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twelve months. For a summary of principal debt balances and their maturity dates and principal terms, refer to </w:t>
      </w:r>
      <w:hyperlink w:anchor="page35">
        <w:r>
          <w:rPr>
            <w:rFonts w:ascii="Arial" w:cs="Arial" w:eastAsia="Arial" w:hAnsi="Arial"/>
            <w:sz w:val="18"/>
            <w:szCs w:val="18"/>
            <w:u w:val="single" w:color="auto"/>
            <w:color w:val="0000FF"/>
          </w:rPr>
          <w:t>Note 7 - Debt</w:t>
        </w:r>
      </w:hyperlink>
      <w:r>
        <w:rPr>
          <w:rFonts w:ascii="Arial" w:cs="Arial" w:eastAsia="Arial" w:hAnsi="Arial"/>
          <w:sz w:val="18"/>
          <w:szCs w:val="18"/>
          <w:color w:val="auto"/>
        </w:rPr>
        <w:t xml:space="preserve">. For a summary of our future funding commitments under our loan portfolio, refer to </w:t>
      </w:r>
      <w:hyperlink w:anchor="page27">
        <w:r>
          <w:rPr>
            <w:rFonts w:ascii="Arial" w:cs="Arial" w:eastAsia="Arial" w:hAnsi="Arial"/>
            <w:sz w:val="18"/>
            <w:szCs w:val="18"/>
            <w:u w:val="single" w:color="auto"/>
            <w:color w:val="0000FF"/>
          </w:rPr>
          <w:t>Note 4 - Real Estate Portfolio</w:t>
        </w:r>
      </w:hyperlink>
      <w:r>
        <w:rPr>
          <w:rFonts w:ascii="Arial" w:cs="Arial" w:eastAsia="Arial" w:hAnsi="Arial"/>
          <w:sz w:val="18"/>
          <w:szCs w:val="18"/>
          <w:color w:val="auto"/>
        </w:rPr>
        <w:t>.</w:t>
      </w:r>
    </w:p>
    <w:p>
      <w:pPr>
        <w:spacing w:after="0" w:line="116"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As described in our leases, capital expenditures for properties under the Lease Agreements are the responsibility of the tenants. Minimum capital expenditure spending requirements of the tenants pursuant to the Lease Agreements are described in </w:t>
      </w:r>
      <w:hyperlink w:anchor="page27">
        <w:r>
          <w:rPr>
            <w:rFonts w:ascii="Arial" w:cs="Arial" w:eastAsia="Arial" w:hAnsi="Arial"/>
            <w:sz w:val="18"/>
            <w:szCs w:val="18"/>
            <w:u w:val="single" w:color="auto"/>
            <w:color w:val="0000FF"/>
          </w:rPr>
          <w:t>Note 4 - Real Estate Portfolio</w:t>
        </w:r>
      </w:hyperlink>
      <w:r>
        <w:rPr>
          <w:rFonts w:ascii="Arial" w:cs="Arial" w:eastAsia="Arial" w:hAnsi="Arial"/>
          <w:sz w:val="18"/>
          <w:szCs w:val="18"/>
          <w:color w:val="auto"/>
        </w:rPr>
        <w: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concerning our material contractual obligations and commitments to make future payments under contracts such as our indebtedness and future minimum lease commitments under operating leases is included in the following table as of June 30, 2022. Amounts in this table omit, among other things, non-contractual commitments and items such as dividends and recurring or non-recurring operating expenses and other expenditures, including acquisitions and other investments.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Payments Due By Period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40" w:type="dxa"/>
            <w:vAlign w:val="bottom"/>
          </w:tcPr>
          <w:p>
            <w:pPr>
              <w:spacing w:after="0"/>
              <w:rPr>
                <w:sz w:val="13"/>
                <w:szCs w:val="13"/>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13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2022 (remaining)</w:t>
            </w:r>
          </w:p>
        </w:tc>
        <w:tc>
          <w:tcPr>
            <w:tcW w:w="280" w:type="dxa"/>
            <w:vAlign w:val="bottom"/>
          </w:tcPr>
          <w:p>
            <w:pPr>
              <w:spacing w:after="0"/>
              <w:rPr>
                <w:sz w:val="13"/>
                <w:szCs w:val="13"/>
                <w:color w:val="auto"/>
              </w:rPr>
            </w:pPr>
          </w:p>
        </w:tc>
        <w:tc>
          <w:tcPr>
            <w:tcW w:w="96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31"/>
              <w:spacing w:after="0" w:line="158" w:lineRule="exact"/>
              <w:rPr>
                <w:sz w:val="20"/>
                <w:szCs w:val="20"/>
                <w:color w:val="auto"/>
              </w:rPr>
            </w:pPr>
            <w:r>
              <w:rPr>
                <w:rFonts w:ascii="Arial" w:cs="Arial" w:eastAsia="Arial" w:hAnsi="Arial"/>
                <w:sz w:val="16"/>
                <w:szCs w:val="16"/>
                <w:b w:val="1"/>
                <w:bCs w:val="1"/>
                <w:color w:val="auto"/>
              </w:rPr>
              <w:t>2026 and</w:t>
            </w:r>
          </w:p>
        </w:tc>
        <w:tc>
          <w:tcPr>
            <w:tcW w:w="0" w:type="dxa"/>
            <w:vAlign w:val="bottom"/>
          </w:tcPr>
          <w:p>
            <w:pPr>
              <w:spacing w:after="0"/>
              <w:rPr>
                <w:sz w:val="1"/>
                <w:szCs w:val="1"/>
                <w:color w:val="auto"/>
              </w:rPr>
            </w:pPr>
          </w:p>
        </w:tc>
      </w:tr>
      <w:tr>
        <w:trPr>
          <w:trHeight w:val="213"/>
        </w:trPr>
        <w:tc>
          <w:tcPr>
            <w:tcW w:w="3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212"/>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principal</w:t>
            </w: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00"/>
              <w:spacing w:after="0"/>
              <w:rPr>
                <w:sz w:val="20"/>
                <w:szCs w:val="20"/>
                <w:color w:val="auto"/>
              </w:rPr>
            </w:pPr>
            <w:r>
              <w:rPr>
                <w:rFonts w:ascii="Arial" w:cs="Arial" w:eastAsia="Arial" w:hAnsi="Arial"/>
                <w:sz w:val="18"/>
                <w:szCs w:val="18"/>
                <w:color w:val="auto"/>
              </w:rPr>
              <w:t>Senior Unsecured Notes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13,950,000</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1,050,000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2,050,000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10,850,000</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Revolving Credit Facility</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tcPr>
          <w:p>
            <w:pPr>
              <w:ind w:left="100"/>
              <w:spacing w:after="0"/>
              <w:rPr>
                <w:sz w:val="20"/>
                <w:szCs w:val="20"/>
                <w:color w:val="auto"/>
              </w:rPr>
            </w:pPr>
            <w:r>
              <w:rPr>
                <w:rFonts w:ascii="Arial" w:cs="Arial" w:eastAsia="Arial" w:hAnsi="Arial"/>
                <w:sz w:val="18"/>
                <w:szCs w:val="18"/>
                <w:color w:val="auto"/>
              </w:rPr>
              <w:t>Delayed Draw Term Loan</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Scheduled interest payments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4,899,049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341,087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2,714,781</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debt contractual obligations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18,849,049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341,087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1,675,876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2,607,121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13,564,781</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Leases and contracts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Future funding commitments – loan</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221,523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198,832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investments and lease agreements</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line="176" w:lineRule="exact"/>
              <w:rPr>
                <w:sz w:val="20"/>
                <w:szCs w:val="20"/>
                <w:color w:val="auto"/>
              </w:rPr>
            </w:pPr>
            <w:r>
              <w:rPr>
                <w:rFonts w:ascii="Arial" w:cs="Arial" w:eastAsia="Arial" w:hAnsi="Arial"/>
                <w:sz w:val="18"/>
                <w:szCs w:val="18"/>
                <w:color w:val="auto"/>
                <w:w w:val="95"/>
              </w:rPr>
              <w:t>Operating lease for Cascata Golf Course</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18,341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14,895</w:t>
            </w:r>
          </w:p>
        </w:tc>
        <w:tc>
          <w:tcPr>
            <w:tcW w:w="0" w:type="dxa"/>
            <w:vAlign w:val="bottom"/>
          </w:tcPr>
          <w:p>
            <w:pPr>
              <w:spacing w:after="0"/>
              <w:rPr>
                <w:sz w:val="1"/>
                <w:szCs w:val="1"/>
                <w:color w:val="auto"/>
              </w:rPr>
            </w:pPr>
          </w:p>
        </w:tc>
      </w:tr>
      <w:tr>
        <w:trPr>
          <w:trHeight w:val="230"/>
        </w:trPr>
        <w:tc>
          <w:tcPr>
            <w:tcW w:w="3240" w:type="dxa"/>
            <w:vAlign w:val="bottom"/>
          </w:tcPr>
          <w:p>
            <w:pPr>
              <w:ind w:left="100"/>
              <w:spacing w:after="0"/>
              <w:rPr>
                <w:sz w:val="20"/>
                <w:szCs w:val="20"/>
                <w:color w:val="auto"/>
              </w:rPr>
            </w:pPr>
            <w:r>
              <w:rPr>
                <w:rFonts w:ascii="Arial" w:cs="Arial" w:eastAsia="Arial" w:hAnsi="Arial"/>
                <w:sz w:val="18"/>
                <w:szCs w:val="18"/>
                <w:color w:val="auto"/>
              </w:rPr>
              <w:t>Land</w:t>
            </w: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6"/>
              </w:rPr>
              <w:t>Golf maintenance contract for Rio Secco</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and Cascata Golf Course</w:t>
            </w: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Office leases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leases and contract obligations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34,075</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commitments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19,101,345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351,440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864,296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1,677,723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2,609,030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13,598,856</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7" w:lineRule="exact"/>
        <w:rPr>
          <w:sz w:val="20"/>
          <w:szCs w:val="20"/>
          <w:color w:val="auto"/>
        </w:rPr>
      </w:pPr>
    </w:p>
    <w:p>
      <w:pPr>
        <w:ind w:firstLine="8"/>
        <w:spacing w:after="0" w:line="255" w:lineRule="auto"/>
        <w:tabs>
          <w:tab w:leader="none" w:pos="206"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The allocation of our future funding commitments is based on the construction draw schedule, commitment funding date, expiration date or other information, as applicable, however we may be obligated to fund these commitments earlier than such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Funding Requirements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the contractual obligations and commitments set forth in the table above, we have and may enter into additional agreements that commit us to potentially acquire properties in the future, fund future property improvements or otherwise provide capital to our tenants, borrowers and other counterparties, including through our put-call agreements and Partner Property Growth Fund. As of June 30, 2022, we had $1.0 billion of potential future funding commitments under our Partner Property Growth Fund agreements. The use of the Partner Property Growth Fund commitments are at the discretion of our tenants and there is no guarantee any such commitments will be drawn upon.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Analysis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flows for the six months ended June 30, 2022 and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20" w:type="dxa"/>
            <w:vAlign w:val="bottom"/>
            <w:gridSpan w:val="5"/>
          </w:tcPr>
          <w:p>
            <w:pPr>
              <w:ind w:left="440"/>
              <w:spacing w:after="0"/>
              <w:rPr>
                <w:sz w:val="20"/>
                <w:szCs w:val="20"/>
                <w:color w:val="auto"/>
              </w:rPr>
            </w:pPr>
            <w:r>
              <w:rPr>
                <w:rFonts w:ascii="Arial" w:cs="Arial" w:eastAsia="Arial" w:hAnsi="Arial"/>
                <w:sz w:val="16"/>
                <w:szCs w:val="16"/>
                <w:b w:val="1"/>
                <w:bCs w:val="1"/>
                <w:color w:val="auto"/>
              </w:rPr>
              <w:t>Six Months Ended June 30,</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5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632"/>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631"/>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ind w:right="471"/>
              <w:spacing w:after="0" w:line="175" w:lineRule="exact"/>
              <w:rPr>
                <w:sz w:val="20"/>
                <w:szCs w:val="20"/>
                <w:color w:val="auto"/>
              </w:rPr>
            </w:pPr>
            <w:r>
              <w:rPr>
                <w:rFonts w:ascii="Arial" w:cs="Arial" w:eastAsia="Arial" w:hAnsi="Arial"/>
                <w:sz w:val="16"/>
                <w:szCs w:val="16"/>
                <w:b w:val="1"/>
                <w:bCs w:val="1"/>
                <w:color w:val="auto"/>
              </w:rPr>
              <w:t>Variance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760" w:type="dxa"/>
            <w:vAlign w:val="bottom"/>
            <w:gridSpan w:val="2"/>
          </w:tcPr>
          <w:p>
            <w:pPr>
              <w:ind w:left="100"/>
              <w:spacing w:after="0"/>
              <w:rPr>
                <w:sz w:val="20"/>
                <w:szCs w:val="20"/>
                <w:color w:val="auto"/>
              </w:rPr>
            </w:pPr>
            <w:r>
              <w:rPr>
                <w:rFonts w:ascii="Arial" w:cs="Arial" w:eastAsia="Arial" w:hAnsi="Arial"/>
                <w:sz w:val="18"/>
                <w:szCs w:val="18"/>
                <w:color w:val="auto"/>
              </w:rPr>
              <w:t>Provided by operating activities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951,134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410,470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540,664</w:t>
            </w:r>
          </w:p>
        </w:tc>
      </w:tr>
      <w:tr>
        <w:trPr>
          <w:trHeight w:val="230"/>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(Used in) provided by investing activities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(8,642,356)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(8,684,461)</w:t>
            </w:r>
          </w:p>
        </w:tc>
      </w:tr>
      <w:tr>
        <w:trPr>
          <w:trHeight w:val="229"/>
        </w:trPr>
        <w:tc>
          <w:tcPr>
            <w:tcW w:w="2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Provided by (used in) financing activities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7,565,609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(361,046)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7,926,655</w:t>
            </w:r>
          </w:p>
        </w:tc>
      </w:tr>
      <w:tr>
        <w:trPr>
          <w:trHeight w:val="223"/>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(217,142)</w:t>
            </w:r>
          </w:p>
        </w:tc>
      </w:tr>
      <w:tr>
        <w:trPr>
          <w:trHeight w:val="229"/>
        </w:trPr>
        <w:tc>
          <w:tcPr>
            <w:tcW w:w="2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Cash, cash equivalents and restricted cash, beginning of period</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315,993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423,621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Cash, cash equivalents and restricted cash,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614,001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operating activities increased $540.7 million for the six months ended June 30, 2022 compared with the six months ended June 30, 2021. The increase is primarily driven by an increase in cash rental payments from the addition of the MGM Master Lease and Venetian Lease to our real estate portfolio in April 2022 and February 2022, respectively, the annual escalators on certain of our other Lease Agreements and the proceeds from settlement of our forward-starting derivative instruments in connection with the April 2022 Notes offering.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increased $8,684.5 million for the six months ended June 30, 2022 compared with the six months ended June 30,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2022, the primary sources and uses of cash from investing activities included:</w:t>
      </w:r>
    </w:p>
    <w:p>
      <w:pPr>
        <w:spacing w:after="0" w:line="117" w:lineRule="exact"/>
        <w:rPr>
          <w:sz w:val="20"/>
          <w:szCs w:val="20"/>
          <w:color w:val="auto"/>
        </w:rPr>
      </w:pPr>
    </w:p>
    <w:p>
      <w:pPr>
        <w:jc w:val="both"/>
        <w:ind w:left="660" w:hanging="328"/>
        <w:spacing w:after="0" w:line="263"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payments of $4,574.4 million in relation to the closing of the MGP Transactions, including $4,404.0 million in connection with the redemption of the majority of the MGP units held by MGM, $90.0 million in connection with the repayment of the outstanding MGP revolving credit facility and acquisition costs;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Payments for the Venetian Acquisition for a total cost of $4,012.8 million, including acquisition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Payments to fund portions of the Great Wolf Maryland Loan and Cabot Citrus Farms Loan in the amount of $47.4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Capitalized transaction costs of $7.1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2021, the primary sources and uses of cash from investing activities include:</w:t>
      </w:r>
    </w:p>
    <w:p>
      <w:pPr>
        <w:spacing w:after="0" w:line="11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Proceeds from net maturities of short-term investments of $20.0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Proceeds from partial repayment of the JACK Entertainment term loan of $30.4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Final payment of the funding of a new gaming patio amenity at JACK Thistledown Racino of $6.0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Capitalized transaction costs of $1.9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Acquisition of property and equipment costs of $1.5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provided by financing activities increased $7,926.7 million for the six months ended June 30, 2022, compared with the six months ended June 30,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2022, the primary sources and uses of cash in financing activities included:</w:t>
      </w:r>
    </w:p>
    <w:p>
      <w:pPr>
        <w:spacing w:after="0" w:line="117" w:lineRule="exact"/>
        <w:rPr>
          <w:sz w:val="20"/>
          <w:szCs w:val="20"/>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proceeds of $3,219.1 million from the sale of an aggregate 119,000,000 shares of our common stock pursuant to the full physical settlement of the September 2021 Forward Sale Agreements and March 2021 Forward Sale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Gross proceeds of $5,000.0 million from the April 2002 Notes offering;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Initial draw and repayment of $600.0 million on our Revolving Credit Facility;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Dividend payments of $497.2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Debt issuance costs of $146.0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Repurchase of shares of common stock for tax withholding in connection with the vesting of employee stock compensation of $6.1 million; and</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Distributions of $4.2 million to non-controlling interests.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2021, the primary sources and uses of cash from financing activities included:</w:t>
      </w:r>
    </w:p>
    <w:p>
      <w:pPr>
        <w:spacing w:after="0" w:line="11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Dividend payments of $355.3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Distributions of $4.1 million to non-controlling interest;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Repurchase of shares of common stock for tax withholding in connection with the vesting of employee stock compensation of $1.6 million.</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170"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For a summary of our debt obligations as of June 30, 2022, refer to </w:t>
      </w:r>
      <w:hyperlink w:anchor="page35">
        <w:r>
          <w:rPr>
            <w:rFonts w:ascii="Arial" w:cs="Arial" w:eastAsia="Arial" w:hAnsi="Arial"/>
            <w:sz w:val="18"/>
            <w:szCs w:val="18"/>
            <w:u w:val="single" w:color="auto"/>
            <w:color w:val="0000FF"/>
          </w:rPr>
          <w:t>Note 7 - Debt</w:t>
        </w:r>
      </w:hyperlink>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 obligations are subject to certain customary financial and protective covenants that restrict our ability to incur additional debt, sell certain asset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June 30, 2022, we were in compliance with all debt-related covenants.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Distribution Policy</w:t>
      </w:r>
    </w:p>
    <w:p>
      <w:pPr>
        <w:spacing w:after="0" w:line="11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intend to make regular quarterly distributions to holders of shares of our common stock. Dividends declared (on a per share basis) during the six months ended June 30, 2022 and 2021 were as follows:</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Six Months Ended June 30,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3"/>
              </w:rPr>
              <w:t>Declaration Date</w:t>
            </w:r>
          </w:p>
        </w:tc>
        <w:tc>
          <w:tcPr>
            <w:tcW w:w="2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3"/>
              </w:rPr>
              <w:t>Record Date</w:t>
            </w:r>
          </w:p>
        </w:tc>
        <w:tc>
          <w:tcPr>
            <w:tcW w:w="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center"/>
              <w:ind w:left="254"/>
              <w:spacing w:after="0"/>
              <w:rPr>
                <w:sz w:val="20"/>
                <w:szCs w:val="20"/>
                <w:color w:val="auto"/>
              </w:rPr>
            </w:pPr>
            <w:r>
              <w:rPr>
                <w:rFonts w:ascii="Arial" w:cs="Arial" w:eastAsia="Arial" w:hAnsi="Arial"/>
                <w:sz w:val="16"/>
                <w:szCs w:val="16"/>
                <w:b w:val="1"/>
                <w:bCs w:val="1"/>
                <w:color w:val="auto"/>
                <w:w w:val="92"/>
              </w:rPr>
              <w:t>Payment Date</w:t>
            </w:r>
          </w:p>
        </w:tc>
        <w:tc>
          <w:tcPr>
            <w:tcW w:w="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4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2"/>
              </w:rPr>
              <w:t>Period</w:t>
            </w: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Dividend</w:t>
            </w:r>
          </w:p>
        </w:tc>
        <w:tc>
          <w:tcPr>
            <w:tcW w:w="20" w:type="dxa"/>
            <w:vAlign w:val="bottom"/>
          </w:tcPr>
          <w:p>
            <w:pPr>
              <w:spacing w:after="0"/>
              <w:rPr>
                <w:sz w:val="18"/>
                <w:szCs w:val="18"/>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10, 2022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24, 2022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ind w:left="234"/>
              <w:spacing w:after="0"/>
              <w:rPr>
                <w:sz w:val="20"/>
                <w:szCs w:val="20"/>
                <w:color w:val="auto"/>
              </w:rPr>
            </w:pPr>
            <w:r>
              <w:rPr>
                <w:rFonts w:ascii="Arial" w:cs="Arial" w:eastAsia="Arial" w:hAnsi="Arial"/>
                <w:sz w:val="18"/>
                <w:szCs w:val="18"/>
                <w:color w:val="auto"/>
                <w:w w:val="94"/>
              </w:rPr>
              <w:t>April 7, 2022</w:t>
            </w:r>
          </w:p>
        </w:tc>
        <w:tc>
          <w:tcPr>
            <w:tcW w:w="3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January 1, 2022 - March 31, 2022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0.3600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98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June 9, 2022</w:t>
            </w:r>
          </w:p>
        </w:tc>
        <w:tc>
          <w:tcPr>
            <w:tcW w:w="20" w:type="dxa"/>
            <w:vAlign w:val="bottom"/>
          </w:tcPr>
          <w:p>
            <w:pPr>
              <w:spacing w:after="0"/>
              <w:rPr>
                <w:sz w:val="20"/>
                <w:szCs w:val="20"/>
                <w:color w:val="auto"/>
              </w:rPr>
            </w:pPr>
          </w:p>
        </w:tc>
        <w:tc>
          <w:tcPr>
            <w:tcW w:w="200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June 23, 2022</w:t>
            </w:r>
          </w:p>
        </w:tc>
        <w:tc>
          <w:tcPr>
            <w:tcW w:w="20" w:type="dxa"/>
            <w:vAlign w:val="bottom"/>
          </w:tcPr>
          <w:p>
            <w:pPr>
              <w:spacing w:after="0"/>
              <w:rPr>
                <w:sz w:val="20"/>
                <w:szCs w:val="20"/>
                <w:color w:val="auto"/>
              </w:rPr>
            </w:pPr>
          </w:p>
        </w:tc>
        <w:tc>
          <w:tcPr>
            <w:tcW w:w="1440" w:type="dxa"/>
            <w:vAlign w:val="bottom"/>
          </w:tcPr>
          <w:p>
            <w:pPr>
              <w:jc w:val="center"/>
              <w:ind w:left="234"/>
              <w:spacing w:after="0"/>
              <w:rPr>
                <w:sz w:val="20"/>
                <w:szCs w:val="20"/>
                <w:color w:val="auto"/>
              </w:rPr>
            </w:pPr>
            <w:r>
              <w:rPr>
                <w:rFonts w:ascii="Arial" w:cs="Arial" w:eastAsia="Arial" w:hAnsi="Arial"/>
                <w:sz w:val="18"/>
                <w:szCs w:val="18"/>
                <w:color w:val="auto"/>
                <w:w w:val="90"/>
              </w:rPr>
              <w:t>July 7, 2022</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April 1, 2021 - June 30, 2022</w:t>
            </w: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0.3600</w:t>
            </w:r>
          </w:p>
        </w:tc>
        <w:tc>
          <w:tcPr>
            <w:tcW w:w="20" w:type="dxa"/>
            <w:vAlign w:val="bottom"/>
          </w:tcPr>
          <w:p>
            <w:pPr>
              <w:spacing w:after="0"/>
              <w:rPr>
                <w:sz w:val="20"/>
                <w:szCs w:val="20"/>
                <w:color w:val="auto"/>
              </w:rPr>
            </w:pPr>
          </w:p>
        </w:tc>
      </w:tr>
      <w:tr>
        <w:trPr>
          <w:trHeight w:val="496"/>
        </w:trPr>
        <w:tc>
          <w:tcPr>
            <w:tcW w:w="2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8"/>
          </w:tcPr>
          <w:p>
            <w:pPr>
              <w:jc w:val="center"/>
              <w:ind w:right="2180"/>
              <w:spacing w:after="0"/>
              <w:rPr>
                <w:sz w:val="20"/>
                <w:szCs w:val="20"/>
                <w:color w:val="auto"/>
              </w:rPr>
            </w:pPr>
            <w:r>
              <w:rPr>
                <w:rFonts w:ascii="Arial" w:cs="Arial" w:eastAsia="Arial" w:hAnsi="Arial"/>
                <w:sz w:val="16"/>
                <w:szCs w:val="16"/>
                <w:b w:val="1"/>
                <w:bCs w:val="1"/>
                <w:color w:val="auto"/>
                <w:w w:val="91"/>
              </w:rPr>
              <w:t>Six Months Ended June 30, 2021</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9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Declaration Date</w:t>
            </w:r>
          </w:p>
        </w:tc>
        <w:tc>
          <w:tcPr>
            <w:tcW w:w="20" w:type="dxa"/>
            <w:vAlign w:val="bottom"/>
          </w:tcPr>
          <w:p>
            <w:pPr>
              <w:spacing w:after="0"/>
              <w:rPr>
                <w:sz w:val="18"/>
                <w:szCs w:val="18"/>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Record Date</w:t>
            </w:r>
          </w:p>
        </w:tc>
        <w:tc>
          <w:tcPr>
            <w:tcW w:w="20" w:type="dxa"/>
            <w:vAlign w:val="bottom"/>
          </w:tcPr>
          <w:p>
            <w:pPr>
              <w:spacing w:after="0"/>
              <w:rPr>
                <w:sz w:val="18"/>
                <w:szCs w:val="18"/>
                <w:color w:val="auto"/>
              </w:rPr>
            </w:pPr>
          </w:p>
        </w:tc>
        <w:tc>
          <w:tcPr>
            <w:tcW w:w="1440" w:type="dxa"/>
            <w:vAlign w:val="bottom"/>
          </w:tcPr>
          <w:p>
            <w:pPr>
              <w:jc w:val="center"/>
              <w:ind w:left="254"/>
              <w:spacing w:after="0"/>
              <w:rPr>
                <w:sz w:val="20"/>
                <w:szCs w:val="20"/>
                <w:color w:val="auto"/>
              </w:rPr>
            </w:pPr>
            <w:r>
              <w:rPr>
                <w:rFonts w:ascii="Arial" w:cs="Arial" w:eastAsia="Arial" w:hAnsi="Arial"/>
                <w:sz w:val="16"/>
                <w:szCs w:val="16"/>
                <w:b w:val="1"/>
                <w:bCs w:val="1"/>
                <w:color w:val="auto"/>
                <w:w w:val="92"/>
              </w:rPr>
              <w:t>Payment Date</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Period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ind w:right="493"/>
              <w:spacing w:after="0"/>
              <w:rPr>
                <w:sz w:val="20"/>
                <w:szCs w:val="20"/>
                <w:color w:val="auto"/>
              </w:rPr>
            </w:pPr>
            <w:r>
              <w:rPr>
                <w:rFonts w:ascii="Arial" w:cs="Arial" w:eastAsia="Arial" w:hAnsi="Arial"/>
                <w:sz w:val="16"/>
                <w:szCs w:val="16"/>
                <w:b w:val="1"/>
                <w:bCs w:val="1"/>
                <w:color w:val="auto"/>
              </w:rPr>
              <w:t>Dividend</w:t>
            </w:r>
          </w:p>
        </w:tc>
        <w:tc>
          <w:tcPr>
            <w:tcW w:w="2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19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March 11, 2021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March 25, 2021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ind w:left="274"/>
              <w:spacing w:after="0"/>
              <w:rPr>
                <w:sz w:val="20"/>
                <w:szCs w:val="20"/>
                <w:color w:val="auto"/>
              </w:rPr>
            </w:pPr>
            <w:r>
              <w:rPr>
                <w:rFonts w:ascii="Arial" w:cs="Arial" w:eastAsia="Arial" w:hAnsi="Arial"/>
                <w:sz w:val="18"/>
                <w:szCs w:val="18"/>
                <w:color w:val="auto"/>
                <w:w w:val="94"/>
              </w:rPr>
              <w:t>April 8, 2021</w:t>
            </w:r>
          </w:p>
        </w:tc>
        <w:tc>
          <w:tcPr>
            <w:tcW w:w="3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January 1, 2021 - March 31, 2021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0.3300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98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June 10, 2021</w:t>
            </w:r>
          </w:p>
        </w:tc>
        <w:tc>
          <w:tcPr>
            <w:tcW w:w="20" w:type="dxa"/>
            <w:vAlign w:val="bottom"/>
          </w:tcPr>
          <w:p>
            <w:pPr>
              <w:spacing w:after="0"/>
              <w:rPr>
                <w:sz w:val="20"/>
                <w:szCs w:val="20"/>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June 24, 2021</w:t>
            </w:r>
          </w:p>
        </w:tc>
        <w:tc>
          <w:tcPr>
            <w:tcW w:w="20" w:type="dxa"/>
            <w:vAlign w:val="bottom"/>
          </w:tcPr>
          <w:p>
            <w:pPr>
              <w:spacing w:after="0"/>
              <w:rPr>
                <w:sz w:val="20"/>
                <w:szCs w:val="20"/>
                <w:color w:val="auto"/>
              </w:rPr>
            </w:pPr>
          </w:p>
        </w:tc>
        <w:tc>
          <w:tcPr>
            <w:tcW w:w="1440" w:type="dxa"/>
            <w:vAlign w:val="bottom"/>
          </w:tcPr>
          <w:p>
            <w:pPr>
              <w:jc w:val="center"/>
              <w:ind w:left="274"/>
              <w:spacing w:after="0"/>
              <w:rPr>
                <w:sz w:val="20"/>
                <w:szCs w:val="20"/>
                <w:color w:val="auto"/>
              </w:rPr>
            </w:pPr>
            <w:r>
              <w:rPr>
                <w:rFonts w:ascii="Arial" w:cs="Arial" w:eastAsia="Arial" w:hAnsi="Arial"/>
                <w:sz w:val="18"/>
                <w:szCs w:val="18"/>
                <w:color w:val="auto"/>
                <w:w w:val="90"/>
              </w:rPr>
              <w:t>July 8, 2021</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April 1, 2021 - June 30, 2021</w:t>
            </w: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0.3300</w:t>
            </w:r>
          </w:p>
        </w:tc>
        <w:tc>
          <w:tcPr>
            <w:tcW w:w="20" w:type="dxa"/>
            <w:vAlign w:val="bottom"/>
          </w:tcPr>
          <w:p>
            <w:pPr>
              <w:spacing w:after="0"/>
              <w:rPr>
                <w:sz w:val="20"/>
                <w:szCs w:val="20"/>
                <w:color w:val="auto"/>
              </w:rPr>
            </w:pPr>
          </w:p>
        </w:tc>
      </w:tr>
      <w:tr>
        <w:trPr>
          <w:trHeight w:val="890"/>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continue to make distributions to our stockholders to comply with the REIT requirements of the Internal Revenue Code of 1986, as amended (the “Code”), and to avoid or otherwise minimize paying entity level federal income or excise tax (other than at any TRS of ours). We may generate taxable income greater than our income for financial reporting purposes 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70" w:lineRule="exact"/>
        <w:rPr>
          <w:sz w:val="20"/>
          <w:szCs w:val="20"/>
          <w:color w:val="auto"/>
        </w:rPr>
      </w:pPr>
    </w:p>
    <w:p>
      <w:pPr>
        <w:jc w:val="both"/>
        <w:spacing w:after="0" w:line="311" w:lineRule="auto"/>
        <w:rPr>
          <w:rFonts w:ascii="Arial" w:cs="Arial" w:eastAsia="Arial" w:hAnsi="Arial"/>
          <w:sz w:val="16"/>
          <w:szCs w:val="16"/>
          <w:color w:val="0000FF"/>
        </w:rPr>
      </w:pPr>
      <w:hyperlink r:id="rId81">
        <w:r>
          <w:rPr>
            <w:rFonts w:ascii="Arial" w:cs="Arial" w:eastAsia="Arial" w:hAnsi="Arial"/>
            <w:sz w:val="16"/>
            <w:szCs w:val="16"/>
            <w:color w:val="auto"/>
          </w:rPr>
          <w:t xml:space="preserve">A complete discussion of our critical accounting policies and estimates is included in our </w:t>
        </w:r>
        <w:r>
          <w:rPr>
            <w:rFonts w:ascii="Arial" w:cs="Arial" w:eastAsia="Arial" w:hAnsi="Arial"/>
            <w:sz w:val="16"/>
            <w:szCs w:val="16"/>
            <w:u w:val="single" w:color="auto"/>
            <w:color w:val="0000FF"/>
          </w:rPr>
          <w:t>Annual Report on Form 10-K for the year ended December 31,</w:t>
        </w:r>
      </w:hyperlink>
      <w:r>
        <w:rPr>
          <w:rFonts w:ascii="Arial" w:cs="Arial" w:eastAsia="Arial" w:hAnsi="Arial"/>
          <w:sz w:val="16"/>
          <w:szCs w:val="16"/>
          <w:color w:val="auto"/>
        </w:rPr>
        <w:t xml:space="preserve"> </w:t>
      </w:r>
      <w:hyperlink r:id="rId29">
        <w:r>
          <w:rPr>
            <w:rFonts w:ascii="Arial" w:cs="Arial" w:eastAsia="Arial" w:hAnsi="Arial"/>
            <w:sz w:val="16"/>
            <w:szCs w:val="16"/>
            <w:u w:val="single" w:color="auto"/>
            <w:color w:val="0000FF"/>
          </w:rPr>
          <w:t>2021</w:t>
        </w:r>
        <w:r>
          <w:rPr>
            <w:rFonts w:ascii="Arial" w:cs="Arial" w:eastAsia="Arial" w:hAnsi="Arial"/>
            <w:sz w:val="16"/>
            <w:szCs w:val="16"/>
            <w:color w:val="0000FF"/>
          </w:rPr>
          <w:t xml:space="preserve"> </w:t>
        </w:r>
        <w:r>
          <w:rPr>
            <w:rFonts w:ascii="Arial" w:cs="Arial" w:eastAsia="Arial" w:hAnsi="Arial"/>
            <w:sz w:val="16"/>
            <w:szCs w:val="16"/>
            <w:color w:val="000000"/>
          </w:rPr>
          <w:t>and VICI LP’s Management’s Discussion and Analysis of Financial Condition and Results of Operations included as an</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exhibit to the Current Report</w:t>
        </w:r>
      </w:hyperlink>
      <w:r>
        <w:rPr>
          <w:rFonts w:ascii="Arial" w:cs="Arial" w:eastAsia="Arial" w:hAnsi="Arial"/>
          <w:sz w:val="16"/>
          <w:szCs w:val="16"/>
          <w:color w:val="0000FF"/>
        </w:rPr>
        <w:t xml:space="preserve"> </w:t>
      </w:r>
      <w:hyperlink r:id="rId29">
        <w:r>
          <w:rPr>
            <w:rFonts w:ascii="Arial" w:cs="Arial" w:eastAsia="Arial" w:hAnsi="Arial"/>
            <w:sz w:val="16"/>
            <w:szCs w:val="16"/>
            <w:u w:val="single" w:color="auto"/>
            <w:color w:val="0000FF"/>
          </w:rPr>
          <w:t>on Form 8-K filed on April 18, 2022</w:t>
        </w:r>
        <w:r>
          <w:rPr>
            <w:rFonts w:ascii="Arial" w:cs="Arial" w:eastAsia="Arial" w:hAnsi="Arial"/>
            <w:sz w:val="16"/>
            <w:szCs w:val="16"/>
            <w:color w:val="000000"/>
          </w:rPr>
          <w:t>. There have been no significant changes in our critical policies and estimates for the six months ended June 30, 2022.</w:t>
        </w:r>
      </w:hyperlink>
    </w:p>
    <w:p>
      <w:pPr>
        <w:spacing w:after="0" w:line="149" w:lineRule="exact"/>
        <w:rPr>
          <w:rFonts w:ascii="Arial" w:cs="Arial" w:eastAsia="Arial" w:hAnsi="Arial"/>
          <w:sz w:val="16"/>
          <w:szCs w:val="16"/>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16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rFonts w:ascii="Arial" w:cs="Arial" w:eastAsia="Arial" w:hAnsi="Arial"/>
          <w:sz w:val="16"/>
          <w:szCs w:val="16"/>
          <w:color w:val="auto"/>
        </w:rPr>
      </w:pPr>
    </w:p>
    <w:p>
      <w:pPr>
        <w:jc w:val="both"/>
        <w:spacing w:after="0" w:line="311" w:lineRule="auto"/>
        <w:rPr>
          <w:sz w:val="20"/>
          <w:szCs w:val="20"/>
          <w:color w:val="auto"/>
        </w:rPr>
      </w:pPr>
      <w:r>
        <w:rPr>
          <w:rFonts w:ascii="Arial" w:cs="Arial" w:eastAsia="Arial" w:hAnsi="Arial"/>
          <w:sz w:val="16"/>
          <w:szCs w:val="16"/>
          <w:color w:val="auto"/>
        </w:rPr>
        <w:t>Our interest rate risk management objective is to limit the impact of future interest rate changes on our earnings and cash flows. To achieve this objective, our consolidated subsidiaries primarily borrow on a fixed-rate basis for longer-term debt issuances. As of June 30, 2022, excluding our proportionate share of the debt at the BREIT JV, we had $13,950.0 million aggregate principal amount of outstanding indebtedness, all of which has fixed rate interest.</w:t>
      </w:r>
    </w:p>
    <w:p>
      <w:pPr>
        <w:spacing w:after="0" w:line="95" w:lineRule="exact"/>
        <w:rPr>
          <w:rFonts w:ascii="Arial" w:cs="Arial" w:eastAsia="Arial" w:hAnsi="Arial"/>
          <w:sz w:val="16"/>
          <w:szCs w:val="16"/>
          <w:color w:val="auto"/>
        </w:rPr>
      </w:pPr>
    </w:p>
    <w:p>
      <w:pPr>
        <w:jc w:val="both"/>
        <w:spacing w:after="0" w:line="279" w:lineRule="auto"/>
        <w:rPr>
          <w:sz w:val="20"/>
          <w:szCs w:val="20"/>
          <w:color w:val="auto"/>
        </w:rPr>
      </w:pPr>
      <w:r>
        <w:rPr>
          <w:rFonts w:ascii="Arial" w:cs="Arial" w:eastAsia="Arial" w:hAnsi="Arial"/>
          <w:sz w:val="17"/>
          <w:szCs w:val="17"/>
          <w:color w:val="auto"/>
        </w:rPr>
        <w:t>Additionally, we are exposed to interest rate risk between the time we enter into a transaction and the time we finance the related transaction with long-term fixed-rate debt. In addition, when that long-term debt matures, we may have to refinance such debt at a higher interest rate. In a rising interest rate environment, we have from time to time and may in the future seek to mitigate that risk by utilizing forward-starting interest rate swap agreements, treasury locks and other derivative instruments. Market interest rates are sensitive to many factors that are beyond our control.</w:t>
      </w:r>
    </w:p>
    <w:p>
      <w:pPr>
        <w:spacing w:after="0" w:line="113"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Capital Markets Risks</w:t>
      </w:r>
    </w:p>
    <w:p>
      <w:pPr>
        <w:spacing w:after="0" w:line="175" w:lineRule="exact"/>
        <w:rPr>
          <w:rFonts w:ascii="Arial" w:cs="Arial" w:eastAsia="Arial" w:hAnsi="Arial"/>
          <w:sz w:val="16"/>
          <w:szCs w:val="16"/>
          <w:color w:val="auto"/>
        </w:rPr>
      </w:pPr>
    </w:p>
    <w:p>
      <w:pPr>
        <w:jc w:val="both"/>
        <w:spacing w:after="0" w:line="255" w:lineRule="auto"/>
        <w:rPr>
          <w:sz w:val="20"/>
          <w:szCs w:val="20"/>
          <w:color w:val="auto"/>
        </w:rPr>
      </w:pPr>
      <w:r>
        <w:rPr>
          <w:rFonts w:ascii="Arial" w:cs="Arial" w:eastAsia="Arial" w:hAnsi="Arial"/>
          <w:sz w:val="18"/>
          <w:szCs w:val="18"/>
          <w:color w:val="auto"/>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long-term indebtedness, borrowings under credit facilities or other debt instruments.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pacing w:after="0" w:line="200" w:lineRule="exact"/>
        <w:rPr>
          <w:rFonts w:ascii="Arial" w:cs="Arial" w:eastAsia="Arial" w:hAnsi="Arial"/>
          <w:sz w:val="16"/>
          <w:szCs w:val="16"/>
          <w:color w:val="auto"/>
        </w:rPr>
      </w:pPr>
    </w:p>
    <w:p>
      <w:pPr>
        <w:spacing w:after="0" w:line="370"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VICI Properties Inc.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VICI maintains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VICI’s management, including VICI’s principal executive officer and principal financial officer, as appropriate, to allow timely decisions regarding required disclosure.</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VICI’s management has evaluated, under the supervision and with the participation of our principal executive officer and principal financial officer, the effectiveness of our disclosure controls and procedures pursuant to Exchange Act Rule 13a-15(e) as of the end of the period covered by this report. Based upon this evaluation, VICI’s principal executive officer and principal financial officer concluded that VICI’s disclosure controls and procedures were effective as of the end of the period covered by this report.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29, 2022, we completed the MGP Transactions and have since integrated MGP’s operations into our internal control structure. None of these integration activities had a material effect on our internal control over financial reporting. There have been no other changes in VICI’s internal control over financial reporting (as defined in Rules 13a-15(f) and 15d-15(f) under the Exchange Act) that occurred during the three months ended June 30, 2022, that have materially affected, or are reasonably likely to materially affect, VICI’s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VICI Properties L.P.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VICI LP maintains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our management, including VICI LP’s principal executive officer and principal financial officer, as appropriate, to allow timely decisions regarding required disclosure.</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VICI LP’s management has evaluated, under the supervision and with the participation of VICI LP’s principal executive officer and principal financial officer, the effectiveness of VIC LP’s disclosure controls and procedures pursuant to Exchange Act Rule 13a-15(e) as of the end of the period covered by this report. Based upon this evaluation, VICI LP’s principal executive officer and principal financial officer concluded that VICI LP’s disclosure controls and procedures were effective as of the end of the period covered by this report.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29, 2022, we completed the MGP Transactions and have since integrated MGP’s operations into our internal control structure. None of these integration activities had a material effect on our internal control over financial reporting. There have been no other changes in VICI LP’s internal control over financial reporting (as defined in Rules 13a-15(f) and 15d-15(f) under the Exchange Act) that occurred during the three months ended June 30, 2022, that have materially affected, or are reasonably likely to materially affect, VICI LP’s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PART II.</w:t>
        <w:tab/>
        <w:t>OTHER INFORMATION</w:t>
      </w:r>
    </w:p>
    <w:p>
      <w:pPr>
        <w:spacing w:after="0" w:line="22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33" w:lineRule="exact"/>
        <w:rPr>
          <w:sz w:val="20"/>
          <w:szCs w:val="20"/>
          <w:color w:val="auto"/>
        </w:rPr>
      </w:pPr>
    </w:p>
    <w:p>
      <w:pPr>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The information contained under the heading “Litigation” in </w:t>
      </w:r>
      <w:hyperlink w:anchor="page43">
        <w:r>
          <w:rPr>
            <w:rFonts w:ascii="Arial" w:cs="Arial" w:eastAsia="Arial" w:hAnsi="Arial"/>
            <w:sz w:val="18"/>
            <w:szCs w:val="18"/>
            <w:u w:val="single" w:color="auto"/>
            <w:color w:val="0000FF"/>
          </w:rPr>
          <w:t>Note 10 - Commitments and Contingent Liabilities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Financial Statements included in this report is incorporated by reference into this Item 1.</w:t>
      </w:r>
    </w:p>
    <w:p>
      <w:pPr>
        <w:spacing w:after="0" w:line="184"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165" w:lineRule="exact"/>
        <w:rPr>
          <w:sz w:val="20"/>
          <w:szCs w:val="20"/>
          <w:color w:val="auto"/>
        </w:rPr>
      </w:pPr>
    </w:p>
    <w:p>
      <w:pPr>
        <w:spacing w:after="0" w:line="277" w:lineRule="auto"/>
        <w:rPr>
          <w:rFonts w:ascii="Arial" w:cs="Arial" w:eastAsia="Arial" w:hAnsi="Arial"/>
          <w:sz w:val="18"/>
          <w:szCs w:val="18"/>
          <w:color w:val="0000FF"/>
        </w:rPr>
      </w:pPr>
      <w:hyperlink r:id="rId81">
        <w:r>
          <w:rPr>
            <w:rFonts w:ascii="Arial" w:cs="Arial" w:eastAsia="Arial" w:hAnsi="Arial"/>
            <w:sz w:val="18"/>
            <w:szCs w:val="18"/>
            <w:color w:val="auto"/>
          </w:rPr>
          <w:t xml:space="preserve">A description of certain factors that may affect our future results and risk factors is set forth in our </w:t>
        </w:r>
        <w:r>
          <w:rPr>
            <w:rFonts w:ascii="Arial" w:cs="Arial" w:eastAsia="Arial" w:hAnsi="Arial"/>
            <w:sz w:val="18"/>
            <w:szCs w:val="18"/>
            <w:u w:val="single" w:color="auto"/>
            <w:color w:val="0000FF"/>
          </w:rPr>
          <w:t>Annual Report on Form 10-K for the year ended</w:t>
        </w:r>
      </w:hyperlink>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FF"/>
          </w:rPr>
          <w:t>December 31, 2021</w:t>
        </w:r>
        <w:r>
          <w:rPr>
            <w:rFonts w:ascii="Arial" w:cs="Arial" w:eastAsia="Arial" w:hAnsi="Arial"/>
            <w:sz w:val="18"/>
            <w:szCs w:val="18"/>
            <w:color w:val="000000"/>
          </w:rPr>
          <w:t>. There have been no material changes to those factors for the six months ended June 30, 2022.</w:t>
        </w:r>
      </w:hyperlink>
    </w:p>
    <w:p>
      <w:pPr>
        <w:spacing w:after="0" w:line="17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 from 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VICI Properties Inc.</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June 30, 2022, VICI did not repurchase any equity securities registered pursuant to Section 12 of the Exchange Act.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VICI Properties L.P.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June 30, 2022, VICI LP did not repurchase any equity securities registered pursuant to Section 12 of the Exchange Act.</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120" w:type="dxa"/>
            <w:vAlign w:val="bottom"/>
            <w:gridSpan w:val="6"/>
          </w:tcPr>
          <w:p>
            <w:pPr>
              <w:spacing w:after="0"/>
              <w:rPr>
                <w:sz w:val="20"/>
                <w:szCs w:val="20"/>
                <w:color w:val="auto"/>
              </w:rPr>
            </w:pPr>
            <w:r>
              <w:rPr>
                <w:rFonts w:ascii="Arial" w:cs="Arial" w:eastAsia="Arial" w:hAnsi="Arial"/>
                <w:sz w:val="22"/>
                <w:szCs w:val="22"/>
                <w:b w:val="1"/>
                <w:bCs w:val="1"/>
                <w:color w:val="auto"/>
              </w:rPr>
              <w:t>Item 5.</w:t>
            </w:r>
          </w:p>
        </w:tc>
        <w:tc>
          <w:tcPr>
            <w:tcW w:w="20" w:type="dxa"/>
            <w:vAlign w:val="bottom"/>
          </w:tcPr>
          <w:p>
            <w:pPr>
              <w:spacing w:after="0"/>
              <w:rPr>
                <w:sz w:val="24"/>
                <w:szCs w:val="24"/>
                <w:color w:val="auto"/>
              </w:rPr>
            </w:pPr>
          </w:p>
        </w:tc>
        <w:tc>
          <w:tcPr>
            <w:tcW w:w="5720" w:type="dxa"/>
            <w:vAlign w:val="bottom"/>
            <w:gridSpan w:val="12"/>
          </w:tcPr>
          <w:p>
            <w:pPr>
              <w:ind w:left="160"/>
              <w:spacing w:after="0"/>
              <w:rPr>
                <w:sz w:val="20"/>
                <w:szCs w:val="20"/>
                <w:color w:val="auto"/>
              </w:rPr>
            </w:pPr>
            <w:r>
              <w:rPr>
                <w:rFonts w:ascii="Arial" w:cs="Arial" w:eastAsia="Arial" w:hAnsi="Arial"/>
                <w:sz w:val="22"/>
                <w:szCs w:val="22"/>
                <w:b w:val="1"/>
                <w:bCs w:val="1"/>
                <w:color w:val="auto"/>
              </w:rPr>
              <w:t>Other Information</w:t>
            </w:r>
          </w:p>
        </w:tc>
        <w:tc>
          <w:tcPr>
            <w:tcW w:w="0" w:type="dxa"/>
            <w:vAlign w:val="bottom"/>
          </w:tcPr>
          <w:p>
            <w:pPr>
              <w:spacing w:after="0"/>
              <w:rPr>
                <w:sz w:val="1"/>
                <w:szCs w:val="1"/>
                <w:color w:val="auto"/>
              </w:rPr>
            </w:pPr>
          </w:p>
        </w:tc>
      </w:tr>
      <w:tr>
        <w:trPr>
          <w:trHeight w:val="368"/>
        </w:trPr>
        <w:tc>
          <w:tcPr>
            <w:tcW w:w="1120" w:type="dxa"/>
            <w:vAlign w:val="bottom"/>
            <w:gridSpan w:val="6"/>
          </w:tcPr>
          <w:p>
            <w:pPr>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120" w:type="dxa"/>
            <w:vAlign w:val="bottom"/>
            <w:gridSpan w:val="6"/>
          </w:tcPr>
          <w:p>
            <w:pPr>
              <w:spacing w:after="0"/>
              <w:rPr>
                <w:sz w:val="20"/>
                <w:szCs w:val="20"/>
                <w:color w:val="auto"/>
              </w:rPr>
            </w:pPr>
            <w:r>
              <w:rPr>
                <w:rFonts w:ascii="Arial" w:cs="Arial" w:eastAsia="Arial" w:hAnsi="Arial"/>
                <w:sz w:val="22"/>
                <w:szCs w:val="22"/>
                <w:b w:val="1"/>
                <w:bCs w:val="1"/>
                <w:color w:val="auto"/>
              </w:rPr>
              <w:t>Item 6.</w:t>
            </w:r>
          </w:p>
        </w:tc>
        <w:tc>
          <w:tcPr>
            <w:tcW w:w="20" w:type="dxa"/>
            <w:vAlign w:val="bottom"/>
          </w:tcPr>
          <w:p>
            <w:pPr>
              <w:spacing w:after="0"/>
              <w:rPr>
                <w:sz w:val="24"/>
                <w:szCs w:val="24"/>
                <w:color w:val="auto"/>
              </w:rPr>
            </w:pPr>
          </w:p>
        </w:tc>
        <w:tc>
          <w:tcPr>
            <w:tcW w:w="5720" w:type="dxa"/>
            <w:vAlign w:val="bottom"/>
            <w:gridSpan w:val="12"/>
          </w:tcPr>
          <w:p>
            <w:pPr>
              <w:ind w:left="160"/>
              <w:spacing w:after="0"/>
              <w:rPr>
                <w:sz w:val="20"/>
                <w:szCs w:val="20"/>
                <w:color w:val="auto"/>
              </w:rPr>
            </w:pPr>
            <w:r>
              <w:rPr>
                <w:rFonts w:ascii="Arial" w:cs="Arial" w:eastAsia="Arial" w:hAnsi="Arial"/>
                <w:sz w:val="22"/>
                <w:szCs w:val="22"/>
                <w:b w:val="1"/>
                <w:bCs w:val="1"/>
                <w:color w:val="auto"/>
              </w:rPr>
              <w:t>Exhibits</w:t>
            </w:r>
          </w:p>
        </w:tc>
        <w:tc>
          <w:tcPr>
            <w:tcW w:w="0" w:type="dxa"/>
            <w:vAlign w:val="bottom"/>
          </w:tcPr>
          <w:p>
            <w:pPr>
              <w:spacing w:after="0"/>
              <w:rPr>
                <w:sz w:val="1"/>
                <w:szCs w:val="1"/>
                <w:color w:val="auto"/>
              </w:rPr>
            </w:pPr>
          </w:p>
        </w:tc>
      </w:tr>
      <w:tr>
        <w:trPr>
          <w:trHeight w:val="449"/>
        </w:trPr>
        <w:tc>
          <w:tcPr>
            <w:tcW w:w="11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gridSpan w:val="9"/>
            <w:vMerge w:val="restart"/>
          </w:tcPr>
          <w:p>
            <w:pPr>
              <w:ind w:left="2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11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0" w:type="dxa"/>
            <w:vAlign w:val="bottom"/>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60" w:type="dxa"/>
            <w:vAlign w:val="bottom"/>
            <w:tcBorders>
              <w:top w:val="single" w:sz="8" w:color="auto"/>
            </w:tcBorders>
            <w:gridSpan w:val="4"/>
          </w:tcPr>
          <w:p>
            <w:pPr>
              <w:jc w:val="center"/>
              <w:ind w:left="270"/>
              <w:spacing w:after="0" w:line="184" w:lineRule="exact"/>
              <w:rPr>
                <w:rFonts w:ascii="Arial" w:cs="Arial" w:eastAsia="Arial" w:hAnsi="Arial"/>
                <w:sz w:val="18"/>
                <w:szCs w:val="18"/>
                <w:color w:val="0000FF"/>
                <w:w w:val="87"/>
              </w:rPr>
            </w:pPr>
            <w:hyperlink r:id="rId103">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720" w:type="dxa"/>
            <w:vAlign w:val="bottom"/>
            <w:tcBorders>
              <w:top w:val="single" w:sz="8" w:color="auto"/>
            </w:tcBorders>
            <w:gridSpan w:val="12"/>
          </w:tcPr>
          <w:p>
            <w:pPr>
              <w:spacing w:after="0" w:line="184" w:lineRule="exact"/>
              <w:rPr>
                <w:rFonts w:ascii="Arial" w:cs="Arial" w:eastAsia="Arial" w:hAnsi="Arial"/>
                <w:sz w:val="18"/>
                <w:szCs w:val="18"/>
                <w:color w:val="0000FF"/>
                <w:w w:val="92"/>
              </w:rPr>
            </w:pPr>
            <w:hyperlink r:id="rId103">
              <w:r>
                <w:rPr>
                  <w:rFonts w:ascii="Arial" w:cs="Arial" w:eastAsia="Arial" w:hAnsi="Arial"/>
                  <w:sz w:val="18"/>
                  <w:szCs w:val="18"/>
                  <w:color w:val="0000FF"/>
                  <w:w w:val="92"/>
                </w:rPr>
                <w:t>Indenture, dated as of April 29, 2022, between VICI Properties L.P. and UMB</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Bank, National Association, as trustee.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0" w:type="dxa"/>
            <w:vAlign w:val="bottom"/>
            <w:gridSpan w:val="4"/>
          </w:tcPr>
          <w:p>
            <w:pPr>
              <w:jc w:val="center"/>
              <w:ind w:left="270"/>
              <w:spacing w:after="0"/>
              <w:rPr>
                <w:rFonts w:ascii="Arial" w:cs="Arial" w:eastAsia="Arial" w:hAnsi="Arial"/>
                <w:sz w:val="18"/>
                <w:szCs w:val="18"/>
                <w:color w:val="0000FF"/>
                <w:w w:val="87"/>
              </w:rPr>
            </w:pPr>
            <w:hyperlink r:id="rId104">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20" w:type="dxa"/>
            <w:vAlign w:val="bottom"/>
            <w:gridSpan w:val="12"/>
          </w:tcPr>
          <w:p>
            <w:pPr>
              <w:spacing w:after="0"/>
              <w:rPr>
                <w:rFonts w:ascii="Arial" w:cs="Arial" w:eastAsia="Arial" w:hAnsi="Arial"/>
                <w:sz w:val="18"/>
                <w:szCs w:val="18"/>
                <w:color w:val="0000FF"/>
              </w:rPr>
            </w:pPr>
            <w:hyperlink r:id="rId105">
              <w:r>
                <w:rPr>
                  <w:rFonts w:ascii="Arial" w:cs="Arial" w:eastAsia="Arial" w:hAnsi="Arial"/>
                  <w:sz w:val="18"/>
                  <w:szCs w:val="18"/>
                  <w:color w:val="0000FF"/>
                </w:rPr>
                <w:t>First Supplemental Indenture, dated as of April 29, 2022, between VICI</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Properties L.P. and UMB Bank, National Association, as trustee.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0" w:type="dxa"/>
            <w:vAlign w:val="bottom"/>
            <w:gridSpan w:val="4"/>
          </w:tcPr>
          <w:p>
            <w:pPr>
              <w:jc w:val="center"/>
              <w:ind w:left="270"/>
              <w:spacing w:after="0"/>
              <w:rPr>
                <w:rFonts w:ascii="Arial" w:cs="Arial" w:eastAsia="Arial" w:hAnsi="Arial"/>
                <w:sz w:val="18"/>
                <w:szCs w:val="18"/>
                <w:color w:val="0000FF"/>
                <w:w w:val="87"/>
              </w:rPr>
            </w:pPr>
            <w:hyperlink r:id="rId10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3</w:t>
              </w:r>
            </w:hyperlink>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20" w:type="dxa"/>
            <w:vAlign w:val="bottom"/>
            <w:gridSpan w:val="12"/>
          </w:tcPr>
          <w:p>
            <w:pPr>
              <w:spacing w:after="0"/>
              <w:rPr>
                <w:rFonts w:ascii="Arial" w:cs="Arial" w:eastAsia="Arial" w:hAnsi="Arial"/>
                <w:sz w:val="18"/>
                <w:szCs w:val="18"/>
                <w:color w:val="0000FF"/>
              </w:rPr>
            </w:pPr>
            <w:hyperlink r:id="rId105">
              <w:r>
                <w:rPr>
                  <w:rFonts w:ascii="Arial" w:cs="Arial" w:eastAsia="Arial" w:hAnsi="Arial"/>
                  <w:sz w:val="18"/>
                  <w:szCs w:val="18"/>
                  <w:color w:val="0000FF"/>
                </w:rPr>
                <w:t>Form of Global Note representing the 4.375% Senior Notes due 2025</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(included in Exhibit 4.2).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0" w:type="dxa"/>
            <w:vAlign w:val="bottom"/>
            <w:gridSpan w:val="4"/>
          </w:tcPr>
          <w:p>
            <w:pPr>
              <w:jc w:val="center"/>
              <w:ind w:left="270"/>
              <w:spacing w:after="0"/>
              <w:rPr>
                <w:rFonts w:ascii="Arial" w:cs="Arial" w:eastAsia="Arial" w:hAnsi="Arial"/>
                <w:sz w:val="18"/>
                <w:szCs w:val="18"/>
                <w:color w:val="0000FF"/>
                <w:w w:val="87"/>
              </w:rPr>
            </w:pPr>
            <w:hyperlink r:id="rId10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4</w:t>
              </w:r>
            </w:hyperlink>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20" w:type="dxa"/>
            <w:vAlign w:val="bottom"/>
            <w:gridSpan w:val="12"/>
          </w:tcPr>
          <w:p>
            <w:pPr>
              <w:spacing w:after="0"/>
              <w:rPr>
                <w:rFonts w:ascii="Arial" w:cs="Arial" w:eastAsia="Arial" w:hAnsi="Arial"/>
                <w:sz w:val="18"/>
                <w:szCs w:val="18"/>
                <w:color w:val="0000FF"/>
              </w:rPr>
            </w:pPr>
            <w:hyperlink r:id="rId105">
              <w:r>
                <w:rPr>
                  <w:rFonts w:ascii="Arial" w:cs="Arial" w:eastAsia="Arial" w:hAnsi="Arial"/>
                  <w:sz w:val="18"/>
                  <w:szCs w:val="18"/>
                  <w:color w:val="0000FF"/>
                </w:rPr>
                <w:t>Form of Global Note representing the 4.750% Senior Notes due 2028</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(included in Exhibit 4.2).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0" w:type="dxa"/>
            <w:vAlign w:val="bottom"/>
            <w:gridSpan w:val="4"/>
          </w:tcPr>
          <w:p>
            <w:pPr>
              <w:jc w:val="center"/>
              <w:ind w:left="270"/>
              <w:spacing w:after="0"/>
              <w:rPr>
                <w:rFonts w:ascii="Arial" w:cs="Arial" w:eastAsia="Arial" w:hAnsi="Arial"/>
                <w:sz w:val="18"/>
                <w:szCs w:val="18"/>
                <w:color w:val="0000FF"/>
                <w:w w:val="87"/>
              </w:rPr>
            </w:pPr>
            <w:hyperlink r:id="rId10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5</w:t>
              </w:r>
            </w:hyperlink>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20" w:type="dxa"/>
            <w:vAlign w:val="bottom"/>
            <w:gridSpan w:val="12"/>
          </w:tcPr>
          <w:p>
            <w:pPr>
              <w:spacing w:after="0"/>
              <w:rPr>
                <w:rFonts w:ascii="Arial" w:cs="Arial" w:eastAsia="Arial" w:hAnsi="Arial"/>
                <w:sz w:val="18"/>
                <w:szCs w:val="18"/>
                <w:color w:val="0000FF"/>
              </w:rPr>
            </w:pPr>
            <w:hyperlink r:id="rId105">
              <w:r>
                <w:rPr>
                  <w:rFonts w:ascii="Arial" w:cs="Arial" w:eastAsia="Arial" w:hAnsi="Arial"/>
                  <w:sz w:val="18"/>
                  <w:szCs w:val="18"/>
                  <w:color w:val="0000FF"/>
                </w:rPr>
                <w:t>Form of Global Note representing the 4.950% Senior Notes due 2030</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(included in Exhibit 4.2).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0" w:type="dxa"/>
            <w:vAlign w:val="bottom"/>
            <w:gridSpan w:val="4"/>
          </w:tcPr>
          <w:p>
            <w:pPr>
              <w:jc w:val="center"/>
              <w:ind w:left="270"/>
              <w:spacing w:after="0"/>
              <w:rPr>
                <w:rFonts w:ascii="Arial" w:cs="Arial" w:eastAsia="Arial" w:hAnsi="Arial"/>
                <w:sz w:val="18"/>
                <w:szCs w:val="18"/>
                <w:color w:val="0000FF"/>
                <w:w w:val="87"/>
              </w:rPr>
            </w:pPr>
            <w:hyperlink r:id="rId10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6</w:t>
              </w:r>
            </w:hyperlink>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20" w:type="dxa"/>
            <w:vAlign w:val="bottom"/>
            <w:gridSpan w:val="12"/>
          </w:tcPr>
          <w:p>
            <w:pPr>
              <w:spacing w:after="0"/>
              <w:rPr>
                <w:rFonts w:ascii="Arial" w:cs="Arial" w:eastAsia="Arial" w:hAnsi="Arial"/>
                <w:sz w:val="18"/>
                <w:szCs w:val="18"/>
                <w:color w:val="0000FF"/>
              </w:rPr>
            </w:pPr>
            <w:hyperlink r:id="rId105">
              <w:r>
                <w:rPr>
                  <w:rFonts w:ascii="Arial" w:cs="Arial" w:eastAsia="Arial" w:hAnsi="Arial"/>
                  <w:sz w:val="18"/>
                  <w:szCs w:val="18"/>
                  <w:color w:val="0000FF"/>
                </w:rPr>
                <w:t>Form of Global Note representing the 5.125% Senior Notes due 2032</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(included in Exhibit 4.2).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0" w:type="dxa"/>
            <w:vAlign w:val="bottom"/>
            <w:gridSpan w:val="4"/>
          </w:tcPr>
          <w:p>
            <w:pPr>
              <w:jc w:val="center"/>
              <w:ind w:left="270"/>
              <w:spacing w:after="0"/>
              <w:rPr>
                <w:rFonts w:ascii="Arial" w:cs="Arial" w:eastAsia="Arial" w:hAnsi="Arial"/>
                <w:sz w:val="18"/>
                <w:szCs w:val="18"/>
                <w:color w:val="0000FF"/>
                <w:w w:val="87"/>
              </w:rPr>
            </w:pPr>
            <w:hyperlink r:id="rId10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7</w:t>
              </w:r>
            </w:hyperlink>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20" w:type="dxa"/>
            <w:vAlign w:val="bottom"/>
            <w:gridSpan w:val="12"/>
          </w:tcPr>
          <w:p>
            <w:pPr>
              <w:spacing w:after="0"/>
              <w:rPr>
                <w:rFonts w:ascii="Arial" w:cs="Arial" w:eastAsia="Arial" w:hAnsi="Arial"/>
                <w:sz w:val="18"/>
                <w:szCs w:val="18"/>
                <w:color w:val="0000FF"/>
              </w:rPr>
            </w:pPr>
            <w:hyperlink r:id="rId105">
              <w:r>
                <w:rPr>
                  <w:rFonts w:ascii="Arial" w:cs="Arial" w:eastAsia="Arial" w:hAnsi="Arial"/>
                  <w:sz w:val="18"/>
                  <w:szCs w:val="18"/>
                  <w:color w:val="0000FF"/>
                </w:rPr>
                <w:t>Form of Global Note representing the 5.625% Senior Notes due 2052</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(included in Exhibit 4.2).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0" w:type="dxa"/>
            <w:vAlign w:val="bottom"/>
            <w:gridSpan w:val="4"/>
          </w:tcPr>
          <w:p>
            <w:pPr>
              <w:jc w:val="center"/>
              <w:ind w:left="270"/>
              <w:spacing w:after="0"/>
              <w:rPr>
                <w:rFonts w:ascii="Arial" w:cs="Arial" w:eastAsia="Arial" w:hAnsi="Arial"/>
                <w:sz w:val="18"/>
                <w:szCs w:val="18"/>
                <w:color w:val="0000FF"/>
                <w:w w:val="87"/>
              </w:rPr>
            </w:pPr>
            <w:hyperlink r:id="rId106">
              <w:r>
                <w:rPr>
                  <w:rFonts w:ascii="Arial" w:cs="Arial" w:eastAsia="Arial" w:hAnsi="Arial"/>
                  <w:sz w:val="18"/>
                  <w:szCs w:val="18"/>
                  <w:color w:val="0000FF"/>
                  <w:w w:val="87"/>
                </w:rPr>
                <w:t>4.</w:t>
              </w:r>
              <w:r>
                <w:rPr>
                  <w:rFonts w:ascii="Arial" w:cs="Arial" w:eastAsia="Arial" w:hAnsi="Arial"/>
                  <w:sz w:val="18"/>
                  <w:szCs w:val="18"/>
                  <w:u w:val="single" w:color="auto"/>
                  <w:color w:val="0000FF"/>
                  <w:w w:val="87"/>
                </w:rPr>
                <w:t>8</w:t>
              </w:r>
            </w:hyperlink>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20" w:type="dxa"/>
            <w:vAlign w:val="bottom"/>
            <w:gridSpan w:val="12"/>
          </w:tcPr>
          <w:p>
            <w:pPr>
              <w:spacing w:after="0"/>
              <w:rPr>
                <w:rFonts w:ascii="Arial" w:cs="Arial" w:eastAsia="Arial" w:hAnsi="Arial"/>
                <w:sz w:val="18"/>
                <w:szCs w:val="18"/>
                <w:color w:val="0000FF"/>
                <w:w w:val="91"/>
              </w:rPr>
            </w:pPr>
            <w:hyperlink r:id="rId107">
              <w:r>
                <w:rPr>
                  <w:rFonts w:ascii="Arial" w:cs="Arial" w:eastAsia="Arial" w:hAnsi="Arial"/>
                  <w:sz w:val="18"/>
                  <w:szCs w:val="18"/>
                  <w:color w:val="0000FF"/>
                  <w:w w:val="91"/>
                </w:rPr>
                <w:t>Indenture, dated as of April 29, 2022, relating to the 5.625% Senior Notes due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107">
              <w:r>
                <w:rPr>
                  <w:rFonts w:ascii="Arial" w:cs="Arial" w:eastAsia="Arial" w:hAnsi="Arial"/>
                  <w:sz w:val="18"/>
                  <w:szCs w:val="18"/>
                  <w:color w:val="0000FF"/>
                  <w:w w:val="99"/>
                </w:rPr>
                <w:t>2024, between VICI Properties L.P., VICI Note Co. Inc. and UMB Bank,</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20" w:type="dxa"/>
            <w:vAlign w:val="bottom"/>
            <w:tcBorders>
              <w:bottom w:val="single" w:sz="8" w:color="0000FF"/>
            </w:tcBorders>
            <w:gridSpan w:val="4"/>
          </w:tcPr>
          <w:p>
            <w:pPr>
              <w:spacing w:after="0" w:line="156" w:lineRule="exact"/>
              <w:rPr>
                <w:rFonts w:ascii="Arial" w:cs="Arial" w:eastAsia="Arial" w:hAnsi="Arial"/>
                <w:sz w:val="18"/>
                <w:szCs w:val="18"/>
                <w:color w:val="0000FF"/>
                <w:w w:val="89"/>
              </w:rPr>
            </w:pPr>
            <w:hyperlink r:id="rId107">
              <w:r>
                <w:rPr>
                  <w:rFonts w:ascii="Arial" w:cs="Arial" w:eastAsia="Arial" w:hAnsi="Arial"/>
                  <w:sz w:val="18"/>
                  <w:szCs w:val="18"/>
                  <w:color w:val="0000FF"/>
                  <w:w w:val="89"/>
                </w:rPr>
                <w:t>National Association, as trustee.</w:t>
              </w:r>
            </w:hyperlink>
          </w:p>
        </w:tc>
        <w:tc>
          <w:tcPr>
            <w:tcW w:w="33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60" w:type="dxa"/>
            <w:vAlign w:val="bottom"/>
            <w:gridSpan w:val="4"/>
          </w:tcPr>
          <w:p>
            <w:pPr>
              <w:jc w:val="center"/>
              <w:ind w:left="270"/>
              <w:spacing w:after="0"/>
              <w:rPr>
                <w:rFonts w:ascii="Arial" w:cs="Arial" w:eastAsia="Arial" w:hAnsi="Arial"/>
                <w:sz w:val="18"/>
                <w:szCs w:val="18"/>
                <w:color w:val="0000FF"/>
                <w:w w:val="87"/>
              </w:rPr>
            </w:pPr>
            <w:hyperlink r:id="rId108">
              <w:r>
                <w:rPr>
                  <w:rFonts w:ascii="Arial" w:cs="Arial" w:eastAsia="Arial" w:hAnsi="Arial"/>
                  <w:sz w:val="18"/>
                  <w:szCs w:val="18"/>
                  <w:color w:val="0000FF"/>
                  <w:w w:val="87"/>
                </w:rPr>
                <w:t>4.</w:t>
              </w:r>
              <w:r>
                <w:rPr>
                  <w:rFonts w:ascii="Arial" w:cs="Arial" w:eastAsia="Arial" w:hAnsi="Arial"/>
                  <w:sz w:val="18"/>
                  <w:szCs w:val="18"/>
                  <w:u w:val="single" w:color="auto"/>
                  <w:color w:val="0000FF"/>
                  <w:w w:val="87"/>
                </w:rPr>
                <w:t>9</w:t>
              </w:r>
            </w:hyperlink>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20" w:type="dxa"/>
            <w:vAlign w:val="bottom"/>
            <w:gridSpan w:val="12"/>
          </w:tcPr>
          <w:p>
            <w:pPr>
              <w:spacing w:after="0"/>
              <w:rPr>
                <w:rFonts w:ascii="Arial" w:cs="Arial" w:eastAsia="Arial" w:hAnsi="Arial"/>
                <w:sz w:val="18"/>
                <w:szCs w:val="18"/>
                <w:color w:val="0000FF"/>
                <w:w w:val="91"/>
              </w:rPr>
            </w:pPr>
            <w:hyperlink r:id="rId108">
              <w:r>
                <w:rPr>
                  <w:rFonts w:ascii="Arial" w:cs="Arial" w:eastAsia="Arial" w:hAnsi="Arial"/>
                  <w:sz w:val="18"/>
                  <w:szCs w:val="18"/>
                  <w:color w:val="0000FF"/>
                  <w:w w:val="91"/>
                </w:rPr>
                <w:t>Indenture, dated as of April 29, 2022, relating to the 4.625% Senior Notes due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tcBorders>
            <w:gridSpan w:val="10"/>
          </w:tcPr>
          <w:p>
            <w:pPr>
              <w:spacing w:after="0" w:line="156" w:lineRule="exact"/>
              <w:rPr>
                <w:rFonts w:ascii="Arial" w:cs="Arial" w:eastAsia="Arial" w:hAnsi="Arial"/>
                <w:sz w:val="18"/>
                <w:szCs w:val="18"/>
                <w:color w:val="0000FF"/>
                <w:w w:val="99"/>
              </w:rPr>
            </w:pPr>
            <w:hyperlink r:id="rId108">
              <w:r>
                <w:rPr>
                  <w:rFonts w:ascii="Arial" w:cs="Arial" w:eastAsia="Arial" w:hAnsi="Arial"/>
                  <w:sz w:val="18"/>
                  <w:szCs w:val="18"/>
                  <w:color w:val="0000FF"/>
                  <w:w w:val="99"/>
                </w:rPr>
                <w:t>2025, between VICI Properties L.P., VICI Note Co. Inc. and UMB Bank,</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108">
              <w:r>
                <w:rPr>
                  <w:rFonts w:ascii="Arial" w:cs="Arial" w:eastAsia="Arial" w:hAnsi="Arial"/>
                  <w:sz w:val="18"/>
                  <w:szCs w:val="18"/>
                  <w:color w:val="0000FF"/>
                  <w:w w:val="89"/>
                </w:rPr>
                <w:t>National Association, as trustee.</w:t>
              </w:r>
            </w:hyperlink>
          </w:p>
        </w:tc>
        <w:tc>
          <w:tcPr>
            <w:tcW w:w="33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00" w:type="dxa"/>
            <w:vAlign w:val="bottom"/>
            <w:gridSpan w:val="5"/>
          </w:tcPr>
          <w:p>
            <w:pPr>
              <w:jc w:val="center"/>
              <w:spacing w:after="0"/>
              <w:rPr>
                <w:rFonts w:ascii="Arial" w:cs="Arial" w:eastAsia="Arial" w:hAnsi="Arial"/>
                <w:sz w:val="18"/>
                <w:szCs w:val="18"/>
                <w:color w:val="0000FF"/>
                <w:w w:val="85"/>
              </w:rPr>
            </w:pPr>
            <w:hyperlink r:id="rId109">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10</w:t>
              </w:r>
            </w:hyperlink>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20" w:type="dxa"/>
            <w:vAlign w:val="bottom"/>
            <w:gridSpan w:val="12"/>
          </w:tcPr>
          <w:p>
            <w:pPr>
              <w:spacing w:after="0"/>
              <w:rPr>
                <w:rFonts w:ascii="Arial" w:cs="Arial" w:eastAsia="Arial" w:hAnsi="Arial"/>
                <w:sz w:val="18"/>
                <w:szCs w:val="18"/>
                <w:color w:val="0000FF"/>
                <w:w w:val="91"/>
              </w:rPr>
            </w:pPr>
            <w:hyperlink r:id="rId109">
              <w:r>
                <w:rPr>
                  <w:rFonts w:ascii="Arial" w:cs="Arial" w:eastAsia="Arial" w:hAnsi="Arial"/>
                  <w:sz w:val="18"/>
                  <w:szCs w:val="18"/>
                  <w:color w:val="0000FF"/>
                  <w:w w:val="91"/>
                </w:rPr>
                <w:t>Indenture, dated as of April 29, 2022, relating to the 4.500% Senior Notes due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tcBorders>
            <w:gridSpan w:val="10"/>
          </w:tcPr>
          <w:p>
            <w:pPr>
              <w:spacing w:after="0" w:line="156" w:lineRule="exact"/>
              <w:rPr>
                <w:rFonts w:ascii="Arial" w:cs="Arial" w:eastAsia="Arial" w:hAnsi="Arial"/>
                <w:sz w:val="18"/>
                <w:szCs w:val="18"/>
                <w:color w:val="0000FF"/>
                <w:w w:val="99"/>
              </w:rPr>
            </w:pPr>
            <w:hyperlink r:id="rId109">
              <w:r>
                <w:rPr>
                  <w:rFonts w:ascii="Arial" w:cs="Arial" w:eastAsia="Arial" w:hAnsi="Arial"/>
                  <w:sz w:val="18"/>
                  <w:szCs w:val="18"/>
                  <w:color w:val="0000FF"/>
                  <w:w w:val="99"/>
                </w:rPr>
                <w:t>2026, between VICI Properties L.P., VICI Note Co. Inc. and UMB Bank,</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109">
              <w:r>
                <w:rPr>
                  <w:rFonts w:ascii="Arial" w:cs="Arial" w:eastAsia="Arial" w:hAnsi="Arial"/>
                  <w:sz w:val="18"/>
                  <w:szCs w:val="18"/>
                  <w:color w:val="0000FF"/>
                  <w:w w:val="89"/>
                </w:rPr>
                <w:t>National Association, as trustee.</w:t>
              </w:r>
            </w:hyperlink>
          </w:p>
        </w:tc>
        <w:tc>
          <w:tcPr>
            <w:tcW w:w="33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60" w:type="dxa"/>
            <w:vAlign w:val="bottom"/>
            <w:gridSpan w:val="4"/>
          </w:tcPr>
          <w:p>
            <w:pPr>
              <w:jc w:val="center"/>
              <w:ind w:left="270"/>
              <w:spacing w:after="0"/>
              <w:rPr>
                <w:rFonts w:ascii="Arial" w:cs="Arial" w:eastAsia="Arial" w:hAnsi="Arial"/>
                <w:sz w:val="18"/>
                <w:szCs w:val="18"/>
                <w:color w:val="0000FF"/>
                <w:w w:val="85"/>
              </w:rPr>
            </w:pPr>
            <w:hyperlink r:id="rId110">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11</w:t>
              </w:r>
            </w:hyperlink>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20" w:type="dxa"/>
            <w:vAlign w:val="bottom"/>
            <w:gridSpan w:val="12"/>
          </w:tcPr>
          <w:p>
            <w:pPr>
              <w:spacing w:after="0"/>
              <w:rPr>
                <w:rFonts w:ascii="Arial" w:cs="Arial" w:eastAsia="Arial" w:hAnsi="Arial"/>
                <w:sz w:val="18"/>
                <w:szCs w:val="18"/>
                <w:color w:val="0000FF"/>
                <w:w w:val="91"/>
              </w:rPr>
            </w:pPr>
            <w:hyperlink r:id="rId110">
              <w:r>
                <w:rPr>
                  <w:rFonts w:ascii="Arial" w:cs="Arial" w:eastAsia="Arial" w:hAnsi="Arial"/>
                  <w:sz w:val="18"/>
                  <w:szCs w:val="18"/>
                  <w:color w:val="0000FF"/>
                  <w:w w:val="91"/>
                </w:rPr>
                <w:t>Indenture, dated as of April 29, 2022, relating to the 5.750% Senior Notes due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tcBorders>
            <w:gridSpan w:val="10"/>
          </w:tcPr>
          <w:p>
            <w:pPr>
              <w:spacing w:after="0" w:line="156" w:lineRule="exact"/>
              <w:rPr>
                <w:rFonts w:ascii="Arial" w:cs="Arial" w:eastAsia="Arial" w:hAnsi="Arial"/>
                <w:sz w:val="18"/>
                <w:szCs w:val="18"/>
                <w:color w:val="0000FF"/>
                <w:w w:val="99"/>
              </w:rPr>
            </w:pPr>
            <w:hyperlink r:id="rId110">
              <w:r>
                <w:rPr>
                  <w:rFonts w:ascii="Arial" w:cs="Arial" w:eastAsia="Arial" w:hAnsi="Arial"/>
                  <w:sz w:val="18"/>
                  <w:szCs w:val="18"/>
                  <w:color w:val="0000FF"/>
                  <w:w w:val="99"/>
                </w:rPr>
                <w:t>2027, between VICI Properties L.P., VICI Note Co. Inc. and UMB Bank,</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110">
              <w:r>
                <w:rPr>
                  <w:rFonts w:ascii="Arial" w:cs="Arial" w:eastAsia="Arial" w:hAnsi="Arial"/>
                  <w:sz w:val="18"/>
                  <w:szCs w:val="18"/>
                  <w:color w:val="0000FF"/>
                  <w:w w:val="89"/>
                </w:rPr>
                <w:t>National Association, as trustee.</w:t>
              </w:r>
            </w:hyperlink>
          </w:p>
        </w:tc>
        <w:tc>
          <w:tcPr>
            <w:tcW w:w="33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00" w:type="dxa"/>
            <w:vAlign w:val="bottom"/>
            <w:gridSpan w:val="5"/>
          </w:tcPr>
          <w:p>
            <w:pPr>
              <w:jc w:val="center"/>
              <w:spacing w:after="0"/>
              <w:rPr>
                <w:rFonts w:ascii="Arial" w:cs="Arial" w:eastAsia="Arial" w:hAnsi="Arial"/>
                <w:sz w:val="18"/>
                <w:szCs w:val="18"/>
                <w:color w:val="0000FF"/>
                <w:w w:val="85"/>
              </w:rPr>
            </w:pPr>
            <w:hyperlink r:id="rId111">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12</w:t>
              </w:r>
            </w:hyperlink>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20" w:type="dxa"/>
            <w:vAlign w:val="bottom"/>
            <w:gridSpan w:val="12"/>
          </w:tcPr>
          <w:p>
            <w:pPr>
              <w:spacing w:after="0"/>
              <w:rPr>
                <w:rFonts w:ascii="Arial" w:cs="Arial" w:eastAsia="Arial" w:hAnsi="Arial"/>
                <w:sz w:val="18"/>
                <w:szCs w:val="18"/>
                <w:color w:val="0000FF"/>
                <w:w w:val="91"/>
              </w:rPr>
            </w:pPr>
            <w:hyperlink r:id="rId111">
              <w:r>
                <w:rPr>
                  <w:rFonts w:ascii="Arial" w:cs="Arial" w:eastAsia="Arial" w:hAnsi="Arial"/>
                  <w:sz w:val="18"/>
                  <w:szCs w:val="18"/>
                  <w:color w:val="0000FF"/>
                  <w:w w:val="91"/>
                </w:rPr>
                <w:t>Indenture, dated as of April 29, 2022, relating to the 4.500% Senior Notes due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tcBorders>
            <w:gridSpan w:val="10"/>
          </w:tcPr>
          <w:p>
            <w:pPr>
              <w:spacing w:after="0" w:line="156" w:lineRule="exact"/>
              <w:rPr>
                <w:rFonts w:ascii="Arial" w:cs="Arial" w:eastAsia="Arial" w:hAnsi="Arial"/>
                <w:sz w:val="18"/>
                <w:szCs w:val="18"/>
                <w:color w:val="0000FF"/>
                <w:w w:val="99"/>
              </w:rPr>
            </w:pPr>
            <w:hyperlink r:id="rId111">
              <w:r>
                <w:rPr>
                  <w:rFonts w:ascii="Arial" w:cs="Arial" w:eastAsia="Arial" w:hAnsi="Arial"/>
                  <w:sz w:val="18"/>
                  <w:szCs w:val="18"/>
                  <w:color w:val="0000FF"/>
                  <w:w w:val="99"/>
                </w:rPr>
                <w:t>2028, between VICI Properties L.P., VICI Note Co. Inc. and UMB Bank,</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111">
              <w:r>
                <w:rPr>
                  <w:rFonts w:ascii="Arial" w:cs="Arial" w:eastAsia="Arial" w:hAnsi="Arial"/>
                  <w:sz w:val="18"/>
                  <w:szCs w:val="18"/>
                  <w:color w:val="0000FF"/>
                  <w:w w:val="89"/>
                </w:rPr>
                <w:t>National Association, as trustee.</w:t>
              </w:r>
            </w:hyperlink>
          </w:p>
        </w:tc>
        <w:tc>
          <w:tcPr>
            <w:tcW w:w="33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00" w:type="dxa"/>
            <w:vAlign w:val="bottom"/>
            <w:gridSpan w:val="5"/>
          </w:tcPr>
          <w:p>
            <w:pPr>
              <w:jc w:val="center"/>
              <w:spacing w:after="0"/>
              <w:rPr>
                <w:rFonts w:ascii="Arial" w:cs="Arial" w:eastAsia="Arial" w:hAnsi="Arial"/>
                <w:sz w:val="18"/>
                <w:szCs w:val="18"/>
                <w:color w:val="0000FF"/>
                <w:w w:val="85"/>
              </w:rPr>
            </w:pPr>
            <w:hyperlink r:id="rId112">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13</w:t>
              </w:r>
            </w:hyperlink>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20" w:type="dxa"/>
            <w:vAlign w:val="bottom"/>
            <w:gridSpan w:val="12"/>
          </w:tcPr>
          <w:p>
            <w:pPr>
              <w:spacing w:after="0"/>
              <w:rPr>
                <w:rFonts w:ascii="Arial" w:cs="Arial" w:eastAsia="Arial" w:hAnsi="Arial"/>
                <w:sz w:val="18"/>
                <w:szCs w:val="18"/>
                <w:color w:val="0000FF"/>
                <w:w w:val="91"/>
              </w:rPr>
            </w:pPr>
            <w:hyperlink r:id="rId112">
              <w:r>
                <w:rPr>
                  <w:rFonts w:ascii="Arial" w:cs="Arial" w:eastAsia="Arial" w:hAnsi="Arial"/>
                  <w:sz w:val="18"/>
                  <w:szCs w:val="18"/>
                  <w:color w:val="0000FF"/>
                  <w:w w:val="91"/>
                </w:rPr>
                <w:t>Indenture, dated as of April 29, 2022, relating to the 3.875% Senior Notes due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tcBorders>
            <w:gridSpan w:val="10"/>
          </w:tcPr>
          <w:p>
            <w:pPr>
              <w:spacing w:after="0" w:line="156" w:lineRule="exact"/>
              <w:rPr>
                <w:rFonts w:ascii="Arial" w:cs="Arial" w:eastAsia="Arial" w:hAnsi="Arial"/>
                <w:sz w:val="18"/>
                <w:szCs w:val="18"/>
                <w:color w:val="0000FF"/>
                <w:w w:val="99"/>
              </w:rPr>
            </w:pPr>
            <w:hyperlink r:id="rId112">
              <w:r>
                <w:rPr>
                  <w:rFonts w:ascii="Arial" w:cs="Arial" w:eastAsia="Arial" w:hAnsi="Arial"/>
                  <w:sz w:val="18"/>
                  <w:szCs w:val="18"/>
                  <w:color w:val="0000FF"/>
                  <w:w w:val="99"/>
                </w:rPr>
                <w:t>2029, between VICI Properties L.P., VICI Note Co. Inc. and UMB Bank,</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112">
              <w:r>
                <w:rPr>
                  <w:rFonts w:ascii="Arial" w:cs="Arial" w:eastAsia="Arial" w:hAnsi="Arial"/>
                  <w:sz w:val="18"/>
                  <w:szCs w:val="18"/>
                  <w:color w:val="0000FF"/>
                  <w:w w:val="89"/>
                </w:rPr>
                <w:t>National Association, as trustee.</w:t>
              </w:r>
            </w:hyperlink>
          </w:p>
        </w:tc>
        <w:tc>
          <w:tcPr>
            <w:tcW w:w="33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00" w:type="dxa"/>
            <w:vAlign w:val="bottom"/>
            <w:gridSpan w:val="5"/>
          </w:tcPr>
          <w:p>
            <w:pPr>
              <w:jc w:val="center"/>
              <w:spacing w:after="0"/>
              <w:rPr>
                <w:rFonts w:ascii="Arial" w:cs="Arial" w:eastAsia="Arial" w:hAnsi="Arial"/>
                <w:sz w:val="18"/>
                <w:szCs w:val="18"/>
                <w:color w:val="0000FF"/>
                <w:w w:val="85"/>
              </w:rPr>
            </w:pPr>
            <w:hyperlink r:id="rId107">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14</w:t>
              </w:r>
            </w:hyperlink>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20" w:type="dxa"/>
            <w:vAlign w:val="bottom"/>
            <w:gridSpan w:val="12"/>
          </w:tcPr>
          <w:p>
            <w:pPr>
              <w:spacing w:after="0"/>
              <w:rPr>
                <w:rFonts w:ascii="Arial" w:cs="Arial" w:eastAsia="Arial" w:hAnsi="Arial"/>
                <w:sz w:val="18"/>
                <w:szCs w:val="18"/>
                <w:color w:val="0000FF"/>
              </w:rPr>
            </w:pPr>
            <w:hyperlink r:id="rId107">
              <w:r>
                <w:rPr>
                  <w:rFonts w:ascii="Arial" w:cs="Arial" w:eastAsia="Arial" w:hAnsi="Arial"/>
                  <w:sz w:val="18"/>
                  <w:szCs w:val="18"/>
                  <w:color w:val="0000FF"/>
                </w:rPr>
                <w:t>Form of Global Note representing the 5.625% Senior Notes due 2024</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(included in Exhibit 4.8).</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 w:type="dxa"/>
            <w:vAlign w:val="bottom"/>
            <w:gridSpan w:val="5"/>
          </w:tcPr>
          <w:p>
            <w:pPr>
              <w:jc w:val="center"/>
              <w:spacing w:after="0"/>
              <w:rPr>
                <w:rFonts w:ascii="Arial" w:cs="Arial" w:eastAsia="Arial" w:hAnsi="Arial"/>
                <w:sz w:val="18"/>
                <w:szCs w:val="18"/>
                <w:color w:val="0000FF"/>
                <w:w w:val="85"/>
              </w:rPr>
            </w:pPr>
            <w:hyperlink r:id="rId108">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15</w:t>
              </w:r>
            </w:hyperlink>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20" w:type="dxa"/>
            <w:vAlign w:val="bottom"/>
            <w:gridSpan w:val="12"/>
          </w:tcPr>
          <w:p>
            <w:pPr>
              <w:spacing w:after="0"/>
              <w:rPr>
                <w:rFonts w:ascii="Arial" w:cs="Arial" w:eastAsia="Arial" w:hAnsi="Arial"/>
                <w:sz w:val="18"/>
                <w:szCs w:val="18"/>
                <w:color w:val="0000FF"/>
              </w:rPr>
            </w:pPr>
            <w:hyperlink r:id="rId108">
              <w:r>
                <w:rPr>
                  <w:rFonts w:ascii="Arial" w:cs="Arial" w:eastAsia="Arial" w:hAnsi="Arial"/>
                  <w:sz w:val="18"/>
                  <w:szCs w:val="18"/>
                  <w:color w:val="0000FF"/>
                </w:rPr>
                <w:t>Form of Global Note representing the 4.625% Senior Notes due 2025</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(included in Exhibit 4.9).</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 w:type="dxa"/>
            <w:vAlign w:val="bottom"/>
            <w:gridSpan w:val="5"/>
          </w:tcPr>
          <w:p>
            <w:pPr>
              <w:jc w:val="center"/>
              <w:spacing w:after="0"/>
              <w:rPr>
                <w:rFonts w:ascii="Arial" w:cs="Arial" w:eastAsia="Arial" w:hAnsi="Arial"/>
                <w:sz w:val="18"/>
                <w:szCs w:val="18"/>
                <w:color w:val="0000FF"/>
                <w:w w:val="85"/>
              </w:rPr>
            </w:pPr>
            <w:hyperlink r:id="rId109">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16</w:t>
              </w:r>
            </w:hyperlink>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20" w:type="dxa"/>
            <w:vAlign w:val="bottom"/>
            <w:gridSpan w:val="12"/>
          </w:tcPr>
          <w:p>
            <w:pPr>
              <w:spacing w:after="0"/>
              <w:rPr>
                <w:rFonts w:ascii="Arial" w:cs="Arial" w:eastAsia="Arial" w:hAnsi="Arial"/>
                <w:sz w:val="18"/>
                <w:szCs w:val="18"/>
                <w:color w:val="0000FF"/>
              </w:rPr>
            </w:pPr>
            <w:hyperlink r:id="rId109">
              <w:r>
                <w:rPr>
                  <w:rFonts w:ascii="Arial" w:cs="Arial" w:eastAsia="Arial" w:hAnsi="Arial"/>
                  <w:sz w:val="18"/>
                  <w:szCs w:val="18"/>
                  <w:color w:val="0000FF"/>
                </w:rPr>
                <w:t>Form of Global Note representing the 4.500% Senior Notes due 2026</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3"/>
              </w:rPr>
            </w:pPr>
            <w:hyperlink r:id="rId109">
              <w:r>
                <w:rPr>
                  <w:rFonts w:ascii="Arial" w:cs="Arial" w:eastAsia="Arial" w:hAnsi="Arial"/>
                  <w:sz w:val="18"/>
                  <w:szCs w:val="18"/>
                  <w:color w:val="0000FF"/>
                  <w:w w:val="93"/>
                </w:rPr>
                <w:t>(included in Exhibit 4.10).</w:t>
              </w:r>
            </w:hyperlink>
          </w:p>
        </w:tc>
        <w:tc>
          <w:tcPr>
            <w:tcW w:w="3720" w:type="dxa"/>
            <w:vAlign w:val="bottom"/>
            <w:tcBorders>
              <w:top w:val="single" w:sz="8" w:color="0000FF"/>
            </w:tcBorders>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00" w:type="dxa"/>
            <w:vAlign w:val="bottom"/>
            <w:gridSpan w:val="5"/>
          </w:tcPr>
          <w:p>
            <w:pPr>
              <w:jc w:val="center"/>
              <w:spacing w:after="0"/>
              <w:rPr>
                <w:rFonts w:ascii="Arial" w:cs="Arial" w:eastAsia="Arial" w:hAnsi="Arial"/>
                <w:sz w:val="18"/>
                <w:szCs w:val="18"/>
                <w:color w:val="0000FF"/>
                <w:w w:val="85"/>
              </w:rPr>
            </w:pPr>
            <w:hyperlink r:id="rId110">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17</w:t>
              </w:r>
            </w:hyperlink>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20" w:type="dxa"/>
            <w:vAlign w:val="bottom"/>
            <w:gridSpan w:val="12"/>
          </w:tcPr>
          <w:p>
            <w:pPr>
              <w:spacing w:after="0"/>
              <w:rPr>
                <w:rFonts w:ascii="Arial" w:cs="Arial" w:eastAsia="Arial" w:hAnsi="Arial"/>
                <w:sz w:val="18"/>
                <w:szCs w:val="18"/>
                <w:color w:val="0000FF"/>
              </w:rPr>
            </w:pPr>
            <w:hyperlink r:id="rId110">
              <w:r>
                <w:rPr>
                  <w:rFonts w:ascii="Arial" w:cs="Arial" w:eastAsia="Arial" w:hAnsi="Arial"/>
                  <w:sz w:val="18"/>
                  <w:szCs w:val="18"/>
                  <w:color w:val="0000FF"/>
                </w:rPr>
                <w:t>Form of Global Note representing the 5.750% Senior Notes due 2027</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r:id="rId110">
              <w:r>
                <w:rPr>
                  <w:rFonts w:ascii="Arial" w:cs="Arial" w:eastAsia="Arial" w:hAnsi="Arial"/>
                  <w:sz w:val="18"/>
                  <w:szCs w:val="18"/>
                  <w:color w:val="0000FF"/>
                  <w:w w:val="93"/>
                </w:rPr>
                <w:t>(included in Exhibit 4.11).</w:t>
              </w:r>
            </w:hyperlink>
          </w:p>
        </w:tc>
        <w:tc>
          <w:tcPr>
            <w:tcW w:w="3740" w:type="dxa"/>
            <w:vAlign w:val="bottom"/>
            <w:tcBorders>
              <w:top w:val="single" w:sz="8" w:color="0000FF"/>
            </w:tcBorders>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1000" w:type="dxa"/>
            <w:vAlign w:val="bottom"/>
            <w:gridSpan w:val="5"/>
          </w:tcPr>
          <w:p>
            <w:pPr>
              <w:jc w:val="center"/>
              <w:spacing w:after="0"/>
              <w:rPr>
                <w:rFonts w:ascii="Arial" w:cs="Arial" w:eastAsia="Arial" w:hAnsi="Arial"/>
                <w:sz w:val="18"/>
                <w:szCs w:val="18"/>
                <w:color w:val="0000FF"/>
                <w:w w:val="85"/>
              </w:rPr>
            </w:pPr>
            <w:hyperlink r:id="rId111">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18</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12"/>
          </w:tcPr>
          <w:p>
            <w:pPr>
              <w:spacing w:after="0"/>
              <w:rPr>
                <w:rFonts w:ascii="Arial" w:cs="Arial" w:eastAsia="Arial" w:hAnsi="Arial"/>
                <w:sz w:val="18"/>
                <w:szCs w:val="18"/>
                <w:color w:val="0000FF"/>
              </w:rPr>
            </w:pPr>
            <w:hyperlink r:id="rId111">
              <w:r>
                <w:rPr>
                  <w:rFonts w:ascii="Arial" w:cs="Arial" w:eastAsia="Arial" w:hAnsi="Arial"/>
                  <w:sz w:val="18"/>
                  <w:szCs w:val="18"/>
                  <w:color w:val="0000FF"/>
                </w:rPr>
                <w:t>Form of Global Note representing the 4.500% Senior Notes due 2028</w:t>
              </w:r>
            </w:hyperlink>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20" w:type="dxa"/>
            <w:vAlign w:val="bottom"/>
            <w:tcBorders>
              <w:top w:val="single" w:sz="8" w:color="0000FF"/>
              <w:bottom w:val="single" w:sz="8" w:color="0000FF"/>
            </w:tcBorders>
            <w:gridSpan w:val="3"/>
          </w:tcPr>
          <w:p>
            <w:pPr>
              <w:spacing w:after="0" w:line="136" w:lineRule="exact"/>
              <w:rPr>
                <w:rFonts w:ascii="Arial" w:cs="Arial" w:eastAsia="Arial" w:hAnsi="Arial"/>
                <w:sz w:val="15"/>
                <w:szCs w:val="15"/>
                <w:color w:val="0000FF"/>
              </w:rPr>
            </w:pPr>
            <w:hyperlink r:id="rId111">
              <w:r>
                <w:rPr>
                  <w:rFonts w:ascii="Arial" w:cs="Arial" w:eastAsia="Arial" w:hAnsi="Arial"/>
                  <w:sz w:val="15"/>
                  <w:szCs w:val="15"/>
                  <w:color w:val="0000FF"/>
                </w:rPr>
                <w:t>(included in Exhibit 4.12).</w:t>
              </w:r>
            </w:hyperlink>
          </w:p>
        </w:tc>
        <w:tc>
          <w:tcPr>
            <w:tcW w:w="3720" w:type="dxa"/>
            <w:vAlign w:val="bottom"/>
            <w:tcBorders>
              <w:top w:val="single" w:sz="8" w:color="0000FF"/>
            </w:tcBorders>
            <w:gridSpan w:val="5"/>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979"/>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7"/>
          </w:tcPr>
          <w:p>
            <w:pPr>
              <w:jc w:val="right"/>
              <w:ind w:right="60"/>
              <w:spacing w:after="0"/>
              <w:rPr>
                <w:sz w:val="20"/>
                <w:szCs w:val="20"/>
                <w:color w:val="auto"/>
              </w:rPr>
            </w:pPr>
            <w:r>
              <w:rPr>
                <w:rFonts w:ascii="Arial" w:cs="Arial" w:eastAsia="Arial" w:hAnsi="Arial"/>
                <w:sz w:val="18"/>
                <w:szCs w:val="18"/>
                <w:color w:val="auto"/>
              </w:rPr>
              <w:t>72</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21"/>
        </w:trPr>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4"/>
                <w:szCs w:val="14"/>
                <w:b w:val="1"/>
                <w:bCs w:val="1"/>
                <w:color w:val="auto"/>
                <w:w w:val="97"/>
              </w:rPr>
              <w:t>Filed</w:t>
            </w:r>
          </w:p>
        </w:tc>
        <w:tc>
          <w:tcPr>
            <w:tcW w:w="760" w:type="dxa"/>
            <w:vAlign w:val="bottom"/>
            <w:vMerge w:val="restart"/>
          </w:tcPr>
          <w:p>
            <w:pPr>
              <w:jc w:val="center"/>
              <w:ind w:left="171"/>
              <w:spacing w:after="0"/>
              <w:rPr>
                <w:sz w:val="20"/>
                <w:szCs w:val="20"/>
                <w:color w:val="auto"/>
              </w:rPr>
            </w:pPr>
            <w:r>
              <w:rPr>
                <w:rFonts w:ascii="Arial" w:cs="Arial" w:eastAsia="Arial" w:hAnsi="Arial"/>
                <w:sz w:val="14"/>
                <w:szCs w:val="14"/>
                <w:b w:val="1"/>
                <w:bCs w:val="1"/>
                <w:color w:val="auto"/>
                <w:w w:val="97"/>
              </w:rPr>
              <w:t>Form</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88"/>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0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71"/>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4/29/2022</w:t>
            </w:r>
          </w:p>
        </w:tc>
        <w:tc>
          <w:tcPr>
            <w:tcW w:w="0" w:type="dxa"/>
            <w:vAlign w:val="bottom"/>
          </w:tcPr>
          <w:p>
            <w:pPr>
              <w:spacing w:after="0"/>
              <w:rPr>
                <w:sz w:val="1"/>
                <w:szCs w:val="1"/>
                <w:color w:val="auto"/>
              </w:rPr>
            </w:pPr>
          </w:p>
        </w:tc>
      </w:tr>
      <w:tr>
        <w:trPr>
          <w:trHeight w:val="459"/>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71"/>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4/29/2022</w:t>
            </w:r>
          </w:p>
        </w:tc>
        <w:tc>
          <w:tcPr>
            <w:tcW w:w="0" w:type="dxa"/>
            <w:vAlign w:val="bottom"/>
          </w:tcPr>
          <w:p>
            <w:pPr>
              <w:spacing w:after="0"/>
              <w:rPr>
                <w:sz w:val="1"/>
                <w:szCs w:val="1"/>
                <w:color w:val="auto"/>
              </w:rPr>
            </w:pPr>
          </w:p>
        </w:tc>
      </w:tr>
      <w:tr>
        <w:trPr>
          <w:trHeight w:val="459"/>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71"/>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4/29/2022</w:t>
            </w:r>
          </w:p>
        </w:tc>
        <w:tc>
          <w:tcPr>
            <w:tcW w:w="0" w:type="dxa"/>
            <w:vAlign w:val="bottom"/>
          </w:tcPr>
          <w:p>
            <w:pPr>
              <w:spacing w:after="0"/>
              <w:rPr>
                <w:sz w:val="1"/>
                <w:szCs w:val="1"/>
                <w:color w:val="auto"/>
              </w:rPr>
            </w:pPr>
          </w:p>
        </w:tc>
      </w:tr>
      <w:tr>
        <w:trPr>
          <w:trHeight w:val="459"/>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71"/>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4/29/2022</w:t>
            </w:r>
          </w:p>
        </w:tc>
        <w:tc>
          <w:tcPr>
            <w:tcW w:w="0" w:type="dxa"/>
            <w:vAlign w:val="bottom"/>
          </w:tcPr>
          <w:p>
            <w:pPr>
              <w:spacing w:after="0"/>
              <w:rPr>
                <w:sz w:val="1"/>
                <w:szCs w:val="1"/>
                <w:color w:val="auto"/>
              </w:rPr>
            </w:pPr>
          </w:p>
        </w:tc>
      </w:tr>
      <w:tr>
        <w:trPr>
          <w:trHeight w:val="459"/>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71"/>
              <w:spacing w:after="0"/>
              <w:rPr>
                <w:sz w:val="20"/>
                <w:szCs w:val="20"/>
                <w:color w:val="auto"/>
              </w:rPr>
            </w:pPr>
            <w:r>
              <w:rPr>
                <w:rFonts w:ascii="Arial" w:cs="Arial" w:eastAsia="Arial" w:hAnsi="Arial"/>
                <w:sz w:val="18"/>
                <w:szCs w:val="18"/>
                <w:color w:val="auto"/>
                <w:w w:val="95"/>
              </w:rPr>
              <w:t>4.5</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4/29/2022</w:t>
            </w:r>
          </w:p>
        </w:tc>
        <w:tc>
          <w:tcPr>
            <w:tcW w:w="0" w:type="dxa"/>
            <w:vAlign w:val="bottom"/>
          </w:tcPr>
          <w:p>
            <w:pPr>
              <w:spacing w:after="0"/>
              <w:rPr>
                <w:sz w:val="1"/>
                <w:szCs w:val="1"/>
                <w:color w:val="auto"/>
              </w:rPr>
            </w:pPr>
          </w:p>
        </w:tc>
      </w:tr>
      <w:tr>
        <w:trPr>
          <w:trHeight w:val="459"/>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71"/>
              <w:spacing w:after="0"/>
              <w:rPr>
                <w:sz w:val="20"/>
                <w:szCs w:val="20"/>
                <w:color w:val="auto"/>
              </w:rPr>
            </w:pPr>
            <w:r>
              <w:rPr>
                <w:rFonts w:ascii="Arial" w:cs="Arial" w:eastAsia="Arial" w:hAnsi="Arial"/>
                <w:sz w:val="18"/>
                <w:szCs w:val="18"/>
                <w:color w:val="auto"/>
                <w:w w:val="95"/>
              </w:rPr>
              <w:t>4.6</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4/29/2022</w:t>
            </w:r>
          </w:p>
        </w:tc>
        <w:tc>
          <w:tcPr>
            <w:tcW w:w="0" w:type="dxa"/>
            <w:vAlign w:val="bottom"/>
          </w:tcPr>
          <w:p>
            <w:pPr>
              <w:spacing w:after="0"/>
              <w:rPr>
                <w:sz w:val="1"/>
                <w:szCs w:val="1"/>
                <w:color w:val="auto"/>
              </w:rPr>
            </w:pPr>
          </w:p>
        </w:tc>
      </w:tr>
      <w:tr>
        <w:trPr>
          <w:trHeight w:val="459"/>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71"/>
              <w:spacing w:after="0"/>
              <w:rPr>
                <w:sz w:val="20"/>
                <w:szCs w:val="20"/>
                <w:color w:val="auto"/>
              </w:rPr>
            </w:pPr>
            <w:r>
              <w:rPr>
                <w:rFonts w:ascii="Arial" w:cs="Arial" w:eastAsia="Arial" w:hAnsi="Arial"/>
                <w:sz w:val="18"/>
                <w:szCs w:val="18"/>
                <w:color w:val="auto"/>
                <w:w w:val="95"/>
              </w:rPr>
              <w:t>4.7</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4/29/2022</w:t>
            </w:r>
          </w:p>
        </w:tc>
        <w:tc>
          <w:tcPr>
            <w:tcW w:w="0" w:type="dxa"/>
            <w:vAlign w:val="bottom"/>
          </w:tcPr>
          <w:p>
            <w:pPr>
              <w:spacing w:after="0"/>
              <w:rPr>
                <w:sz w:val="1"/>
                <w:szCs w:val="1"/>
                <w:color w:val="auto"/>
              </w:rPr>
            </w:pPr>
          </w:p>
        </w:tc>
      </w:tr>
      <w:tr>
        <w:trPr>
          <w:trHeight w:val="55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71"/>
              <w:spacing w:after="0"/>
              <w:rPr>
                <w:sz w:val="20"/>
                <w:szCs w:val="20"/>
                <w:color w:val="auto"/>
              </w:rPr>
            </w:pPr>
            <w:r>
              <w:rPr>
                <w:rFonts w:ascii="Arial" w:cs="Arial" w:eastAsia="Arial" w:hAnsi="Arial"/>
                <w:sz w:val="18"/>
                <w:szCs w:val="18"/>
                <w:color w:val="auto"/>
                <w:w w:val="95"/>
              </w:rPr>
              <w:t>4.8</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4/29/2022</w:t>
            </w:r>
          </w:p>
        </w:tc>
        <w:tc>
          <w:tcPr>
            <w:tcW w:w="0" w:type="dxa"/>
            <w:vAlign w:val="bottom"/>
          </w:tcPr>
          <w:p>
            <w:pPr>
              <w:spacing w:after="0"/>
              <w:rPr>
                <w:sz w:val="1"/>
                <w:szCs w:val="1"/>
                <w:color w:val="auto"/>
              </w:rPr>
            </w:pPr>
          </w:p>
        </w:tc>
      </w:tr>
      <w:tr>
        <w:trPr>
          <w:trHeight w:val="634"/>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71"/>
              <w:spacing w:after="0"/>
              <w:rPr>
                <w:sz w:val="20"/>
                <w:szCs w:val="20"/>
                <w:color w:val="auto"/>
              </w:rPr>
            </w:pPr>
            <w:r>
              <w:rPr>
                <w:rFonts w:ascii="Arial" w:cs="Arial" w:eastAsia="Arial" w:hAnsi="Arial"/>
                <w:sz w:val="18"/>
                <w:szCs w:val="18"/>
                <w:color w:val="auto"/>
                <w:w w:val="95"/>
              </w:rPr>
              <w:t>4.9</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4/29/2022</w:t>
            </w:r>
          </w:p>
        </w:tc>
        <w:tc>
          <w:tcPr>
            <w:tcW w:w="0" w:type="dxa"/>
            <w:vAlign w:val="bottom"/>
          </w:tcPr>
          <w:p>
            <w:pPr>
              <w:spacing w:after="0"/>
              <w:rPr>
                <w:sz w:val="1"/>
                <w:szCs w:val="1"/>
                <w:color w:val="auto"/>
              </w:rPr>
            </w:pPr>
          </w:p>
        </w:tc>
      </w:tr>
      <w:tr>
        <w:trPr>
          <w:trHeight w:val="635"/>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71"/>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4/29/2022</w:t>
            </w:r>
          </w:p>
        </w:tc>
        <w:tc>
          <w:tcPr>
            <w:tcW w:w="0" w:type="dxa"/>
            <w:vAlign w:val="bottom"/>
          </w:tcPr>
          <w:p>
            <w:pPr>
              <w:spacing w:after="0"/>
              <w:rPr>
                <w:sz w:val="1"/>
                <w:szCs w:val="1"/>
                <w:color w:val="auto"/>
              </w:rPr>
            </w:pPr>
          </w:p>
        </w:tc>
      </w:tr>
      <w:tr>
        <w:trPr>
          <w:trHeight w:val="635"/>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71"/>
              <w:spacing w:after="0"/>
              <w:rPr>
                <w:sz w:val="20"/>
                <w:szCs w:val="20"/>
                <w:color w:val="auto"/>
              </w:rPr>
            </w:pPr>
            <w:r>
              <w:rPr>
                <w:rFonts w:ascii="Arial" w:cs="Arial" w:eastAsia="Arial" w:hAnsi="Arial"/>
                <w:sz w:val="18"/>
                <w:szCs w:val="18"/>
                <w:color w:val="auto"/>
                <w:w w:val="91"/>
              </w:rPr>
              <w:t>4.11</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4/29/2022</w:t>
            </w:r>
          </w:p>
        </w:tc>
        <w:tc>
          <w:tcPr>
            <w:tcW w:w="0" w:type="dxa"/>
            <w:vAlign w:val="bottom"/>
          </w:tcPr>
          <w:p>
            <w:pPr>
              <w:spacing w:after="0"/>
              <w:rPr>
                <w:sz w:val="1"/>
                <w:szCs w:val="1"/>
                <w:color w:val="auto"/>
              </w:rPr>
            </w:pPr>
          </w:p>
        </w:tc>
      </w:tr>
      <w:tr>
        <w:trPr>
          <w:trHeight w:val="634"/>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71"/>
              <w:spacing w:after="0"/>
              <w:rPr>
                <w:sz w:val="20"/>
                <w:szCs w:val="20"/>
                <w:color w:val="auto"/>
              </w:rPr>
            </w:pPr>
            <w:r>
              <w:rPr>
                <w:rFonts w:ascii="Arial" w:cs="Arial" w:eastAsia="Arial" w:hAnsi="Arial"/>
                <w:sz w:val="18"/>
                <w:szCs w:val="18"/>
                <w:color w:val="auto"/>
                <w:w w:val="91"/>
              </w:rPr>
              <w:t>4.12</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4/29/2022</w:t>
            </w:r>
          </w:p>
        </w:tc>
        <w:tc>
          <w:tcPr>
            <w:tcW w:w="0" w:type="dxa"/>
            <w:vAlign w:val="bottom"/>
          </w:tcPr>
          <w:p>
            <w:pPr>
              <w:spacing w:after="0"/>
              <w:rPr>
                <w:sz w:val="1"/>
                <w:szCs w:val="1"/>
                <w:color w:val="auto"/>
              </w:rPr>
            </w:pPr>
          </w:p>
        </w:tc>
      </w:tr>
      <w:tr>
        <w:trPr>
          <w:trHeight w:val="635"/>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71"/>
              <w:spacing w:after="0"/>
              <w:rPr>
                <w:sz w:val="20"/>
                <w:szCs w:val="20"/>
                <w:color w:val="auto"/>
              </w:rPr>
            </w:pPr>
            <w:r>
              <w:rPr>
                <w:rFonts w:ascii="Arial" w:cs="Arial" w:eastAsia="Arial" w:hAnsi="Arial"/>
                <w:sz w:val="18"/>
                <w:szCs w:val="18"/>
                <w:color w:val="auto"/>
                <w:w w:val="91"/>
              </w:rPr>
              <w:t>4.13</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4/29/2022</w:t>
            </w:r>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71"/>
              <w:spacing w:after="0"/>
              <w:rPr>
                <w:sz w:val="20"/>
                <w:szCs w:val="20"/>
                <w:color w:val="auto"/>
              </w:rPr>
            </w:pPr>
            <w:r>
              <w:rPr>
                <w:rFonts w:ascii="Arial" w:cs="Arial" w:eastAsia="Arial" w:hAnsi="Arial"/>
                <w:sz w:val="18"/>
                <w:szCs w:val="18"/>
                <w:color w:val="auto"/>
                <w:w w:val="91"/>
              </w:rPr>
              <w:t>4.14</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4/29/2022</w:t>
            </w:r>
          </w:p>
        </w:tc>
        <w:tc>
          <w:tcPr>
            <w:tcW w:w="0" w:type="dxa"/>
            <w:vAlign w:val="bottom"/>
          </w:tcPr>
          <w:p>
            <w:pPr>
              <w:spacing w:after="0"/>
              <w:rPr>
                <w:sz w:val="1"/>
                <w:szCs w:val="1"/>
                <w:color w:val="auto"/>
              </w:rPr>
            </w:pPr>
          </w:p>
        </w:tc>
      </w:tr>
      <w:tr>
        <w:trPr>
          <w:trHeight w:val="459"/>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71"/>
              <w:spacing w:after="0"/>
              <w:rPr>
                <w:sz w:val="20"/>
                <w:szCs w:val="20"/>
                <w:color w:val="auto"/>
              </w:rPr>
            </w:pPr>
            <w:r>
              <w:rPr>
                <w:rFonts w:ascii="Arial" w:cs="Arial" w:eastAsia="Arial" w:hAnsi="Arial"/>
                <w:sz w:val="18"/>
                <w:szCs w:val="18"/>
                <w:color w:val="auto"/>
                <w:w w:val="91"/>
              </w:rPr>
              <w:t>4.15</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4/29/2022</w:t>
            </w:r>
          </w:p>
        </w:tc>
        <w:tc>
          <w:tcPr>
            <w:tcW w:w="0" w:type="dxa"/>
            <w:vAlign w:val="bottom"/>
          </w:tcPr>
          <w:p>
            <w:pPr>
              <w:spacing w:after="0"/>
              <w:rPr>
                <w:sz w:val="1"/>
                <w:szCs w:val="1"/>
                <w:color w:val="auto"/>
              </w:rPr>
            </w:pPr>
          </w:p>
        </w:tc>
      </w:tr>
      <w:tr>
        <w:trPr>
          <w:trHeight w:val="459"/>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71"/>
              <w:spacing w:after="0"/>
              <w:rPr>
                <w:sz w:val="20"/>
                <w:szCs w:val="20"/>
                <w:color w:val="auto"/>
              </w:rPr>
            </w:pPr>
            <w:r>
              <w:rPr>
                <w:rFonts w:ascii="Arial" w:cs="Arial" w:eastAsia="Arial" w:hAnsi="Arial"/>
                <w:sz w:val="18"/>
                <w:szCs w:val="18"/>
                <w:color w:val="auto"/>
                <w:w w:val="91"/>
              </w:rPr>
              <w:t>4.16</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4/29/2022</w:t>
            </w:r>
          </w:p>
        </w:tc>
        <w:tc>
          <w:tcPr>
            <w:tcW w:w="0" w:type="dxa"/>
            <w:vAlign w:val="bottom"/>
          </w:tcPr>
          <w:p>
            <w:pPr>
              <w:spacing w:after="0"/>
              <w:rPr>
                <w:sz w:val="1"/>
                <w:szCs w:val="1"/>
                <w:color w:val="auto"/>
              </w:rPr>
            </w:pPr>
          </w:p>
        </w:tc>
      </w:tr>
      <w:tr>
        <w:trPr>
          <w:trHeight w:val="459"/>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71"/>
              <w:spacing w:after="0"/>
              <w:rPr>
                <w:sz w:val="20"/>
                <w:szCs w:val="20"/>
                <w:color w:val="auto"/>
              </w:rPr>
            </w:pPr>
            <w:r>
              <w:rPr>
                <w:rFonts w:ascii="Arial" w:cs="Arial" w:eastAsia="Arial" w:hAnsi="Arial"/>
                <w:sz w:val="18"/>
                <w:szCs w:val="18"/>
                <w:color w:val="auto"/>
                <w:w w:val="91"/>
              </w:rPr>
              <w:t>4.17</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4/29/2022</w:t>
            </w:r>
          </w:p>
        </w:tc>
        <w:tc>
          <w:tcPr>
            <w:tcW w:w="0" w:type="dxa"/>
            <w:vAlign w:val="bottom"/>
          </w:tcPr>
          <w:p>
            <w:pPr>
              <w:spacing w:after="0"/>
              <w:rPr>
                <w:sz w:val="1"/>
                <w:szCs w:val="1"/>
                <w:color w:val="auto"/>
              </w:rPr>
            </w:pPr>
          </w:p>
        </w:tc>
      </w:tr>
      <w:tr>
        <w:trPr>
          <w:trHeight w:val="459"/>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71"/>
              <w:spacing w:after="0"/>
              <w:rPr>
                <w:sz w:val="20"/>
                <w:szCs w:val="20"/>
                <w:color w:val="auto"/>
              </w:rPr>
            </w:pPr>
            <w:r>
              <w:rPr>
                <w:rFonts w:ascii="Arial" w:cs="Arial" w:eastAsia="Arial" w:hAnsi="Arial"/>
                <w:sz w:val="18"/>
                <w:szCs w:val="18"/>
                <w:color w:val="auto"/>
                <w:w w:val="91"/>
              </w:rPr>
              <w:t>4.18</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4/29/2022</w:t>
            </w:r>
          </w:p>
        </w:tc>
        <w:tc>
          <w:tcPr>
            <w:tcW w:w="0" w:type="dxa"/>
            <w:vAlign w:val="bottom"/>
          </w:tcPr>
          <w:p>
            <w:pPr>
              <w:spacing w:after="0"/>
              <w:rPr>
                <w:sz w:val="1"/>
                <w:szCs w:val="1"/>
                <w:color w:val="auto"/>
              </w:rPr>
            </w:pPr>
          </w:p>
        </w:tc>
      </w:tr>
    </w:tbl>
    <w:p>
      <w:pPr>
        <w:sectPr>
          <w:pgSz w:w="11900" w:h="16838" w:orient="portrait"/>
          <w:cols w:equalWidth="0" w:num="2">
            <w:col w:w="6780" w:space="120"/>
            <w:col w:w="4340"/>
          </w:cols>
          <w:pgMar w:left="320" w:top="368" w:right="3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540" w:type="dxa"/>
            <w:vAlign w:val="bottom"/>
            <w:gridSpan w:val="4"/>
          </w:tcPr>
          <w:p>
            <w:pPr>
              <w:jc w:val="center"/>
              <w:ind w:left="50"/>
              <w:spacing w:after="0"/>
              <w:rPr>
                <w:rFonts w:ascii="Arial" w:cs="Arial" w:eastAsia="Arial" w:hAnsi="Arial"/>
                <w:sz w:val="18"/>
                <w:szCs w:val="18"/>
                <w:color w:val="0000FF"/>
                <w:w w:val="91"/>
              </w:rPr>
            </w:pPr>
            <w:hyperlink r:id="rId112">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19</w:t>
              </w:r>
            </w:hyperlink>
          </w:p>
        </w:tc>
        <w:tc>
          <w:tcPr>
            <w:tcW w:w="420" w:type="dxa"/>
            <w:vAlign w:val="bottom"/>
          </w:tcPr>
          <w:p>
            <w:pPr>
              <w:spacing w:after="0"/>
              <w:rPr>
                <w:sz w:val="17"/>
                <w:szCs w:val="17"/>
                <w:color w:val="auto"/>
              </w:rPr>
            </w:pPr>
          </w:p>
        </w:tc>
        <w:tc>
          <w:tcPr>
            <w:tcW w:w="5820" w:type="dxa"/>
            <w:vAlign w:val="bottom"/>
            <w:gridSpan w:val="23"/>
          </w:tcPr>
          <w:p>
            <w:pPr>
              <w:spacing w:after="0"/>
              <w:rPr>
                <w:rFonts w:ascii="Arial" w:cs="Arial" w:eastAsia="Arial" w:hAnsi="Arial"/>
                <w:sz w:val="18"/>
                <w:szCs w:val="18"/>
                <w:color w:val="0000FF"/>
              </w:rPr>
            </w:pPr>
            <w:hyperlink r:id="rId112">
              <w:r>
                <w:rPr>
                  <w:rFonts w:ascii="Arial" w:cs="Arial" w:eastAsia="Arial" w:hAnsi="Arial"/>
                  <w:sz w:val="18"/>
                  <w:szCs w:val="18"/>
                  <w:color w:val="0000FF"/>
                </w:rPr>
                <w:t>Form of Global Note representing the 3.875% Senior Notes due 2029</w:t>
              </w:r>
            </w:hyperlink>
          </w:p>
        </w:tc>
      </w:tr>
      <w:tr>
        <w:trPr>
          <w:trHeight w:val="156"/>
        </w:trPr>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3"/>
              </w:rPr>
            </w:pPr>
            <w:hyperlink r:id="rId112">
              <w:r>
                <w:rPr>
                  <w:rFonts w:ascii="Arial" w:cs="Arial" w:eastAsia="Arial" w:hAnsi="Arial"/>
                  <w:sz w:val="18"/>
                  <w:szCs w:val="18"/>
                  <w:color w:val="0000FF"/>
                  <w:w w:val="93"/>
                </w:rPr>
                <w:t>(included in Exhibit 4.13).</w:t>
              </w:r>
            </w:hyperlink>
          </w:p>
        </w:tc>
        <w:tc>
          <w:tcPr>
            <w:tcW w:w="37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540" w:type="dxa"/>
            <w:vAlign w:val="bottom"/>
            <w:gridSpan w:val="4"/>
          </w:tcPr>
          <w:p>
            <w:pPr>
              <w:jc w:val="center"/>
              <w:ind w:left="50"/>
              <w:spacing w:after="0"/>
              <w:rPr>
                <w:rFonts w:ascii="Arial" w:cs="Arial" w:eastAsia="Arial" w:hAnsi="Arial"/>
                <w:sz w:val="18"/>
                <w:szCs w:val="18"/>
                <w:color w:val="0000FF"/>
                <w:w w:val="91"/>
              </w:rPr>
            </w:pPr>
            <w:hyperlink w:anchor="page7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420" w:type="dxa"/>
            <w:vAlign w:val="bottom"/>
          </w:tcPr>
          <w:p>
            <w:pPr>
              <w:spacing w:after="0"/>
              <w:rPr>
                <w:sz w:val="22"/>
                <w:szCs w:val="22"/>
                <w:color w:val="auto"/>
              </w:rPr>
            </w:pPr>
          </w:p>
        </w:tc>
        <w:tc>
          <w:tcPr>
            <w:tcW w:w="5820" w:type="dxa"/>
            <w:vAlign w:val="bottom"/>
            <w:gridSpan w:val="23"/>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First Amendment to Credit Agreement, dated as of July 15, 2022, to the</w:t>
              </w:r>
            </w:hyperlink>
          </w:p>
        </w:tc>
      </w:tr>
      <w:tr>
        <w:trPr>
          <w:trHeight w:val="155"/>
        </w:trPr>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75">
              <w:r>
                <w:rPr>
                  <w:rFonts w:ascii="Arial" w:cs="Arial" w:eastAsia="Arial" w:hAnsi="Arial"/>
                  <w:sz w:val="18"/>
                  <w:szCs w:val="18"/>
                  <w:color w:val="0000FF"/>
                </w:rPr>
                <w:t>Credit Agreement dated as of February 8, 2022, by and among VICI</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w:anchor="page75">
              <w:r>
                <w:rPr>
                  <w:rFonts w:ascii="Arial" w:cs="Arial" w:eastAsia="Arial" w:hAnsi="Arial"/>
                  <w:sz w:val="18"/>
                  <w:szCs w:val="18"/>
                  <w:color w:val="0000FF"/>
                  <w:w w:val="91"/>
                </w:rPr>
                <w:t>Properties L.P., as Borrower, the financial institutions party thereto as lenders,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300" w:type="dxa"/>
            <w:vAlign w:val="bottom"/>
            <w:tcBorders>
              <w:bottom w:val="single" w:sz="8" w:color="0000FF"/>
            </w:tcBorders>
            <w:gridSpan w:val="8"/>
          </w:tcPr>
          <w:p>
            <w:pPr>
              <w:spacing w:after="0" w:line="156" w:lineRule="exact"/>
              <w:rPr>
                <w:rFonts w:ascii="Arial" w:cs="Arial" w:eastAsia="Arial" w:hAnsi="Arial"/>
                <w:sz w:val="18"/>
                <w:szCs w:val="18"/>
                <w:color w:val="0000FF"/>
                <w:w w:val="91"/>
              </w:rPr>
            </w:pPr>
            <w:hyperlink w:anchor="page75">
              <w:r>
                <w:rPr>
                  <w:rFonts w:ascii="Arial" w:cs="Arial" w:eastAsia="Arial" w:hAnsi="Arial"/>
                  <w:sz w:val="18"/>
                  <w:szCs w:val="18"/>
                  <w:color w:val="0000FF"/>
                  <w:w w:val="91"/>
                </w:rPr>
                <w:t>and JPMorgan Chase Bank, N.A., as Administrative Agent.</w:t>
              </w:r>
            </w:hyperlink>
          </w:p>
        </w:tc>
        <w:tc>
          <w:tcPr>
            <w:tcW w:w="144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960" w:type="dxa"/>
            <w:vAlign w:val="bottom"/>
            <w:gridSpan w:val="5"/>
          </w:tcPr>
          <w:p>
            <w:pPr>
              <w:jc w:val="center"/>
              <w:ind w:right="300"/>
              <w:spacing w:after="0"/>
              <w:rPr>
                <w:rFonts w:ascii="Arial" w:cs="Arial" w:eastAsia="Arial" w:hAnsi="Arial"/>
                <w:sz w:val="18"/>
                <w:szCs w:val="18"/>
                <w:color w:val="0000FF"/>
                <w:w w:val="92"/>
              </w:rPr>
            </w:pPr>
            <w:hyperlink r:id="rId114">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2+</w:t>
              </w:r>
            </w:hyperlink>
          </w:p>
        </w:tc>
        <w:tc>
          <w:tcPr>
            <w:tcW w:w="5820" w:type="dxa"/>
            <w:vAlign w:val="bottom"/>
            <w:gridSpan w:val="23"/>
          </w:tcPr>
          <w:p>
            <w:pPr>
              <w:spacing w:after="0"/>
              <w:rPr>
                <w:rFonts w:ascii="Arial" w:cs="Arial" w:eastAsia="Arial" w:hAnsi="Arial"/>
                <w:sz w:val="18"/>
                <w:szCs w:val="18"/>
                <w:color w:val="0000FF"/>
                <w:w w:val="93"/>
              </w:rPr>
            </w:pPr>
            <w:hyperlink r:id="rId114">
              <w:r>
                <w:rPr>
                  <w:rFonts w:ascii="Arial" w:cs="Arial" w:eastAsia="Arial" w:hAnsi="Arial"/>
                  <w:sz w:val="18"/>
                  <w:szCs w:val="18"/>
                  <w:color w:val="0000FF"/>
                  <w:w w:val="93"/>
                </w:rPr>
                <w:t>Amended and Restated Master Lease, by and between MGP Lessor, LLC and</w:t>
              </w:r>
            </w:hyperlink>
          </w:p>
        </w:tc>
      </w:tr>
      <w:tr>
        <w:trPr>
          <w:trHeight w:val="155"/>
        </w:trPr>
        <w:tc>
          <w:tcPr>
            <w:tcW w:w="12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4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MGM Lessee, LLC, dated as of April 29, 2022.</w:t>
              </w:r>
            </w:hyperlink>
          </w:p>
        </w:tc>
        <w:tc>
          <w:tcPr>
            <w:tcW w:w="22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540" w:type="dxa"/>
            <w:vAlign w:val="bottom"/>
            <w:gridSpan w:val="4"/>
          </w:tcPr>
          <w:p>
            <w:pPr>
              <w:jc w:val="center"/>
              <w:ind w:left="50"/>
              <w:spacing w:after="0"/>
              <w:rPr>
                <w:rFonts w:ascii="Arial" w:cs="Arial" w:eastAsia="Arial" w:hAnsi="Arial"/>
                <w:sz w:val="18"/>
                <w:szCs w:val="18"/>
                <w:color w:val="0000FF"/>
                <w:w w:val="91"/>
              </w:rPr>
            </w:pPr>
            <w:hyperlink r:id="rId11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hyperlink>
          </w:p>
        </w:tc>
        <w:tc>
          <w:tcPr>
            <w:tcW w:w="420" w:type="dxa"/>
            <w:vAlign w:val="bottom"/>
          </w:tcPr>
          <w:p>
            <w:pPr>
              <w:spacing w:after="0"/>
              <w:rPr>
                <w:sz w:val="22"/>
                <w:szCs w:val="22"/>
                <w:color w:val="auto"/>
              </w:rPr>
            </w:pPr>
          </w:p>
        </w:tc>
        <w:tc>
          <w:tcPr>
            <w:tcW w:w="5820" w:type="dxa"/>
            <w:vAlign w:val="bottom"/>
            <w:gridSpan w:val="23"/>
          </w:tcPr>
          <w:p>
            <w:pPr>
              <w:spacing w:after="0"/>
              <w:rPr>
                <w:rFonts w:ascii="Arial" w:cs="Arial" w:eastAsia="Arial" w:hAnsi="Arial"/>
                <w:sz w:val="18"/>
                <w:szCs w:val="18"/>
                <w:color w:val="0000FF"/>
                <w:w w:val="98"/>
              </w:rPr>
            </w:pPr>
            <w:hyperlink r:id="rId115">
              <w:r>
                <w:rPr>
                  <w:rFonts w:ascii="Arial" w:cs="Arial" w:eastAsia="Arial" w:hAnsi="Arial"/>
                  <w:sz w:val="18"/>
                  <w:szCs w:val="18"/>
                  <w:color w:val="0000FF"/>
                  <w:w w:val="98"/>
                </w:rPr>
                <w:t>Amended and Restated Guaranty of Master Lease, by and between MGM</w:t>
              </w:r>
            </w:hyperlink>
          </w:p>
        </w:tc>
      </w:tr>
      <w:tr>
        <w:trPr>
          <w:trHeight w:val="156"/>
        </w:trPr>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Resorts International and MGP Lessor, LLC, dated as of April 29, 2022.</w:t>
              </w:r>
            </w:hyperlink>
          </w:p>
        </w:tc>
        <w:tc>
          <w:tcPr>
            <w:tcW w:w="50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960" w:type="dxa"/>
            <w:vAlign w:val="bottom"/>
            <w:gridSpan w:val="5"/>
          </w:tcPr>
          <w:p>
            <w:pPr>
              <w:jc w:val="center"/>
              <w:ind w:right="300"/>
              <w:spacing w:after="0"/>
              <w:rPr>
                <w:rFonts w:ascii="Arial" w:cs="Arial" w:eastAsia="Arial" w:hAnsi="Arial"/>
                <w:sz w:val="18"/>
                <w:szCs w:val="18"/>
                <w:color w:val="0000FF"/>
                <w:w w:val="92"/>
              </w:rPr>
            </w:pPr>
            <w:hyperlink r:id="rId116">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4+</w:t>
              </w:r>
            </w:hyperlink>
          </w:p>
        </w:tc>
        <w:tc>
          <w:tcPr>
            <w:tcW w:w="5820" w:type="dxa"/>
            <w:vAlign w:val="bottom"/>
            <w:gridSpan w:val="23"/>
          </w:tcPr>
          <w:p>
            <w:pPr>
              <w:spacing w:after="0"/>
              <w:rPr>
                <w:rFonts w:ascii="Arial" w:cs="Arial" w:eastAsia="Arial" w:hAnsi="Arial"/>
                <w:sz w:val="18"/>
                <w:szCs w:val="18"/>
                <w:color w:val="0000FF"/>
                <w:w w:val="99"/>
              </w:rPr>
            </w:pPr>
            <w:hyperlink r:id="rId116">
              <w:r>
                <w:rPr>
                  <w:rFonts w:ascii="Arial" w:cs="Arial" w:eastAsia="Arial" w:hAnsi="Arial"/>
                  <w:sz w:val="18"/>
                  <w:szCs w:val="18"/>
                  <w:color w:val="0000FF"/>
                  <w:w w:val="99"/>
                </w:rPr>
                <w:t>Tax  Protection  Agreement,  by  and  among  VICI  Properties  Inc.,  VICI</w:t>
              </w:r>
            </w:hyperlink>
          </w:p>
        </w:tc>
      </w:tr>
      <w:tr>
        <w:trPr>
          <w:trHeight w:val="155"/>
        </w:trPr>
        <w:tc>
          <w:tcPr>
            <w:tcW w:w="12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tcBorders>
            <w:gridSpan w:val="13"/>
          </w:tcPr>
          <w:p>
            <w:pPr>
              <w:spacing w:after="0" w:line="156" w:lineRule="exact"/>
              <w:rPr>
                <w:rFonts w:ascii="Arial" w:cs="Arial" w:eastAsia="Arial" w:hAnsi="Arial"/>
                <w:sz w:val="18"/>
                <w:szCs w:val="18"/>
                <w:color w:val="0000FF"/>
                <w:w w:val="91"/>
              </w:rPr>
            </w:pPr>
            <w:hyperlink r:id="rId116">
              <w:r>
                <w:rPr>
                  <w:rFonts w:ascii="Arial" w:cs="Arial" w:eastAsia="Arial" w:hAnsi="Arial"/>
                  <w:sz w:val="18"/>
                  <w:szCs w:val="18"/>
                  <w:color w:val="0000FF"/>
                  <w:w w:val="91"/>
                </w:rPr>
                <w:t>Properties OP LLC, MGM Resorts International and the other parties thereto,</w:t>
              </w:r>
            </w:hyperlink>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16">
              <w:r>
                <w:rPr>
                  <w:rFonts w:ascii="Arial" w:cs="Arial" w:eastAsia="Arial" w:hAnsi="Arial"/>
                  <w:sz w:val="18"/>
                  <w:szCs w:val="18"/>
                  <w:color w:val="0000FF"/>
                  <w:w w:val="91"/>
                </w:rPr>
                <w:t>dated as of April 29, 2022.</w:t>
              </w:r>
            </w:hyperlink>
          </w:p>
        </w:tc>
        <w:tc>
          <w:tcPr>
            <w:tcW w:w="384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540" w:type="dxa"/>
            <w:vAlign w:val="bottom"/>
            <w:gridSpan w:val="4"/>
          </w:tcPr>
          <w:p>
            <w:pPr>
              <w:jc w:val="center"/>
              <w:ind w:left="50"/>
              <w:spacing w:after="0"/>
              <w:rPr>
                <w:rFonts w:ascii="Arial" w:cs="Arial" w:eastAsia="Arial" w:hAnsi="Arial"/>
                <w:sz w:val="18"/>
                <w:szCs w:val="18"/>
                <w:color w:val="0000FF"/>
                <w:w w:val="91"/>
              </w:rPr>
            </w:pPr>
            <w:hyperlink r:id="rId11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w:t>
              </w:r>
            </w:hyperlink>
          </w:p>
        </w:tc>
        <w:tc>
          <w:tcPr>
            <w:tcW w:w="420" w:type="dxa"/>
            <w:vAlign w:val="bottom"/>
          </w:tcPr>
          <w:p>
            <w:pPr>
              <w:spacing w:after="0"/>
              <w:rPr>
                <w:sz w:val="22"/>
                <w:szCs w:val="22"/>
                <w:color w:val="auto"/>
              </w:rPr>
            </w:pPr>
          </w:p>
        </w:tc>
        <w:tc>
          <w:tcPr>
            <w:tcW w:w="5820" w:type="dxa"/>
            <w:vAlign w:val="bottom"/>
            <w:gridSpan w:val="23"/>
          </w:tcPr>
          <w:p>
            <w:pPr>
              <w:spacing w:after="0"/>
              <w:rPr>
                <w:rFonts w:ascii="Arial" w:cs="Arial" w:eastAsia="Arial" w:hAnsi="Arial"/>
                <w:sz w:val="18"/>
                <w:szCs w:val="18"/>
                <w:color w:val="0000FF"/>
              </w:rPr>
            </w:pPr>
            <w:hyperlink r:id="rId117">
              <w:r>
                <w:rPr>
                  <w:rFonts w:ascii="Arial" w:cs="Arial" w:eastAsia="Arial" w:hAnsi="Arial"/>
                  <w:sz w:val="18"/>
                  <w:szCs w:val="18"/>
                  <w:color w:val="0000FF"/>
                </w:rPr>
                <w:t>Amended and Restated Limited Liability Company Agreement of VICI</w:t>
              </w:r>
            </w:hyperlink>
          </w:p>
        </w:tc>
      </w:tr>
      <w:tr>
        <w:trPr>
          <w:trHeight w:val="155"/>
        </w:trPr>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Properties OP LLC.</w:t>
              </w:r>
            </w:hyperlink>
          </w:p>
        </w:tc>
        <w:tc>
          <w:tcPr>
            <w:tcW w:w="20" w:type="dxa"/>
            <w:vAlign w:val="bottom"/>
          </w:tcPr>
          <w:p>
            <w:pPr>
              <w:spacing w:after="0"/>
              <w:rPr>
                <w:sz w:val="13"/>
                <w:szCs w:val="13"/>
                <w:color w:val="auto"/>
              </w:rPr>
            </w:pPr>
          </w:p>
        </w:tc>
      </w:tr>
      <w:tr>
        <w:trPr>
          <w:trHeight w:val="20"/>
        </w:trPr>
        <w:tc>
          <w:tcPr>
            <w:tcW w:w="5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540" w:type="dxa"/>
            <w:vAlign w:val="bottom"/>
            <w:gridSpan w:val="4"/>
          </w:tcPr>
          <w:p>
            <w:pPr>
              <w:jc w:val="center"/>
              <w:ind w:left="50"/>
              <w:spacing w:after="0"/>
              <w:rPr>
                <w:rFonts w:ascii="Arial" w:cs="Arial" w:eastAsia="Arial" w:hAnsi="Arial"/>
                <w:sz w:val="18"/>
                <w:szCs w:val="18"/>
                <w:color w:val="0000FF"/>
                <w:w w:val="91"/>
              </w:rPr>
            </w:pPr>
            <w:hyperlink r:id="rId11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w:t>
              </w:r>
            </w:hyperlink>
          </w:p>
        </w:tc>
        <w:tc>
          <w:tcPr>
            <w:tcW w:w="420" w:type="dxa"/>
            <w:vAlign w:val="bottom"/>
          </w:tcPr>
          <w:p>
            <w:pPr>
              <w:spacing w:after="0"/>
              <w:rPr>
                <w:sz w:val="22"/>
                <w:szCs w:val="22"/>
                <w:color w:val="auto"/>
              </w:rPr>
            </w:pPr>
          </w:p>
        </w:tc>
        <w:tc>
          <w:tcPr>
            <w:tcW w:w="5820" w:type="dxa"/>
            <w:vAlign w:val="bottom"/>
            <w:gridSpan w:val="23"/>
          </w:tcPr>
          <w:p>
            <w:pPr>
              <w:spacing w:after="0"/>
              <w:rPr>
                <w:rFonts w:ascii="Arial" w:cs="Arial" w:eastAsia="Arial" w:hAnsi="Arial"/>
                <w:sz w:val="18"/>
                <w:szCs w:val="18"/>
                <w:color w:val="0000FF"/>
                <w:w w:val="98"/>
              </w:rPr>
            </w:pPr>
            <w:hyperlink r:id="rId118">
              <w:r>
                <w:rPr>
                  <w:rFonts w:ascii="Arial" w:cs="Arial" w:eastAsia="Arial" w:hAnsi="Arial"/>
                  <w:sz w:val="18"/>
                  <w:szCs w:val="18"/>
                  <w:color w:val="0000FF"/>
                  <w:w w:val="98"/>
                </w:rPr>
                <w:t>Second Amended and Restated Agreement of Limited Partnership of VICI</w:t>
              </w:r>
            </w:hyperlink>
          </w:p>
        </w:tc>
      </w:tr>
      <w:tr>
        <w:trPr>
          <w:trHeight w:val="156"/>
        </w:trPr>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Properties L.P.</w:t>
              </w:r>
            </w:hyperlink>
          </w:p>
        </w:tc>
        <w:tc>
          <w:tcPr>
            <w:tcW w:w="60" w:type="dxa"/>
            <w:vAlign w:val="bottom"/>
            <w:gridSpan w:val="3"/>
          </w:tcPr>
          <w:p>
            <w:pPr>
              <w:spacing w:after="0"/>
              <w:rPr>
                <w:sz w:val="13"/>
                <w:szCs w:val="13"/>
                <w:color w:val="auto"/>
              </w:rPr>
            </w:pPr>
          </w:p>
        </w:tc>
      </w:tr>
      <w:tr>
        <w:trPr>
          <w:trHeight w:val="20"/>
        </w:trPr>
        <w:tc>
          <w:tcPr>
            <w:tcW w:w="5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r>
      <w:tr>
        <w:trPr>
          <w:trHeight w:val="263"/>
        </w:trPr>
        <w:tc>
          <w:tcPr>
            <w:tcW w:w="540" w:type="dxa"/>
            <w:vAlign w:val="bottom"/>
            <w:gridSpan w:val="4"/>
          </w:tcPr>
          <w:p>
            <w:pPr>
              <w:jc w:val="center"/>
              <w:ind w:left="50"/>
              <w:spacing w:after="0"/>
              <w:rPr>
                <w:rFonts w:ascii="Arial" w:cs="Arial" w:eastAsia="Arial" w:hAnsi="Arial"/>
                <w:sz w:val="18"/>
                <w:szCs w:val="18"/>
                <w:color w:val="0000FF"/>
                <w:w w:val="91"/>
              </w:rPr>
            </w:pPr>
            <w:hyperlink w:anchor="page226">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420" w:type="dxa"/>
            <w:vAlign w:val="bottom"/>
          </w:tcPr>
          <w:p>
            <w:pPr>
              <w:spacing w:after="0"/>
              <w:rPr>
                <w:sz w:val="22"/>
                <w:szCs w:val="22"/>
                <w:color w:val="auto"/>
              </w:rPr>
            </w:pPr>
          </w:p>
        </w:tc>
        <w:tc>
          <w:tcPr>
            <w:tcW w:w="5820" w:type="dxa"/>
            <w:vAlign w:val="bottom"/>
            <w:gridSpan w:val="23"/>
          </w:tcPr>
          <w:p>
            <w:pPr>
              <w:spacing w:after="0"/>
              <w:rPr>
                <w:rFonts w:ascii="Arial" w:cs="Arial" w:eastAsia="Arial" w:hAnsi="Arial"/>
                <w:sz w:val="18"/>
                <w:szCs w:val="18"/>
                <w:color w:val="0000FF"/>
                <w:w w:val="98"/>
              </w:rPr>
            </w:pPr>
            <w:hyperlink w:anchor="page226">
              <w:r>
                <w:rPr>
                  <w:rFonts w:ascii="Arial" w:cs="Arial" w:eastAsia="Arial" w:hAnsi="Arial"/>
                  <w:sz w:val="18"/>
                  <w:szCs w:val="18"/>
                  <w:color w:val="0000FF"/>
                  <w:w w:val="98"/>
                </w:rPr>
                <w:t>VICI Properties Inc. Certification of Principal Executive Officer Pursuant to</w:t>
              </w:r>
            </w:hyperlink>
          </w:p>
        </w:tc>
      </w:tr>
      <w:tr>
        <w:trPr>
          <w:trHeight w:val="156"/>
        </w:trPr>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5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226">
              <w:r>
                <w:rPr>
                  <w:rFonts w:ascii="Arial" w:cs="Arial" w:eastAsia="Arial" w:hAnsi="Arial"/>
                  <w:sz w:val="18"/>
                  <w:szCs w:val="18"/>
                  <w:color w:val="0000FF"/>
                </w:rPr>
                <w:t>Section 302 of the Sarbanes-Oxley Act of 2002.</w:t>
              </w:r>
            </w:hyperlink>
          </w:p>
        </w:tc>
        <w:tc>
          <w:tcPr>
            <w:tcW w:w="20" w:type="dxa"/>
            <w:vAlign w:val="bottom"/>
          </w:tcPr>
          <w:p>
            <w:pPr>
              <w:spacing w:after="0"/>
              <w:rPr>
                <w:sz w:val="13"/>
                <w:szCs w:val="13"/>
                <w:color w:val="auto"/>
              </w:rPr>
            </w:pPr>
          </w:p>
        </w:tc>
        <w:tc>
          <w:tcPr>
            <w:tcW w:w="300" w:type="dxa"/>
            <w:vAlign w:val="bottom"/>
            <w:gridSpan w:val="10"/>
          </w:tcPr>
          <w:p>
            <w:pPr>
              <w:spacing w:after="0"/>
              <w:rPr>
                <w:sz w:val="13"/>
                <w:szCs w:val="13"/>
                <w:color w:val="auto"/>
              </w:rPr>
            </w:pPr>
          </w:p>
        </w:tc>
      </w:tr>
      <w:tr>
        <w:trPr>
          <w:trHeight w:val="20"/>
        </w:trPr>
        <w:tc>
          <w:tcPr>
            <w:tcW w:w="5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60" w:type="dxa"/>
            <w:vAlign w:val="bottom"/>
            <w:gridSpan w:val="7"/>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r>
      <w:tr>
        <w:trPr>
          <w:trHeight w:val="264"/>
        </w:trPr>
        <w:tc>
          <w:tcPr>
            <w:tcW w:w="540" w:type="dxa"/>
            <w:vAlign w:val="bottom"/>
            <w:gridSpan w:val="4"/>
          </w:tcPr>
          <w:p>
            <w:pPr>
              <w:jc w:val="center"/>
              <w:ind w:left="50"/>
              <w:spacing w:after="0"/>
              <w:rPr>
                <w:rFonts w:ascii="Arial" w:cs="Arial" w:eastAsia="Arial" w:hAnsi="Arial"/>
                <w:sz w:val="18"/>
                <w:szCs w:val="18"/>
                <w:color w:val="0000FF"/>
                <w:w w:val="91"/>
              </w:rPr>
            </w:pPr>
            <w:hyperlink w:anchor="page227">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420" w:type="dxa"/>
            <w:vAlign w:val="bottom"/>
          </w:tcPr>
          <w:p>
            <w:pPr>
              <w:spacing w:after="0"/>
              <w:rPr>
                <w:sz w:val="22"/>
                <w:szCs w:val="22"/>
                <w:color w:val="auto"/>
              </w:rPr>
            </w:pPr>
          </w:p>
        </w:tc>
        <w:tc>
          <w:tcPr>
            <w:tcW w:w="5820" w:type="dxa"/>
            <w:vAlign w:val="bottom"/>
            <w:gridSpan w:val="23"/>
          </w:tcPr>
          <w:p>
            <w:pPr>
              <w:spacing w:after="0"/>
              <w:rPr>
                <w:rFonts w:ascii="Arial" w:cs="Arial" w:eastAsia="Arial" w:hAnsi="Arial"/>
                <w:sz w:val="18"/>
                <w:szCs w:val="18"/>
                <w:color w:val="0000FF"/>
                <w:w w:val="99"/>
              </w:rPr>
            </w:pPr>
            <w:hyperlink w:anchor="page227">
              <w:r>
                <w:rPr>
                  <w:rFonts w:ascii="Arial" w:cs="Arial" w:eastAsia="Arial" w:hAnsi="Arial"/>
                  <w:sz w:val="18"/>
                  <w:szCs w:val="18"/>
                  <w:color w:val="0000FF"/>
                  <w:w w:val="99"/>
                </w:rPr>
                <w:t>VICI Properties Inc. Certification of Principal Financial Officer Pursuant to</w:t>
              </w:r>
            </w:hyperlink>
          </w:p>
        </w:tc>
      </w:tr>
      <w:tr>
        <w:trPr>
          <w:trHeight w:val="156"/>
        </w:trPr>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227">
              <w:r>
                <w:rPr>
                  <w:rFonts w:ascii="Arial" w:cs="Arial" w:eastAsia="Arial" w:hAnsi="Arial"/>
                  <w:sz w:val="18"/>
                  <w:szCs w:val="18"/>
                  <w:color w:val="0000FF"/>
                </w:rPr>
                <w:t>Section 302 of the Sarbanes-Oxley Act of 2002.</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300" w:type="dxa"/>
            <w:vAlign w:val="bottom"/>
            <w:gridSpan w:val="10"/>
          </w:tcPr>
          <w:p>
            <w:pPr>
              <w:spacing w:after="0"/>
              <w:rPr>
                <w:sz w:val="13"/>
                <w:szCs w:val="13"/>
                <w:color w:val="auto"/>
              </w:rPr>
            </w:pPr>
          </w:p>
        </w:tc>
      </w:tr>
      <w:tr>
        <w:trPr>
          <w:trHeight w:val="20"/>
        </w:trPr>
        <w:tc>
          <w:tcPr>
            <w:tcW w:w="5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60" w:type="dxa"/>
            <w:vAlign w:val="bottom"/>
            <w:gridSpan w:val="7"/>
            <w:shd w:val="clear" w:color="auto" w:fill="0000FF"/>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r>
      <w:tr>
        <w:trPr>
          <w:trHeight w:val="263"/>
        </w:trPr>
        <w:tc>
          <w:tcPr>
            <w:tcW w:w="540" w:type="dxa"/>
            <w:vAlign w:val="bottom"/>
            <w:gridSpan w:val="4"/>
          </w:tcPr>
          <w:p>
            <w:pPr>
              <w:jc w:val="center"/>
              <w:ind w:left="50"/>
              <w:spacing w:after="0"/>
              <w:rPr>
                <w:rFonts w:ascii="Arial" w:cs="Arial" w:eastAsia="Arial" w:hAnsi="Arial"/>
                <w:sz w:val="18"/>
                <w:szCs w:val="18"/>
                <w:color w:val="0000FF"/>
                <w:w w:val="91"/>
              </w:rPr>
            </w:pPr>
            <w:hyperlink w:anchor="page228">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3</w:t>
              </w:r>
            </w:hyperlink>
          </w:p>
        </w:tc>
        <w:tc>
          <w:tcPr>
            <w:tcW w:w="420" w:type="dxa"/>
            <w:vAlign w:val="bottom"/>
          </w:tcPr>
          <w:p>
            <w:pPr>
              <w:spacing w:after="0"/>
              <w:rPr>
                <w:sz w:val="22"/>
                <w:szCs w:val="22"/>
                <w:color w:val="auto"/>
              </w:rPr>
            </w:pPr>
          </w:p>
        </w:tc>
        <w:tc>
          <w:tcPr>
            <w:tcW w:w="5820" w:type="dxa"/>
            <w:vAlign w:val="bottom"/>
            <w:gridSpan w:val="23"/>
          </w:tcPr>
          <w:p>
            <w:pPr>
              <w:spacing w:after="0"/>
              <w:rPr>
                <w:rFonts w:ascii="Arial" w:cs="Arial" w:eastAsia="Arial" w:hAnsi="Arial"/>
                <w:sz w:val="18"/>
                <w:szCs w:val="18"/>
                <w:color w:val="0000FF"/>
                <w:w w:val="98"/>
              </w:rPr>
            </w:pPr>
            <w:hyperlink w:anchor="page228">
              <w:r>
                <w:rPr>
                  <w:rFonts w:ascii="Arial" w:cs="Arial" w:eastAsia="Arial" w:hAnsi="Arial"/>
                  <w:sz w:val="18"/>
                  <w:szCs w:val="18"/>
                  <w:color w:val="0000FF"/>
                  <w:w w:val="98"/>
                </w:rPr>
                <w:t>VICI Properties L.P. Certification of Principal Executive Officer Pursuant to</w:t>
              </w:r>
            </w:hyperlink>
          </w:p>
        </w:tc>
      </w:tr>
      <w:tr>
        <w:trPr>
          <w:trHeight w:val="156"/>
        </w:trPr>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5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228">
              <w:r>
                <w:rPr>
                  <w:rFonts w:ascii="Arial" w:cs="Arial" w:eastAsia="Arial" w:hAnsi="Arial"/>
                  <w:sz w:val="18"/>
                  <w:szCs w:val="18"/>
                  <w:color w:val="0000FF"/>
                </w:rPr>
                <w:t>Section 302 of the Sarbanes-Oxley Act of 2002.</w:t>
              </w:r>
            </w:hyperlink>
          </w:p>
        </w:tc>
        <w:tc>
          <w:tcPr>
            <w:tcW w:w="300" w:type="dxa"/>
            <w:vAlign w:val="bottom"/>
            <w:gridSpan w:val="10"/>
          </w:tcPr>
          <w:p>
            <w:pPr>
              <w:spacing w:after="0"/>
              <w:rPr>
                <w:sz w:val="13"/>
                <w:szCs w:val="13"/>
                <w:color w:val="auto"/>
              </w:rPr>
            </w:pPr>
          </w:p>
        </w:tc>
      </w:tr>
      <w:tr>
        <w:trPr>
          <w:trHeight w:val="20"/>
        </w:trPr>
        <w:tc>
          <w:tcPr>
            <w:tcW w:w="5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60" w:type="dxa"/>
            <w:vAlign w:val="bottom"/>
            <w:gridSpan w:val="7"/>
            <w:shd w:val="clear" w:color="auto" w:fill="0000FF"/>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60" w:type="dxa"/>
            <w:vAlign w:val="bottom"/>
            <w:gridSpan w:val="12"/>
          </w:tcPr>
          <w:p>
            <w:pPr>
              <w:spacing w:after="0" w:line="20" w:lineRule="exact"/>
              <w:rPr>
                <w:sz w:val="1"/>
                <w:szCs w:val="1"/>
                <w:color w:val="auto"/>
              </w:rPr>
            </w:pPr>
          </w:p>
        </w:tc>
      </w:tr>
      <w:tr>
        <w:trPr>
          <w:trHeight w:val="264"/>
        </w:trPr>
        <w:tc>
          <w:tcPr>
            <w:tcW w:w="540" w:type="dxa"/>
            <w:vAlign w:val="bottom"/>
            <w:gridSpan w:val="4"/>
          </w:tcPr>
          <w:p>
            <w:pPr>
              <w:jc w:val="center"/>
              <w:ind w:left="50"/>
              <w:spacing w:after="0"/>
              <w:rPr>
                <w:rFonts w:ascii="Arial" w:cs="Arial" w:eastAsia="Arial" w:hAnsi="Arial"/>
                <w:sz w:val="18"/>
                <w:szCs w:val="18"/>
                <w:color w:val="0000FF"/>
                <w:w w:val="91"/>
              </w:rPr>
            </w:pPr>
            <w:hyperlink w:anchor="page229">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4</w:t>
              </w:r>
            </w:hyperlink>
          </w:p>
        </w:tc>
        <w:tc>
          <w:tcPr>
            <w:tcW w:w="420" w:type="dxa"/>
            <w:vAlign w:val="bottom"/>
          </w:tcPr>
          <w:p>
            <w:pPr>
              <w:spacing w:after="0"/>
              <w:rPr>
                <w:sz w:val="22"/>
                <w:szCs w:val="22"/>
                <w:color w:val="auto"/>
              </w:rPr>
            </w:pPr>
          </w:p>
        </w:tc>
        <w:tc>
          <w:tcPr>
            <w:tcW w:w="5820" w:type="dxa"/>
            <w:vAlign w:val="bottom"/>
            <w:gridSpan w:val="23"/>
          </w:tcPr>
          <w:p>
            <w:pPr>
              <w:spacing w:after="0"/>
              <w:rPr>
                <w:rFonts w:ascii="Arial" w:cs="Arial" w:eastAsia="Arial" w:hAnsi="Arial"/>
                <w:sz w:val="18"/>
                <w:szCs w:val="18"/>
                <w:color w:val="0000FF"/>
                <w:w w:val="99"/>
              </w:rPr>
            </w:pPr>
            <w:hyperlink w:anchor="page229">
              <w:r>
                <w:rPr>
                  <w:rFonts w:ascii="Arial" w:cs="Arial" w:eastAsia="Arial" w:hAnsi="Arial"/>
                  <w:sz w:val="18"/>
                  <w:szCs w:val="18"/>
                  <w:color w:val="0000FF"/>
                  <w:w w:val="99"/>
                </w:rPr>
                <w:t>VICI Properties L.P. Certification of Principal Financial Officer Pursuant to</w:t>
              </w:r>
            </w:hyperlink>
          </w:p>
        </w:tc>
      </w:tr>
      <w:tr>
        <w:trPr>
          <w:trHeight w:val="155"/>
        </w:trPr>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229">
              <w:r>
                <w:rPr>
                  <w:rFonts w:ascii="Arial" w:cs="Arial" w:eastAsia="Arial" w:hAnsi="Arial"/>
                  <w:sz w:val="18"/>
                  <w:szCs w:val="18"/>
                  <w:color w:val="0000FF"/>
                </w:rPr>
                <w:t>Section 302 of the Sarbanes-Oxley Act of 2002.</w:t>
              </w:r>
            </w:hyperlink>
          </w:p>
        </w:tc>
        <w:tc>
          <w:tcPr>
            <w:tcW w:w="360" w:type="dxa"/>
            <w:vAlign w:val="bottom"/>
            <w:gridSpan w:val="12"/>
          </w:tcPr>
          <w:p>
            <w:pPr>
              <w:spacing w:after="0"/>
              <w:rPr>
                <w:sz w:val="13"/>
                <w:szCs w:val="13"/>
                <w:color w:val="auto"/>
              </w:rPr>
            </w:pPr>
          </w:p>
        </w:tc>
      </w:tr>
      <w:tr>
        <w:trPr>
          <w:trHeight w:val="20"/>
        </w:trPr>
        <w:tc>
          <w:tcPr>
            <w:tcW w:w="5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60" w:type="dxa"/>
            <w:vAlign w:val="bottom"/>
            <w:gridSpan w:val="7"/>
            <w:shd w:val="clear" w:color="auto" w:fill="0000FF"/>
          </w:tcPr>
          <w:p>
            <w:pPr>
              <w:spacing w:after="0" w:line="20" w:lineRule="exact"/>
              <w:rPr>
                <w:sz w:val="1"/>
                <w:szCs w:val="1"/>
                <w:color w:val="auto"/>
              </w:rPr>
            </w:pPr>
          </w:p>
        </w:tc>
        <w:tc>
          <w:tcPr>
            <w:tcW w:w="2360" w:type="dxa"/>
            <w:vAlign w:val="bottom"/>
            <w:gridSpan w:val="16"/>
          </w:tcPr>
          <w:p>
            <w:pPr>
              <w:spacing w:after="0" w:line="20" w:lineRule="exact"/>
              <w:rPr>
                <w:sz w:val="1"/>
                <w:szCs w:val="1"/>
                <w:color w:val="auto"/>
              </w:rPr>
            </w:pPr>
          </w:p>
        </w:tc>
      </w:tr>
      <w:tr>
        <w:trPr>
          <w:trHeight w:val="263"/>
        </w:trPr>
        <w:tc>
          <w:tcPr>
            <w:tcW w:w="540" w:type="dxa"/>
            <w:vAlign w:val="bottom"/>
            <w:gridSpan w:val="4"/>
          </w:tcPr>
          <w:p>
            <w:pPr>
              <w:jc w:val="center"/>
              <w:ind w:left="50"/>
              <w:spacing w:after="0"/>
              <w:rPr>
                <w:rFonts w:ascii="Arial" w:cs="Arial" w:eastAsia="Arial" w:hAnsi="Arial"/>
                <w:sz w:val="18"/>
                <w:szCs w:val="18"/>
                <w:color w:val="0000FF"/>
                <w:w w:val="91"/>
              </w:rPr>
            </w:pPr>
            <w:hyperlink w:anchor="page230">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420" w:type="dxa"/>
            <w:vAlign w:val="bottom"/>
          </w:tcPr>
          <w:p>
            <w:pPr>
              <w:spacing w:after="0"/>
              <w:rPr>
                <w:sz w:val="22"/>
                <w:szCs w:val="22"/>
                <w:color w:val="auto"/>
              </w:rPr>
            </w:pPr>
          </w:p>
        </w:tc>
        <w:tc>
          <w:tcPr>
            <w:tcW w:w="5820" w:type="dxa"/>
            <w:vAlign w:val="bottom"/>
            <w:gridSpan w:val="23"/>
          </w:tcPr>
          <w:p>
            <w:pPr>
              <w:spacing w:after="0"/>
              <w:rPr>
                <w:rFonts w:ascii="Arial" w:cs="Arial" w:eastAsia="Arial" w:hAnsi="Arial"/>
                <w:sz w:val="18"/>
                <w:szCs w:val="18"/>
                <w:color w:val="0000FF"/>
                <w:w w:val="98"/>
              </w:rPr>
            </w:pPr>
            <w:hyperlink w:anchor="page230">
              <w:r>
                <w:rPr>
                  <w:rFonts w:ascii="Arial" w:cs="Arial" w:eastAsia="Arial" w:hAnsi="Arial"/>
                  <w:sz w:val="18"/>
                  <w:szCs w:val="18"/>
                  <w:color w:val="0000FF"/>
                  <w:w w:val="98"/>
                </w:rPr>
                <w:t>VICI Properties Inc. Certification of Principal Executive Officer Pursuant to</w:t>
              </w:r>
            </w:hyperlink>
          </w:p>
        </w:tc>
      </w:tr>
      <w:tr>
        <w:trPr>
          <w:trHeight w:val="156"/>
        </w:trPr>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230">
              <w:r>
                <w:rPr>
                  <w:rFonts w:ascii="Arial" w:cs="Arial" w:eastAsia="Arial" w:hAnsi="Arial"/>
                  <w:sz w:val="18"/>
                  <w:szCs w:val="18"/>
                  <w:color w:val="0000FF"/>
                </w:rPr>
                <w:t>Section 906 of the Sarbanes-Oxley Act of 2002.</w:t>
              </w:r>
            </w:hyperlink>
          </w:p>
        </w:tc>
        <w:tc>
          <w:tcPr>
            <w:tcW w:w="320" w:type="dxa"/>
            <w:vAlign w:val="bottom"/>
            <w:gridSpan w:val="11"/>
          </w:tcPr>
          <w:p>
            <w:pPr>
              <w:spacing w:after="0"/>
              <w:rPr>
                <w:sz w:val="13"/>
                <w:szCs w:val="13"/>
                <w:color w:val="auto"/>
              </w:rPr>
            </w:pPr>
          </w:p>
        </w:tc>
      </w:tr>
      <w:tr>
        <w:trPr>
          <w:trHeight w:val="20"/>
        </w:trPr>
        <w:tc>
          <w:tcPr>
            <w:tcW w:w="5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60" w:type="dxa"/>
            <w:vAlign w:val="bottom"/>
            <w:gridSpan w:val="7"/>
            <w:shd w:val="clear" w:color="auto" w:fill="0000FF"/>
          </w:tcPr>
          <w:p>
            <w:pPr>
              <w:spacing w:after="0" w:line="20" w:lineRule="exact"/>
              <w:rPr>
                <w:sz w:val="1"/>
                <w:szCs w:val="1"/>
                <w:color w:val="auto"/>
              </w:rPr>
            </w:pPr>
          </w:p>
        </w:tc>
        <w:tc>
          <w:tcPr>
            <w:tcW w:w="2360" w:type="dxa"/>
            <w:vAlign w:val="bottom"/>
            <w:gridSpan w:val="16"/>
          </w:tcPr>
          <w:p>
            <w:pPr>
              <w:spacing w:after="0" w:line="20" w:lineRule="exact"/>
              <w:rPr>
                <w:sz w:val="1"/>
                <w:szCs w:val="1"/>
                <w:color w:val="auto"/>
              </w:rPr>
            </w:pPr>
          </w:p>
        </w:tc>
      </w:tr>
      <w:tr>
        <w:trPr>
          <w:trHeight w:val="263"/>
        </w:trPr>
        <w:tc>
          <w:tcPr>
            <w:tcW w:w="540" w:type="dxa"/>
            <w:vAlign w:val="bottom"/>
            <w:gridSpan w:val="4"/>
          </w:tcPr>
          <w:p>
            <w:pPr>
              <w:jc w:val="center"/>
              <w:ind w:left="50"/>
              <w:spacing w:after="0"/>
              <w:rPr>
                <w:rFonts w:ascii="Arial" w:cs="Arial" w:eastAsia="Arial" w:hAnsi="Arial"/>
                <w:sz w:val="18"/>
                <w:szCs w:val="18"/>
                <w:color w:val="0000FF"/>
                <w:w w:val="91"/>
              </w:rPr>
            </w:pPr>
            <w:hyperlink w:anchor="page231">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420" w:type="dxa"/>
            <w:vAlign w:val="bottom"/>
          </w:tcPr>
          <w:p>
            <w:pPr>
              <w:spacing w:after="0"/>
              <w:rPr>
                <w:sz w:val="22"/>
                <w:szCs w:val="22"/>
                <w:color w:val="auto"/>
              </w:rPr>
            </w:pPr>
          </w:p>
        </w:tc>
        <w:tc>
          <w:tcPr>
            <w:tcW w:w="5820" w:type="dxa"/>
            <w:vAlign w:val="bottom"/>
            <w:gridSpan w:val="23"/>
          </w:tcPr>
          <w:p>
            <w:pPr>
              <w:spacing w:after="0"/>
              <w:rPr>
                <w:rFonts w:ascii="Arial" w:cs="Arial" w:eastAsia="Arial" w:hAnsi="Arial"/>
                <w:sz w:val="18"/>
                <w:szCs w:val="18"/>
                <w:color w:val="0000FF"/>
                <w:w w:val="99"/>
              </w:rPr>
            </w:pPr>
            <w:hyperlink w:anchor="page231">
              <w:r>
                <w:rPr>
                  <w:rFonts w:ascii="Arial" w:cs="Arial" w:eastAsia="Arial" w:hAnsi="Arial"/>
                  <w:sz w:val="18"/>
                  <w:szCs w:val="18"/>
                  <w:color w:val="0000FF"/>
                  <w:w w:val="99"/>
                </w:rPr>
                <w:t>VICI Properties Inc. Certification of Principal Financial Officer Pursuant to</w:t>
              </w:r>
            </w:hyperlink>
          </w:p>
        </w:tc>
      </w:tr>
      <w:tr>
        <w:trPr>
          <w:trHeight w:val="155"/>
        </w:trPr>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231">
              <w:r>
                <w:rPr>
                  <w:rFonts w:ascii="Arial" w:cs="Arial" w:eastAsia="Arial" w:hAnsi="Arial"/>
                  <w:sz w:val="18"/>
                  <w:szCs w:val="18"/>
                  <w:color w:val="0000FF"/>
                </w:rPr>
                <w:t>Section 906 of the Sarbanes-Oxley Act of 2002.</w:t>
              </w:r>
            </w:hyperlink>
          </w:p>
        </w:tc>
        <w:tc>
          <w:tcPr>
            <w:tcW w:w="380" w:type="dxa"/>
            <w:vAlign w:val="bottom"/>
            <w:gridSpan w:val="13"/>
          </w:tcPr>
          <w:p>
            <w:pPr>
              <w:spacing w:after="0"/>
              <w:rPr>
                <w:sz w:val="13"/>
                <w:szCs w:val="13"/>
                <w:color w:val="auto"/>
              </w:rPr>
            </w:pPr>
          </w:p>
        </w:tc>
      </w:tr>
      <w:tr>
        <w:trPr>
          <w:trHeight w:val="20"/>
        </w:trPr>
        <w:tc>
          <w:tcPr>
            <w:tcW w:w="5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60" w:type="dxa"/>
            <w:vAlign w:val="bottom"/>
            <w:gridSpan w:val="7"/>
            <w:shd w:val="clear" w:color="auto" w:fill="0000FF"/>
          </w:tcPr>
          <w:p>
            <w:pPr>
              <w:spacing w:after="0" w:line="20" w:lineRule="exact"/>
              <w:rPr>
                <w:sz w:val="1"/>
                <w:szCs w:val="1"/>
                <w:color w:val="auto"/>
              </w:rPr>
            </w:pPr>
          </w:p>
        </w:tc>
        <w:tc>
          <w:tcPr>
            <w:tcW w:w="2360" w:type="dxa"/>
            <w:vAlign w:val="bottom"/>
            <w:gridSpan w:val="16"/>
          </w:tcPr>
          <w:p>
            <w:pPr>
              <w:spacing w:after="0" w:line="20" w:lineRule="exact"/>
              <w:rPr>
                <w:sz w:val="1"/>
                <w:szCs w:val="1"/>
                <w:color w:val="auto"/>
              </w:rPr>
            </w:pPr>
          </w:p>
        </w:tc>
      </w:tr>
      <w:tr>
        <w:trPr>
          <w:trHeight w:val="263"/>
        </w:trPr>
        <w:tc>
          <w:tcPr>
            <w:tcW w:w="540" w:type="dxa"/>
            <w:vAlign w:val="bottom"/>
            <w:gridSpan w:val="4"/>
          </w:tcPr>
          <w:p>
            <w:pPr>
              <w:jc w:val="center"/>
              <w:ind w:left="50"/>
              <w:spacing w:after="0"/>
              <w:rPr>
                <w:rFonts w:ascii="Arial" w:cs="Arial" w:eastAsia="Arial" w:hAnsi="Arial"/>
                <w:sz w:val="18"/>
                <w:szCs w:val="18"/>
                <w:color w:val="0000FF"/>
                <w:w w:val="91"/>
              </w:rPr>
            </w:pPr>
            <w:hyperlink w:anchor="page232">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3</w:t>
              </w:r>
            </w:hyperlink>
          </w:p>
        </w:tc>
        <w:tc>
          <w:tcPr>
            <w:tcW w:w="420" w:type="dxa"/>
            <w:vAlign w:val="bottom"/>
          </w:tcPr>
          <w:p>
            <w:pPr>
              <w:spacing w:after="0"/>
              <w:rPr>
                <w:sz w:val="22"/>
                <w:szCs w:val="22"/>
                <w:color w:val="auto"/>
              </w:rPr>
            </w:pPr>
          </w:p>
        </w:tc>
        <w:tc>
          <w:tcPr>
            <w:tcW w:w="5820" w:type="dxa"/>
            <w:vAlign w:val="bottom"/>
            <w:gridSpan w:val="23"/>
          </w:tcPr>
          <w:p>
            <w:pPr>
              <w:spacing w:after="0"/>
              <w:rPr>
                <w:rFonts w:ascii="Arial" w:cs="Arial" w:eastAsia="Arial" w:hAnsi="Arial"/>
                <w:sz w:val="18"/>
                <w:szCs w:val="18"/>
                <w:color w:val="0000FF"/>
                <w:w w:val="98"/>
              </w:rPr>
            </w:pPr>
            <w:hyperlink w:anchor="page232">
              <w:r>
                <w:rPr>
                  <w:rFonts w:ascii="Arial" w:cs="Arial" w:eastAsia="Arial" w:hAnsi="Arial"/>
                  <w:sz w:val="18"/>
                  <w:szCs w:val="18"/>
                  <w:color w:val="0000FF"/>
                  <w:w w:val="98"/>
                </w:rPr>
                <w:t>VICI Properties L.P. Certification of Principal Executive Officer Pursuant to</w:t>
              </w:r>
            </w:hyperlink>
          </w:p>
        </w:tc>
      </w:tr>
      <w:tr>
        <w:trPr>
          <w:trHeight w:val="156"/>
        </w:trPr>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5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232">
              <w:r>
                <w:rPr>
                  <w:rFonts w:ascii="Arial" w:cs="Arial" w:eastAsia="Arial" w:hAnsi="Arial"/>
                  <w:sz w:val="18"/>
                  <w:szCs w:val="18"/>
                  <w:color w:val="0000FF"/>
                </w:rPr>
                <w:t>Section 906 of the Sarbanes-Oxley Act of 2002.</w:t>
              </w:r>
            </w:hyperlink>
          </w:p>
        </w:tc>
        <w:tc>
          <w:tcPr>
            <w:tcW w:w="300" w:type="dxa"/>
            <w:vAlign w:val="bottom"/>
            <w:gridSpan w:val="10"/>
          </w:tcPr>
          <w:p>
            <w:pPr>
              <w:spacing w:after="0"/>
              <w:rPr>
                <w:sz w:val="13"/>
                <w:szCs w:val="13"/>
                <w:color w:val="auto"/>
              </w:rPr>
            </w:pPr>
          </w:p>
        </w:tc>
      </w:tr>
      <w:tr>
        <w:trPr>
          <w:trHeight w:val="20"/>
        </w:trPr>
        <w:tc>
          <w:tcPr>
            <w:tcW w:w="5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60" w:type="dxa"/>
            <w:vAlign w:val="bottom"/>
            <w:gridSpan w:val="7"/>
            <w:shd w:val="clear" w:color="auto" w:fill="0000FF"/>
          </w:tcPr>
          <w:p>
            <w:pPr>
              <w:spacing w:after="0" w:line="20" w:lineRule="exact"/>
              <w:rPr>
                <w:sz w:val="1"/>
                <w:szCs w:val="1"/>
                <w:color w:val="auto"/>
              </w:rPr>
            </w:pPr>
          </w:p>
        </w:tc>
        <w:tc>
          <w:tcPr>
            <w:tcW w:w="2360" w:type="dxa"/>
            <w:vAlign w:val="bottom"/>
            <w:gridSpan w:val="16"/>
          </w:tcPr>
          <w:p>
            <w:pPr>
              <w:spacing w:after="0" w:line="20" w:lineRule="exact"/>
              <w:rPr>
                <w:sz w:val="1"/>
                <w:szCs w:val="1"/>
                <w:color w:val="auto"/>
              </w:rPr>
            </w:pPr>
          </w:p>
        </w:tc>
      </w:tr>
      <w:tr>
        <w:trPr>
          <w:trHeight w:val="263"/>
        </w:trPr>
        <w:tc>
          <w:tcPr>
            <w:tcW w:w="540" w:type="dxa"/>
            <w:vAlign w:val="bottom"/>
            <w:gridSpan w:val="4"/>
          </w:tcPr>
          <w:p>
            <w:pPr>
              <w:jc w:val="center"/>
              <w:ind w:left="50"/>
              <w:spacing w:after="0"/>
              <w:rPr>
                <w:rFonts w:ascii="Arial" w:cs="Arial" w:eastAsia="Arial" w:hAnsi="Arial"/>
                <w:sz w:val="18"/>
                <w:szCs w:val="18"/>
                <w:color w:val="0000FF"/>
                <w:w w:val="91"/>
              </w:rPr>
            </w:pPr>
            <w:hyperlink w:anchor="page233">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4</w:t>
              </w:r>
            </w:hyperlink>
          </w:p>
        </w:tc>
        <w:tc>
          <w:tcPr>
            <w:tcW w:w="420" w:type="dxa"/>
            <w:vAlign w:val="bottom"/>
          </w:tcPr>
          <w:p>
            <w:pPr>
              <w:spacing w:after="0"/>
              <w:rPr>
                <w:sz w:val="22"/>
                <w:szCs w:val="22"/>
                <w:color w:val="auto"/>
              </w:rPr>
            </w:pPr>
          </w:p>
        </w:tc>
        <w:tc>
          <w:tcPr>
            <w:tcW w:w="5820" w:type="dxa"/>
            <w:vAlign w:val="bottom"/>
            <w:gridSpan w:val="23"/>
          </w:tcPr>
          <w:p>
            <w:pPr>
              <w:spacing w:after="0"/>
              <w:rPr>
                <w:rFonts w:ascii="Arial" w:cs="Arial" w:eastAsia="Arial" w:hAnsi="Arial"/>
                <w:sz w:val="18"/>
                <w:szCs w:val="18"/>
                <w:color w:val="0000FF"/>
                <w:w w:val="99"/>
              </w:rPr>
            </w:pPr>
            <w:hyperlink w:anchor="page233">
              <w:r>
                <w:rPr>
                  <w:rFonts w:ascii="Arial" w:cs="Arial" w:eastAsia="Arial" w:hAnsi="Arial"/>
                  <w:sz w:val="18"/>
                  <w:szCs w:val="18"/>
                  <w:color w:val="0000FF"/>
                  <w:w w:val="99"/>
                </w:rPr>
                <w:t>VICI Properties L.P. Certification of Principal Financial Officer Pursuant to</w:t>
              </w:r>
            </w:hyperlink>
          </w:p>
        </w:tc>
      </w:tr>
      <w:tr>
        <w:trPr>
          <w:trHeight w:val="155"/>
        </w:trPr>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233">
              <w:r>
                <w:rPr>
                  <w:rFonts w:ascii="Arial" w:cs="Arial" w:eastAsia="Arial" w:hAnsi="Arial"/>
                  <w:sz w:val="18"/>
                  <w:szCs w:val="18"/>
                  <w:color w:val="0000FF"/>
                </w:rPr>
                <w:t>Section 906 of the Sarbanes-Oxley Act of 2002.</w:t>
              </w:r>
            </w:hyperlink>
          </w:p>
        </w:tc>
        <w:tc>
          <w:tcPr>
            <w:tcW w:w="360" w:type="dxa"/>
            <w:vAlign w:val="bottom"/>
            <w:gridSpan w:val="12"/>
          </w:tcPr>
          <w:p>
            <w:pPr>
              <w:spacing w:after="0"/>
              <w:rPr>
                <w:sz w:val="13"/>
                <w:szCs w:val="13"/>
                <w:color w:val="auto"/>
              </w:rPr>
            </w:pPr>
          </w:p>
        </w:tc>
      </w:tr>
      <w:tr>
        <w:trPr>
          <w:trHeight w:val="20"/>
        </w:trPr>
        <w:tc>
          <w:tcPr>
            <w:tcW w:w="960" w:type="dxa"/>
            <w:vAlign w:val="bottom"/>
            <w:gridSpan w:val="5"/>
          </w:tcPr>
          <w:p>
            <w:pPr>
              <w:spacing w:after="0" w:line="20" w:lineRule="exact"/>
              <w:rPr>
                <w:sz w:val="1"/>
                <w:szCs w:val="1"/>
                <w:color w:val="auto"/>
              </w:rPr>
            </w:pPr>
          </w:p>
        </w:tc>
        <w:tc>
          <w:tcPr>
            <w:tcW w:w="3460" w:type="dxa"/>
            <w:vAlign w:val="bottom"/>
            <w:gridSpan w:val="7"/>
            <w:shd w:val="clear" w:color="auto" w:fill="0000FF"/>
          </w:tcPr>
          <w:p>
            <w:pPr>
              <w:spacing w:after="0" w:line="20" w:lineRule="exact"/>
              <w:rPr>
                <w:sz w:val="1"/>
                <w:szCs w:val="1"/>
                <w:color w:val="auto"/>
              </w:rPr>
            </w:pPr>
          </w:p>
        </w:tc>
        <w:tc>
          <w:tcPr>
            <w:tcW w:w="2360" w:type="dxa"/>
            <w:vAlign w:val="bottom"/>
            <w:gridSpan w:val="16"/>
          </w:tcPr>
          <w:p>
            <w:pPr>
              <w:spacing w:after="0" w:line="20" w:lineRule="exact"/>
              <w:rPr>
                <w:sz w:val="1"/>
                <w:szCs w:val="1"/>
                <w:color w:val="auto"/>
              </w:rPr>
            </w:pPr>
          </w:p>
        </w:tc>
      </w:tr>
      <w:tr>
        <w:trPr>
          <w:trHeight w:val="250"/>
        </w:trPr>
        <w:tc>
          <w:tcPr>
            <w:tcW w:w="960" w:type="dxa"/>
            <w:vAlign w:val="bottom"/>
            <w:gridSpan w:val="5"/>
          </w:tcPr>
          <w:p>
            <w:pPr>
              <w:jc w:val="center"/>
              <w:ind w:right="280"/>
              <w:spacing w:after="0"/>
              <w:rPr>
                <w:sz w:val="20"/>
                <w:szCs w:val="20"/>
                <w:color w:val="auto"/>
              </w:rPr>
            </w:pPr>
            <w:r>
              <w:rPr>
                <w:rFonts w:ascii="Arial" w:cs="Arial" w:eastAsia="Arial" w:hAnsi="Arial"/>
                <w:sz w:val="18"/>
                <w:szCs w:val="18"/>
                <w:color w:val="auto"/>
                <w:w w:val="92"/>
              </w:rPr>
              <w:t>101.INS</w:t>
            </w:r>
          </w:p>
        </w:tc>
        <w:tc>
          <w:tcPr>
            <w:tcW w:w="5820" w:type="dxa"/>
            <w:vAlign w:val="bottom"/>
            <w:gridSpan w:val="23"/>
          </w:tcPr>
          <w:p>
            <w:pPr>
              <w:spacing w:after="0"/>
              <w:rPr>
                <w:sz w:val="20"/>
                <w:szCs w:val="20"/>
                <w:color w:val="auto"/>
              </w:rPr>
            </w:pPr>
            <w:r>
              <w:rPr>
                <w:rFonts w:ascii="Arial" w:cs="Arial" w:eastAsia="Arial" w:hAnsi="Arial"/>
                <w:sz w:val="18"/>
                <w:szCs w:val="18"/>
                <w:color w:val="auto"/>
                <w:w w:val="98"/>
              </w:rPr>
              <w:t>XBRL Instance Document - the instance document does not appear in the</w:t>
            </w:r>
          </w:p>
        </w:tc>
      </w:tr>
      <w:tr>
        <w:trPr>
          <w:trHeight w:val="175"/>
        </w:trPr>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20" w:type="dxa"/>
            <w:vAlign w:val="bottom"/>
            <w:gridSpan w:val="23"/>
          </w:tcPr>
          <w:p>
            <w:pPr>
              <w:spacing w:after="0" w:line="176" w:lineRule="exact"/>
              <w:rPr>
                <w:sz w:val="20"/>
                <w:szCs w:val="20"/>
                <w:color w:val="auto"/>
              </w:rPr>
            </w:pPr>
            <w:r>
              <w:rPr>
                <w:rFonts w:ascii="Arial" w:cs="Arial" w:eastAsia="Arial" w:hAnsi="Arial"/>
                <w:sz w:val="18"/>
                <w:szCs w:val="18"/>
                <w:color w:val="auto"/>
                <w:w w:val="97"/>
              </w:rPr>
              <w:t>Interactive Data File because its XBRL tags are embedded within the Inline</w:t>
            </w:r>
          </w:p>
        </w:tc>
      </w:tr>
      <w:tr>
        <w:trPr>
          <w:trHeight w:val="230"/>
        </w:trPr>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20" w:type="dxa"/>
            <w:vAlign w:val="bottom"/>
            <w:gridSpan w:val="23"/>
          </w:tcPr>
          <w:p>
            <w:pPr>
              <w:spacing w:after="0"/>
              <w:rPr>
                <w:sz w:val="20"/>
                <w:szCs w:val="20"/>
                <w:color w:val="auto"/>
              </w:rPr>
            </w:pPr>
            <w:r>
              <w:rPr>
                <w:rFonts w:ascii="Arial" w:cs="Arial" w:eastAsia="Arial" w:hAnsi="Arial"/>
                <w:sz w:val="18"/>
                <w:szCs w:val="18"/>
                <w:color w:val="auto"/>
              </w:rPr>
              <w:t>XBRL document</w:t>
            </w:r>
          </w:p>
        </w:tc>
      </w:tr>
      <w:tr>
        <w:trPr>
          <w:trHeight w:val="283"/>
        </w:trPr>
        <w:tc>
          <w:tcPr>
            <w:tcW w:w="96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101.SCH</w:t>
            </w:r>
          </w:p>
        </w:tc>
        <w:tc>
          <w:tcPr>
            <w:tcW w:w="5820" w:type="dxa"/>
            <w:vAlign w:val="bottom"/>
            <w:gridSpan w:val="2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960" w:type="dxa"/>
            <w:vAlign w:val="bottom"/>
            <w:gridSpan w:val="5"/>
          </w:tcPr>
          <w:p>
            <w:pPr>
              <w:jc w:val="center"/>
              <w:ind w:right="280"/>
              <w:spacing w:after="0"/>
              <w:rPr>
                <w:sz w:val="20"/>
                <w:szCs w:val="20"/>
                <w:color w:val="auto"/>
              </w:rPr>
            </w:pPr>
            <w:r>
              <w:rPr>
                <w:rFonts w:ascii="Arial" w:cs="Arial" w:eastAsia="Arial" w:hAnsi="Arial"/>
                <w:sz w:val="18"/>
                <w:szCs w:val="18"/>
                <w:color w:val="auto"/>
                <w:w w:val="97"/>
              </w:rPr>
              <w:t>101.CAL</w:t>
            </w:r>
          </w:p>
        </w:tc>
        <w:tc>
          <w:tcPr>
            <w:tcW w:w="5820" w:type="dxa"/>
            <w:vAlign w:val="bottom"/>
            <w:gridSpan w:val="2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96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101.DEF</w:t>
            </w:r>
          </w:p>
        </w:tc>
        <w:tc>
          <w:tcPr>
            <w:tcW w:w="5820" w:type="dxa"/>
            <w:vAlign w:val="bottom"/>
            <w:gridSpan w:val="2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4"/>
        </w:trPr>
        <w:tc>
          <w:tcPr>
            <w:tcW w:w="960" w:type="dxa"/>
            <w:vAlign w:val="bottom"/>
            <w:gridSpan w:val="5"/>
          </w:tcPr>
          <w:p>
            <w:pPr>
              <w:jc w:val="center"/>
              <w:ind w:right="280"/>
              <w:spacing w:after="0"/>
              <w:rPr>
                <w:sz w:val="20"/>
                <w:szCs w:val="20"/>
                <w:color w:val="auto"/>
              </w:rPr>
            </w:pPr>
            <w:r>
              <w:rPr>
                <w:rFonts w:ascii="Arial" w:cs="Arial" w:eastAsia="Arial" w:hAnsi="Arial"/>
                <w:sz w:val="18"/>
                <w:szCs w:val="18"/>
                <w:color w:val="auto"/>
                <w:w w:val="98"/>
              </w:rPr>
              <w:t>101.LAB</w:t>
            </w:r>
          </w:p>
        </w:tc>
        <w:tc>
          <w:tcPr>
            <w:tcW w:w="5820" w:type="dxa"/>
            <w:vAlign w:val="bottom"/>
            <w:gridSpan w:val="2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960" w:type="dxa"/>
            <w:vAlign w:val="bottom"/>
            <w:gridSpan w:val="5"/>
          </w:tcPr>
          <w:p>
            <w:pPr>
              <w:jc w:val="center"/>
              <w:ind w:right="280"/>
              <w:spacing w:after="0"/>
              <w:rPr>
                <w:sz w:val="20"/>
                <w:szCs w:val="20"/>
                <w:color w:val="auto"/>
              </w:rPr>
            </w:pPr>
            <w:r>
              <w:rPr>
                <w:rFonts w:ascii="Arial" w:cs="Arial" w:eastAsia="Arial" w:hAnsi="Arial"/>
                <w:sz w:val="18"/>
                <w:szCs w:val="18"/>
                <w:color w:val="auto"/>
                <w:w w:val="88"/>
              </w:rPr>
              <w:t>101.PRE</w:t>
            </w:r>
          </w:p>
        </w:tc>
        <w:tc>
          <w:tcPr>
            <w:tcW w:w="5820" w:type="dxa"/>
            <w:vAlign w:val="bottom"/>
            <w:gridSpan w:val="2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sz w:val="20"/>
          <w:szCs w:val="20"/>
          <w:color w:val="auto"/>
        </w:rPr>
      </w:pPr>
    </w:p>
    <w:p>
      <w:pPr>
        <w:ind w:left="1140" w:right="80" w:hanging="761"/>
        <w:spacing w:after="0" w:line="235" w:lineRule="auto"/>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8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ind w:right="180"/>
        <w:spacing w:after="0"/>
        <w:tabs>
          <w:tab w:leader="none" w:pos="1680" w:val="left"/>
          <w:tab w:leader="none" w:pos="7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4.19</w:t>
      </w:r>
      <w:r>
        <w:rPr>
          <w:sz w:val="20"/>
          <w:szCs w:val="20"/>
          <w:color w:val="auto"/>
        </w:rPr>
        <w:tab/>
      </w:r>
      <w:r>
        <w:rPr>
          <w:rFonts w:ascii="Arial" w:cs="Arial" w:eastAsia="Arial" w:hAnsi="Arial"/>
          <w:sz w:val="16"/>
          <w:szCs w:val="16"/>
          <w:color w:val="auto"/>
        </w:rPr>
        <w:t>4/29/2022</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28"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10.1</w:t>
            </w:r>
          </w:p>
        </w:tc>
        <w:tc>
          <w:tcPr>
            <w:tcW w:w="1060" w:type="dxa"/>
            <w:vAlign w:val="bottom"/>
          </w:tcPr>
          <w:p>
            <w:pPr>
              <w:jc w:val="right"/>
              <w:spacing w:after="0"/>
              <w:rPr>
                <w:sz w:val="20"/>
                <w:szCs w:val="20"/>
                <w:color w:val="auto"/>
              </w:rPr>
            </w:pPr>
            <w:r>
              <w:rPr>
                <w:rFonts w:ascii="Arial" w:cs="Arial" w:eastAsia="Arial" w:hAnsi="Arial"/>
                <w:sz w:val="18"/>
                <w:szCs w:val="18"/>
                <w:color w:val="auto"/>
              </w:rPr>
              <w:t>4/29/2022</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10.2</w:t>
            </w:r>
          </w:p>
        </w:tc>
        <w:tc>
          <w:tcPr>
            <w:tcW w:w="1060" w:type="dxa"/>
            <w:vAlign w:val="bottom"/>
          </w:tcPr>
          <w:p>
            <w:pPr>
              <w:jc w:val="right"/>
              <w:spacing w:after="0"/>
              <w:rPr>
                <w:sz w:val="20"/>
                <w:szCs w:val="20"/>
                <w:color w:val="auto"/>
              </w:rPr>
            </w:pPr>
            <w:r>
              <w:rPr>
                <w:rFonts w:ascii="Arial" w:cs="Arial" w:eastAsia="Arial" w:hAnsi="Arial"/>
                <w:sz w:val="18"/>
                <w:szCs w:val="18"/>
                <w:color w:val="auto"/>
              </w:rPr>
              <w:t>4/29/2022</w:t>
            </w:r>
          </w:p>
        </w:tc>
      </w:tr>
      <w:tr>
        <w:trPr>
          <w:trHeight w:val="553"/>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10.3</w:t>
            </w:r>
          </w:p>
        </w:tc>
        <w:tc>
          <w:tcPr>
            <w:tcW w:w="1060" w:type="dxa"/>
            <w:vAlign w:val="bottom"/>
          </w:tcPr>
          <w:p>
            <w:pPr>
              <w:jc w:val="right"/>
              <w:spacing w:after="0"/>
              <w:rPr>
                <w:sz w:val="20"/>
                <w:szCs w:val="20"/>
                <w:color w:val="auto"/>
              </w:rPr>
            </w:pPr>
            <w:r>
              <w:rPr>
                <w:rFonts w:ascii="Arial" w:cs="Arial" w:eastAsia="Arial" w:hAnsi="Arial"/>
                <w:sz w:val="18"/>
                <w:szCs w:val="18"/>
                <w:color w:val="auto"/>
              </w:rPr>
              <w:t>4/29/2022</w:t>
            </w:r>
          </w:p>
        </w:tc>
      </w:tr>
      <w:tr>
        <w:trPr>
          <w:trHeight w:val="540"/>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1060" w:type="dxa"/>
            <w:vAlign w:val="bottom"/>
          </w:tcPr>
          <w:p>
            <w:pPr>
              <w:jc w:val="right"/>
              <w:spacing w:after="0"/>
              <w:rPr>
                <w:sz w:val="20"/>
                <w:szCs w:val="20"/>
                <w:color w:val="auto"/>
              </w:rPr>
            </w:pPr>
            <w:r>
              <w:rPr>
                <w:rFonts w:ascii="Arial" w:cs="Arial" w:eastAsia="Arial" w:hAnsi="Arial"/>
                <w:sz w:val="18"/>
                <w:szCs w:val="18"/>
                <w:color w:val="auto"/>
              </w:rPr>
              <w:t>4/29/2022</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10.5</w:t>
            </w:r>
          </w:p>
        </w:tc>
        <w:tc>
          <w:tcPr>
            <w:tcW w:w="1060" w:type="dxa"/>
            <w:vAlign w:val="bottom"/>
          </w:tcPr>
          <w:p>
            <w:pPr>
              <w:jc w:val="right"/>
              <w:spacing w:after="0"/>
              <w:rPr>
                <w:sz w:val="20"/>
                <w:szCs w:val="20"/>
                <w:color w:val="auto"/>
              </w:rPr>
            </w:pPr>
            <w:r>
              <w:rPr>
                <w:rFonts w:ascii="Arial" w:cs="Arial" w:eastAsia="Arial" w:hAnsi="Arial"/>
                <w:sz w:val="18"/>
                <w:szCs w:val="18"/>
                <w:color w:val="auto"/>
              </w:rPr>
              <w:t>4/29/2022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994" w:lineRule="exact"/>
        <w:rPr>
          <w:sz w:val="20"/>
          <w:szCs w:val="20"/>
          <w:color w:val="auto"/>
        </w:rPr>
      </w:pPr>
    </w:p>
    <w:p>
      <w:pPr>
        <w:sectPr>
          <w:pgSz w:w="11900" w:h="16838" w:orient="portrait"/>
          <w:cols w:equalWidth="0" w:num="2">
            <w:col w:w="6800" w:space="500"/>
            <w:col w:w="3940"/>
          </w:cols>
          <w:pgMar w:left="320" w:top="530" w:right="339" w:bottom="1440" w:gutter="0" w:footer="0" w:header="0"/>
        </w:sectPr>
      </w:pPr>
    </w:p>
    <w:p>
      <w:pPr>
        <w:ind w:firstLine="8"/>
        <w:spacing w:after="0" w:line="277" w:lineRule="auto"/>
        <w:tabs>
          <w:tab w:leader="none" w:pos="159"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Pursuant to Item 601(b)(2) of Regulation S-K, certain schedules and exhibits have been omitted from this Quarterly Report on Form 10-Q and will be furnished to the SEC supplementally upon request.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66"/>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EDWARD B. PITONIAK</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July 27, 2022</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4"/>
              </w:rPr>
              <w:t>Edward B. Pitoniak</w:t>
            </w:r>
          </w:p>
        </w:tc>
        <w:tc>
          <w:tcPr>
            <w:tcW w:w="120" w:type="dxa"/>
            <w:vAlign w:val="bottom"/>
          </w:tcPr>
          <w:p>
            <w:pPr>
              <w:spacing w:after="0"/>
              <w:rPr>
                <w:sz w:val="19"/>
                <w:szCs w:val="19"/>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200" w:type="dxa"/>
            <w:vAlign w:val="bottom"/>
          </w:tcPr>
          <w:p>
            <w:pPr>
              <w:spacing w:after="0"/>
              <w:rPr>
                <w:sz w:val="19"/>
                <w:szCs w:val="19"/>
                <w:color w:val="auto"/>
              </w:rPr>
            </w:pPr>
          </w:p>
        </w:tc>
      </w:tr>
      <w:tr>
        <w:trPr>
          <w:trHeight w:val="481"/>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DAVID A. KIESKE</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July 27, 2022</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3"/>
              </w:rPr>
              <w:t>David A. Kieske</w:t>
            </w:r>
          </w:p>
        </w:tc>
        <w:tc>
          <w:tcPr>
            <w:tcW w:w="120" w:type="dxa"/>
            <w:vAlign w:val="bottom"/>
          </w:tcPr>
          <w:p>
            <w:pPr>
              <w:spacing w:after="0"/>
              <w:rPr>
                <w:sz w:val="19"/>
                <w:szCs w:val="19"/>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2200" w:type="dxa"/>
            <w:vAlign w:val="bottom"/>
          </w:tcPr>
          <w:p>
            <w:pPr>
              <w:spacing w:after="0"/>
              <w:rPr>
                <w:sz w:val="19"/>
                <w:szCs w:val="19"/>
                <w:color w:val="auto"/>
              </w:rPr>
            </w:pPr>
          </w:p>
        </w:tc>
      </w:tr>
      <w:tr>
        <w:trPr>
          <w:trHeight w:val="481"/>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GABRIEL F. WASSERMAN</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Accounting Officer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July 27, 2022</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0"/>
              </w:rPr>
              <w:t>Gabriel F. Wasserman</w:t>
            </w:r>
          </w:p>
        </w:tc>
        <w:tc>
          <w:tcPr>
            <w:tcW w:w="120" w:type="dxa"/>
            <w:vAlign w:val="bottom"/>
          </w:tcPr>
          <w:p>
            <w:pPr>
              <w:spacing w:after="0"/>
              <w:rPr>
                <w:sz w:val="19"/>
                <w:szCs w:val="19"/>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200" w:type="dxa"/>
            <w:vAlign w:val="bottom"/>
          </w:tcPr>
          <w:p>
            <w:pPr>
              <w:spacing w:after="0"/>
              <w:rPr>
                <w:sz w:val="19"/>
                <w:szCs w:val="19"/>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L.P.</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66"/>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EDWARD B. PITONIAK</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July 27, 2022</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4"/>
              </w:rPr>
              <w:t>Edward B. Pitoniak</w:t>
            </w:r>
          </w:p>
        </w:tc>
        <w:tc>
          <w:tcPr>
            <w:tcW w:w="120" w:type="dxa"/>
            <w:vAlign w:val="bottom"/>
          </w:tcPr>
          <w:p>
            <w:pPr>
              <w:spacing w:after="0"/>
              <w:rPr>
                <w:sz w:val="19"/>
                <w:szCs w:val="19"/>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200" w:type="dxa"/>
            <w:vAlign w:val="bottom"/>
          </w:tcPr>
          <w:p>
            <w:pPr>
              <w:spacing w:after="0"/>
              <w:rPr>
                <w:sz w:val="19"/>
                <w:szCs w:val="19"/>
                <w:color w:val="auto"/>
              </w:rPr>
            </w:pPr>
          </w:p>
        </w:tc>
      </w:tr>
      <w:tr>
        <w:trPr>
          <w:trHeight w:val="481"/>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DAVID A. KIESKE</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July 27, 2022</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3"/>
              </w:rPr>
              <w:t>David A. Kieske</w:t>
            </w:r>
          </w:p>
        </w:tc>
        <w:tc>
          <w:tcPr>
            <w:tcW w:w="120" w:type="dxa"/>
            <w:vAlign w:val="bottom"/>
          </w:tcPr>
          <w:p>
            <w:pPr>
              <w:spacing w:after="0"/>
              <w:rPr>
                <w:sz w:val="19"/>
                <w:szCs w:val="19"/>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2200" w:type="dxa"/>
            <w:vAlign w:val="bottom"/>
          </w:tcPr>
          <w:p>
            <w:pPr>
              <w:spacing w:after="0"/>
              <w:rPr>
                <w:sz w:val="19"/>
                <w:szCs w:val="19"/>
                <w:color w:val="auto"/>
              </w:rPr>
            </w:pPr>
          </w:p>
        </w:tc>
      </w:tr>
      <w:tr>
        <w:trPr>
          <w:trHeight w:val="481"/>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GABRIEL F. WASSERMAN</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Accounting Officer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July 27, 2022</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0"/>
              </w:rPr>
              <w:t>Gabriel F. Wasserman</w:t>
            </w:r>
          </w:p>
        </w:tc>
        <w:tc>
          <w:tcPr>
            <w:tcW w:w="120" w:type="dxa"/>
            <w:vAlign w:val="bottom"/>
          </w:tcPr>
          <w:p>
            <w:pPr>
              <w:spacing w:after="0"/>
              <w:rPr>
                <w:sz w:val="19"/>
                <w:szCs w:val="19"/>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2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530"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FIRST AMENDMENT</w:t>
      </w:r>
    </w:p>
    <w:p>
      <w:pPr>
        <w:spacing w:after="0" w:line="94" w:lineRule="exact"/>
        <w:rPr>
          <w:sz w:val="20"/>
          <w:szCs w:val="20"/>
          <w:color w:val="auto"/>
        </w:rPr>
      </w:pPr>
    </w:p>
    <w:p>
      <w:pPr>
        <w:ind w:right="60" w:firstLine="1296"/>
        <w:spacing w:after="0" w:line="236" w:lineRule="auto"/>
        <w:rPr>
          <w:sz w:val="20"/>
          <w:szCs w:val="20"/>
          <w:color w:val="auto"/>
        </w:rPr>
      </w:pPr>
      <w:r>
        <w:rPr>
          <w:rFonts w:ascii="Arial" w:cs="Arial" w:eastAsia="Arial" w:hAnsi="Arial"/>
          <w:sz w:val="18"/>
          <w:szCs w:val="18"/>
          <w:color w:val="auto"/>
        </w:rPr>
        <w:t>This First Amendment, dated as of July 15, 2022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the Credit Agreement dated as of February 8, 2022 (as amended, supplemented or otherwise modified from time to time prior to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among VICI PROPERTIES L.P., a Delaware limited partnership (the “</w:t>
      </w:r>
      <w:r>
        <w:rPr>
          <w:rFonts w:ascii="Arial" w:cs="Arial" w:eastAsia="Arial" w:hAnsi="Arial"/>
          <w:sz w:val="18"/>
          <w:szCs w:val="18"/>
          <w:u w:val="single" w:color="auto"/>
          <w:color w:val="auto"/>
        </w:rPr>
        <w:t>Borrower</w:t>
      </w:r>
      <w:r>
        <w:rPr>
          <w:rFonts w:ascii="Arial" w:cs="Arial" w:eastAsia="Arial" w:hAnsi="Arial"/>
          <w:sz w:val="18"/>
          <w:szCs w:val="18"/>
          <w:color w:val="auto"/>
        </w:rPr>
        <w:t>”), the several banks and other financial institutions or entities from time to time parties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JPMORGAN CHASE BANK, N.A.,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w:t>
      </w:r>
    </w:p>
    <w:p>
      <w:pPr>
        <w:spacing w:after="0" w:line="283" w:lineRule="exact"/>
        <w:rPr>
          <w:sz w:val="20"/>
          <w:szCs w:val="20"/>
          <w:color w:val="auto"/>
        </w:rPr>
      </w:pPr>
    </w:p>
    <w:p>
      <w:pPr>
        <w:ind w:right="520" w:firstLine="1296"/>
        <w:spacing w:after="0" w:line="229" w:lineRule="auto"/>
        <w:rPr>
          <w:sz w:val="20"/>
          <w:szCs w:val="20"/>
          <w:color w:val="auto"/>
        </w:rPr>
      </w:pPr>
      <w:r>
        <w:rPr>
          <w:rFonts w:ascii="Arial" w:cs="Arial" w:eastAsia="Arial" w:hAnsi="Arial"/>
          <w:sz w:val="20"/>
          <w:szCs w:val="20"/>
          <w:color w:val="auto"/>
        </w:rPr>
        <w:t>WHEREAS, the Borrower, the Lenders (including the Issuing Lenders) and the Administrative Agent are parties to the Existing Credit Agreement (the Existing Credit Agreement, as so amended,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15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 xml:space="preserve">WHEREAS, in accordance with the provisions of Section 10.1 of the Existing Credit Agreement, the Borrower has requested, and the Lenders party hereto, constituting all Revolving Lenders (including each Issuing Lender), have agreed, to amend the Existing Credit Agreement as set forth in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hereof;</w:t>
      </w:r>
    </w:p>
    <w:p>
      <w:pPr>
        <w:spacing w:after="0" w:line="156"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NOW, THEREFORE, in consideration of the premises contained herein, the parties hereto agree as follows:</w:t>
      </w:r>
    </w:p>
    <w:p>
      <w:pPr>
        <w:spacing w:after="0" w:line="175" w:lineRule="exact"/>
        <w:rPr>
          <w:sz w:val="20"/>
          <w:szCs w:val="20"/>
          <w:color w:val="auto"/>
        </w:rPr>
      </w:pPr>
    </w:p>
    <w:p>
      <w:pPr>
        <w:ind w:right="880" w:firstLine="648"/>
        <w:spacing w:after="0" w:line="229"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Defined Terms</w:t>
      </w:r>
      <w:r>
        <w:rPr>
          <w:rFonts w:ascii="Arial" w:cs="Arial" w:eastAsia="Arial" w:hAnsi="Arial"/>
          <w:sz w:val="20"/>
          <w:szCs w:val="20"/>
          <w:color w:val="auto"/>
        </w:rPr>
        <w:t>. Unless otherwise defined herein, capitalized terms are used herein as defined in the Credit Agreement.</w:t>
      </w:r>
    </w:p>
    <w:p>
      <w:pPr>
        <w:spacing w:after="0" w:line="155" w:lineRule="exact"/>
        <w:rPr>
          <w:sz w:val="20"/>
          <w:szCs w:val="20"/>
          <w:color w:val="auto"/>
        </w:rPr>
      </w:pPr>
    </w:p>
    <w:p>
      <w:pPr>
        <w:ind w:right="40" w:firstLine="648"/>
        <w:spacing w:after="0" w:line="221"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Amendments to the Existing Credit Agreement</w:t>
      </w:r>
      <w:r>
        <w:rPr>
          <w:rFonts w:ascii="Arial" w:cs="Arial" w:eastAsia="Arial" w:hAnsi="Arial"/>
          <w:sz w:val="19"/>
          <w:szCs w:val="19"/>
          <w:color w:val="auto"/>
        </w:rPr>
        <w:t xml:space="preserve">. Subject to the satisfaction of the conditions set forth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(i) the Existing Credit Agreement is hereby amended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by deleting the stricken text (indicated textually in the same manner as the following example: </w:t>
      </w:r>
      <w:r>
        <w:rPr>
          <w:rFonts w:ascii="Arial" w:cs="Arial" w:eastAsia="Arial" w:hAnsi="Arial"/>
          <w:sz w:val="19"/>
          <w:szCs w:val="19"/>
          <w:color w:val="FF0000"/>
          <w:strike w:val="1"/>
        </w:rPr>
        <w:t>stricken text</w:t>
      </w:r>
      <w:r>
        <w:rPr>
          <w:rFonts w:ascii="Arial" w:cs="Arial" w:eastAsia="Arial" w:hAnsi="Arial"/>
          <w:sz w:val="19"/>
          <w:szCs w:val="19"/>
          <w:color w:val="auto"/>
        </w:rPr>
        <w:t xml:space="preserve">) and by inserting the double-underlined text (indicated textually in the same manner as the following example: </w:t>
      </w:r>
      <w:r>
        <w:rPr>
          <w:rFonts w:ascii="Arial" w:cs="Arial" w:eastAsia="Arial" w:hAnsi="Arial"/>
          <w:sz w:val="19"/>
          <w:szCs w:val="19"/>
          <w:u w:val="single" w:color="auto"/>
          <w:color w:val="0000FF"/>
        </w:rPr>
        <w:t>double-underlined text</w:t>
      </w:r>
      <w:r>
        <w:rPr>
          <w:rFonts w:ascii="Arial" w:cs="Arial" w:eastAsia="Arial" w:hAnsi="Arial"/>
          <w:sz w:val="19"/>
          <w:szCs w:val="19"/>
          <w:color w:val="auto"/>
        </w:rPr>
        <w:t xml:space="preserve">), in each case in the place where such text appears therein and (ii) Schedule 1.1A of the Existing Credit Agreement is hereby amended and restated as set forth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and</w:t>
      </w:r>
    </w:p>
    <w:p>
      <w:pPr>
        <w:spacing w:after="0" w:line="155" w:lineRule="exact"/>
        <w:rPr>
          <w:sz w:val="20"/>
          <w:szCs w:val="20"/>
          <w:color w:val="auto"/>
        </w:rPr>
      </w:pPr>
    </w:p>
    <w:p>
      <w:pPr>
        <w:jc w:val="both"/>
        <w:ind w:right="200" w:firstLine="648"/>
        <w:spacing w:after="0" w:line="218"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Conditions to Effectiveness of this Amendment</w:t>
      </w:r>
      <w:r>
        <w:rPr>
          <w:rFonts w:ascii="Arial" w:cs="Arial" w:eastAsia="Arial" w:hAnsi="Arial"/>
          <w:sz w:val="20"/>
          <w:szCs w:val="20"/>
          <w:color w:val="auto"/>
        </w:rPr>
        <w:t>. This Amendment shall become effective on the date on which the following conditions precedent have been satisfied or waived (the date on which such conditions shall have been so satisfied or waived, the “</w:t>
      </w:r>
      <w:r>
        <w:rPr>
          <w:rFonts w:ascii="Arial" w:cs="Arial" w:eastAsia="Arial" w:hAnsi="Arial"/>
          <w:sz w:val="20"/>
          <w:szCs w:val="20"/>
          <w:u w:val="single" w:color="auto"/>
          <w:color w:val="auto"/>
        </w:rPr>
        <w:t>First Amendment Effective Date</w:t>
      </w:r>
      <w:r>
        <w:rPr>
          <w:rFonts w:ascii="Arial" w:cs="Arial" w:eastAsia="Arial" w:hAnsi="Arial"/>
          <w:sz w:val="20"/>
          <w:szCs w:val="20"/>
          <w:color w:val="auto"/>
        </w:rPr>
        <w:t>”):</w:t>
      </w:r>
    </w:p>
    <w:p>
      <w:pPr>
        <w:spacing w:after="0" w:line="156" w:lineRule="exact"/>
        <w:rPr>
          <w:sz w:val="20"/>
          <w:szCs w:val="20"/>
          <w:color w:val="auto"/>
        </w:rPr>
      </w:pPr>
    </w:p>
    <w:p>
      <w:pPr>
        <w:ind w:left="660" w:right="300" w:firstLine="644"/>
        <w:spacing w:after="0" w:line="242" w:lineRule="auto"/>
        <w:tabs>
          <w:tab w:leader="none" w:pos="1946"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Administrative Agent shall have received a counterpart of this Amendment, executed and delivered by (i) the Borrower, (ii) each Revolving Lender (including each Issuing Lender) and (iii) the Administrative Agent.</w:t>
      </w:r>
    </w:p>
    <w:p>
      <w:pPr>
        <w:spacing w:after="0" w:line="153" w:lineRule="exact"/>
        <w:rPr>
          <w:rFonts w:ascii="Arial" w:cs="Arial" w:eastAsia="Arial" w:hAnsi="Arial"/>
          <w:sz w:val="19"/>
          <w:szCs w:val="19"/>
          <w:color w:val="auto"/>
        </w:rPr>
      </w:pPr>
    </w:p>
    <w:p>
      <w:pPr>
        <w:ind w:left="660" w:right="80" w:firstLine="644"/>
        <w:spacing w:after="0" w:line="213" w:lineRule="auto"/>
        <w:tabs>
          <w:tab w:leader="none" w:pos="1944"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Administrative Agent shall have received all fees required to be paid, if any, and all reasonable and documented out-of-pocket expenses (including the reasonable and documented out-of-pocket fees and expenses of legal counsel) for which invoices have been presented at least 1 Business Day (or such later date as agreed to by the Borrower) prior to the First Amendment Effective Date.</w:t>
      </w:r>
    </w:p>
    <w:p>
      <w:pPr>
        <w:spacing w:after="0" w:line="15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On and as of the date hereof, the Borrower hereby confirms, reaffirms and restates that, prior to and after giving effect to this Amendment (i) each of the representations and warranties made by any Loan Party in or pursuant to the Loan Documents is true and correct in all material respects (other than any representation or warranty qualified as to “materiality”, “Material Adverse Effect” or similar language, which shall be true and correct in all respects), except to the extent such representations and warranties specifically relate to an earlier date, in which case they are true and correct in all material respects (other than any representation or warranty qualified as to “materiality”, “Material Adverse Effect” or similar language, which shall be true and correct in all</w:t>
      </w:r>
    </w:p>
    <w:p>
      <w:pPr>
        <w:sectPr>
          <w:pgSz w:w="11900" w:h="16838" w:orient="portrait"/>
          <w:cols w:equalWidth="0" w:num="1">
            <w:col w:w="11240"/>
          </w:cols>
          <w:pgMar w:left="320" w:top="104"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respects) on and as of such earlier date and (ii) no Default or Event of Default has occurred and is continuing.</w:t>
      </w:r>
    </w:p>
    <w:p>
      <w:pPr>
        <w:spacing w:after="0" w:line="17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8"/>
          <w:szCs w:val="18"/>
          <w:u w:val="single" w:color="auto"/>
          <w:color w:val="auto"/>
        </w:rPr>
        <w:t>Continuing Effect; No Other Amendments or Consents</w:t>
      </w:r>
      <w:r>
        <w:rPr>
          <w:rFonts w:ascii="Arial" w:cs="Arial" w:eastAsia="Arial" w:hAnsi="Arial"/>
          <w:sz w:val="18"/>
          <w:szCs w:val="18"/>
          <w:color w:val="auto"/>
        </w:rPr>
        <w:t>.</w:t>
      </w:r>
    </w:p>
    <w:p>
      <w:pPr>
        <w:spacing w:after="0" w:line="175" w:lineRule="exact"/>
        <w:rPr>
          <w:sz w:val="20"/>
          <w:szCs w:val="20"/>
          <w:color w:val="auto"/>
        </w:rPr>
      </w:pPr>
    </w:p>
    <w:p>
      <w:pPr>
        <w:ind w:left="660" w:firstLine="644"/>
        <w:spacing w:after="0" w:line="204" w:lineRule="auto"/>
        <w:tabs>
          <w:tab w:leader="none" w:pos="1944" w:val="left"/>
        </w:tabs>
        <w:numPr>
          <w:ilvl w:val="0"/>
          <w:numId w:val="47"/>
        </w:numPr>
        <w:rPr>
          <w:rFonts w:ascii="Arial" w:cs="Arial" w:eastAsia="Arial" w:hAnsi="Arial"/>
          <w:sz w:val="20"/>
          <w:szCs w:val="20"/>
          <w:color w:val="auto"/>
        </w:rPr>
      </w:pPr>
      <w:r>
        <w:rPr>
          <w:rFonts w:ascii="Arial" w:cs="Arial" w:eastAsia="Arial" w:hAnsi="Arial"/>
          <w:sz w:val="20"/>
          <w:szCs w:val="20"/>
          <w:color w:val="auto"/>
        </w:rPr>
        <w:t>Except as expressly provided herein, all of the terms and provisions of the Existing Credit Agreement are and shall remain in full force and effect. The amendments provided for herein are limited to the specific subsections of the Existing Credit Agreement specified herein and shall not constitute a consent, waiver or amendment of, or an indication of the Administrative Agent’s or the Lenders’ willingness to consent to any action requiring consent under any other provisions of the Existing Credit Agreement or the same subsection for any other date or time period. Upon the effectiveness of the amendments set forth herein, on and after the First Amendment Effective Date, each reference in the Credit Agreement to “this Agreement,” “the Agreement,” “hereunder,” “hereof” or words of like import referring to the Credit Agreement, and each reference in the other Loan Documents to “Credit Agreement,” “thereunder,” “thereof” or words of like import referring to the Credit Agreement, shall mean and be a reference to the Credit Agreement.</w:t>
      </w:r>
    </w:p>
    <w:p>
      <w:pPr>
        <w:spacing w:after="0" w:line="157" w:lineRule="exact"/>
        <w:rPr>
          <w:rFonts w:ascii="Arial" w:cs="Arial" w:eastAsia="Arial" w:hAnsi="Arial"/>
          <w:sz w:val="20"/>
          <w:szCs w:val="20"/>
          <w:color w:val="auto"/>
        </w:rPr>
      </w:pPr>
    </w:p>
    <w:p>
      <w:pPr>
        <w:ind w:left="660" w:right="100" w:firstLine="644"/>
        <w:spacing w:after="0" w:line="229" w:lineRule="auto"/>
        <w:tabs>
          <w:tab w:leader="none" w:pos="1944"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Borrower, the Lenders (including each Issuing Lender) party hereto and the Administrative Agent acknowledge and agree that this Amendment shall constitute a Loan Document.</w:t>
      </w:r>
    </w:p>
    <w:p>
      <w:pPr>
        <w:spacing w:after="0" w:line="155" w:lineRule="exact"/>
        <w:rPr>
          <w:sz w:val="20"/>
          <w:szCs w:val="20"/>
          <w:color w:val="auto"/>
        </w:rPr>
      </w:pPr>
    </w:p>
    <w:p>
      <w:pPr>
        <w:ind w:right="280" w:firstLine="648"/>
        <w:spacing w:after="0" w:line="210"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Expenses</w:t>
      </w:r>
      <w:r>
        <w:rPr>
          <w:rFonts w:ascii="Arial" w:cs="Arial" w:eastAsia="Arial" w:hAnsi="Arial"/>
          <w:sz w:val="20"/>
          <w:szCs w:val="20"/>
          <w:color w:val="auto"/>
        </w:rPr>
        <w:t>. The Borrower agrees to pay and reimburse the Administrative Agent for all its reasonable and documented out-of-pocket costs and expenses incurred in connection with the preparation and delivery of this Amendment, and any other documents prepared in connection herewith and the transactions contemplated hereby, including, without limitation, the reasonable and documented out-of-pocket fees and disbursements of legal counsel to the Administrative Agent, in accordance with the terms in the Credit Agreement.</w:t>
      </w:r>
    </w:p>
    <w:p>
      <w:pPr>
        <w:spacing w:after="0" w:line="155" w:lineRule="exact"/>
        <w:rPr>
          <w:sz w:val="20"/>
          <w:szCs w:val="20"/>
          <w:color w:val="auto"/>
        </w:rPr>
      </w:pPr>
    </w:p>
    <w:p>
      <w:pPr>
        <w:ind w:right="20" w:firstLine="648"/>
        <w:spacing w:after="0" w:line="222"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by one or more of the parties to this Amendment on any number of separate counterparts and all of said counterparts taken together shall be deemed to constitute one and the same instrument. A set of the copies of this Amendment signed by all the parties shall be lodged with the Borrower and the Administrative Agent. Delivery of an executed counterpart of a signature page of (x) this Amendment, (y) any other Loan Document and/or (z) any Ancillary Document that is an Electronic Signature transmitted by telecopy, emailed pdf. or any other electronic means that reproduces an image of an actual executed signature page shall be effective as delivery of a manually executed counterpart of this Amendment, such other Loan Document or such Ancillary Document, as applicable. The words “execution,” “signed,” “signature,” “delivery,” and words of like import in or relating to this Amendment,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require the Administrative Agent to accept Electronic Signatures in any form or format without its prior written consent and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and the Borrower, Electronic Signatures transmitted by telecopy, emailed pdf. or any other electronic means that reproduces an image of an actual executed signature page and/or any electronic images of this Amendment, any other Loan Document and/or any Ancillary Document shall have the same legal effect, validity and enforceability as any paper original, (ii) the Administrative Agent and each of the Lenders</w:t>
      </w:r>
    </w:p>
    <w:p>
      <w:pPr>
        <w:sectPr>
          <w:pgSz w:w="11900" w:h="16838" w:orient="portrait"/>
          <w:cols w:equalWidth="0" w:num="1">
            <w:col w:w="11240"/>
          </w:cols>
          <w:pgMar w:left="320" w:top="104"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may, at its option, create one or more copies of this Amendment,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Amendment, any other Loan Document and/or any Ancillary Document based solely on the lack of paper original copies of this Amendment, such other Loan Document and/or such Ancillary Document, respectively, including with respect to any signature pages thereto and (iv) waives any claim against any Indemnified Person for any Losses arising solely from the Administrative Agent’s and/or any Lender’s reliance on or use of Electronic Signatures and/or transmissions by telecopy, emailed pdf. or any other electronic means that reproduces an image of an actual executed signature page, including any Losses arising as a result of the failure of a Borrower to use any available security measures in connection with the execution, delivery or transmission of any Electronic Signature.</w:t>
      </w:r>
    </w:p>
    <w:p>
      <w:pPr>
        <w:spacing w:after="0" w:line="157" w:lineRule="exact"/>
        <w:rPr>
          <w:sz w:val="20"/>
          <w:szCs w:val="20"/>
          <w:color w:val="auto"/>
        </w:rPr>
      </w:pPr>
    </w:p>
    <w:p>
      <w:pPr>
        <w:ind w:right="20" w:firstLine="648"/>
        <w:spacing w:after="0" w:line="213"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provisions of this Amendment shall be binding upon and inure to the benefit of the parties hereto and their respective successors and assigns. Each party hereto acknowledges and agrees that its submission of a signature page to this Amendment is irrevocable and binding on such party and its respective successors and assigns even if such signature page is submitted prior to the effectiveness of any amendment contained herein.</w:t>
      </w:r>
    </w:p>
    <w:p>
      <w:pPr>
        <w:spacing w:after="0" w:line="156"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Miscellaneous</w:t>
      </w:r>
      <w:r>
        <w:rPr>
          <w:rFonts w:ascii="Arial" w:cs="Arial" w:eastAsia="Arial" w:hAnsi="Arial"/>
          <w:sz w:val="20"/>
          <w:szCs w:val="20"/>
          <w:color w:val="auto"/>
        </w:rPr>
        <w:t xml:space="preserve">. It is understood and agreed that this Amendment shall be deemed to incorporate, </w:t>
      </w:r>
      <w:r>
        <w:rPr>
          <w:rFonts w:ascii="Arial" w:cs="Arial" w:eastAsia="Arial" w:hAnsi="Arial"/>
          <w:sz w:val="20"/>
          <w:szCs w:val="20"/>
          <w:i w:val="1"/>
          <w:iCs w:val="1"/>
          <w:color w:val="auto"/>
        </w:rPr>
        <w:t>mutatis mutandis</w:t>
      </w:r>
      <w:r>
        <w:rPr>
          <w:rFonts w:ascii="Arial" w:cs="Arial" w:eastAsia="Arial" w:hAnsi="Arial"/>
          <w:sz w:val="20"/>
          <w:szCs w:val="20"/>
          <w:color w:val="auto"/>
        </w:rPr>
        <w:t>, Sections 10.13 and 10.17 of the Existing Credit Agreement.</w:t>
      </w:r>
    </w:p>
    <w:p>
      <w:pPr>
        <w:spacing w:after="0" w:line="149" w:lineRule="exact"/>
        <w:rPr>
          <w:sz w:val="20"/>
          <w:szCs w:val="20"/>
          <w:color w:val="auto"/>
        </w:rPr>
      </w:pPr>
    </w:p>
    <w:p>
      <w:pPr>
        <w:jc w:val="both"/>
        <w:ind w:right="240" w:firstLine="648"/>
        <w:spacing w:after="0" w:line="220"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 THIS AMENDMENT AND THE RIGHTS AND OBLIGATIONS OF THE PARTIES</w:t>
      </w:r>
      <w:r>
        <w:rPr>
          <w:rFonts w:ascii="Arial" w:cs="Arial" w:eastAsia="Arial" w:hAnsi="Arial"/>
          <w:sz w:val="20"/>
          <w:szCs w:val="20"/>
          <w:color w:val="auto"/>
        </w:rPr>
        <w:t xml:space="preserve"> </w:t>
      </w:r>
      <w:r>
        <w:rPr>
          <w:rFonts w:ascii="Arial" w:cs="Arial" w:eastAsia="Arial" w:hAnsi="Arial"/>
          <w:sz w:val="20"/>
          <w:szCs w:val="20"/>
          <w:b w:val="1"/>
          <w:bCs w:val="1"/>
          <w:color w:val="auto"/>
        </w:rPr>
        <w:t>HEREUNDER SHALL BE GOVERNED BY, AND CONSTRUED AND INTERPRETED IN ACCORDANCE WITH, THE LAW OF THE STATE OF NEW YORK.</w:t>
      </w:r>
    </w:p>
    <w:p>
      <w:pPr>
        <w:sectPr>
          <w:pgSz w:w="11900" w:h="16838" w:orient="portrait"/>
          <w:cols w:equalWidth="0" w:num="1">
            <w:col w:w="11240"/>
          </w:cols>
          <w:pgMar w:left="320" w:top="104" w:right="339" w:bottom="1440" w:gutter="0" w:footer="0" w:header="0"/>
        </w:sectPr>
      </w:pPr>
    </w:p>
    <w:bookmarkStart w:id="77" w:name="page78"/>
    <w:bookmarkEnd w:id="77"/>
    <w:p>
      <w:pPr>
        <w:ind w:firstLine="1296"/>
        <w:spacing w:after="0" w:line="229" w:lineRule="auto"/>
        <w:rPr>
          <w:sz w:val="20"/>
          <w:szCs w:val="20"/>
          <w:color w:val="auto"/>
        </w:rPr>
      </w:pPr>
      <w:r>
        <w:rPr>
          <w:rFonts w:ascii="Arial" w:cs="Arial" w:eastAsia="Arial" w:hAnsi="Arial"/>
          <w:sz w:val="20"/>
          <w:szCs w:val="20"/>
          <w:color w:val="auto"/>
        </w:rPr>
        <w:t>IN WITNESS WHEREOF, the parties have caused this Amendment to be duly executed and delivered by their proper and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VICI PROPERTIES L.P., as the Borrower</w:t>
      </w:r>
    </w:p>
    <w:p>
      <w:pPr>
        <w:spacing w:after="0" w:line="366"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/s/ David A. Kieske</w:t>
      </w:r>
    </w:p>
    <w:p>
      <w:pPr>
        <w:ind w:left="5280"/>
        <w:spacing w:after="0" w:line="197" w:lineRule="auto"/>
        <w:rPr>
          <w:sz w:val="20"/>
          <w:szCs w:val="20"/>
          <w:color w:val="auto"/>
        </w:rPr>
      </w:pPr>
      <w:r>
        <w:rPr>
          <w:rFonts w:ascii="Arial" w:cs="Arial" w:eastAsia="Arial" w:hAnsi="Arial"/>
          <w:sz w:val="20"/>
          <w:szCs w:val="20"/>
          <w:color w:val="auto"/>
        </w:rPr>
        <w:t>Name: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-118745</wp:posOffset>
            </wp:positionV>
            <wp:extent cx="12420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ind w:left="528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[Signature Page to First Amendment]</w:t>
      </w:r>
    </w:p>
    <w:p>
      <w:pPr>
        <w:sectPr>
          <w:pgSz w:w="11900" w:h="16838" w:orient="portrait"/>
          <w:cols w:equalWidth="0" w:num="1">
            <w:col w:w="10980"/>
          </w:cols>
          <w:pgMar w:left="320" w:top="1405" w:right="599" w:bottom="1440" w:gutter="0" w:footer="0" w:header="0"/>
        </w:sectPr>
      </w:pPr>
    </w:p>
    <w:bookmarkStart w:id="78" w:name="page79"/>
    <w:bookmarkEnd w:id="78"/>
    <w:p>
      <w:pPr>
        <w:ind w:left="2780"/>
        <w:spacing w:after="0" w:line="229" w:lineRule="auto"/>
        <w:rPr>
          <w:sz w:val="20"/>
          <w:szCs w:val="20"/>
          <w:color w:val="auto"/>
        </w:rPr>
      </w:pPr>
      <w:r>
        <w:rPr>
          <w:rFonts w:ascii="Arial" w:cs="Arial" w:eastAsia="Arial" w:hAnsi="Arial"/>
          <w:sz w:val="20"/>
          <w:szCs w:val="20"/>
          <w:color w:val="auto"/>
        </w:rPr>
        <w:t>JPMORGAN CHASE BANK, N.A., as Administrative Agent and as a Revolving Lender and Issuing Lender</w:t>
      </w:r>
    </w:p>
    <w:p>
      <w:pPr>
        <w:spacing w:after="0" w:line="200" w:lineRule="exact"/>
        <w:rPr>
          <w:sz w:val="20"/>
          <w:szCs w:val="20"/>
          <w:color w:val="auto"/>
        </w:rPr>
      </w:pPr>
    </w:p>
    <w:p>
      <w:pPr>
        <w:spacing w:after="0" w:line="38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By:/s/ Cody Canafax</w:t>
      </w:r>
    </w:p>
    <w:p>
      <w:pPr>
        <w:ind w:left="3040"/>
        <w:spacing w:after="0" w:line="197" w:lineRule="auto"/>
        <w:rPr>
          <w:sz w:val="20"/>
          <w:szCs w:val="20"/>
          <w:color w:val="auto"/>
        </w:rPr>
      </w:pPr>
      <w:r>
        <w:rPr>
          <w:rFonts w:ascii="Arial" w:cs="Arial" w:eastAsia="Arial" w:hAnsi="Arial"/>
          <w:sz w:val="20"/>
          <w:szCs w:val="20"/>
          <w:color w:val="auto"/>
        </w:rPr>
        <w:t>Name: Cody Canafax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2490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[Signature Page to First Amendment]</w:t>
      </w:r>
    </w:p>
    <w:p>
      <w:pPr>
        <w:sectPr>
          <w:pgSz w:w="11900" w:h="16838" w:orient="portrait"/>
          <w:cols w:equalWidth="0" w:num="1">
            <w:col w:w="9840"/>
          </w:cols>
          <w:pgMar w:left="1440" w:top="1405" w:right="619"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WELLS FARGO BANK, N.A., as a Revolving Lender and Issuing Lender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Jordan Mendell</w:t>
      </w:r>
    </w:p>
    <w:p>
      <w:pPr>
        <w:ind w:left="3040"/>
        <w:spacing w:after="0" w:line="197" w:lineRule="auto"/>
        <w:rPr>
          <w:sz w:val="20"/>
          <w:szCs w:val="20"/>
          <w:color w:val="auto"/>
        </w:rPr>
      </w:pPr>
      <w:r>
        <w:rPr>
          <w:rFonts w:ascii="Arial" w:cs="Arial" w:eastAsia="Arial" w:hAnsi="Arial"/>
          <w:sz w:val="20"/>
          <w:szCs w:val="20"/>
          <w:color w:val="auto"/>
        </w:rPr>
        <w:t>Name: Jordan Mendell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3436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First Amendment]</w:t>
      </w:r>
    </w:p>
    <w:p>
      <w:pPr>
        <w:sectPr>
          <w:pgSz w:w="11900" w:h="16838" w:orient="portrait"/>
          <w:cols w:equalWidth="0" w:num="1">
            <w:col w:w="9019"/>
          </w:cols>
          <w:pgMar w:left="1440" w:top="1440" w:right="1440" w:bottom="1440" w:gutter="0" w:footer="0" w:header="0"/>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BANK OF AMERICA, N.A., as a Revolving Lender and Issuing Lender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Brian D. Corum</w:t>
      </w:r>
    </w:p>
    <w:p>
      <w:pPr>
        <w:ind w:left="3040"/>
        <w:spacing w:after="0" w:line="197" w:lineRule="auto"/>
        <w:rPr>
          <w:sz w:val="20"/>
          <w:szCs w:val="20"/>
          <w:color w:val="auto"/>
        </w:rPr>
      </w:pPr>
      <w:r>
        <w:rPr>
          <w:rFonts w:ascii="Arial" w:cs="Arial" w:eastAsia="Arial" w:hAnsi="Arial"/>
          <w:sz w:val="20"/>
          <w:szCs w:val="20"/>
          <w:color w:val="auto"/>
        </w:rPr>
        <w:t>Name: Brian D. Corum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3716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First Amendment]</w:t>
      </w:r>
    </w:p>
    <w:p>
      <w:pPr>
        <w:sectPr>
          <w:pgSz w:w="11900" w:h="16838" w:orient="portrait"/>
          <w:cols w:equalWidth="0" w:num="1">
            <w:col w:w="9019"/>
          </w:cols>
          <w:pgMar w:left="1440" w:top="1440" w:right="1440" w:bottom="144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CITIBANK, N.A., as a Revolving Lender and Issuing Lender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Chris Albano</w:t>
      </w:r>
    </w:p>
    <w:p>
      <w:pPr>
        <w:ind w:left="3040"/>
        <w:spacing w:after="0" w:line="197" w:lineRule="auto"/>
        <w:rPr>
          <w:sz w:val="20"/>
          <w:szCs w:val="20"/>
          <w:color w:val="auto"/>
        </w:rPr>
      </w:pPr>
      <w:r>
        <w:rPr>
          <w:rFonts w:ascii="Arial" w:cs="Arial" w:eastAsia="Arial" w:hAnsi="Arial"/>
          <w:sz w:val="20"/>
          <w:szCs w:val="20"/>
          <w:color w:val="auto"/>
        </w:rPr>
        <w:t>Name: Chris Albano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2319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1231900"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First Amendment]</w:t>
      </w:r>
    </w:p>
    <w:p>
      <w:pPr>
        <w:sectPr>
          <w:pgSz w:w="11900" w:h="16838" w:orient="portrait"/>
          <w:cols w:equalWidth="0" w:num="1">
            <w:col w:w="9019"/>
          </w:cols>
          <w:pgMar w:left="1440" w:top="1440" w:right="1440"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BARCLAYS BANK PLC, as a Revolving Lender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By:/s/ Warren Veech III</w:t>
      </w:r>
    </w:p>
    <w:p>
      <w:pPr>
        <w:ind w:left="3040"/>
        <w:spacing w:after="0" w:line="197" w:lineRule="auto"/>
        <w:rPr>
          <w:sz w:val="20"/>
          <w:szCs w:val="20"/>
          <w:color w:val="auto"/>
        </w:rPr>
      </w:pPr>
      <w:r>
        <w:rPr>
          <w:rFonts w:ascii="Arial" w:cs="Arial" w:eastAsia="Arial" w:hAnsi="Arial"/>
          <w:sz w:val="20"/>
          <w:szCs w:val="20"/>
          <w:color w:val="auto"/>
        </w:rPr>
        <w:t>Name: Warren Veech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3887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First Amendment]</w:t>
      </w:r>
    </w:p>
    <w:p>
      <w:pPr>
        <w:sectPr>
          <w:pgSz w:w="11900" w:h="16838" w:orient="portrait"/>
          <w:cols w:equalWidth="0" w:num="1">
            <w:col w:w="9019"/>
          </w:cols>
          <w:pgMar w:left="1440" w:top="1440" w:right="1440" w:bottom="1440" w:gutter="0" w:footer="0" w:header="0"/>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TRUIST BANK, as a Revolving Lender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Tesha Winslow</w:t>
      </w:r>
    </w:p>
    <w:p>
      <w:pPr>
        <w:ind w:left="3040"/>
        <w:spacing w:after="0" w:line="197" w:lineRule="auto"/>
        <w:rPr>
          <w:sz w:val="20"/>
          <w:szCs w:val="20"/>
          <w:color w:val="auto"/>
        </w:rPr>
      </w:pPr>
      <w:r>
        <w:rPr>
          <w:rFonts w:ascii="Arial" w:cs="Arial" w:eastAsia="Arial" w:hAnsi="Arial"/>
          <w:sz w:val="20"/>
          <w:szCs w:val="20"/>
          <w:color w:val="auto"/>
        </w:rPr>
        <w:t>Name: Tesha Winslow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32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First Amendment]</w:t>
      </w:r>
    </w:p>
    <w:p>
      <w:pPr>
        <w:sectPr>
          <w:pgSz w:w="11900" w:h="16838" w:orient="portrait"/>
          <w:cols w:equalWidth="0" w:num="1">
            <w:col w:w="9019"/>
          </w:cols>
          <w:pgMar w:left="1440" w:top="1440" w:right="1440"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BANK OF NOVA SCOTIA, as a Revolving Lender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Sacha Boxill</w:t>
      </w:r>
    </w:p>
    <w:p>
      <w:pPr>
        <w:ind w:left="3040"/>
        <w:spacing w:after="0" w:line="197" w:lineRule="auto"/>
        <w:rPr>
          <w:sz w:val="20"/>
          <w:szCs w:val="20"/>
          <w:color w:val="auto"/>
        </w:rPr>
      </w:pPr>
      <w:r>
        <w:rPr>
          <w:rFonts w:ascii="Arial" w:cs="Arial" w:eastAsia="Arial" w:hAnsi="Arial"/>
          <w:sz w:val="20"/>
          <w:szCs w:val="20"/>
          <w:color w:val="auto"/>
        </w:rPr>
        <w:t>Name: Sacha Boxill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2039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First Amendment]</w:t>
      </w:r>
    </w:p>
    <w:p>
      <w:pPr>
        <w:sectPr>
          <w:pgSz w:w="11900" w:h="16838" w:orient="portrait"/>
          <w:cols w:equalWidth="0" w:num="1">
            <w:col w:w="9019"/>
          </w:cols>
          <w:pgMar w:left="1440" w:top="1440" w:right="1440"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BNP PARIBAS, as a Revolving Lender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James Goodall</w:t>
      </w:r>
    </w:p>
    <w:p>
      <w:pPr>
        <w:ind w:left="3040"/>
        <w:spacing w:after="0" w:line="197" w:lineRule="auto"/>
        <w:rPr>
          <w:sz w:val="20"/>
          <w:szCs w:val="20"/>
          <w:color w:val="auto"/>
        </w:rPr>
      </w:pPr>
      <w:r>
        <w:rPr>
          <w:rFonts w:ascii="Arial" w:cs="Arial" w:eastAsia="Arial" w:hAnsi="Arial"/>
          <w:sz w:val="20"/>
          <w:szCs w:val="20"/>
          <w:color w:val="auto"/>
        </w:rPr>
        <w:t>Name: James Goodall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3017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20"/>
          <w:szCs w:val="20"/>
          <w:color w:val="auto"/>
        </w:rPr>
        <w:t>Title: Managing Director</w:t>
      </w:r>
    </w:p>
    <w:p>
      <w:pPr>
        <w:spacing w:after="0" w:line="35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By:/s/ Kyle Fitzpatrick</w:t>
      </w:r>
    </w:p>
    <w:p>
      <w:pPr>
        <w:ind w:left="3040"/>
        <w:spacing w:after="0" w:line="197" w:lineRule="auto"/>
        <w:rPr>
          <w:sz w:val="20"/>
          <w:szCs w:val="20"/>
          <w:color w:val="auto"/>
        </w:rPr>
      </w:pPr>
      <w:r>
        <w:rPr>
          <w:rFonts w:ascii="Arial" w:cs="Arial" w:eastAsia="Arial" w:hAnsi="Arial"/>
          <w:sz w:val="20"/>
          <w:szCs w:val="20"/>
          <w:color w:val="auto"/>
        </w:rPr>
        <w:t>Name: Kyle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34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First Amendment]</w:t>
      </w:r>
    </w:p>
    <w:p>
      <w:pPr>
        <w:sectPr>
          <w:pgSz w:w="11900" w:h="16838" w:orient="portrait"/>
          <w:cols w:equalWidth="0" w:num="1">
            <w:col w:w="9019"/>
          </w:cols>
          <w:pgMar w:left="1440" w:top="1440" w:right="1440"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CAPITAL ONE, NATIONAL ASSOCIATION, as a Revolving Lender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By:/s/ Eric Purzycki</w:t>
      </w:r>
    </w:p>
    <w:p>
      <w:pPr>
        <w:ind w:left="3040"/>
        <w:spacing w:after="0" w:line="197" w:lineRule="auto"/>
        <w:rPr>
          <w:sz w:val="20"/>
          <w:szCs w:val="20"/>
          <w:color w:val="auto"/>
        </w:rPr>
      </w:pPr>
      <w:r>
        <w:rPr>
          <w:rFonts w:ascii="Arial" w:cs="Arial" w:eastAsia="Arial" w:hAnsi="Arial"/>
          <w:sz w:val="20"/>
          <w:szCs w:val="20"/>
          <w:color w:val="auto"/>
        </w:rPr>
        <w:t>Name: Eric Purzycki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3398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20"/>
          <w:szCs w:val="20"/>
          <w:color w:val="auto"/>
        </w:rPr>
        <w:t>Title: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First Amendment]</w:t>
      </w:r>
    </w:p>
    <w:p>
      <w:pPr>
        <w:sectPr>
          <w:pgSz w:w="11900" w:h="16838" w:orient="portrait"/>
          <w:cols w:equalWidth="0" w:num="1">
            <w:col w:w="9019"/>
          </w:cols>
          <w:pgMar w:left="1440" w:top="1440" w:right="1440"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CITIZEN’S BANK, N.A., as a Revolving Lender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Sean McWhinnie</w:t>
      </w:r>
    </w:p>
    <w:p>
      <w:pPr>
        <w:ind w:left="3040"/>
        <w:spacing w:after="0" w:line="197" w:lineRule="auto"/>
        <w:rPr>
          <w:sz w:val="20"/>
          <w:szCs w:val="20"/>
          <w:color w:val="auto"/>
        </w:rPr>
      </w:pPr>
      <w:r>
        <w:rPr>
          <w:rFonts w:ascii="Arial" w:cs="Arial" w:eastAsia="Arial" w:hAnsi="Arial"/>
          <w:sz w:val="20"/>
          <w:szCs w:val="20"/>
          <w:color w:val="auto"/>
        </w:rPr>
        <w:t>Name: Sean McWhinnie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3087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First Amendment]</w:t>
      </w:r>
    </w:p>
    <w:p>
      <w:pPr>
        <w:sectPr>
          <w:pgSz w:w="11900" w:h="16838" w:orient="portrait"/>
          <w:cols w:equalWidth="0" w:num="1">
            <w:col w:w="9019"/>
          </w:cols>
          <w:pgMar w:left="1440" w:top="1440" w:right="1440"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DEUTSCHE BANK AG NEW YORK BRANCH, as a Revolving Lender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Annie Chung</w:t>
      </w:r>
    </w:p>
    <w:p>
      <w:pPr>
        <w:ind w:left="3040"/>
        <w:spacing w:after="0" w:line="197" w:lineRule="auto"/>
        <w:rPr>
          <w:sz w:val="20"/>
          <w:szCs w:val="20"/>
          <w:color w:val="auto"/>
        </w:rPr>
      </w:pPr>
      <w:r>
        <w:rPr>
          <w:rFonts w:ascii="Arial" w:cs="Arial" w:eastAsia="Arial" w:hAnsi="Arial"/>
          <w:sz w:val="20"/>
          <w:szCs w:val="20"/>
          <w:color w:val="auto"/>
        </w:rPr>
        <w:t>Name: Annie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4833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1483360"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20"/>
          <w:szCs w:val="20"/>
          <w:color w:val="auto"/>
        </w:rPr>
        <w:t>Title: Director</w:t>
      </w:r>
    </w:p>
    <w:p>
      <w:pPr>
        <w:spacing w:after="0" w:line="35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Douglas Darman</w:t>
      </w:r>
    </w:p>
    <w:p>
      <w:pPr>
        <w:ind w:left="3040"/>
        <w:spacing w:after="0" w:line="197" w:lineRule="auto"/>
        <w:rPr>
          <w:sz w:val="20"/>
          <w:szCs w:val="20"/>
          <w:color w:val="auto"/>
        </w:rPr>
      </w:pPr>
      <w:r>
        <w:rPr>
          <w:rFonts w:ascii="Arial" w:cs="Arial" w:eastAsia="Arial" w:hAnsi="Arial"/>
          <w:sz w:val="20"/>
          <w:szCs w:val="20"/>
          <w:color w:val="auto"/>
        </w:rPr>
        <w:t>Name: Douglas Darman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6643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1664335"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First Amendment]</w:t>
      </w:r>
    </w:p>
    <w:p>
      <w:pPr>
        <w:sectPr>
          <w:pgSz w:w="11900" w:h="16838" w:orient="portrait"/>
          <w:cols w:equalWidth="0" w:num="1">
            <w:col w:w="9019"/>
          </w:cols>
          <w:pgMar w:left="1440" w:top="1440" w:right="1440"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GOLDMAN SACHS BANK USA, as a Revolving Lender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Garrett Luk</w:t>
      </w:r>
    </w:p>
    <w:p>
      <w:pPr>
        <w:ind w:left="3040"/>
        <w:spacing w:after="0" w:line="197" w:lineRule="auto"/>
        <w:rPr>
          <w:sz w:val="20"/>
          <w:szCs w:val="20"/>
          <w:color w:val="auto"/>
        </w:rPr>
      </w:pPr>
      <w:r>
        <w:rPr>
          <w:rFonts w:ascii="Arial" w:cs="Arial" w:eastAsia="Arial" w:hAnsi="Arial"/>
          <w:sz w:val="20"/>
          <w:szCs w:val="20"/>
          <w:color w:val="auto"/>
        </w:rPr>
        <w:t>Name: Garrett Luk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1480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1148080"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First Amendment]</w:t>
      </w:r>
    </w:p>
    <w:p>
      <w:pPr>
        <w:sectPr>
          <w:pgSz w:w="11900" w:h="16838" w:orient="portrait"/>
          <w:cols w:equalWidth="0" w:num="1">
            <w:col w:w="9019"/>
          </w:cols>
          <w:pgMar w:left="1440" w:top="1440" w:right="1440"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MORGAN STANLEY BANK, N.A., as a Revolving Lender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Jack Kuhns</w:t>
      </w:r>
    </w:p>
    <w:p>
      <w:pPr>
        <w:ind w:left="3040"/>
        <w:spacing w:after="0" w:line="197" w:lineRule="auto"/>
        <w:rPr>
          <w:sz w:val="20"/>
          <w:szCs w:val="20"/>
          <w:color w:val="auto"/>
        </w:rPr>
      </w:pPr>
      <w:r>
        <w:rPr>
          <w:rFonts w:ascii="Arial" w:cs="Arial" w:eastAsia="Arial" w:hAnsi="Arial"/>
          <w:sz w:val="20"/>
          <w:szCs w:val="20"/>
          <w:color w:val="auto"/>
        </w:rPr>
        <w:t>Name: Jack Kuhns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1410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1141095"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First Amendment]</w:t>
      </w:r>
    </w:p>
    <w:p>
      <w:pPr>
        <w:sectPr>
          <w:pgSz w:w="11900" w:h="16838" w:orient="portrait"/>
          <w:cols w:equalWidth="0" w:num="1">
            <w:col w:w="9019"/>
          </w:cols>
          <w:pgMar w:left="1440" w:top="1440" w:right="1440"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KEYBANK NATIONAL ASSOCIATION, as a Revolving Lender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John J. DeLong</w:t>
      </w:r>
    </w:p>
    <w:p>
      <w:pPr>
        <w:ind w:left="3040"/>
        <w:spacing w:after="0" w:line="197" w:lineRule="auto"/>
        <w:rPr>
          <w:sz w:val="20"/>
          <w:szCs w:val="20"/>
          <w:color w:val="auto"/>
        </w:rPr>
      </w:pPr>
      <w:r>
        <w:rPr>
          <w:rFonts w:ascii="Arial" w:cs="Arial" w:eastAsia="Arial" w:hAnsi="Arial"/>
          <w:sz w:val="20"/>
          <w:szCs w:val="20"/>
          <w:color w:val="auto"/>
        </w:rPr>
        <w:t>Name: John J. DeLong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3506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First Amendment]</w:t>
      </w:r>
    </w:p>
    <w:p>
      <w:pPr>
        <w:sectPr>
          <w:pgSz w:w="11900" w:h="16838" w:orient="portrait"/>
          <w:cols w:equalWidth="0" w:num="1">
            <w:col w:w="9019"/>
          </w:cols>
          <w:pgMar w:left="1440" w:top="1440" w:right="1440"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RAYMOND JAMES BANK, as a Revolving Lender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Gregory A. Hargrove</w:t>
      </w:r>
    </w:p>
    <w:p>
      <w:pPr>
        <w:ind w:left="3040"/>
        <w:spacing w:after="0" w:line="197" w:lineRule="auto"/>
        <w:rPr>
          <w:sz w:val="20"/>
          <w:szCs w:val="20"/>
          <w:color w:val="auto"/>
        </w:rPr>
      </w:pPr>
      <w:r>
        <w:rPr>
          <w:rFonts w:ascii="Arial" w:cs="Arial" w:eastAsia="Arial" w:hAnsi="Arial"/>
          <w:sz w:val="20"/>
          <w:szCs w:val="20"/>
          <w:color w:val="auto"/>
        </w:rPr>
        <w:t>Name: Gregory A. Hargrove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5087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First Amendment]</w:t>
      </w:r>
    </w:p>
    <w:p>
      <w:pPr>
        <w:sectPr>
          <w:pgSz w:w="11900" w:h="16838" w:orient="portrait"/>
          <w:cols w:equalWidth="0" w:num="1">
            <w:col w:w="9019"/>
          </w:cols>
          <w:pgMar w:left="1440" w:top="1440" w:right="1440"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SUMITOMO MITSUI BANKING CORPORATION, as a Revolving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Alkesh Nanavaty</w:t>
      </w:r>
    </w:p>
    <w:p>
      <w:pPr>
        <w:ind w:left="3040"/>
        <w:spacing w:after="0" w:line="197" w:lineRule="auto"/>
        <w:rPr>
          <w:sz w:val="20"/>
          <w:szCs w:val="20"/>
          <w:color w:val="auto"/>
        </w:rPr>
      </w:pPr>
      <w:r>
        <w:rPr>
          <w:rFonts w:ascii="Arial" w:cs="Arial" w:eastAsia="Arial" w:hAnsi="Arial"/>
          <w:sz w:val="20"/>
          <w:szCs w:val="20"/>
          <w:color w:val="auto"/>
        </w:rPr>
        <w:t>Name: Alkesh Nanavaty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4274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1427480" cy="8890"/>
                    </a:xfrm>
                    <a:prstGeom prst="rect">
                      <a:avLst/>
                    </a:prstGeom>
                    <a:noFill/>
                  </pic:spPr>
                </pic:pic>
              </a:graphicData>
            </a:graphic>
          </wp:anchor>
        </w:drawing>
      </w:r>
    </w:p>
    <w:p>
      <w:pPr>
        <w:ind w:left="3040"/>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First Amendment]</w:t>
      </w:r>
    </w:p>
    <w:p>
      <w:pPr>
        <w:sectPr>
          <w:pgSz w:w="11900" w:h="16838" w:orient="portrait"/>
          <w:cols w:equalWidth="0" w:num="1">
            <w:col w:w="9019"/>
          </w:cols>
          <w:pgMar w:left="1440" w:top="1440" w:right="1440"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THE HUNTINGTON NATIONAL BANK, as a Revolving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Erin L. Mahon</w:t>
      </w:r>
    </w:p>
    <w:p>
      <w:pPr>
        <w:ind w:left="3040"/>
        <w:spacing w:after="0" w:line="194" w:lineRule="auto"/>
        <w:rPr>
          <w:sz w:val="20"/>
          <w:szCs w:val="20"/>
          <w:color w:val="auto"/>
        </w:rPr>
      </w:pPr>
      <w:r>
        <w:rPr>
          <w:rFonts w:ascii="Arial" w:cs="Arial" w:eastAsia="Arial" w:hAnsi="Arial"/>
          <w:sz w:val="20"/>
          <w:szCs w:val="20"/>
          <w:color w:val="auto"/>
        </w:rPr>
        <w:t>Name: Erin L. 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-116840</wp:posOffset>
            </wp:positionV>
            <wp:extent cx="15532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1553210"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First Amendment]</w:t>
      </w:r>
    </w:p>
    <w:p>
      <w:pPr>
        <w:sectPr>
          <w:pgSz w:w="11900" w:h="16838" w:orient="portrait"/>
          <w:cols w:equalWidth="0" w:num="1">
            <w:col w:w="9019"/>
          </w:cols>
          <w:pgMar w:left="1440" w:top="1440" w:right="1440" w:bottom="1440" w:gutter="0" w:footer="0" w:header="0"/>
        </w:sectPr>
      </w:pPr>
    </w:p>
    <w:bookmarkStart w:id="95" w:name="page96"/>
    <w:bookmarkEnd w:id="95"/>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5"/>
              </w:rPr>
              <w:t>SCHEDULE 1.1A</w:t>
            </w:r>
          </w:p>
        </w:tc>
        <w:tc>
          <w:tcPr>
            <w:tcW w:w="900" w:type="dxa"/>
            <w:vAlign w:val="bottom"/>
            <w:gridSpan w:val="3"/>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3960" w:type="dxa"/>
            <w:vAlign w:val="bottom"/>
          </w:tcPr>
          <w:p>
            <w:pPr>
              <w:spacing w:after="0"/>
              <w:rPr>
                <w:sz w:val="24"/>
                <w:szCs w:val="24"/>
                <w:color w:val="auto"/>
              </w:rPr>
            </w:pPr>
          </w:p>
        </w:tc>
        <w:tc>
          <w:tcPr>
            <w:tcW w:w="3160" w:type="dxa"/>
            <w:vAlign w:val="bottom"/>
            <w:gridSpan w:val="7"/>
          </w:tcPr>
          <w:p>
            <w:pPr>
              <w:jc w:val="center"/>
              <w:spacing w:after="0"/>
              <w:rPr>
                <w:sz w:val="20"/>
                <w:szCs w:val="20"/>
                <w:color w:val="auto"/>
              </w:rPr>
            </w:pPr>
            <w:r>
              <w:rPr>
                <w:rFonts w:ascii="Arial" w:cs="Arial" w:eastAsia="Arial" w:hAnsi="Arial"/>
                <w:sz w:val="18"/>
                <w:szCs w:val="18"/>
                <w:color w:val="auto"/>
                <w:w w:val="92"/>
              </w:rPr>
              <w:t>Loan Commitments</w:t>
            </w: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3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2"/>
          </w:tcPr>
          <w:p>
            <w:pPr>
              <w:jc w:val="center"/>
              <w:ind w:right="160"/>
              <w:spacing w:after="0"/>
              <w:rPr>
                <w:sz w:val="20"/>
                <w:szCs w:val="20"/>
                <w:color w:val="auto"/>
              </w:rPr>
            </w:pPr>
            <w:r>
              <w:rPr>
                <w:rFonts w:ascii="Arial" w:cs="Arial" w:eastAsia="Arial" w:hAnsi="Arial"/>
                <w:sz w:val="20"/>
                <w:szCs w:val="20"/>
                <w:b w:val="1"/>
                <w:bCs w:val="1"/>
                <w:color w:val="auto"/>
                <w:w w:val="92"/>
              </w:rPr>
              <w:t>Multicurrency</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gridSpan w:val="4"/>
            <w:vMerge w:val="restart"/>
          </w:tcPr>
          <w:p>
            <w:pPr>
              <w:jc w:val="center"/>
              <w:ind w:right="140"/>
              <w:spacing w:after="0"/>
              <w:rPr>
                <w:sz w:val="20"/>
                <w:szCs w:val="20"/>
                <w:color w:val="auto"/>
              </w:rPr>
            </w:pPr>
            <w:r>
              <w:rPr>
                <w:rFonts w:ascii="Arial" w:cs="Arial" w:eastAsia="Arial" w:hAnsi="Arial"/>
                <w:sz w:val="20"/>
                <w:szCs w:val="20"/>
                <w:b w:val="1"/>
                <w:bCs w:val="1"/>
                <w:color w:val="auto"/>
                <w:w w:val="91"/>
              </w:rPr>
              <w:t>USD Revolving Credit</w:t>
            </w:r>
          </w:p>
        </w:tc>
        <w:tc>
          <w:tcPr>
            <w:tcW w:w="2100" w:type="dxa"/>
            <w:vAlign w:val="bottom"/>
            <w:gridSpan w:val="2"/>
          </w:tcPr>
          <w:p>
            <w:pPr>
              <w:jc w:val="center"/>
              <w:ind w:right="180"/>
              <w:spacing w:after="0"/>
              <w:rPr>
                <w:sz w:val="20"/>
                <w:szCs w:val="20"/>
                <w:color w:val="auto"/>
              </w:rPr>
            </w:pPr>
            <w:r>
              <w:rPr>
                <w:rFonts w:ascii="Arial" w:cs="Arial" w:eastAsia="Arial" w:hAnsi="Arial"/>
                <w:sz w:val="20"/>
                <w:szCs w:val="20"/>
                <w:b w:val="1"/>
                <w:bCs w:val="1"/>
                <w:color w:val="auto"/>
                <w:w w:val="90"/>
              </w:rPr>
              <w:t>Revolving Credit</w:t>
            </w:r>
          </w:p>
        </w:tc>
        <w:tc>
          <w:tcPr>
            <w:tcW w:w="1940" w:type="dxa"/>
            <w:vAlign w:val="bottom"/>
            <w:vMerge w:val="restart"/>
          </w:tcPr>
          <w:p>
            <w:pPr>
              <w:jc w:val="right"/>
              <w:ind w:right="21"/>
              <w:spacing w:after="0"/>
              <w:rPr>
                <w:sz w:val="20"/>
                <w:szCs w:val="20"/>
                <w:color w:val="auto"/>
              </w:rPr>
            </w:pPr>
            <w:r>
              <w:rPr>
                <w:rFonts w:ascii="Arial" w:cs="Arial" w:eastAsia="Arial" w:hAnsi="Arial"/>
                <w:sz w:val="20"/>
                <w:szCs w:val="20"/>
                <w:b w:val="1"/>
                <w:bCs w:val="1"/>
                <w:color w:val="auto"/>
                <w:w w:val="96"/>
              </w:rPr>
              <w:t>Delayed Draw Term</w:t>
            </w:r>
          </w:p>
        </w:tc>
        <w:tc>
          <w:tcPr>
            <w:tcW w:w="0" w:type="dxa"/>
            <w:vAlign w:val="bottom"/>
          </w:tcPr>
          <w:p>
            <w:pPr>
              <w:spacing w:after="0"/>
              <w:rPr>
                <w:sz w:val="1"/>
                <w:szCs w:val="1"/>
                <w:color w:val="auto"/>
              </w:rPr>
            </w:pPr>
          </w:p>
        </w:tc>
      </w:tr>
      <w:tr>
        <w:trPr>
          <w:trHeight w:val="198"/>
        </w:trPr>
        <w:tc>
          <w:tcPr>
            <w:tcW w:w="3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4"/>
            <w:vMerge w:val="continue"/>
          </w:tcPr>
          <w:p>
            <w:pPr>
              <w:spacing w:after="0"/>
              <w:rPr>
                <w:sz w:val="17"/>
                <w:szCs w:val="17"/>
                <w:color w:val="auto"/>
              </w:rPr>
            </w:pPr>
          </w:p>
        </w:tc>
        <w:tc>
          <w:tcPr>
            <w:tcW w:w="2100" w:type="dxa"/>
            <w:vAlign w:val="bottom"/>
            <w:gridSpan w:val="2"/>
          </w:tcPr>
          <w:p>
            <w:pPr>
              <w:jc w:val="center"/>
              <w:ind w:right="160"/>
              <w:spacing w:after="0" w:line="198" w:lineRule="exact"/>
              <w:rPr>
                <w:sz w:val="20"/>
                <w:szCs w:val="20"/>
                <w:color w:val="auto"/>
              </w:rPr>
            </w:pPr>
            <w:r>
              <w:rPr>
                <w:rFonts w:ascii="Arial" w:cs="Arial" w:eastAsia="Arial" w:hAnsi="Arial"/>
                <w:sz w:val="20"/>
                <w:szCs w:val="20"/>
                <w:b w:val="1"/>
                <w:bCs w:val="1"/>
                <w:color w:val="auto"/>
                <w:w w:val="89"/>
              </w:rPr>
              <w:t>Facility</w:t>
            </w:r>
          </w:p>
        </w:tc>
        <w:tc>
          <w:tcPr>
            <w:tcW w:w="1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4"/>
          </w:tcPr>
          <w:p>
            <w:pPr>
              <w:jc w:val="center"/>
              <w:ind w:right="140"/>
              <w:spacing w:after="0" w:line="227" w:lineRule="exact"/>
              <w:rPr>
                <w:sz w:val="20"/>
                <w:szCs w:val="20"/>
                <w:color w:val="auto"/>
              </w:rPr>
            </w:pPr>
            <w:r>
              <w:rPr>
                <w:rFonts w:ascii="Arial" w:cs="Arial" w:eastAsia="Arial" w:hAnsi="Arial"/>
                <w:sz w:val="20"/>
                <w:szCs w:val="20"/>
                <w:b w:val="1"/>
                <w:bCs w:val="1"/>
                <w:color w:val="auto"/>
                <w:w w:val="89"/>
              </w:rPr>
              <w:t>Facility</w:t>
            </w:r>
          </w:p>
        </w:tc>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ind w:right="641"/>
              <w:spacing w:after="0" w:line="227" w:lineRule="exact"/>
              <w:rPr>
                <w:sz w:val="20"/>
                <w:szCs w:val="20"/>
                <w:color w:val="auto"/>
              </w:rPr>
            </w:pPr>
            <w:r>
              <w:rPr>
                <w:rFonts w:ascii="Arial" w:cs="Arial" w:eastAsia="Arial" w:hAnsi="Arial"/>
                <w:sz w:val="20"/>
                <w:szCs w:val="20"/>
                <w:b w:val="1"/>
                <w:bCs w:val="1"/>
                <w:color w:val="auto"/>
              </w:rPr>
              <w:t>Loan</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20"/>
                <w:szCs w:val="20"/>
                <w:color w:val="auto"/>
              </w:rPr>
              <w:t>JPMorgan Chase Bank, N.A.</w:t>
            </w:r>
          </w:p>
        </w:tc>
        <w:tc>
          <w:tcPr>
            <w:tcW w:w="3020" w:type="dxa"/>
            <w:vAlign w:val="bottom"/>
            <w:gridSpan w:val="6"/>
          </w:tcPr>
          <w:p>
            <w:pPr>
              <w:jc w:val="right"/>
              <w:ind w:right="80"/>
              <w:spacing w:after="0"/>
              <w:rPr>
                <w:sz w:val="20"/>
                <w:szCs w:val="20"/>
                <w:color w:val="auto"/>
              </w:rPr>
            </w:pPr>
            <w:r>
              <w:rPr>
                <w:rFonts w:ascii="Arial" w:cs="Arial" w:eastAsia="Arial" w:hAnsi="Arial"/>
                <w:sz w:val="20"/>
                <w:szCs w:val="20"/>
                <w:color w:val="auto"/>
              </w:rPr>
              <w:t>$90,000,000</w:t>
            </w: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$115,000,000</w:t>
            </w:r>
          </w:p>
        </w:tc>
        <w:tc>
          <w:tcPr>
            <w:tcW w:w="1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$85,000,000</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20"/>
                <w:szCs w:val="20"/>
                <w:color w:val="auto"/>
              </w:rPr>
              <w:t>Wells Fargo Bank, N.A.</w:t>
            </w:r>
          </w:p>
        </w:tc>
        <w:tc>
          <w:tcPr>
            <w:tcW w:w="3020" w:type="dxa"/>
            <w:vAlign w:val="bottom"/>
            <w:gridSpan w:val="6"/>
          </w:tcPr>
          <w:p>
            <w:pPr>
              <w:jc w:val="right"/>
              <w:ind w:right="80"/>
              <w:spacing w:after="0"/>
              <w:rPr>
                <w:sz w:val="20"/>
                <w:szCs w:val="20"/>
                <w:color w:val="auto"/>
              </w:rPr>
            </w:pPr>
            <w:r>
              <w:rPr>
                <w:rFonts w:ascii="Arial" w:cs="Arial" w:eastAsia="Arial" w:hAnsi="Arial"/>
                <w:sz w:val="20"/>
                <w:szCs w:val="20"/>
                <w:color w:val="auto"/>
              </w:rPr>
              <w:t>$90,000,000</w:t>
            </w: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$115,000,000</w:t>
            </w:r>
          </w:p>
        </w:tc>
        <w:tc>
          <w:tcPr>
            <w:tcW w:w="1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$85,000,000</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20"/>
                <w:szCs w:val="20"/>
                <w:color w:val="auto"/>
              </w:rPr>
              <w:t>Bank of America, N.A.</w:t>
            </w:r>
          </w:p>
        </w:tc>
        <w:tc>
          <w:tcPr>
            <w:tcW w:w="3020" w:type="dxa"/>
            <w:vAlign w:val="bottom"/>
            <w:gridSpan w:val="6"/>
          </w:tcPr>
          <w:p>
            <w:pPr>
              <w:jc w:val="right"/>
              <w:ind w:right="80"/>
              <w:spacing w:after="0"/>
              <w:rPr>
                <w:sz w:val="20"/>
                <w:szCs w:val="20"/>
                <w:color w:val="auto"/>
              </w:rPr>
            </w:pPr>
            <w:r>
              <w:rPr>
                <w:rFonts w:ascii="Arial" w:cs="Arial" w:eastAsia="Arial" w:hAnsi="Arial"/>
                <w:sz w:val="20"/>
                <w:szCs w:val="20"/>
                <w:color w:val="auto"/>
              </w:rPr>
              <w:t>$102,500,000</w:t>
            </w: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$102,500,000</w:t>
            </w:r>
          </w:p>
        </w:tc>
        <w:tc>
          <w:tcPr>
            <w:tcW w:w="1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$85,000,000</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20"/>
                <w:szCs w:val="20"/>
                <w:color w:val="auto"/>
              </w:rPr>
              <w:t>Citibank, N.A.</w:t>
            </w:r>
          </w:p>
        </w:tc>
        <w:tc>
          <w:tcPr>
            <w:tcW w:w="3020" w:type="dxa"/>
            <w:vAlign w:val="bottom"/>
            <w:gridSpan w:val="6"/>
          </w:tcPr>
          <w:p>
            <w:pPr>
              <w:jc w:val="right"/>
              <w:ind w:right="80"/>
              <w:spacing w:after="0"/>
              <w:rPr>
                <w:sz w:val="20"/>
                <w:szCs w:val="20"/>
                <w:color w:val="auto"/>
              </w:rPr>
            </w:pPr>
            <w:r>
              <w:rPr>
                <w:rFonts w:ascii="Arial" w:cs="Arial" w:eastAsia="Arial" w:hAnsi="Arial"/>
                <w:sz w:val="20"/>
                <w:szCs w:val="20"/>
                <w:color w:val="auto"/>
              </w:rPr>
              <w:t>$102,500,000</w:t>
            </w: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$102,500,000</w:t>
            </w:r>
          </w:p>
        </w:tc>
        <w:tc>
          <w:tcPr>
            <w:tcW w:w="1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$85,000,000</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20"/>
                <w:szCs w:val="20"/>
                <w:color w:val="auto"/>
              </w:rPr>
              <w:t>Barclays Bank PLC</w:t>
            </w:r>
          </w:p>
        </w:tc>
        <w:tc>
          <w:tcPr>
            <w:tcW w:w="3020" w:type="dxa"/>
            <w:vAlign w:val="bottom"/>
            <w:gridSpan w:val="6"/>
          </w:tcPr>
          <w:p>
            <w:pPr>
              <w:jc w:val="right"/>
              <w:ind w:right="80"/>
              <w:spacing w:after="0"/>
              <w:rPr>
                <w:sz w:val="20"/>
                <w:szCs w:val="20"/>
                <w:color w:val="auto"/>
              </w:rPr>
            </w:pPr>
            <w:r>
              <w:rPr>
                <w:rFonts w:ascii="Arial" w:cs="Arial" w:eastAsia="Arial" w:hAnsi="Arial"/>
                <w:sz w:val="20"/>
                <w:szCs w:val="20"/>
                <w:color w:val="auto"/>
              </w:rPr>
              <w:t>$90,000,000</w:t>
            </w: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$90,000,000</w:t>
            </w:r>
          </w:p>
        </w:tc>
        <w:tc>
          <w:tcPr>
            <w:tcW w:w="1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$70,000,000</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20"/>
                <w:szCs w:val="20"/>
                <w:color w:val="auto"/>
              </w:rPr>
              <w:t>Truist Bank</w:t>
            </w:r>
          </w:p>
        </w:tc>
        <w:tc>
          <w:tcPr>
            <w:tcW w:w="3020" w:type="dxa"/>
            <w:vAlign w:val="bottom"/>
            <w:gridSpan w:val="6"/>
          </w:tcPr>
          <w:p>
            <w:pPr>
              <w:jc w:val="right"/>
              <w:ind w:right="80"/>
              <w:spacing w:after="0"/>
              <w:rPr>
                <w:sz w:val="20"/>
                <w:szCs w:val="20"/>
                <w:color w:val="auto"/>
              </w:rPr>
            </w:pPr>
            <w:r>
              <w:rPr>
                <w:rFonts w:ascii="Arial" w:cs="Arial" w:eastAsia="Arial" w:hAnsi="Arial"/>
                <w:sz w:val="20"/>
                <w:szCs w:val="20"/>
                <w:color w:val="auto"/>
              </w:rPr>
              <w:t>$90,000,000</w:t>
            </w: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$90,000,000</w:t>
            </w:r>
          </w:p>
        </w:tc>
        <w:tc>
          <w:tcPr>
            <w:tcW w:w="1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$70,000,000</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20"/>
                <w:szCs w:val="20"/>
                <w:color w:val="auto"/>
              </w:rPr>
              <w:t>Bank of Nova Scotia</w:t>
            </w:r>
          </w:p>
        </w:tc>
        <w:tc>
          <w:tcPr>
            <w:tcW w:w="3020" w:type="dxa"/>
            <w:vAlign w:val="bottom"/>
            <w:gridSpan w:val="6"/>
          </w:tcPr>
          <w:p>
            <w:pPr>
              <w:jc w:val="right"/>
              <w:ind w:right="80"/>
              <w:spacing w:after="0"/>
              <w:rPr>
                <w:sz w:val="20"/>
                <w:szCs w:val="20"/>
                <w:color w:val="auto"/>
              </w:rPr>
            </w:pPr>
            <w:r>
              <w:rPr>
                <w:rFonts w:ascii="Arial" w:cs="Arial" w:eastAsia="Arial" w:hAnsi="Arial"/>
                <w:sz w:val="20"/>
                <w:szCs w:val="20"/>
                <w:color w:val="auto"/>
              </w:rPr>
              <w:t>$80,000,000</w:t>
            </w: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$80,000,000</w:t>
            </w:r>
          </w:p>
        </w:tc>
        <w:tc>
          <w:tcPr>
            <w:tcW w:w="1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$60,000,000</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20"/>
                <w:szCs w:val="20"/>
                <w:color w:val="auto"/>
              </w:rPr>
              <w:t>BNP Paribas</w:t>
            </w:r>
          </w:p>
        </w:tc>
        <w:tc>
          <w:tcPr>
            <w:tcW w:w="3020" w:type="dxa"/>
            <w:vAlign w:val="bottom"/>
            <w:gridSpan w:val="6"/>
          </w:tcPr>
          <w:p>
            <w:pPr>
              <w:jc w:val="right"/>
              <w:ind w:right="80"/>
              <w:spacing w:after="0"/>
              <w:rPr>
                <w:sz w:val="20"/>
                <w:szCs w:val="20"/>
                <w:color w:val="auto"/>
              </w:rPr>
            </w:pPr>
            <w:r>
              <w:rPr>
                <w:rFonts w:ascii="Arial" w:cs="Arial" w:eastAsia="Arial" w:hAnsi="Arial"/>
                <w:sz w:val="20"/>
                <w:szCs w:val="20"/>
                <w:color w:val="auto"/>
              </w:rPr>
              <w:t>$80,000,000</w:t>
            </w: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$80,000,000</w:t>
            </w:r>
          </w:p>
        </w:tc>
        <w:tc>
          <w:tcPr>
            <w:tcW w:w="1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$60,000,000</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20"/>
                <w:szCs w:val="20"/>
                <w:color w:val="auto"/>
              </w:rPr>
              <w:t>Capital One, National Association</w:t>
            </w:r>
          </w:p>
        </w:tc>
        <w:tc>
          <w:tcPr>
            <w:tcW w:w="3020" w:type="dxa"/>
            <w:vAlign w:val="bottom"/>
            <w:gridSpan w:val="6"/>
          </w:tcPr>
          <w:p>
            <w:pPr>
              <w:jc w:val="right"/>
              <w:ind w:right="80"/>
              <w:spacing w:after="0"/>
              <w:rPr>
                <w:sz w:val="20"/>
                <w:szCs w:val="20"/>
                <w:color w:val="auto"/>
              </w:rPr>
            </w:pPr>
            <w:r>
              <w:rPr>
                <w:rFonts w:ascii="Arial" w:cs="Arial" w:eastAsia="Arial" w:hAnsi="Arial"/>
                <w:sz w:val="20"/>
                <w:szCs w:val="20"/>
                <w:color w:val="auto"/>
              </w:rPr>
              <w:t>$80,000,000</w:t>
            </w: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$80,000,000</w:t>
            </w:r>
          </w:p>
        </w:tc>
        <w:tc>
          <w:tcPr>
            <w:tcW w:w="1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$60,000,000</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20"/>
                <w:szCs w:val="20"/>
                <w:color w:val="auto"/>
              </w:rPr>
              <w:t>Citizens Bank, N.A.</w:t>
            </w:r>
          </w:p>
        </w:tc>
        <w:tc>
          <w:tcPr>
            <w:tcW w:w="3020" w:type="dxa"/>
            <w:vAlign w:val="bottom"/>
            <w:gridSpan w:val="6"/>
          </w:tcPr>
          <w:p>
            <w:pPr>
              <w:jc w:val="right"/>
              <w:ind w:right="80"/>
              <w:spacing w:after="0"/>
              <w:rPr>
                <w:sz w:val="20"/>
                <w:szCs w:val="20"/>
                <w:color w:val="auto"/>
              </w:rPr>
            </w:pPr>
            <w:r>
              <w:rPr>
                <w:rFonts w:ascii="Arial" w:cs="Arial" w:eastAsia="Arial" w:hAnsi="Arial"/>
                <w:sz w:val="20"/>
                <w:szCs w:val="20"/>
                <w:color w:val="auto"/>
              </w:rPr>
              <w:t>$80,000,000</w:t>
            </w: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$80,000,000</w:t>
            </w:r>
          </w:p>
        </w:tc>
        <w:tc>
          <w:tcPr>
            <w:tcW w:w="1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$60,000,000</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20"/>
                <w:szCs w:val="20"/>
                <w:color w:val="auto"/>
              </w:rPr>
              <w:t>Deutsche Bank AG New York Branch</w:t>
            </w:r>
          </w:p>
        </w:tc>
        <w:tc>
          <w:tcPr>
            <w:tcW w:w="3020" w:type="dxa"/>
            <w:vAlign w:val="bottom"/>
            <w:gridSpan w:val="6"/>
          </w:tcPr>
          <w:p>
            <w:pPr>
              <w:jc w:val="right"/>
              <w:ind w:right="80"/>
              <w:spacing w:after="0"/>
              <w:rPr>
                <w:sz w:val="20"/>
                <w:szCs w:val="20"/>
                <w:color w:val="auto"/>
              </w:rPr>
            </w:pPr>
            <w:r>
              <w:rPr>
                <w:rFonts w:ascii="Arial" w:cs="Arial" w:eastAsia="Arial" w:hAnsi="Arial"/>
                <w:sz w:val="20"/>
                <w:szCs w:val="20"/>
                <w:color w:val="auto"/>
              </w:rPr>
              <w:t>$80,000,000</w:t>
            </w: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$80,000,000</w:t>
            </w:r>
          </w:p>
        </w:tc>
        <w:tc>
          <w:tcPr>
            <w:tcW w:w="1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$60,000,000</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20"/>
                <w:szCs w:val="20"/>
                <w:color w:val="auto"/>
              </w:rPr>
              <w:t>Goldman Sachs Bank USA</w:t>
            </w:r>
          </w:p>
        </w:tc>
        <w:tc>
          <w:tcPr>
            <w:tcW w:w="3020" w:type="dxa"/>
            <w:vAlign w:val="bottom"/>
            <w:gridSpan w:val="6"/>
          </w:tcPr>
          <w:p>
            <w:pPr>
              <w:jc w:val="right"/>
              <w:ind w:right="80"/>
              <w:spacing w:after="0"/>
              <w:rPr>
                <w:sz w:val="20"/>
                <w:szCs w:val="20"/>
                <w:color w:val="auto"/>
              </w:rPr>
            </w:pPr>
            <w:r>
              <w:rPr>
                <w:rFonts w:ascii="Arial" w:cs="Arial" w:eastAsia="Arial" w:hAnsi="Arial"/>
                <w:sz w:val="20"/>
                <w:szCs w:val="20"/>
                <w:color w:val="auto"/>
              </w:rPr>
              <w:t>$80,000,000</w:t>
            </w: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$80,000,000</w:t>
            </w:r>
          </w:p>
        </w:tc>
        <w:tc>
          <w:tcPr>
            <w:tcW w:w="1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$60,000,000</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20"/>
                <w:szCs w:val="20"/>
                <w:color w:val="auto"/>
              </w:rPr>
              <w:t>Morgan Stanley Bank, N.A.</w:t>
            </w:r>
          </w:p>
        </w:tc>
        <w:tc>
          <w:tcPr>
            <w:tcW w:w="3020" w:type="dxa"/>
            <w:vAlign w:val="bottom"/>
            <w:gridSpan w:val="6"/>
          </w:tcPr>
          <w:p>
            <w:pPr>
              <w:jc w:val="right"/>
              <w:ind w:right="80"/>
              <w:spacing w:after="0"/>
              <w:rPr>
                <w:sz w:val="20"/>
                <w:szCs w:val="20"/>
                <w:color w:val="auto"/>
              </w:rPr>
            </w:pPr>
            <w:r>
              <w:rPr>
                <w:rFonts w:ascii="Arial" w:cs="Arial" w:eastAsia="Arial" w:hAnsi="Arial"/>
                <w:sz w:val="20"/>
                <w:szCs w:val="20"/>
                <w:color w:val="auto"/>
              </w:rPr>
              <w:t>$80,000,000</w:t>
            </w: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$80,000,000</w:t>
            </w:r>
          </w:p>
        </w:tc>
        <w:tc>
          <w:tcPr>
            <w:tcW w:w="1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$60,000,000</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20"/>
                <w:szCs w:val="20"/>
                <w:color w:val="auto"/>
              </w:rPr>
              <w:t>Raymond James Bank</w:t>
            </w:r>
          </w:p>
        </w:tc>
        <w:tc>
          <w:tcPr>
            <w:tcW w:w="3020" w:type="dxa"/>
            <w:vAlign w:val="bottom"/>
            <w:gridSpan w:val="6"/>
          </w:tcPr>
          <w:p>
            <w:pPr>
              <w:jc w:val="right"/>
              <w:ind w:right="80"/>
              <w:spacing w:after="0"/>
              <w:rPr>
                <w:sz w:val="20"/>
                <w:szCs w:val="20"/>
                <w:color w:val="auto"/>
              </w:rPr>
            </w:pPr>
            <w:r>
              <w:rPr>
                <w:rFonts w:ascii="Arial" w:cs="Arial" w:eastAsia="Arial" w:hAnsi="Arial"/>
                <w:sz w:val="20"/>
                <w:szCs w:val="20"/>
                <w:color w:val="auto"/>
              </w:rPr>
              <w:t>$50,000,000</w:t>
            </w: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$0</w:t>
            </w:r>
          </w:p>
        </w:tc>
        <w:tc>
          <w:tcPr>
            <w:tcW w:w="1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$25,000,000</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20"/>
                <w:szCs w:val="20"/>
                <w:color w:val="auto"/>
              </w:rPr>
              <w:t>KeyBank National Association</w:t>
            </w:r>
          </w:p>
        </w:tc>
        <w:tc>
          <w:tcPr>
            <w:tcW w:w="3020" w:type="dxa"/>
            <w:vAlign w:val="bottom"/>
            <w:gridSpan w:val="6"/>
          </w:tcPr>
          <w:p>
            <w:pPr>
              <w:jc w:val="right"/>
              <w:ind w:right="80"/>
              <w:spacing w:after="0"/>
              <w:rPr>
                <w:sz w:val="20"/>
                <w:szCs w:val="20"/>
                <w:color w:val="auto"/>
              </w:rPr>
            </w:pPr>
            <w:r>
              <w:rPr>
                <w:rFonts w:ascii="Arial" w:cs="Arial" w:eastAsia="Arial" w:hAnsi="Arial"/>
                <w:sz w:val="20"/>
                <w:szCs w:val="20"/>
                <w:color w:val="auto"/>
              </w:rPr>
              <w:t>$25,000,000</w:t>
            </w: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$25,000,000</w:t>
            </w:r>
          </w:p>
        </w:tc>
        <w:tc>
          <w:tcPr>
            <w:tcW w:w="1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$25,000,000</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20"/>
                <w:szCs w:val="20"/>
                <w:color w:val="auto"/>
              </w:rPr>
              <w:t>Sumitomo Mitsui Banking Corporation</w:t>
            </w:r>
          </w:p>
        </w:tc>
        <w:tc>
          <w:tcPr>
            <w:tcW w:w="3020" w:type="dxa"/>
            <w:vAlign w:val="bottom"/>
            <w:gridSpan w:val="6"/>
          </w:tcPr>
          <w:p>
            <w:pPr>
              <w:jc w:val="right"/>
              <w:ind w:right="80"/>
              <w:spacing w:after="0"/>
              <w:rPr>
                <w:sz w:val="20"/>
                <w:szCs w:val="20"/>
                <w:color w:val="auto"/>
              </w:rPr>
            </w:pPr>
            <w:r>
              <w:rPr>
                <w:rFonts w:ascii="Arial" w:cs="Arial" w:eastAsia="Arial" w:hAnsi="Arial"/>
                <w:sz w:val="20"/>
                <w:szCs w:val="20"/>
                <w:color w:val="auto"/>
              </w:rPr>
              <w:t>$25,000,000</w:t>
            </w: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$25,000,000</w:t>
            </w:r>
          </w:p>
        </w:tc>
        <w:tc>
          <w:tcPr>
            <w:tcW w:w="1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$25,000,000</w:t>
            </w: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r>
              <w:rPr>
                <w:rFonts w:ascii="Arial" w:cs="Arial" w:eastAsia="Arial" w:hAnsi="Arial"/>
                <w:sz w:val="20"/>
                <w:szCs w:val="20"/>
                <w:color w:val="auto"/>
              </w:rPr>
              <w:t>The Huntington National Bank</w:t>
            </w:r>
          </w:p>
        </w:tc>
        <w:tc>
          <w:tcPr>
            <w:tcW w:w="3020" w:type="dxa"/>
            <w:vAlign w:val="bottom"/>
            <w:gridSpan w:val="6"/>
          </w:tcPr>
          <w:p>
            <w:pPr>
              <w:jc w:val="right"/>
              <w:ind w:right="80"/>
              <w:spacing w:after="0"/>
              <w:rPr>
                <w:sz w:val="20"/>
                <w:szCs w:val="20"/>
                <w:color w:val="auto"/>
              </w:rPr>
            </w:pPr>
            <w:r>
              <w:rPr>
                <w:rFonts w:ascii="Arial" w:cs="Arial" w:eastAsia="Arial" w:hAnsi="Arial"/>
                <w:sz w:val="20"/>
                <w:szCs w:val="20"/>
                <w:color w:val="auto"/>
              </w:rPr>
              <w:t>$25,000,000</w:t>
            </w:r>
          </w:p>
        </w:tc>
        <w:tc>
          <w:tcPr>
            <w:tcW w:w="1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$25,000,000</w:t>
            </w:r>
          </w:p>
        </w:tc>
        <w:tc>
          <w:tcPr>
            <w:tcW w:w="1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$25,000,000</w:t>
            </w:r>
          </w:p>
        </w:tc>
        <w:tc>
          <w:tcPr>
            <w:tcW w:w="0" w:type="dxa"/>
            <w:vAlign w:val="bottom"/>
          </w:tcPr>
          <w:p>
            <w:pPr>
              <w:spacing w:after="0"/>
              <w:rPr>
                <w:sz w:val="1"/>
                <w:szCs w:val="1"/>
                <w:color w:val="auto"/>
              </w:rPr>
            </w:pPr>
          </w:p>
        </w:tc>
      </w:tr>
      <w:tr>
        <w:trPr>
          <w:trHeight w:val="259"/>
        </w:trPr>
        <w:tc>
          <w:tcPr>
            <w:tcW w:w="3960" w:type="dxa"/>
            <w:vAlign w:val="bottom"/>
          </w:tcPr>
          <w:p>
            <w:pPr>
              <w:ind w:left="640"/>
              <w:spacing w:after="0"/>
              <w:rPr>
                <w:sz w:val="20"/>
                <w:szCs w:val="20"/>
                <w:color w:val="auto"/>
              </w:rPr>
            </w:pPr>
            <w:r>
              <w:rPr>
                <w:rFonts w:ascii="Arial" w:cs="Arial" w:eastAsia="Arial" w:hAnsi="Arial"/>
                <w:sz w:val="20"/>
                <w:szCs w:val="20"/>
                <w:b w:val="1"/>
                <w:bCs w:val="1"/>
                <w:color w:val="auto"/>
              </w:rPr>
              <w:t>Total</w:t>
            </w:r>
          </w:p>
        </w:tc>
        <w:tc>
          <w:tcPr>
            <w:tcW w:w="1080" w:type="dxa"/>
            <w:vAlign w:val="bottom"/>
            <w:gridSpan w:val="3"/>
          </w:tcPr>
          <w:p>
            <w:pPr>
              <w:spacing w:after="0"/>
              <w:rPr>
                <w:sz w:val="22"/>
                <w:szCs w:val="22"/>
                <w:color w:val="auto"/>
              </w:rPr>
            </w:pPr>
          </w:p>
        </w:tc>
        <w:tc>
          <w:tcPr>
            <w:tcW w:w="19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20"/>
                <w:szCs w:val="20"/>
                <w:b w:val="1"/>
                <w:bCs w:val="1"/>
                <w:color w:val="auto"/>
              </w:rPr>
              <w:t>$1,250,000,000</w:t>
            </w:r>
          </w:p>
        </w:tc>
        <w:tc>
          <w:tcPr>
            <w:tcW w:w="140" w:type="dxa"/>
            <w:vAlign w:val="bottom"/>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$1,250,000,000</w:t>
            </w:r>
          </w:p>
        </w:tc>
        <w:tc>
          <w:tcPr>
            <w:tcW w:w="160" w:type="dxa"/>
            <w:vAlign w:val="bottom"/>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$1,000,000,000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60"/>
          </w:cols>
          <w:pgMar w:left="400" w:top="1440"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20"/>
          <w:szCs w:val="20"/>
          <w:b w:val="1"/>
          <w:bCs w:val="1"/>
          <w:u w:val="single" w:color="auto"/>
          <w:color w:val="auto"/>
        </w:rPr>
        <w:t>AMENDED CREDIT AGREEMENT</w:t>
      </w:r>
    </w:p>
    <w:p>
      <w:pPr>
        <w:sectPr>
          <w:pgSz w:w="11900" w:h="16838" w:orient="portrait"/>
          <w:cols w:equalWidth="0" w:num="1">
            <w:col w:w="9019"/>
          </w:cols>
          <w:pgMar w:left="1440" w:top="1399"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9019"/>
          </w:cols>
          <w:pgMar w:left="1440" w:top="1399" w:right="1440" w:bottom="1440" w:gutter="0" w:footer="0" w:header="0"/>
          <w:type w:val="continuous"/>
        </w:sectPr>
      </w:pPr>
    </w:p>
    <w:bookmarkStart w:id="97" w:name="page98"/>
    <w:bookmarkEnd w:id="97"/>
    <w:p>
      <w:pPr>
        <w:jc w:val="center"/>
        <w:ind w:right="-1112"/>
        <w:spacing w:after="0"/>
        <w:rPr>
          <w:sz w:val="20"/>
          <w:szCs w:val="20"/>
          <w:color w:val="auto"/>
        </w:rPr>
      </w:pPr>
      <w:r>
        <w:rPr>
          <w:rFonts w:ascii="Arial" w:cs="Arial" w:eastAsia="Arial" w:hAnsi="Arial"/>
          <w:sz w:val="18"/>
          <w:szCs w:val="18"/>
          <w:color w:val="auto"/>
        </w:rPr>
        <w:t>CREDIT AGREEMENT</w:t>
      </w:r>
      <w:r>
        <w:rPr>
          <w:rFonts w:ascii="Arial" w:cs="Arial" w:eastAsia="Arial" w:hAnsi="Arial"/>
          <w:sz w:val="23"/>
          <w:szCs w:val="23"/>
          <w:u w:val="single" w:color="auto"/>
          <w:color w:val="0000FF"/>
          <w:vertAlign w:val="superscript"/>
        </w:rPr>
        <w:t>1</w:t>
      </w:r>
    </w:p>
    <w:p>
      <w:pPr>
        <w:spacing w:after="0" w:line="186" w:lineRule="exact"/>
        <w:rPr>
          <w:sz w:val="20"/>
          <w:szCs w:val="20"/>
          <w:color w:val="auto"/>
        </w:rPr>
      </w:pPr>
    </w:p>
    <w:p>
      <w:pPr>
        <w:jc w:val="center"/>
        <w:ind w:right="-1112"/>
        <w:spacing w:after="0"/>
        <w:rPr>
          <w:sz w:val="20"/>
          <w:szCs w:val="20"/>
          <w:color w:val="auto"/>
        </w:rPr>
      </w:pPr>
      <w:r>
        <w:rPr>
          <w:rFonts w:ascii="Arial" w:cs="Arial" w:eastAsia="Arial" w:hAnsi="Arial"/>
          <w:sz w:val="18"/>
          <w:szCs w:val="18"/>
          <w:color w:val="auto"/>
        </w:rPr>
        <w:t>Dated as of February 8, 2022</w:t>
      </w:r>
    </w:p>
    <w:p>
      <w:pPr>
        <w:spacing w:after="0" w:line="212" w:lineRule="exact"/>
        <w:rPr>
          <w:sz w:val="20"/>
          <w:szCs w:val="20"/>
          <w:color w:val="auto"/>
        </w:rPr>
      </w:pPr>
    </w:p>
    <w:p>
      <w:pPr>
        <w:jc w:val="center"/>
        <w:ind w:right="-1112"/>
        <w:spacing w:after="0"/>
        <w:rPr>
          <w:sz w:val="20"/>
          <w:szCs w:val="20"/>
          <w:color w:val="auto"/>
        </w:rPr>
      </w:pPr>
      <w:r>
        <w:rPr>
          <w:rFonts w:ascii="Arial" w:cs="Arial" w:eastAsia="Arial" w:hAnsi="Arial"/>
          <w:sz w:val="18"/>
          <w:szCs w:val="18"/>
          <w:color w:val="auto"/>
        </w:rPr>
        <w:t>Among</w:t>
      </w:r>
    </w:p>
    <w:p>
      <w:pPr>
        <w:spacing w:after="0" w:line="196" w:lineRule="exact"/>
        <w:rPr>
          <w:sz w:val="20"/>
          <w:szCs w:val="20"/>
          <w:color w:val="auto"/>
        </w:rPr>
      </w:pPr>
    </w:p>
    <w:p>
      <w:pPr>
        <w:jc w:val="center"/>
        <w:ind w:right="-1052"/>
        <w:spacing w:after="0"/>
        <w:rPr>
          <w:sz w:val="20"/>
          <w:szCs w:val="20"/>
          <w:color w:val="auto"/>
        </w:rPr>
      </w:pPr>
      <w:r>
        <w:rPr>
          <w:rFonts w:ascii="Arial" w:cs="Arial" w:eastAsia="Arial" w:hAnsi="Arial"/>
          <w:sz w:val="18"/>
          <w:szCs w:val="18"/>
          <w:color w:val="auto"/>
        </w:rPr>
        <w:t>VICI PROPERTIES L.P.,</w:t>
      </w:r>
    </w:p>
    <w:p>
      <w:pPr>
        <w:jc w:val="center"/>
        <w:ind w:right="-1112"/>
        <w:spacing w:after="0"/>
        <w:rPr>
          <w:sz w:val="20"/>
          <w:szCs w:val="20"/>
          <w:color w:val="auto"/>
        </w:rPr>
      </w:pPr>
      <w:r>
        <w:rPr>
          <w:rFonts w:ascii="Arial" w:cs="Arial" w:eastAsia="Arial" w:hAnsi="Arial"/>
          <w:sz w:val="18"/>
          <w:szCs w:val="18"/>
          <w:color w:val="auto"/>
        </w:rPr>
        <w:t>as Borrower,</w:t>
      </w:r>
    </w:p>
    <w:p>
      <w:pPr>
        <w:spacing w:after="0" w:line="196" w:lineRule="exact"/>
        <w:rPr>
          <w:sz w:val="20"/>
          <w:szCs w:val="20"/>
          <w:color w:val="auto"/>
        </w:rPr>
      </w:pPr>
    </w:p>
    <w:p>
      <w:pPr>
        <w:jc w:val="center"/>
        <w:ind w:right="-1112"/>
        <w:spacing w:after="0"/>
        <w:rPr>
          <w:sz w:val="20"/>
          <w:szCs w:val="20"/>
          <w:color w:val="auto"/>
        </w:rPr>
      </w:pPr>
      <w:r>
        <w:rPr>
          <w:rFonts w:ascii="Arial" w:cs="Arial" w:eastAsia="Arial" w:hAnsi="Arial"/>
          <w:sz w:val="16"/>
          <w:szCs w:val="16"/>
          <w:color w:val="auto"/>
        </w:rPr>
        <w:t>The Several Lenders from Time to Time Parties Hereto,</w:t>
      </w:r>
    </w:p>
    <w:p>
      <w:pPr>
        <w:spacing w:after="0" w:line="219" w:lineRule="exact"/>
        <w:rPr>
          <w:sz w:val="20"/>
          <w:szCs w:val="20"/>
          <w:color w:val="auto"/>
        </w:rPr>
      </w:pPr>
    </w:p>
    <w:p>
      <w:pPr>
        <w:ind w:left="4272"/>
        <w:spacing w:after="0"/>
        <w:rPr>
          <w:sz w:val="20"/>
          <w:szCs w:val="20"/>
          <w:color w:val="auto"/>
        </w:rPr>
      </w:pPr>
      <w:r>
        <w:rPr>
          <w:rFonts w:ascii="Arial" w:cs="Arial" w:eastAsia="Arial" w:hAnsi="Arial"/>
          <w:sz w:val="18"/>
          <w:szCs w:val="18"/>
          <w:color w:val="auto"/>
        </w:rPr>
        <w:t>JPMORGAN CHASE BANK, N.A.,</w:t>
      </w:r>
    </w:p>
    <w:p>
      <w:pPr>
        <w:ind w:left="4712"/>
        <w:spacing w:after="0"/>
        <w:rPr>
          <w:sz w:val="20"/>
          <w:szCs w:val="20"/>
          <w:color w:val="auto"/>
        </w:rPr>
      </w:pPr>
      <w:r>
        <w:rPr>
          <w:rFonts w:ascii="Arial" w:cs="Arial" w:eastAsia="Arial" w:hAnsi="Arial"/>
          <w:sz w:val="18"/>
          <w:szCs w:val="18"/>
          <w:color w:val="auto"/>
        </w:rPr>
        <w:t>as Administrative Agent,</w:t>
      </w:r>
    </w:p>
    <w:p>
      <w:pPr>
        <w:spacing w:after="0" w:line="180" w:lineRule="exact"/>
        <w:rPr>
          <w:sz w:val="20"/>
          <w:szCs w:val="20"/>
          <w:color w:val="auto"/>
        </w:rPr>
      </w:pPr>
    </w:p>
    <w:p>
      <w:pPr>
        <w:jc w:val="center"/>
        <w:ind w:right="-1112"/>
        <w:spacing w:after="0"/>
        <w:rPr>
          <w:sz w:val="20"/>
          <w:szCs w:val="20"/>
          <w:color w:val="auto"/>
        </w:rPr>
      </w:pPr>
      <w:r>
        <w:rPr>
          <w:rFonts w:ascii="Arial" w:cs="Arial" w:eastAsia="Arial" w:hAnsi="Arial"/>
          <w:sz w:val="18"/>
          <w:szCs w:val="18"/>
          <w:color w:val="auto"/>
        </w:rPr>
        <w:t>JPMORGAN CHASE BANK, N.A.,</w:t>
      </w:r>
    </w:p>
    <w:p>
      <w:pPr>
        <w:jc w:val="center"/>
        <w:ind w:right="-1112"/>
        <w:spacing w:after="0" w:line="203" w:lineRule="auto"/>
        <w:rPr>
          <w:sz w:val="20"/>
          <w:szCs w:val="20"/>
          <w:color w:val="auto"/>
        </w:rPr>
      </w:pPr>
      <w:r>
        <w:rPr>
          <w:rFonts w:ascii="Arial" w:cs="Arial" w:eastAsia="Arial" w:hAnsi="Arial"/>
          <w:sz w:val="18"/>
          <w:szCs w:val="18"/>
          <w:color w:val="auto"/>
        </w:rPr>
        <w:t>WELLS FARGO SECURITIES, LLC,</w:t>
      </w:r>
    </w:p>
    <w:p>
      <w:pPr>
        <w:jc w:val="center"/>
        <w:ind w:right="-1112"/>
        <w:spacing w:after="0" w:line="203" w:lineRule="auto"/>
        <w:rPr>
          <w:sz w:val="20"/>
          <w:szCs w:val="20"/>
          <w:color w:val="auto"/>
        </w:rPr>
      </w:pPr>
      <w:r>
        <w:rPr>
          <w:rFonts w:ascii="Arial" w:cs="Arial" w:eastAsia="Arial" w:hAnsi="Arial"/>
          <w:sz w:val="18"/>
          <w:szCs w:val="18"/>
          <w:color w:val="auto"/>
        </w:rPr>
        <w:t>BOFA SECURITIES, INC.</w:t>
      </w:r>
    </w:p>
    <w:p>
      <w:pPr>
        <w:ind w:left="5492"/>
        <w:spacing w:after="0" w:line="204" w:lineRule="auto"/>
        <w:rPr>
          <w:sz w:val="20"/>
          <w:szCs w:val="20"/>
          <w:color w:val="auto"/>
        </w:rPr>
      </w:pPr>
      <w:r>
        <w:rPr>
          <w:rFonts w:ascii="Arial" w:cs="Arial" w:eastAsia="Arial" w:hAnsi="Arial"/>
          <w:sz w:val="18"/>
          <w:szCs w:val="18"/>
          <w:color w:val="auto"/>
        </w:rPr>
        <w:t>and</w:t>
      </w:r>
    </w:p>
    <w:p>
      <w:pPr>
        <w:ind w:left="4912"/>
        <w:spacing w:after="0" w:line="203" w:lineRule="auto"/>
        <w:rPr>
          <w:sz w:val="20"/>
          <w:szCs w:val="20"/>
          <w:color w:val="auto"/>
        </w:rPr>
      </w:pPr>
      <w:r>
        <w:rPr>
          <w:rFonts w:ascii="Arial" w:cs="Arial" w:eastAsia="Arial" w:hAnsi="Arial"/>
          <w:sz w:val="18"/>
          <w:szCs w:val="18"/>
          <w:color w:val="auto"/>
        </w:rPr>
        <w:t>CITIBANK, N.A.,</w:t>
      </w:r>
    </w:p>
    <w:p>
      <w:pPr>
        <w:spacing w:after="0" w:line="1" w:lineRule="exact"/>
        <w:rPr>
          <w:sz w:val="20"/>
          <w:szCs w:val="20"/>
          <w:color w:val="auto"/>
        </w:rPr>
      </w:pPr>
    </w:p>
    <w:p>
      <w:pPr>
        <w:ind w:left="4732"/>
        <w:spacing w:after="0"/>
        <w:rPr>
          <w:sz w:val="20"/>
          <w:szCs w:val="20"/>
          <w:color w:val="auto"/>
        </w:rPr>
      </w:pPr>
      <w:r>
        <w:rPr>
          <w:rFonts w:ascii="Arial" w:cs="Arial" w:eastAsia="Arial" w:hAnsi="Arial"/>
          <w:sz w:val="18"/>
          <w:szCs w:val="18"/>
          <w:color w:val="auto"/>
        </w:rPr>
        <w:t>as Joint Lead Arrangers,</w:t>
      </w:r>
    </w:p>
    <w:p>
      <w:pPr>
        <w:spacing w:after="0" w:line="180" w:lineRule="exact"/>
        <w:rPr>
          <w:sz w:val="20"/>
          <w:szCs w:val="20"/>
          <w:color w:val="auto"/>
        </w:rPr>
      </w:pPr>
    </w:p>
    <w:p>
      <w:pPr>
        <w:jc w:val="center"/>
        <w:ind w:right="-1112"/>
        <w:spacing w:after="0"/>
        <w:rPr>
          <w:sz w:val="20"/>
          <w:szCs w:val="20"/>
          <w:color w:val="auto"/>
        </w:rPr>
      </w:pPr>
      <w:r>
        <w:rPr>
          <w:rFonts w:ascii="Arial" w:cs="Arial" w:eastAsia="Arial" w:hAnsi="Arial"/>
          <w:sz w:val="18"/>
          <w:szCs w:val="18"/>
          <w:color w:val="auto"/>
        </w:rPr>
        <w:t>JPMORGAN CHASE BANK, N.A.</w:t>
      </w:r>
    </w:p>
    <w:p>
      <w:pPr>
        <w:jc w:val="center"/>
        <w:ind w:right="-1112"/>
        <w:spacing w:after="0" w:line="203" w:lineRule="auto"/>
        <w:rPr>
          <w:sz w:val="20"/>
          <w:szCs w:val="20"/>
          <w:color w:val="auto"/>
        </w:rPr>
      </w:pPr>
      <w:r>
        <w:rPr>
          <w:rFonts w:ascii="Arial" w:cs="Arial" w:eastAsia="Arial" w:hAnsi="Arial"/>
          <w:sz w:val="18"/>
          <w:szCs w:val="18"/>
          <w:color w:val="auto"/>
        </w:rPr>
        <w:t>and</w:t>
      </w:r>
    </w:p>
    <w:p>
      <w:pPr>
        <w:jc w:val="center"/>
        <w:ind w:right="-1112"/>
        <w:spacing w:after="0" w:line="203" w:lineRule="auto"/>
        <w:rPr>
          <w:sz w:val="20"/>
          <w:szCs w:val="20"/>
          <w:color w:val="auto"/>
        </w:rPr>
      </w:pPr>
      <w:r>
        <w:rPr>
          <w:rFonts w:ascii="Arial" w:cs="Arial" w:eastAsia="Arial" w:hAnsi="Arial"/>
          <w:sz w:val="18"/>
          <w:szCs w:val="18"/>
          <w:color w:val="auto"/>
        </w:rPr>
        <w:t>WELLS FARGO SECURITIES, LLC,</w:t>
      </w:r>
    </w:p>
    <w:p>
      <w:pPr>
        <w:spacing w:after="0" w:line="1" w:lineRule="exact"/>
        <w:rPr>
          <w:sz w:val="20"/>
          <w:szCs w:val="20"/>
          <w:color w:val="auto"/>
        </w:rPr>
      </w:pPr>
    </w:p>
    <w:p>
      <w:pPr>
        <w:jc w:val="center"/>
        <w:ind w:right="-1112"/>
        <w:spacing w:after="0"/>
        <w:rPr>
          <w:sz w:val="20"/>
          <w:szCs w:val="20"/>
          <w:color w:val="auto"/>
        </w:rPr>
      </w:pPr>
      <w:r>
        <w:rPr>
          <w:rFonts w:ascii="Arial" w:cs="Arial" w:eastAsia="Arial" w:hAnsi="Arial"/>
          <w:sz w:val="18"/>
          <w:szCs w:val="18"/>
          <w:color w:val="auto"/>
        </w:rPr>
        <w:t>as Joint Bookrunners,</w:t>
      </w:r>
    </w:p>
    <w:p>
      <w:pPr>
        <w:spacing w:after="0" w:line="192" w:lineRule="exact"/>
        <w:rPr>
          <w:sz w:val="20"/>
          <w:szCs w:val="20"/>
          <w:color w:val="auto"/>
        </w:rPr>
      </w:pPr>
    </w:p>
    <w:p>
      <w:pPr>
        <w:jc w:val="center"/>
        <w:ind w:right="-1112"/>
        <w:spacing w:after="0"/>
        <w:rPr>
          <w:sz w:val="20"/>
          <w:szCs w:val="20"/>
          <w:color w:val="auto"/>
        </w:rPr>
      </w:pPr>
      <w:r>
        <w:rPr>
          <w:rFonts w:ascii="Arial" w:cs="Arial" w:eastAsia="Arial" w:hAnsi="Arial"/>
          <w:sz w:val="17"/>
          <w:szCs w:val="17"/>
          <w:color w:val="auto"/>
        </w:rPr>
        <w:t>WELLS FARGO BANK, NATIONAL ASSOCIATION,</w:t>
      </w:r>
    </w:p>
    <w:p>
      <w:pPr>
        <w:jc w:val="center"/>
        <w:ind w:right="-1112"/>
        <w:spacing w:after="0" w:line="203" w:lineRule="auto"/>
        <w:rPr>
          <w:sz w:val="20"/>
          <w:szCs w:val="20"/>
          <w:color w:val="auto"/>
        </w:rPr>
      </w:pPr>
      <w:r>
        <w:rPr>
          <w:rFonts w:ascii="Arial" w:cs="Arial" w:eastAsia="Arial" w:hAnsi="Arial"/>
          <w:sz w:val="18"/>
          <w:szCs w:val="18"/>
          <w:color w:val="auto"/>
        </w:rPr>
        <w:t>BANK OF AMERICA, NATIONAL ASSOCIATION</w:t>
      </w:r>
    </w:p>
    <w:p>
      <w:pPr>
        <w:jc w:val="center"/>
        <w:ind w:right="-1112"/>
        <w:spacing w:after="0" w:line="203" w:lineRule="auto"/>
        <w:rPr>
          <w:sz w:val="20"/>
          <w:szCs w:val="20"/>
          <w:color w:val="auto"/>
        </w:rPr>
      </w:pPr>
      <w:r>
        <w:rPr>
          <w:rFonts w:ascii="Arial" w:cs="Arial" w:eastAsia="Arial" w:hAnsi="Arial"/>
          <w:sz w:val="18"/>
          <w:szCs w:val="18"/>
          <w:color w:val="auto"/>
        </w:rPr>
        <w:t>and</w:t>
      </w:r>
    </w:p>
    <w:p>
      <w:pPr>
        <w:jc w:val="center"/>
        <w:ind w:right="-1112"/>
        <w:spacing w:after="0" w:line="204" w:lineRule="auto"/>
        <w:rPr>
          <w:sz w:val="20"/>
          <w:szCs w:val="20"/>
          <w:color w:val="auto"/>
        </w:rPr>
      </w:pPr>
      <w:r>
        <w:rPr>
          <w:rFonts w:ascii="Arial" w:cs="Arial" w:eastAsia="Arial" w:hAnsi="Arial"/>
          <w:sz w:val="18"/>
          <w:szCs w:val="18"/>
          <w:color w:val="auto"/>
        </w:rPr>
        <w:t>CITIBANK, N.A.,</w:t>
      </w:r>
    </w:p>
    <w:p>
      <w:pPr>
        <w:jc w:val="center"/>
        <w:ind w:right="-1112"/>
        <w:spacing w:after="0"/>
        <w:rPr>
          <w:sz w:val="20"/>
          <w:szCs w:val="20"/>
          <w:color w:val="auto"/>
        </w:rPr>
      </w:pPr>
      <w:r>
        <w:rPr>
          <w:rFonts w:ascii="Arial" w:cs="Arial" w:eastAsia="Arial" w:hAnsi="Arial"/>
          <w:sz w:val="18"/>
          <w:szCs w:val="18"/>
          <w:color w:val="auto"/>
        </w:rPr>
        <w:t>as Co-Syndication Agents and</w:t>
      </w:r>
    </w:p>
    <w:p>
      <w:pPr>
        <w:spacing w:after="0" w:line="180" w:lineRule="exact"/>
        <w:rPr>
          <w:sz w:val="20"/>
          <w:szCs w:val="20"/>
          <w:color w:val="auto"/>
        </w:rPr>
      </w:pPr>
    </w:p>
    <w:p>
      <w:pPr>
        <w:jc w:val="center"/>
        <w:ind w:right="-1112"/>
        <w:spacing w:after="0"/>
        <w:rPr>
          <w:sz w:val="20"/>
          <w:szCs w:val="20"/>
          <w:color w:val="auto"/>
        </w:rPr>
      </w:pPr>
      <w:r>
        <w:rPr>
          <w:rFonts w:ascii="Arial" w:cs="Arial" w:eastAsia="Arial" w:hAnsi="Arial"/>
          <w:sz w:val="18"/>
          <w:szCs w:val="18"/>
          <w:color w:val="auto"/>
        </w:rPr>
        <w:t>BARCLAYS BANK PLC,</w:t>
      </w:r>
    </w:p>
    <w:p>
      <w:pPr>
        <w:jc w:val="center"/>
        <w:ind w:right="-1112"/>
        <w:spacing w:after="0" w:line="203" w:lineRule="auto"/>
        <w:rPr>
          <w:sz w:val="20"/>
          <w:szCs w:val="20"/>
          <w:color w:val="auto"/>
        </w:rPr>
      </w:pPr>
      <w:r>
        <w:rPr>
          <w:rFonts w:ascii="Arial" w:cs="Arial" w:eastAsia="Arial" w:hAnsi="Arial"/>
          <w:sz w:val="18"/>
          <w:szCs w:val="18"/>
          <w:color w:val="auto"/>
        </w:rPr>
        <w:t>BNP PARIBAS,</w:t>
      </w:r>
    </w:p>
    <w:p>
      <w:pPr>
        <w:jc w:val="center"/>
        <w:ind w:right="-1112"/>
        <w:spacing w:after="0" w:line="203" w:lineRule="auto"/>
        <w:rPr>
          <w:sz w:val="20"/>
          <w:szCs w:val="20"/>
          <w:color w:val="auto"/>
        </w:rPr>
      </w:pPr>
      <w:r>
        <w:rPr>
          <w:rFonts w:ascii="Arial" w:cs="Arial" w:eastAsia="Arial" w:hAnsi="Arial"/>
          <w:sz w:val="18"/>
          <w:szCs w:val="18"/>
          <w:color w:val="auto"/>
        </w:rPr>
        <w:t>CAPITAL ONE, NATIONAL ASSOCIATION,</w:t>
      </w:r>
    </w:p>
    <w:p>
      <w:pPr>
        <w:jc w:val="center"/>
        <w:ind w:right="-1112"/>
        <w:spacing w:after="0" w:line="204" w:lineRule="auto"/>
        <w:rPr>
          <w:sz w:val="20"/>
          <w:szCs w:val="20"/>
          <w:color w:val="auto"/>
        </w:rPr>
      </w:pPr>
      <w:r>
        <w:rPr>
          <w:rFonts w:ascii="Arial" w:cs="Arial" w:eastAsia="Arial" w:hAnsi="Arial"/>
          <w:sz w:val="18"/>
          <w:szCs w:val="18"/>
          <w:color w:val="auto"/>
        </w:rPr>
        <w:t>CITIZENS BANK, N.A.,</w:t>
      </w:r>
    </w:p>
    <w:p>
      <w:pPr>
        <w:jc w:val="center"/>
        <w:ind w:right="-1112"/>
        <w:spacing w:after="0" w:line="203" w:lineRule="auto"/>
        <w:rPr>
          <w:sz w:val="20"/>
          <w:szCs w:val="20"/>
          <w:color w:val="auto"/>
        </w:rPr>
      </w:pPr>
      <w:r>
        <w:rPr>
          <w:rFonts w:ascii="Arial" w:cs="Arial" w:eastAsia="Arial" w:hAnsi="Arial"/>
          <w:sz w:val="18"/>
          <w:szCs w:val="18"/>
          <w:color w:val="auto"/>
        </w:rPr>
        <w:t>DEUTSCHE BANK SECURITIES INC.,</w:t>
      </w:r>
    </w:p>
    <w:p>
      <w:pPr>
        <w:jc w:val="center"/>
        <w:ind w:right="-1112"/>
        <w:spacing w:after="0" w:line="204" w:lineRule="auto"/>
        <w:rPr>
          <w:sz w:val="20"/>
          <w:szCs w:val="20"/>
          <w:color w:val="auto"/>
        </w:rPr>
      </w:pPr>
      <w:r>
        <w:rPr>
          <w:rFonts w:ascii="Arial" w:cs="Arial" w:eastAsia="Arial" w:hAnsi="Arial"/>
          <w:sz w:val="18"/>
          <w:szCs w:val="18"/>
          <w:color w:val="auto"/>
        </w:rPr>
        <w:t>GOLDMAN SACHS BANK USA,</w:t>
      </w:r>
    </w:p>
    <w:p>
      <w:pPr>
        <w:jc w:val="center"/>
        <w:ind w:right="-1112"/>
        <w:spacing w:after="0" w:line="203" w:lineRule="auto"/>
        <w:rPr>
          <w:sz w:val="20"/>
          <w:szCs w:val="20"/>
          <w:color w:val="auto"/>
        </w:rPr>
      </w:pPr>
      <w:r>
        <w:rPr>
          <w:rFonts w:ascii="Arial" w:cs="Arial" w:eastAsia="Arial" w:hAnsi="Arial"/>
          <w:sz w:val="18"/>
          <w:szCs w:val="18"/>
          <w:color w:val="auto"/>
        </w:rPr>
        <w:t>MORGAN STANLEY SENIOR FUNDING, INC.,</w:t>
      </w:r>
    </w:p>
    <w:p>
      <w:pPr>
        <w:jc w:val="center"/>
        <w:ind w:right="-1112"/>
        <w:spacing w:after="0" w:line="204" w:lineRule="auto"/>
        <w:rPr>
          <w:sz w:val="20"/>
          <w:szCs w:val="20"/>
          <w:color w:val="auto"/>
        </w:rPr>
      </w:pPr>
      <w:r>
        <w:rPr>
          <w:rFonts w:ascii="Arial" w:cs="Arial" w:eastAsia="Arial" w:hAnsi="Arial"/>
          <w:sz w:val="18"/>
          <w:szCs w:val="18"/>
          <w:color w:val="auto"/>
        </w:rPr>
        <w:t>THE BANK OF NOVA SCOTIA</w:t>
      </w:r>
    </w:p>
    <w:p>
      <w:pPr>
        <w:jc w:val="center"/>
        <w:ind w:right="-1112"/>
        <w:spacing w:after="0" w:line="203" w:lineRule="auto"/>
        <w:rPr>
          <w:sz w:val="20"/>
          <w:szCs w:val="20"/>
          <w:color w:val="auto"/>
        </w:rPr>
      </w:pPr>
      <w:r>
        <w:rPr>
          <w:rFonts w:ascii="Arial" w:cs="Arial" w:eastAsia="Arial" w:hAnsi="Arial"/>
          <w:sz w:val="18"/>
          <w:szCs w:val="18"/>
          <w:color w:val="auto"/>
        </w:rPr>
        <w:t>and</w:t>
      </w:r>
    </w:p>
    <w:p>
      <w:pPr>
        <w:jc w:val="center"/>
        <w:ind w:right="-1112"/>
        <w:spacing w:after="0" w:line="204" w:lineRule="auto"/>
        <w:rPr>
          <w:sz w:val="20"/>
          <w:szCs w:val="20"/>
          <w:color w:val="auto"/>
        </w:rPr>
      </w:pPr>
      <w:r>
        <w:rPr>
          <w:rFonts w:ascii="Arial" w:cs="Arial" w:eastAsia="Arial" w:hAnsi="Arial"/>
          <w:sz w:val="18"/>
          <w:szCs w:val="18"/>
          <w:color w:val="auto"/>
        </w:rPr>
        <w:t>TRUIST BANK,</w:t>
      </w:r>
    </w:p>
    <w:p>
      <w:pPr>
        <w:jc w:val="center"/>
        <w:ind w:right="-1112"/>
        <w:spacing w:after="0"/>
        <w:rPr>
          <w:sz w:val="20"/>
          <w:szCs w:val="20"/>
          <w:color w:val="auto"/>
        </w:rPr>
      </w:pPr>
      <w:r>
        <w:rPr>
          <w:rFonts w:ascii="Arial" w:cs="Arial" w:eastAsia="Arial" w:hAnsi="Arial"/>
          <w:sz w:val="18"/>
          <w:szCs w:val="18"/>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1187450</wp:posOffset>
            </wp:positionV>
            <wp:extent cx="1714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12" w:hanging="112"/>
        <w:spacing w:after="0"/>
        <w:tabs>
          <w:tab w:leader="none" w:pos="112" w:val="left"/>
        </w:tabs>
        <w:numPr>
          <w:ilvl w:val="0"/>
          <w:numId w:val="48"/>
        </w:numPr>
        <w:rPr>
          <w:rFonts w:ascii="Arial" w:cs="Arial" w:eastAsia="Arial" w:hAnsi="Arial"/>
          <w:sz w:val="23"/>
          <w:szCs w:val="23"/>
          <w:u w:val="single" w:color="auto"/>
          <w:color w:val="0000FF"/>
          <w:vertAlign w:val="superscript"/>
        </w:rPr>
      </w:pPr>
      <w:r>
        <w:rPr>
          <w:rFonts w:ascii="Arial" w:cs="Arial" w:eastAsia="Arial" w:hAnsi="Arial"/>
          <w:sz w:val="18"/>
          <w:szCs w:val="18"/>
          <w:u w:val="single" w:color="auto"/>
          <w:color w:val="0000FF"/>
          <w:highlight w:val="lightGray"/>
        </w:rPr>
        <w:t>Conformed through the First Amendment, dated as of July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32"/>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131"/>
          </w:cols>
          <w:pgMar w:left="328" w:top="1416" w:right="1440" w:bottom="1440" w:gutter="0" w:footer="0" w:header="0"/>
        </w:sectPr>
      </w:pPr>
    </w:p>
    <w:bookmarkStart w:id="98" w:name="page99"/>
    <w:bookmarkEnd w:id="98"/>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40" w:type="dxa"/>
            <w:vAlign w:val="bottom"/>
            <w:gridSpan w:val="83"/>
          </w:tcPr>
          <w:p>
            <w:pPr>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1"/>
        </w:trPr>
        <w:tc>
          <w:tcPr>
            <w:tcW w:w="11240" w:type="dxa"/>
            <w:vAlign w:val="bottom"/>
            <w:gridSpan w:val="83"/>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84"/>
        </w:trPr>
        <w:tc>
          <w:tcPr>
            <w:tcW w:w="1160" w:type="dxa"/>
            <w:vAlign w:val="bottom"/>
            <w:gridSpan w:val="4"/>
          </w:tcPr>
          <w:p>
            <w:pPr>
              <w:spacing w:after="0"/>
              <w:rPr>
                <w:sz w:val="20"/>
                <w:szCs w:val="20"/>
                <w:color w:val="auto"/>
              </w:rPr>
            </w:pPr>
            <w:r>
              <w:rPr>
                <w:rFonts w:ascii="Arial" w:cs="Arial" w:eastAsia="Arial" w:hAnsi="Arial"/>
                <w:sz w:val="18"/>
                <w:szCs w:val="18"/>
                <w:color w:val="auto"/>
              </w:rPr>
              <w:t>SECTION 1.</w:t>
            </w:r>
          </w:p>
        </w:tc>
        <w:tc>
          <w:tcPr>
            <w:tcW w:w="1160" w:type="dxa"/>
            <w:vAlign w:val="bottom"/>
            <w:gridSpan w:val="13"/>
          </w:tcPr>
          <w:p>
            <w:pPr>
              <w:jc w:val="center"/>
              <w:spacing w:after="0"/>
              <w:rPr>
                <w:sz w:val="20"/>
                <w:szCs w:val="20"/>
                <w:color w:val="auto"/>
              </w:rPr>
            </w:pPr>
            <w:r>
              <w:rPr>
                <w:rFonts w:ascii="Arial" w:cs="Arial" w:eastAsia="Arial" w:hAnsi="Arial"/>
                <w:sz w:val="18"/>
                <w:szCs w:val="18"/>
                <w:color w:val="auto"/>
                <w:w w:val="98"/>
              </w:rPr>
              <w:t>DEFINITIONS</w:t>
            </w:r>
          </w:p>
        </w:tc>
        <w:tc>
          <w:tcPr>
            <w:tcW w:w="8560" w:type="dxa"/>
            <w:vAlign w:val="bottom"/>
            <w:gridSpan w:val="65"/>
          </w:tcPr>
          <w:p>
            <w:pPr>
              <w:jc w:val="right"/>
              <w:ind w:right="8320"/>
              <w:spacing w:after="0"/>
              <w:rPr>
                <w:sz w:val="20"/>
                <w:szCs w:val="20"/>
                <w:color w:val="auto"/>
              </w:rPr>
            </w:pPr>
            <w:r>
              <w:rPr>
                <w:rFonts w:ascii="Arial" w:cs="Arial" w:eastAsia="Arial" w:hAnsi="Arial"/>
                <w:sz w:val="18"/>
                <w:szCs w:val="18"/>
                <w:color w:val="auto"/>
              </w:rPr>
              <w:t>1</w:t>
            </w:r>
          </w:p>
        </w:tc>
        <w:tc>
          <w:tcPr>
            <w:tcW w:w="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1.1</w:t>
            </w:r>
          </w:p>
        </w:tc>
        <w:tc>
          <w:tcPr>
            <w:tcW w:w="10720" w:type="dxa"/>
            <w:vAlign w:val="bottom"/>
            <w:gridSpan w:val="81"/>
          </w:tcPr>
          <w:p>
            <w:pPr>
              <w:ind w:left="120"/>
              <w:spacing w:after="0" w:line="203" w:lineRule="exact"/>
              <w:rPr>
                <w:sz w:val="20"/>
                <w:szCs w:val="20"/>
                <w:color w:val="auto"/>
              </w:rPr>
            </w:pPr>
            <w:r>
              <w:rPr>
                <w:rFonts w:ascii="Arial" w:cs="Arial" w:eastAsia="Arial" w:hAnsi="Arial"/>
                <w:sz w:val="18"/>
                <w:szCs w:val="18"/>
                <w:color w:val="auto"/>
              </w:rPr>
              <w:t>Defined Terms  1</w:t>
            </w:r>
          </w:p>
        </w:tc>
        <w:tc>
          <w:tcPr>
            <w:tcW w:w="0" w:type="dxa"/>
            <w:vAlign w:val="bottom"/>
          </w:tcPr>
          <w:p>
            <w:pPr>
              <w:spacing w:after="0"/>
              <w:rPr>
                <w:sz w:val="1"/>
                <w:szCs w:val="1"/>
                <w:color w:val="auto"/>
              </w:rPr>
            </w:pPr>
          </w:p>
        </w:tc>
      </w:tr>
      <w:tr>
        <w:trPr>
          <w:trHeight w:val="183"/>
        </w:trPr>
        <w:tc>
          <w:tcPr>
            <w:tcW w:w="52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1.2</w:t>
            </w:r>
          </w:p>
        </w:tc>
        <w:tc>
          <w:tcPr>
            <w:tcW w:w="2280" w:type="dxa"/>
            <w:vAlign w:val="bottom"/>
            <w:gridSpan w:val="26"/>
          </w:tcPr>
          <w:p>
            <w:pPr>
              <w:ind w:left="120"/>
              <w:spacing w:after="0" w:line="176" w:lineRule="exact"/>
              <w:rPr>
                <w:sz w:val="20"/>
                <w:szCs w:val="20"/>
                <w:color w:val="auto"/>
              </w:rPr>
            </w:pPr>
            <w:r>
              <w:rPr>
                <w:rFonts w:ascii="Arial" w:cs="Arial" w:eastAsia="Arial" w:hAnsi="Arial"/>
                <w:sz w:val="18"/>
                <w:szCs w:val="18"/>
                <w:color w:val="auto"/>
                <w:w w:val="94"/>
              </w:rPr>
              <w:t>Other Definitional Provisions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4"/>
          </w:tcPr>
          <w:p>
            <w:pPr>
              <w:jc w:val="right"/>
              <w:spacing w:after="0" w:line="176" w:lineRule="exact"/>
              <w:rPr>
                <w:sz w:val="20"/>
                <w:szCs w:val="20"/>
                <w:color w:val="auto"/>
              </w:rPr>
            </w:pPr>
            <w:r>
              <w:rPr>
                <w:rFonts w:ascii="Arial" w:cs="Arial" w:eastAsia="Arial" w:hAnsi="Arial"/>
                <w:sz w:val="18"/>
                <w:szCs w:val="18"/>
                <w:color w:val="FF0000"/>
                <w:strike w:val="1"/>
                <w:w w:val="99"/>
              </w:rPr>
              <w:t>40</w:t>
            </w:r>
          </w:p>
        </w:tc>
        <w:tc>
          <w:tcPr>
            <w:tcW w:w="180" w:type="dxa"/>
            <w:vAlign w:val="bottom"/>
            <w:tcBorders>
              <w:bottom w:val="single" w:sz="8" w:color="0000FF"/>
            </w:tcBorders>
            <w:gridSpan w:val="5"/>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79"/>
              </w:rPr>
              <w:t>47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40" w:type="dxa"/>
            <w:vAlign w:val="bottom"/>
            <w:tcBorders>
              <w:bottom w:val="single" w:sz="8" w:color="DDDDDD"/>
            </w:tcBorders>
          </w:tcPr>
          <w:p>
            <w:pPr>
              <w:spacing w:after="0"/>
              <w:rPr>
                <w:sz w:val="15"/>
                <w:szCs w:val="15"/>
                <w:color w:val="auto"/>
              </w:rPr>
            </w:pPr>
          </w:p>
        </w:tc>
        <w:tc>
          <w:tcPr>
            <w:tcW w:w="80" w:type="dxa"/>
            <w:vAlign w:val="bottom"/>
            <w:tcBorders>
              <w:bottom w:val="single" w:sz="8" w:color="DDDDDD"/>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20" w:type="dxa"/>
            <w:vAlign w:val="bottom"/>
            <w:gridSpan w:val="2"/>
          </w:tcPr>
          <w:p>
            <w:pPr>
              <w:ind w:left="200"/>
              <w:spacing w:after="0" w:line="162" w:lineRule="exact"/>
              <w:rPr>
                <w:sz w:val="20"/>
                <w:szCs w:val="20"/>
                <w:color w:val="auto"/>
              </w:rPr>
            </w:pPr>
            <w:r>
              <w:rPr>
                <w:rFonts w:ascii="Arial" w:cs="Arial" w:eastAsia="Arial" w:hAnsi="Arial"/>
                <w:sz w:val="18"/>
                <w:szCs w:val="18"/>
                <w:color w:val="auto"/>
              </w:rPr>
              <w:t>1.3</w:t>
            </w:r>
          </w:p>
        </w:tc>
        <w:tc>
          <w:tcPr>
            <w:tcW w:w="3080" w:type="dxa"/>
            <w:vAlign w:val="bottom"/>
            <w:gridSpan w:val="48"/>
          </w:tcPr>
          <w:p>
            <w:pPr>
              <w:ind w:left="120"/>
              <w:spacing w:after="0" w:line="162" w:lineRule="exact"/>
              <w:rPr>
                <w:sz w:val="20"/>
                <w:szCs w:val="20"/>
                <w:color w:val="auto"/>
              </w:rPr>
            </w:pPr>
            <w:r>
              <w:rPr>
                <w:rFonts w:ascii="Arial" w:cs="Arial" w:eastAsia="Arial" w:hAnsi="Arial"/>
                <w:sz w:val="18"/>
                <w:szCs w:val="18"/>
                <w:color w:val="auto"/>
                <w:w w:val="92"/>
              </w:rPr>
              <w:t>Classifications of Loans and Borrowings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right w:val="single" w:sz="8" w:color="DDDDDD"/>
            </w:tcBorders>
            <w:gridSpan w:val="5"/>
          </w:tcPr>
          <w:p>
            <w:pPr>
              <w:jc w:val="right"/>
              <w:spacing w:after="0" w:line="162" w:lineRule="exact"/>
              <w:rPr>
                <w:sz w:val="20"/>
                <w:szCs w:val="20"/>
                <w:color w:val="auto"/>
              </w:rPr>
            </w:pPr>
            <w:r>
              <w:rPr>
                <w:rFonts w:ascii="Arial" w:cs="Arial" w:eastAsia="Arial" w:hAnsi="Arial"/>
                <w:sz w:val="18"/>
                <w:szCs w:val="18"/>
                <w:color w:val="FF0000"/>
                <w:strike w:val="1"/>
                <w:w w:val="79"/>
              </w:rPr>
              <w:t>40</w:t>
            </w:r>
          </w:p>
        </w:tc>
        <w:tc>
          <w:tcPr>
            <w:tcW w:w="160" w:type="dxa"/>
            <w:vAlign w:val="bottom"/>
            <w:tcBorders>
              <w:bottom w:val="single" w:sz="8" w:color="0000FF"/>
            </w:tcBorders>
            <w:gridSpan w:val="4"/>
            <w:shd w:val="clear" w:color="auto" w:fill="DDDDDD"/>
          </w:tcPr>
          <w:p>
            <w:pPr>
              <w:jc w:val="center"/>
              <w:spacing w:after="0" w:line="162" w:lineRule="exact"/>
              <w:rPr>
                <w:sz w:val="20"/>
                <w:szCs w:val="20"/>
                <w:color w:val="auto"/>
              </w:rPr>
            </w:pPr>
            <w:r>
              <w:rPr>
                <w:rFonts w:ascii="Arial" w:cs="Arial" w:eastAsia="Arial" w:hAnsi="Arial"/>
                <w:sz w:val="18"/>
                <w:szCs w:val="18"/>
                <w:color w:val="0000FF"/>
                <w:highlight w:val="lightGray"/>
                <w:w w:val="79"/>
              </w:rPr>
              <w:t>47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1.4</w:t>
            </w:r>
          </w:p>
        </w:tc>
        <w:tc>
          <w:tcPr>
            <w:tcW w:w="2120" w:type="dxa"/>
            <w:vAlign w:val="bottom"/>
            <w:gridSpan w:val="23"/>
          </w:tcPr>
          <w:p>
            <w:pPr>
              <w:ind w:left="120"/>
              <w:spacing w:after="0" w:line="149" w:lineRule="exact"/>
              <w:rPr>
                <w:sz w:val="20"/>
                <w:szCs w:val="20"/>
                <w:color w:val="auto"/>
              </w:rPr>
            </w:pPr>
            <w:r>
              <w:rPr>
                <w:rFonts w:ascii="Arial" w:cs="Arial" w:eastAsia="Arial" w:hAnsi="Arial"/>
                <w:sz w:val="17"/>
                <w:szCs w:val="17"/>
                <w:color w:val="auto"/>
              </w:rPr>
              <w:t>Accounting Terms; GAAP</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7"/>
          </w:tcPr>
          <w:p>
            <w:pPr>
              <w:jc w:val="right"/>
              <w:spacing w:after="0" w:line="149" w:lineRule="exact"/>
              <w:rPr>
                <w:sz w:val="20"/>
                <w:szCs w:val="20"/>
                <w:color w:val="auto"/>
              </w:rPr>
            </w:pPr>
            <w:r>
              <w:rPr>
                <w:rFonts w:ascii="Arial" w:cs="Arial" w:eastAsia="Arial" w:hAnsi="Arial"/>
                <w:sz w:val="17"/>
                <w:szCs w:val="17"/>
                <w:color w:val="FF0000"/>
                <w:strike w:val="1"/>
                <w:w w:val="84"/>
              </w:rPr>
              <w:t>40</w:t>
            </w:r>
          </w:p>
        </w:tc>
        <w:tc>
          <w:tcPr>
            <w:tcW w:w="180" w:type="dxa"/>
            <w:vAlign w:val="bottom"/>
            <w:tcBorders>
              <w:top w:val="single" w:sz="8" w:color="DDDDDD"/>
              <w:bottom w:val="single" w:sz="8" w:color="0000FF"/>
            </w:tcBorders>
            <w:gridSpan w:val="3"/>
            <w:shd w:val="clear" w:color="auto" w:fill="DDDDDD"/>
          </w:tcPr>
          <w:p>
            <w:pPr>
              <w:spacing w:after="0" w:line="149" w:lineRule="exact"/>
              <w:rPr>
                <w:sz w:val="20"/>
                <w:szCs w:val="20"/>
                <w:color w:val="auto"/>
              </w:rPr>
            </w:pPr>
            <w:r>
              <w:rPr>
                <w:rFonts w:ascii="Arial" w:cs="Arial" w:eastAsia="Arial" w:hAnsi="Arial"/>
                <w:sz w:val="17"/>
                <w:szCs w:val="17"/>
                <w:color w:val="0000FF"/>
                <w:highlight w:val="lightGray"/>
                <w:w w:val="84"/>
              </w:rPr>
              <w:t>47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DDDDDD"/>
            </w:tcBorders>
          </w:tcPr>
          <w:p>
            <w:pPr>
              <w:spacing w:after="0"/>
              <w:rPr>
                <w:sz w:val="13"/>
                <w:szCs w:val="13"/>
                <w:color w:val="auto"/>
              </w:rPr>
            </w:pPr>
          </w:p>
        </w:tc>
        <w:tc>
          <w:tcPr>
            <w:tcW w:w="20" w:type="dxa"/>
            <w:vAlign w:val="bottom"/>
            <w:tcBorders>
              <w:bottom w:val="single" w:sz="8" w:color="DDDDDD"/>
            </w:tcBorders>
          </w:tcPr>
          <w:p>
            <w:pPr>
              <w:spacing w:after="0"/>
              <w:rPr>
                <w:sz w:val="13"/>
                <w:szCs w:val="13"/>
                <w:color w:val="auto"/>
              </w:rPr>
            </w:pPr>
          </w:p>
        </w:tc>
        <w:tc>
          <w:tcPr>
            <w:tcW w:w="100" w:type="dxa"/>
            <w:vAlign w:val="bottom"/>
            <w:tcBorders>
              <w:bottom w:val="single" w:sz="8" w:color="DDDDDD"/>
            </w:tcBorders>
          </w:tcPr>
          <w:p>
            <w:pPr>
              <w:spacing w:after="0"/>
              <w:rPr>
                <w:sz w:val="13"/>
                <w:szCs w:val="13"/>
                <w:color w:val="auto"/>
              </w:rPr>
            </w:pPr>
          </w:p>
        </w:tc>
        <w:tc>
          <w:tcPr>
            <w:tcW w:w="20" w:type="dxa"/>
            <w:vAlign w:val="bottom"/>
            <w:tcBorders>
              <w:top w:val="single" w:sz="8" w:color="DDDDDD"/>
              <w:bottom w:val="single" w:sz="8" w:color="DDDDDD"/>
            </w:tcBorders>
          </w:tcPr>
          <w:p>
            <w:pPr>
              <w:spacing w:after="0"/>
              <w:rPr>
                <w:sz w:val="13"/>
                <w:szCs w:val="13"/>
                <w:color w:val="auto"/>
              </w:rPr>
            </w:pPr>
          </w:p>
        </w:tc>
        <w:tc>
          <w:tcPr>
            <w:tcW w:w="20" w:type="dxa"/>
            <w:vAlign w:val="bottom"/>
            <w:tcBorders>
              <w:top w:val="single" w:sz="8" w:color="DDDDDD"/>
              <w:bottom w:val="single" w:sz="8" w:color="DDDDDD"/>
            </w:tcBorders>
          </w:tcPr>
          <w:p>
            <w:pPr>
              <w:spacing w:after="0"/>
              <w:rPr>
                <w:sz w:val="13"/>
                <w:szCs w:val="13"/>
                <w:color w:val="auto"/>
              </w:rPr>
            </w:pPr>
          </w:p>
        </w:tc>
        <w:tc>
          <w:tcPr>
            <w:tcW w:w="40" w:type="dxa"/>
            <w:vAlign w:val="bottom"/>
            <w:tcBorders>
              <w:top w:val="single" w:sz="8" w:color="DDDDDD"/>
            </w:tcBorders>
          </w:tcPr>
          <w:p>
            <w:pPr>
              <w:spacing w:after="0"/>
              <w:rPr>
                <w:sz w:val="13"/>
                <w:szCs w:val="13"/>
                <w:color w:val="auto"/>
              </w:rPr>
            </w:pPr>
          </w:p>
        </w:tc>
        <w:tc>
          <w:tcPr>
            <w:tcW w:w="80" w:type="dxa"/>
            <w:vAlign w:val="bottom"/>
            <w:tcBorders>
              <w:top w:val="single" w:sz="8" w:color="DDDDDD"/>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20" w:type="dxa"/>
            <w:vAlign w:val="bottom"/>
            <w:gridSpan w:val="2"/>
          </w:tcPr>
          <w:p>
            <w:pPr>
              <w:ind w:left="200"/>
              <w:spacing w:after="0" w:line="162" w:lineRule="exact"/>
              <w:rPr>
                <w:sz w:val="20"/>
                <w:szCs w:val="20"/>
                <w:color w:val="auto"/>
              </w:rPr>
            </w:pPr>
            <w:r>
              <w:rPr>
                <w:rFonts w:ascii="Arial" w:cs="Arial" w:eastAsia="Arial" w:hAnsi="Arial"/>
                <w:sz w:val="18"/>
                <w:szCs w:val="18"/>
                <w:color w:val="auto"/>
              </w:rPr>
              <w:t>1.5</w:t>
            </w:r>
          </w:p>
        </w:tc>
        <w:tc>
          <w:tcPr>
            <w:tcW w:w="3080" w:type="dxa"/>
            <w:vAlign w:val="bottom"/>
            <w:gridSpan w:val="48"/>
          </w:tcPr>
          <w:p>
            <w:pPr>
              <w:ind w:left="120"/>
              <w:spacing w:after="0" w:line="162" w:lineRule="exact"/>
              <w:rPr>
                <w:sz w:val="20"/>
                <w:szCs w:val="20"/>
                <w:color w:val="auto"/>
              </w:rPr>
            </w:pPr>
            <w:r>
              <w:rPr>
                <w:rFonts w:ascii="Arial" w:cs="Arial" w:eastAsia="Arial" w:hAnsi="Arial"/>
                <w:sz w:val="18"/>
                <w:szCs w:val="18"/>
                <w:color w:val="auto"/>
                <w:w w:val="95"/>
              </w:rPr>
              <w:t>Interest Rates; Benchmark Notification</w:t>
            </w:r>
          </w:p>
        </w:tc>
        <w:tc>
          <w:tcPr>
            <w:tcW w:w="220" w:type="dxa"/>
            <w:vAlign w:val="bottom"/>
            <w:gridSpan w:val="5"/>
          </w:tcPr>
          <w:p>
            <w:pPr>
              <w:jc w:val="right"/>
              <w:spacing w:after="0" w:line="162" w:lineRule="exact"/>
              <w:rPr>
                <w:sz w:val="20"/>
                <w:szCs w:val="20"/>
                <w:color w:val="auto"/>
              </w:rPr>
            </w:pPr>
            <w:r>
              <w:rPr>
                <w:rFonts w:ascii="Arial" w:cs="Arial" w:eastAsia="Arial" w:hAnsi="Arial"/>
                <w:sz w:val="18"/>
                <w:szCs w:val="18"/>
                <w:color w:val="FF0000"/>
                <w:strike w:val="1"/>
                <w:w w:val="99"/>
              </w:rPr>
              <w:t>41</w:t>
            </w:r>
          </w:p>
        </w:tc>
        <w:tc>
          <w:tcPr>
            <w:tcW w:w="180" w:type="dxa"/>
            <w:vAlign w:val="bottom"/>
            <w:tcBorders>
              <w:bottom w:val="single" w:sz="8" w:color="0000FF"/>
            </w:tcBorders>
            <w:gridSpan w:val="5"/>
            <w:shd w:val="clear" w:color="auto" w:fill="DDDDDD"/>
          </w:tcPr>
          <w:p>
            <w:pPr>
              <w:spacing w:after="0" w:line="162" w:lineRule="exact"/>
              <w:rPr>
                <w:sz w:val="20"/>
                <w:szCs w:val="20"/>
                <w:color w:val="auto"/>
              </w:rPr>
            </w:pPr>
            <w:r>
              <w:rPr>
                <w:rFonts w:ascii="Arial" w:cs="Arial" w:eastAsia="Arial" w:hAnsi="Arial"/>
                <w:sz w:val="18"/>
                <w:szCs w:val="18"/>
                <w:color w:val="0000FF"/>
                <w:highlight w:val="lightGray"/>
                <w:w w:val="79"/>
              </w:rPr>
              <w:t>48</w:t>
            </w:r>
          </w:p>
        </w:tc>
        <w:tc>
          <w:tcPr>
            <w:tcW w:w="40" w:type="dxa"/>
            <w:vAlign w:val="bottom"/>
            <w:tcBorders>
              <w:bottom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1.6</w:t>
            </w:r>
          </w:p>
        </w:tc>
        <w:tc>
          <w:tcPr>
            <w:tcW w:w="1180" w:type="dxa"/>
            <w:vAlign w:val="bottom"/>
            <w:gridSpan w:val="5"/>
          </w:tcPr>
          <w:p>
            <w:pPr>
              <w:ind w:left="120"/>
              <w:spacing w:after="0" w:line="149" w:lineRule="exact"/>
              <w:rPr>
                <w:sz w:val="20"/>
                <w:szCs w:val="20"/>
                <w:color w:val="auto"/>
              </w:rPr>
            </w:pPr>
            <w:r>
              <w:rPr>
                <w:rFonts w:ascii="Arial" w:cs="Arial" w:eastAsia="Arial" w:hAnsi="Arial"/>
                <w:sz w:val="17"/>
                <w:szCs w:val="17"/>
                <w:color w:val="auto"/>
                <w:w w:val="97"/>
              </w:rPr>
              <w:t>Times of Day</w:t>
            </w:r>
          </w:p>
        </w:tc>
        <w:tc>
          <w:tcPr>
            <w:tcW w:w="240" w:type="dxa"/>
            <w:vAlign w:val="bottom"/>
            <w:gridSpan w:val="5"/>
          </w:tcPr>
          <w:p>
            <w:pPr>
              <w:jc w:val="right"/>
              <w:spacing w:after="0" w:line="149" w:lineRule="exact"/>
              <w:rPr>
                <w:sz w:val="20"/>
                <w:szCs w:val="20"/>
                <w:color w:val="auto"/>
              </w:rPr>
            </w:pPr>
            <w:r>
              <w:rPr>
                <w:rFonts w:ascii="Arial" w:cs="Arial" w:eastAsia="Arial" w:hAnsi="Arial"/>
                <w:sz w:val="17"/>
                <w:szCs w:val="17"/>
                <w:color w:val="FF0000"/>
                <w:strike w:val="1"/>
              </w:rPr>
              <w:t>41</w:t>
            </w:r>
          </w:p>
        </w:tc>
        <w:tc>
          <w:tcPr>
            <w:tcW w:w="80" w:type="dxa"/>
            <w:vAlign w:val="bottom"/>
            <w:tcBorders>
              <w:bottom w:val="single" w:sz="8" w:color="0000FF"/>
              <w:right w:val="single" w:sz="8" w:color="DDDDDD"/>
            </w:tcBorders>
          </w:tcPr>
          <w:p>
            <w:pPr>
              <w:spacing w:after="0"/>
              <w:rPr>
                <w:sz w:val="12"/>
                <w:szCs w:val="12"/>
                <w:color w:val="auto"/>
              </w:rPr>
            </w:pPr>
          </w:p>
        </w:tc>
        <w:tc>
          <w:tcPr>
            <w:tcW w:w="140" w:type="dxa"/>
            <w:vAlign w:val="bottom"/>
            <w:tcBorders>
              <w:top w:val="single" w:sz="8" w:color="DDDDDD"/>
              <w:bottom w:val="single" w:sz="8" w:color="0000FF"/>
              <w:right w:val="single" w:sz="8" w:color="DDDDDD"/>
            </w:tcBorders>
            <w:gridSpan w:val="2"/>
            <w:shd w:val="clear" w:color="auto" w:fill="DDDDDD"/>
          </w:tcPr>
          <w:p>
            <w:pPr>
              <w:jc w:val="right"/>
              <w:spacing w:after="0" w:line="149" w:lineRule="exact"/>
              <w:rPr>
                <w:sz w:val="20"/>
                <w:szCs w:val="20"/>
                <w:color w:val="auto"/>
              </w:rPr>
            </w:pPr>
            <w:r>
              <w:rPr>
                <w:rFonts w:ascii="Arial" w:cs="Arial" w:eastAsia="Arial" w:hAnsi="Arial"/>
                <w:sz w:val="15"/>
                <w:szCs w:val="15"/>
                <w:color w:val="0000FF"/>
                <w:highlight w:val="lightGray"/>
                <w:w w:val="71"/>
              </w:rPr>
              <w:t>48</w:t>
            </w:r>
          </w:p>
        </w:tc>
        <w:tc>
          <w:tcPr>
            <w:tcW w:w="1660" w:type="dxa"/>
            <w:vAlign w:val="bottom"/>
            <w:gridSpan w:val="40"/>
          </w:tcPr>
          <w:p>
            <w:pPr>
              <w:spacing w:after="0"/>
              <w:rPr>
                <w:sz w:val="12"/>
                <w:szCs w:val="12"/>
                <w:color w:val="auto"/>
              </w:rPr>
            </w:pPr>
          </w:p>
        </w:tc>
        <w:tc>
          <w:tcPr>
            <w:tcW w:w="180" w:type="dxa"/>
            <w:vAlign w:val="bottom"/>
            <w:tcBorders>
              <w:top w:val="single" w:sz="8" w:color="DDDDDD"/>
            </w:tcBorders>
            <w:gridSpan w:val="5"/>
          </w:tcPr>
          <w:p>
            <w:pPr>
              <w:spacing w:after="0"/>
              <w:rPr>
                <w:sz w:val="12"/>
                <w:szCs w:val="12"/>
                <w:color w:val="auto"/>
              </w:rPr>
            </w:pPr>
          </w:p>
        </w:tc>
        <w:tc>
          <w:tcPr>
            <w:tcW w:w="7240" w:type="dxa"/>
            <w:vAlign w:val="bottom"/>
            <w:gridSpan w:val="2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gridSpan w:val="2"/>
            <w:vMerge w:val="restart"/>
          </w:tcPr>
          <w:p>
            <w:pPr>
              <w:ind w:left="200"/>
              <w:spacing w:after="0" w:line="169" w:lineRule="exact"/>
              <w:rPr>
                <w:sz w:val="20"/>
                <w:szCs w:val="20"/>
                <w:color w:val="auto"/>
              </w:rPr>
            </w:pPr>
            <w:r>
              <w:rPr>
                <w:rFonts w:ascii="Arial" w:cs="Arial" w:eastAsia="Arial" w:hAnsi="Arial"/>
                <w:sz w:val="18"/>
                <w:szCs w:val="18"/>
                <w:color w:val="auto"/>
              </w:rPr>
              <w:t>1.7</w:t>
            </w:r>
          </w:p>
        </w:tc>
        <w:tc>
          <w:tcPr>
            <w:tcW w:w="1500" w:type="dxa"/>
            <w:vAlign w:val="bottom"/>
            <w:tcBorders>
              <w:right w:val="single" w:sz="8" w:color="DDDDDD"/>
            </w:tcBorders>
            <w:gridSpan w:val="11"/>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60" w:type="dxa"/>
            <w:vAlign w:val="bottom"/>
            <w:tcBorders>
              <w:left w:val="single" w:sz="8" w:color="DDDDDD"/>
              <w:right w:val="single" w:sz="8" w:color="DDDDDD"/>
            </w:tcBorders>
            <w:shd w:val="clear" w:color="auto" w:fill="DDDDDD"/>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c>
          <w:tcPr>
            <w:tcW w:w="200" w:type="dxa"/>
            <w:vAlign w:val="bottom"/>
            <w:gridSpan w:val="5"/>
            <w:vMerge w:val="restart"/>
          </w:tcPr>
          <w:p>
            <w:pPr>
              <w:jc w:val="right"/>
              <w:spacing w:after="0" w:line="169" w:lineRule="exact"/>
              <w:rPr>
                <w:sz w:val="20"/>
                <w:szCs w:val="20"/>
                <w:color w:val="auto"/>
              </w:rPr>
            </w:pPr>
            <w:r>
              <w:rPr>
                <w:rFonts w:ascii="Arial" w:cs="Arial" w:eastAsia="Arial" w:hAnsi="Arial"/>
                <w:sz w:val="18"/>
                <w:szCs w:val="18"/>
                <w:color w:val="FF0000"/>
                <w:strike w:val="1"/>
                <w:w w:val="79"/>
              </w:rPr>
              <w:t>41</w:t>
            </w:r>
          </w:p>
        </w:tc>
        <w:tc>
          <w:tcPr>
            <w:tcW w:w="160" w:type="dxa"/>
            <w:vAlign w:val="bottom"/>
            <w:tcBorders>
              <w:right w:val="single" w:sz="8" w:color="DDDDDD"/>
            </w:tcBorders>
            <w:gridSpan w:val="5"/>
            <w:vMerge w:val="restart"/>
            <w:shd w:val="clear" w:color="auto" w:fill="DDDDDD"/>
          </w:tcPr>
          <w:p>
            <w:pPr>
              <w:jc w:val="right"/>
              <w:spacing w:after="0" w:line="169" w:lineRule="exact"/>
              <w:rPr>
                <w:sz w:val="20"/>
                <w:szCs w:val="20"/>
                <w:color w:val="auto"/>
              </w:rPr>
            </w:pPr>
            <w:r>
              <w:rPr>
                <w:rFonts w:ascii="Arial" w:cs="Arial" w:eastAsia="Arial" w:hAnsi="Arial"/>
                <w:sz w:val="17"/>
                <w:szCs w:val="17"/>
                <w:color w:val="0000FF"/>
                <w:highlight w:val="lightGray"/>
                <w:w w:val="73"/>
              </w:rPr>
              <w:t>48</w:t>
            </w:r>
          </w:p>
        </w:tc>
        <w:tc>
          <w:tcPr>
            <w:tcW w:w="40" w:type="dxa"/>
            <w:vAlign w:val="bottom"/>
            <w:vMerge w:val="restart"/>
          </w:tcPr>
          <w:p>
            <w:pPr>
              <w:spacing w:after="0" w:line="20" w:lineRule="exact"/>
              <w:rPr>
                <w:sz w:val="1"/>
                <w:szCs w:val="1"/>
                <w:color w:val="auto"/>
              </w:rPr>
            </w:pPr>
          </w:p>
        </w:tc>
        <w:tc>
          <w:tcPr>
            <w:tcW w:w="8200" w:type="dxa"/>
            <w:vAlign w:val="bottom"/>
            <w:gridSpan w:val="4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 w:type="dxa"/>
            <w:vAlign w:val="bottom"/>
            <w:gridSpan w:val="2"/>
            <w:vMerge w:val="continue"/>
          </w:tcPr>
          <w:p>
            <w:pPr>
              <w:spacing w:after="0"/>
              <w:rPr>
                <w:sz w:val="13"/>
                <w:szCs w:val="13"/>
                <w:color w:val="auto"/>
              </w:rPr>
            </w:pPr>
          </w:p>
        </w:tc>
        <w:tc>
          <w:tcPr>
            <w:tcW w:w="2000" w:type="dxa"/>
            <w:vAlign w:val="bottom"/>
            <w:gridSpan w:val="20"/>
          </w:tcPr>
          <w:p>
            <w:pPr>
              <w:ind w:left="120"/>
              <w:spacing w:after="0" w:line="149" w:lineRule="exact"/>
              <w:rPr>
                <w:sz w:val="20"/>
                <w:szCs w:val="20"/>
                <w:color w:val="auto"/>
              </w:rPr>
            </w:pPr>
            <w:r>
              <w:rPr>
                <w:rFonts w:ascii="Arial" w:cs="Arial" w:eastAsia="Arial" w:hAnsi="Arial"/>
                <w:sz w:val="17"/>
                <w:szCs w:val="17"/>
                <w:color w:val="auto"/>
              </w:rPr>
              <w:t>Letter of Credit Amounts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5"/>
            <w:vMerge w:val="continue"/>
          </w:tcPr>
          <w:p>
            <w:pPr>
              <w:spacing w:after="0"/>
              <w:rPr>
                <w:sz w:val="13"/>
                <w:szCs w:val="13"/>
                <w:color w:val="auto"/>
              </w:rPr>
            </w:pPr>
          </w:p>
        </w:tc>
        <w:tc>
          <w:tcPr>
            <w:tcW w:w="160" w:type="dxa"/>
            <w:vAlign w:val="bottom"/>
            <w:tcBorders>
              <w:right w:val="single" w:sz="8" w:color="DDDDDD"/>
            </w:tcBorders>
            <w:gridSpan w:val="5"/>
            <w:vMerge w:val="continue"/>
            <w:shd w:val="clear" w:color="auto" w:fill="DDDDDD"/>
          </w:tcPr>
          <w:p>
            <w:pPr>
              <w:spacing w:after="0"/>
              <w:rPr>
                <w:sz w:val="13"/>
                <w:szCs w:val="13"/>
                <w:color w:val="auto"/>
              </w:rPr>
            </w:pPr>
          </w:p>
        </w:tc>
        <w:tc>
          <w:tcPr>
            <w:tcW w:w="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20" w:type="dxa"/>
            <w:vAlign w:val="bottom"/>
            <w:gridSpan w:val="2"/>
          </w:tcPr>
          <w:p>
            <w:pPr>
              <w:ind w:left="200"/>
              <w:spacing w:after="0" w:line="162" w:lineRule="exact"/>
              <w:rPr>
                <w:sz w:val="20"/>
                <w:szCs w:val="20"/>
                <w:color w:val="auto"/>
              </w:rPr>
            </w:pPr>
            <w:r>
              <w:rPr>
                <w:rFonts w:ascii="Arial" w:cs="Arial" w:eastAsia="Arial" w:hAnsi="Arial"/>
                <w:sz w:val="18"/>
                <w:szCs w:val="18"/>
                <w:color w:val="auto"/>
              </w:rPr>
              <w:t>1.8</w:t>
            </w:r>
          </w:p>
        </w:tc>
        <w:tc>
          <w:tcPr>
            <w:tcW w:w="1000" w:type="dxa"/>
            <w:vAlign w:val="bottom"/>
            <w:gridSpan w:val="3"/>
          </w:tcPr>
          <w:p>
            <w:pPr>
              <w:ind w:left="120"/>
              <w:spacing w:after="0" w:line="162" w:lineRule="exact"/>
              <w:rPr>
                <w:sz w:val="20"/>
                <w:szCs w:val="20"/>
                <w:color w:val="auto"/>
              </w:rPr>
            </w:pPr>
            <w:r>
              <w:rPr>
                <w:rFonts w:ascii="Arial" w:cs="Arial" w:eastAsia="Arial" w:hAnsi="Arial"/>
                <w:sz w:val="18"/>
                <w:szCs w:val="18"/>
                <w:color w:val="auto"/>
              </w:rPr>
              <w:t>Divisions</w:t>
            </w:r>
          </w:p>
        </w:tc>
        <w:tc>
          <w:tcPr>
            <w:tcW w:w="180" w:type="dxa"/>
            <w:vAlign w:val="bottom"/>
            <w:gridSpan w:val="2"/>
          </w:tcPr>
          <w:p>
            <w:pPr>
              <w:jc w:val="right"/>
              <w:spacing w:after="0" w:line="162" w:lineRule="exact"/>
              <w:rPr>
                <w:sz w:val="20"/>
                <w:szCs w:val="20"/>
                <w:color w:val="auto"/>
              </w:rPr>
            </w:pPr>
            <w:r>
              <w:rPr>
                <w:rFonts w:ascii="Arial" w:cs="Arial" w:eastAsia="Arial" w:hAnsi="Arial"/>
                <w:sz w:val="18"/>
                <w:szCs w:val="18"/>
                <w:color w:val="FF0000"/>
                <w:strike w:val="1"/>
                <w:w w:val="79"/>
              </w:rPr>
              <w:t>41</w:t>
            </w:r>
          </w:p>
        </w:tc>
        <w:tc>
          <w:tcPr>
            <w:tcW w:w="180" w:type="dxa"/>
            <w:vAlign w:val="bottom"/>
            <w:tcBorders>
              <w:top w:val="single" w:sz="8" w:color="DDDDDD"/>
              <w:bottom w:val="single" w:sz="8" w:color="0000FF"/>
            </w:tcBorders>
            <w:gridSpan w:val="3"/>
            <w:shd w:val="clear" w:color="auto" w:fill="DDDDDD"/>
          </w:tcPr>
          <w:p>
            <w:pPr>
              <w:spacing w:after="0" w:line="162" w:lineRule="exact"/>
              <w:rPr>
                <w:sz w:val="20"/>
                <w:szCs w:val="20"/>
                <w:color w:val="auto"/>
              </w:rPr>
            </w:pPr>
            <w:r>
              <w:rPr>
                <w:rFonts w:ascii="Arial" w:cs="Arial" w:eastAsia="Arial" w:hAnsi="Arial"/>
                <w:sz w:val="18"/>
                <w:szCs w:val="18"/>
                <w:color w:val="0000FF"/>
                <w:highlight w:val="lightGray"/>
                <w:w w:val="79"/>
              </w:rPr>
              <w:t>48</w:t>
            </w:r>
          </w:p>
        </w:tc>
        <w:tc>
          <w:tcPr>
            <w:tcW w:w="860" w:type="dxa"/>
            <w:vAlign w:val="bottom"/>
            <w:gridSpan w:val="17"/>
          </w:tcPr>
          <w:p>
            <w:pPr>
              <w:spacing w:after="0"/>
              <w:rPr>
                <w:sz w:val="14"/>
                <w:szCs w:val="14"/>
                <w:color w:val="auto"/>
              </w:rPr>
            </w:pPr>
          </w:p>
        </w:tc>
        <w:tc>
          <w:tcPr>
            <w:tcW w:w="100" w:type="dxa"/>
            <w:vAlign w:val="bottom"/>
            <w:tcBorders>
              <w:bottom w:val="single" w:sz="8" w:color="DDDDDD"/>
            </w:tcBorders>
            <w:gridSpan w:val="3"/>
          </w:tcPr>
          <w:p>
            <w:pPr>
              <w:spacing w:after="0"/>
              <w:rPr>
                <w:sz w:val="14"/>
                <w:szCs w:val="14"/>
                <w:color w:val="auto"/>
              </w:rPr>
            </w:pPr>
          </w:p>
        </w:tc>
        <w:tc>
          <w:tcPr>
            <w:tcW w:w="60" w:type="dxa"/>
            <w:vAlign w:val="bottom"/>
            <w:tcBorders>
              <w:top w:val="single" w:sz="8" w:color="0000FF"/>
              <w:bottom w:val="single" w:sz="8" w:color="DDDDDD"/>
            </w:tcBorders>
            <w:gridSpan w:val="3"/>
          </w:tcPr>
          <w:p>
            <w:pPr>
              <w:spacing w:after="0"/>
              <w:rPr>
                <w:sz w:val="14"/>
                <w:szCs w:val="14"/>
                <w:color w:val="auto"/>
              </w:rPr>
            </w:pPr>
          </w:p>
        </w:tc>
        <w:tc>
          <w:tcPr>
            <w:tcW w:w="140" w:type="dxa"/>
            <w:vAlign w:val="bottom"/>
            <w:tcBorders>
              <w:top w:val="single" w:sz="8" w:color="0000FF"/>
            </w:tcBorders>
            <w:gridSpan w:val="3"/>
          </w:tcPr>
          <w:p>
            <w:pPr>
              <w:spacing w:after="0"/>
              <w:rPr>
                <w:sz w:val="14"/>
                <w:szCs w:val="14"/>
                <w:color w:val="auto"/>
              </w:rPr>
            </w:pPr>
          </w:p>
        </w:tc>
        <w:tc>
          <w:tcPr>
            <w:tcW w:w="8200" w:type="dxa"/>
            <w:vAlign w:val="bottom"/>
            <w:gridSpan w:val="4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gridSpan w:val="2"/>
          </w:tcPr>
          <w:p>
            <w:pPr>
              <w:ind w:left="200"/>
              <w:spacing w:after="0" w:line="162" w:lineRule="exact"/>
              <w:rPr>
                <w:sz w:val="20"/>
                <w:szCs w:val="20"/>
                <w:color w:val="auto"/>
              </w:rPr>
            </w:pPr>
            <w:r>
              <w:rPr>
                <w:rFonts w:ascii="Arial" w:cs="Arial" w:eastAsia="Arial" w:hAnsi="Arial"/>
                <w:sz w:val="18"/>
                <w:szCs w:val="18"/>
                <w:color w:val="auto"/>
              </w:rPr>
              <w:t>1.9</w:t>
            </w:r>
          </w:p>
        </w:tc>
        <w:tc>
          <w:tcPr>
            <w:tcW w:w="2000" w:type="dxa"/>
            <w:vAlign w:val="bottom"/>
            <w:gridSpan w:val="20"/>
          </w:tcPr>
          <w:p>
            <w:pPr>
              <w:ind w:left="120"/>
              <w:spacing w:after="0" w:line="162" w:lineRule="exact"/>
              <w:rPr>
                <w:sz w:val="20"/>
                <w:szCs w:val="20"/>
                <w:color w:val="auto"/>
              </w:rPr>
            </w:pPr>
            <w:r>
              <w:rPr>
                <w:rFonts w:ascii="Arial" w:cs="Arial" w:eastAsia="Arial" w:hAnsi="Arial"/>
                <w:sz w:val="18"/>
                <w:szCs w:val="18"/>
                <w:color w:val="auto"/>
                <w:w w:val="98"/>
              </w:rPr>
              <w:t>Pro Forma Calculations</w:t>
            </w:r>
          </w:p>
        </w:tc>
        <w:tc>
          <w:tcPr>
            <w:tcW w:w="220" w:type="dxa"/>
            <w:vAlign w:val="bottom"/>
            <w:gridSpan w:val="5"/>
          </w:tcPr>
          <w:p>
            <w:pPr>
              <w:jc w:val="right"/>
              <w:spacing w:after="0" w:line="162" w:lineRule="exact"/>
              <w:rPr>
                <w:sz w:val="20"/>
                <w:szCs w:val="20"/>
                <w:color w:val="auto"/>
              </w:rPr>
            </w:pPr>
            <w:r>
              <w:rPr>
                <w:rFonts w:ascii="Arial" w:cs="Arial" w:eastAsia="Arial" w:hAnsi="Arial"/>
                <w:sz w:val="18"/>
                <w:szCs w:val="18"/>
                <w:color w:val="FF0000"/>
                <w:strike w:val="1"/>
                <w:w w:val="89"/>
              </w:rPr>
              <w:t>41</w:t>
            </w:r>
          </w:p>
        </w:tc>
        <w:tc>
          <w:tcPr>
            <w:tcW w:w="160" w:type="dxa"/>
            <w:vAlign w:val="bottom"/>
            <w:tcBorders>
              <w:bottom w:val="single" w:sz="8" w:color="0000FF"/>
            </w:tcBorders>
            <w:gridSpan w:val="6"/>
            <w:shd w:val="clear" w:color="auto" w:fill="DDDDDD"/>
          </w:tcPr>
          <w:p>
            <w:pPr>
              <w:jc w:val="right"/>
              <w:spacing w:after="0" w:line="162" w:lineRule="exact"/>
              <w:rPr>
                <w:sz w:val="20"/>
                <w:szCs w:val="20"/>
                <w:color w:val="auto"/>
              </w:rPr>
            </w:pPr>
            <w:r>
              <w:rPr>
                <w:rFonts w:ascii="Arial" w:cs="Arial" w:eastAsia="Arial" w:hAnsi="Arial"/>
                <w:sz w:val="17"/>
                <w:szCs w:val="17"/>
                <w:color w:val="0000FF"/>
                <w:highlight w:val="lightGray"/>
                <w:w w:val="73"/>
              </w:rPr>
              <w:t>48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320" w:type="dxa"/>
            <w:vAlign w:val="bottom"/>
            <w:tcBorders>
              <w:bottom w:val="single" w:sz="8" w:color="0000FF"/>
            </w:tcBorders>
            <w:shd w:val="clear" w:color="auto" w:fill="DDDDDD"/>
          </w:tcPr>
          <w:p>
            <w:pPr>
              <w:spacing w:after="0" w:line="169" w:lineRule="exact"/>
              <w:rPr>
                <w:sz w:val="20"/>
                <w:szCs w:val="20"/>
                <w:color w:val="auto"/>
              </w:rPr>
            </w:pPr>
            <w:r>
              <w:rPr>
                <w:rFonts w:ascii="Arial" w:cs="Arial" w:eastAsia="Arial" w:hAnsi="Arial"/>
                <w:sz w:val="18"/>
                <w:szCs w:val="18"/>
                <w:color w:val="0000FF"/>
                <w:highlight w:val="lightGray"/>
                <w:w w:val="85"/>
              </w:rPr>
              <w:t>1.</w:t>
            </w:r>
            <w:r>
              <w:rPr>
                <w:rFonts w:ascii="Arial" w:cs="Arial" w:eastAsia="Arial" w:hAnsi="Arial"/>
                <w:sz w:val="18"/>
                <w:szCs w:val="18"/>
                <w:u w:val="single" w:color="auto"/>
                <w:color w:val="0000FF"/>
                <w:highlight w:val="lightGray"/>
                <w:w w:val="85"/>
              </w:rPr>
              <w:t>10</w:t>
            </w:r>
          </w:p>
        </w:tc>
        <w:tc>
          <w:tcPr>
            <w:tcW w:w="220" w:type="dxa"/>
            <w:vAlign w:val="bottom"/>
          </w:tcPr>
          <w:p>
            <w:pPr>
              <w:spacing w:after="0"/>
              <w:rPr>
                <w:sz w:val="15"/>
                <w:szCs w:val="15"/>
                <w:color w:val="auto"/>
              </w:rPr>
            </w:pPr>
          </w:p>
        </w:tc>
        <w:tc>
          <w:tcPr>
            <w:tcW w:w="2000" w:type="dxa"/>
            <w:vAlign w:val="bottom"/>
            <w:tcBorders>
              <w:bottom w:val="single" w:sz="8" w:color="0000FF"/>
              <w:right w:val="single" w:sz="8" w:color="DDDDDD"/>
            </w:tcBorders>
            <w:gridSpan w:val="24"/>
            <w:shd w:val="clear" w:color="auto" w:fill="DDDDDD"/>
          </w:tcPr>
          <w:p>
            <w:pPr>
              <w:spacing w:after="0" w:line="169" w:lineRule="exact"/>
              <w:rPr>
                <w:sz w:val="20"/>
                <w:szCs w:val="20"/>
                <w:color w:val="auto"/>
              </w:rPr>
            </w:pPr>
            <w:r>
              <w:rPr>
                <w:rFonts w:ascii="Arial" w:cs="Arial" w:eastAsia="Arial" w:hAnsi="Arial"/>
                <w:sz w:val="18"/>
                <w:szCs w:val="18"/>
                <w:color w:val="0000FF"/>
                <w:highlight w:val="lightGray"/>
                <w:w w:val="91"/>
              </w:rPr>
              <w:t>Exchange Rates; Currency</w:t>
            </w:r>
          </w:p>
        </w:tc>
        <w:tc>
          <w:tcPr>
            <w:tcW w:w="80" w:type="dxa"/>
            <w:vAlign w:val="bottom"/>
            <w:tcBorders>
              <w:bottom w:val="single" w:sz="8" w:color="0000FF"/>
            </w:tcBorders>
            <w:gridSpan w:val="2"/>
            <w:shd w:val="clear" w:color="auto" w:fill="DDDDDD"/>
          </w:tcPr>
          <w:p>
            <w:pPr>
              <w:spacing w:after="0"/>
              <w:rPr>
                <w:sz w:val="15"/>
                <w:szCs w:val="15"/>
                <w:color w:val="auto"/>
              </w:rPr>
            </w:pPr>
          </w:p>
        </w:tc>
        <w:tc>
          <w:tcPr>
            <w:tcW w:w="20" w:type="dxa"/>
            <w:vAlign w:val="bottom"/>
            <w:tcBorders>
              <w:bottom w:val="single" w:sz="8" w:color="0000FF"/>
            </w:tcBorders>
            <w:shd w:val="clear" w:color="auto" w:fill="DDDDDD"/>
          </w:tcPr>
          <w:p>
            <w:pPr>
              <w:spacing w:after="0"/>
              <w:rPr>
                <w:sz w:val="15"/>
                <w:szCs w:val="15"/>
                <w:color w:val="auto"/>
              </w:rPr>
            </w:pPr>
          </w:p>
        </w:tc>
        <w:tc>
          <w:tcPr>
            <w:tcW w:w="20" w:type="dxa"/>
            <w:vAlign w:val="bottom"/>
            <w:tcBorders>
              <w:bottom w:val="single" w:sz="8" w:color="0000FF"/>
            </w:tcBorders>
            <w:shd w:val="clear" w:color="auto" w:fill="DDDDDD"/>
          </w:tcPr>
          <w:p>
            <w:pPr>
              <w:spacing w:after="0"/>
              <w:rPr>
                <w:sz w:val="15"/>
                <w:szCs w:val="15"/>
                <w:color w:val="auto"/>
              </w:rPr>
            </w:pPr>
          </w:p>
        </w:tc>
        <w:tc>
          <w:tcPr>
            <w:tcW w:w="20" w:type="dxa"/>
            <w:vAlign w:val="bottom"/>
            <w:tcBorders>
              <w:bottom w:val="single" w:sz="8" w:color="0000FF"/>
            </w:tcBorders>
            <w:shd w:val="clear" w:color="auto" w:fill="DDDDDD"/>
          </w:tcPr>
          <w:p>
            <w:pPr>
              <w:spacing w:after="0"/>
              <w:rPr>
                <w:sz w:val="15"/>
                <w:szCs w:val="15"/>
                <w:color w:val="auto"/>
              </w:rPr>
            </w:pPr>
          </w:p>
        </w:tc>
        <w:tc>
          <w:tcPr>
            <w:tcW w:w="20" w:type="dxa"/>
            <w:vAlign w:val="bottom"/>
            <w:tcBorders>
              <w:bottom w:val="single" w:sz="8" w:color="0000FF"/>
            </w:tcBorders>
            <w:shd w:val="clear" w:color="auto" w:fill="DDDDDD"/>
          </w:tcPr>
          <w:p>
            <w:pPr>
              <w:spacing w:after="0"/>
              <w:rPr>
                <w:sz w:val="15"/>
                <w:szCs w:val="15"/>
                <w:color w:val="auto"/>
              </w:rPr>
            </w:pPr>
          </w:p>
        </w:tc>
        <w:tc>
          <w:tcPr>
            <w:tcW w:w="700" w:type="dxa"/>
            <w:vAlign w:val="bottom"/>
            <w:tcBorders>
              <w:bottom w:val="single" w:sz="8" w:color="0000FF"/>
            </w:tcBorders>
            <w:gridSpan w:val="17"/>
            <w:shd w:val="clear" w:color="auto" w:fill="DDDDDD"/>
          </w:tcPr>
          <w:p>
            <w:pPr>
              <w:spacing w:after="0" w:line="169" w:lineRule="exact"/>
              <w:rPr>
                <w:sz w:val="20"/>
                <w:szCs w:val="20"/>
                <w:color w:val="auto"/>
              </w:rPr>
            </w:pPr>
            <w:r>
              <w:rPr>
                <w:rFonts w:ascii="Arial" w:cs="Arial" w:eastAsia="Arial" w:hAnsi="Arial"/>
                <w:sz w:val="17"/>
                <w:szCs w:val="17"/>
                <w:color w:val="0000FF"/>
                <w:highlight w:val="lightGray"/>
                <w:w w:val="73"/>
              </w:rPr>
              <w:t>Equivalents.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80" w:type="dxa"/>
            <w:vAlign w:val="bottom"/>
            <w:tcBorders>
              <w:bottom w:val="single" w:sz="8" w:color="0000FF"/>
              <w:right w:val="single" w:sz="8" w:color="DDDDDD"/>
            </w:tcBorders>
            <w:gridSpan w:val="4"/>
            <w:shd w:val="clear" w:color="auto" w:fill="DDDDDD"/>
          </w:tcPr>
          <w:p>
            <w:pPr>
              <w:jc w:val="right"/>
              <w:spacing w:after="0" w:line="169" w:lineRule="exact"/>
              <w:rPr>
                <w:sz w:val="20"/>
                <w:szCs w:val="20"/>
                <w:color w:val="auto"/>
              </w:rPr>
            </w:pPr>
            <w:r>
              <w:rPr>
                <w:rFonts w:ascii="Arial" w:cs="Arial" w:eastAsia="Arial" w:hAnsi="Arial"/>
                <w:sz w:val="17"/>
                <w:szCs w:val="17"/>
                <w:color w:val="0000FF"/>
                <w:highlight w:val="lightGray"/>
                <w:w w:val="73"/>
              </w:rPr>
              <w:t>49</w:t>
            </w: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60" w:type="dxa"/>
            <w:vAlign w:val="bottom"/>
            <w:gridSpan w:val="70"/>
            <w:vMerge w:val="restart"/>
          </w:tcPr>
          <w:p>
            <w:pPr>
              <w:spacing w:after="0"/>
              <w:rPr>
                <w:sz w:val="20"/>
                <w:szCs w:val="20"/>
                <w:color w:val="auto"/>
              </w:rPr>
            </w:pPr>
            <w:r>
              <w:rPr>
                <w:rFonts w:ascii="Arial" w:cs="Arial" w:eastAsia="Arial" w:hAnsi="Arial"/>
                <w:sz w:val="18"/>
                <w:szCs w:val="18"/>
                <w:color w:val="auto"/>
                <w:w w:val="99"/>
              </w:rPr>
              <w:t>SECTION 2.   AMOUNT AND TERMS OF COMMITMENTS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4"/>
            <w:vMerge w:val="restart"/>
          </w:tcPr>
          <w:p>
            <w:pPr>
              <w:jc w:val="right"/>
              <w:spacing w:after="0"/>
              <w:rPr>
                <w:sz w:val="20"/>
                <w:szCs w:val="20"/>
                <w:color w:val="auto"/>
              </w:rPr>
            </w:pPr>
            <w:r>
              <w:rPr>
                <w:rFonts w:ascii="Arial" w:cs="Arial" w:eastAsia="Arial" w:hAnsi="Arial"/>
                <w:sz w:val="18"/>
                <w:szCs w:val="18"/>
                <w:color w:val="FF0000"/>
                <w:strike w:val="1"/>
                <w:w w:val="79"/>
              </w:rPr>
              <w:t>42</w:t>
            </w:r>
          </w:p>
        </w:tc>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gridSpan w:val="70"/>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4"/>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160" w:type="dxa"/>
            <w:vAlign w:val="bottom"/>
            <w:tcBorders>
              <w:left w:val="single" w:sz="8" w:color="DDDDDD"/>
              <w:bottom w:val="single" w:sz="8" w:color="0000FF"/>
            </w:tcBorders>
            <w:shd w:val="clear" w:color="auto" w:fill="DDDDDD"/>
          </w:tcPr>
          <w:p>
            <w:pPr>
              <w:jc w:val="right"/>
              <w:spacing w:after="0" w:line="176" w:lineRule="exact"/>
              <w:rPr>
                <w:sz w:val="20"/>
                <w:szCs w:val="20"/>
                <w:color w:val="auto"/>
              </w:rPr>
            </w:pPr>
            <w:r>
              <w:rPr>
                <w:rFonts w:ascii="Arial" w:cs="Arial" w:eastAsia="Arial" w:hAnsi="Arial"/>
                <w:sz w:val="17"/>
                <w:szCs w:val="17"/>
                <w:color w:val="0000FF"/>
                <w:highlight w:val="lightGray"/>
                <w:w w:val="73"/>
              </w:rPr>
              <w:t>50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2.1</w:t>
            </w:r>
          </w:p>
        </w:tc>
        <w:tc>
          <w:tcPr>
            <w:tcW w:w="2800" w:type="dxa"/>
            <w:vAlign w:val="bottom"/>
            <w:gridSpan w:val="41"/>
          </w:tcPr>
          <w:p>
            <w:pPr>
              <w:ind w:left="120"/>
              <w:spacing w:after="0" w:line="149" w:lineRule="exact"/>
              <w:rPr>
                <w:sz w:val="20"/>
                <w:szCs w:val="20"/>
                <w:color w:val="auto"/>
              </w:rPr>
            </w:pPr>
            <w:r>
              <w:rPr>
                <w:rFonts w:ascii="Arial" w:cs="Arial" w:eastAsia="Arial" w:hAnsi="Arial"/>
                <w:sz w:val="17"/>
                <w:szCs w:val="17"/>
                <w:color w:val="auto"/>
              </w:rPr>
              <w:t>Delayed Draw Term Commitments</w:t>
            </w:r>
          </w:p>
        </w:tc>
        <w:tc>
          <w:tcPr>
            <w:tcW w:w="220" w:type="dxa"/>
            <w:vAlign w:val="bottom"/>
            <w:gridSpan w:val="5"/>
          </w:tcPr>
          <w:p>
            <w:pPr>
              <w:jc w:val="right"/>
              <w:spacing w:after="0" w:line="149" w:lineRule="exact"/>
              <w:rPr>
                <w:sz w:val="20"/>
                <w:szCs w:val="20"/>
                <w:color w:val="auto"/>
              </w:rPr>
            </w:pPr>
            <w:r>
              <w:rPr>
                <w:rFonts w:ascii="Arial" w:cs="Arial" w:eastAsia="Arial" w:hAnsi="Arial"/>
                <w:sz w:val="17"/>
                <w:szCs w:val="17"/>
                <w:color w:val="FF0000"/>
                <w:strike w:val="1"/>
              </w:rPr>
              <w:t>42</w:t>
            </w:r>
          </w:p>
        </w:tc>
        <w:tc>
          <w:tcPr>
            <w:tcW w:w="180" w:type="dxa"/>
            <w:vAlign w:val="bottom"/>
            <w:tcBorders>
              <w:top w:val="single" w:sz="8" w:color="DDDDDD"/>
              <w:bottom w:val="single" w:sz="8" w:color="0000FF"/>
            </w:tcBorders>
            <w:gridSpan w:val="4"/>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84"/>
              </w:rPr>
              <w:t>50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DDDDDD"/>
            </w:tcBorders>
          </w:tcPr>
          <w:p>
            <w:pPr>
              <w:spacing w:after="0"/>
              <w:rPr>
                <w:sz w:val="13"/>
                <w:szCs w:val="13"/>
                <w:color w:val="auto"/>
              </w:rPr>
            </w:pPr>
          </w:p>
        </w:tc>
        <w:tc>
          <w:tcPr>
            <w:tcW w:w="80" w:type="dxa"/>
            <w:vAlign w:val="bottom"/>
            <w:tcBorders>
              <w:bottom w:val="single" w:sz="8" w:color="DDDDDD"/>
            </w:tcBorders>
          </w:tcPr>
          <w:p>
            <w:pPr>
              <w:spacing w:after="0"/>
              <w:rPr>
                <w:sz w:val="13"/>
                <w:szCs w:val="13"/>
                <w:color w:val="auto"/>
              </w:rPr>
            </w:pPr>
          </w:p>
        </w:tc>
        <w:tc>
          <w:tcPr>
            <w:tcW w:w="60" w:type="dxa"/>
            <w:vAlign w:val="bottom"/>
            <w:tcBorders>
              <w:bottom w:val="single" w:sz="8" w:color="DDDDDD"/>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DDDDDD"/>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 w:type="dxa"/>
            <w:vAlign w:val="bottom"/>
            <w:gridSpan w:val="2"/>
          </w:tcPr>
          <w:p>
            <w:pPr>
              <w:ind w:left="200"/>
              <w:spacing w:after="0" w:line="162" w:lineRule="exact"/>
              <w:rPr>
                <w:sz w:val="20"/>
                <w:szCs w:val="20"/>
                <w:color w:val="auto"/>
              </w:rPr>
            </w:pPr>
            <w:r>
              <w:rPr>
                <w:rFonts w:ascii="Arial" w:cs="Arial" w:eastAsia="Arial" w:hAnsi="Arial"/>
                <w:sz w:val="18"/>
                <w:szCs w:val="18"/>
                <w:color w:val="auto"/>
              </w:rPr>
              <w:t>2.2</w:t>
            </w:r>
          </w:p>
        </w:tc>
        <w:tc>
          <w:tcPr>
            <w:tcW w:w="3020" w:type="dxa"/>
            <w:vAlign w:val="bottom"/>
            <w:gridSpan w:val="46"/>
          </w:tcPr>
          <w:p>
            <w:pPr>
              <w:ind w:left="120"/>
              <w:spacing w:after="0" w:line="162" w:lineRule="exact"/>
              <w:rPr>
                <w:sz w:val="20"/>
                <w:szCs w:val="20"/>
                <w:color w:val="auto"/>
              </w:rPr>
            </w:pPr>
            <w:r>
              <w:rPr>
                <w:rFonts w:ascii="Arial" w:cs="Arial" w:eastAsia="Arial" w:hAnsi="Arial"/>
                <w:sz w:val="18"/>
                <w:szCs w:val="18"/>
                <w:color w:val="auto"/>
                <w:w w:val="90"/>
              </w:rPr>
              <w:t>Procedure for Delayed Draw Term Loan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15"/>
          </w:tcPr>
          <w:p>
            <w:pPr>
              <w:jc w:val="center"/>
              <w:ind w:right="16"/>
              <w:spacing w:after="0" w:line="162" w:lineRule="exact"/>
              <w:rPr>
                <w:sz w:val="20"/>
                <w:szCs w:val="20"/>
                <w:color w:val="auto"/>
              </w:rPr>
            </w:pPr>
            <w:r>
              <w:rPr>
                <w:rFonts w:ascii="Arial" w:cs="Arial" w:eastAsia="Arial" w:hAnsi="Arial"/>
                <w:sz w:val="18"/>
                <w:szCs w:val="18"/>
                <w:color w:val="auto"/>
                <w:w w:val="81"/>
              </w:rPr>
              <w:t>Borrowing</w:t>
            </w:r>
          </w:p>
        </w:tc>
        <w:tc>
          <w:tcPr>
            <w:tcW w:w="280" w:type="dxa"/>
            <w:vAlign w:val="bottom"/>
            <w:tcBorders>
              <w:right w:val="single" w:sz="8" w:color="DDDDDD"/>
            </w:tcBorders>
            <w:gridSpan w:val="3"/>
          </w:tcPr>
          <w:p>
            <w:pPr>
              <w:jc w:val="right"/>
              <w:spacing w:after="0" w:line="162" w:lineRule="exact"/>
              <w:rPr>
                <w:sz w:val="20"/>
                <w:szCs w:val="20"/>
                <w:color w:val="auto"/>
              </w:rPr>
            </w:pPr>
            <w:r>
              <w:rPr>
                <w:rFonts w:ascii="Arial" w:cs="Arial" w:eastAsia="Arial" w:hAnsi="Arial"/>
                <w:sz w:val="18"/>
                <w:szCs w:val="18"/>
                <w:color w:val="FF0000"/>
                <w:strike w:val="1"/>
              </w:rPr>
              <w:t>43</w:t>
            </w:r>
          </w:p>
        </w:tc>
        <w:tc>
          <w:tcPr>
            <w:tcW w:w="180" w:type="dxa"/>
            <w:vAlign w:val="bottom"/>
            <w:tcBorders>
              <w:bottom w:val="single" w:sz="8" w:color="0000FF"/>
              <w:right w:val="single" w:sz="8" w:color="DDDDDD"/>
            </w:tcBorders>
            <w:gridSpan w:val="3"/>
            <w:shd w:val="clear" w:color="auto" w:fill="DDDDDD"/>
          </w:tcPr>
          <w:p>
            <w:pPr>
              <w:jc w:val="right"/>
              <w:spacing w:after="0" w:line="162" w:lineRule="exact"/>
              <w:rPr>
                <w:sz w:val="20"/>
                <w:szCs w:val="20"/>
                <w:color w:val="auto"/>
              </w:rPr>
            </w:pPr>
            <w:r>
              <w:rPr>
                <w:rFonts w:ascii="Arial" w:cs="Arial" w:eastAsia="Arial" w:hAnsi="Arial"/>
                <w:sz w:val="17"/>
                <w:szCs w:val="17"/>
                <w:color w:val="0000FF"/>
                <w:highlight w:val="lightGray"/>
                <w:w w:val="73"/>
              </w:rPr>
              <w:t>50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gridSpan w:val="2"/>
            <w:vMerge w:val="restart"/>
          </w:tcPr>
          <w:p>
            <w:pPr>
              <w:ind w:left="200"/>
              <w:spacing w:after="0" w:line="169" w:lineRule="exact"/>
              <w:rPr>
                <w:sz w:val="20"/>
                <w:szCs w:val="20"/>
                <w:color w:val="auto"/>
              </w:rPr>
            </w:pPr>
            <w:r>
              <w:rPr>
                <w:rFonts w:ascii="Arial" w:cs="Arial" w:eastAsia="Arial" w:hAnsi="Arial"/>
                <w:sz w:val="18"/>
                <w:szCs w:val="18"/>
                <w:color w:val="auto"/>
              </w:rPr>
              <w:t>2.3</w:t>
            </w:r>
          </w:p>
        </w:tc>
        <w:tc>
          <w:tcPr>
            <w:tcW w:w="4240" w:type="dxa"/>
            <w:vAlign w:val="bottom"/>
            <w:tcBorders>
              <w:right w:val="single" w:sz="8" w:color="DDDDDD"/>
            </w:tcBorders>
            <w:gridSpan w:val="68"/>
          </w:tcPr>
          <w:p>
            <w:pPr>
              <w:spacing w:after="0" w:line="20" w:lineRule="exact"/>
              <w:rPr>
                <w:sz w:val="1"/>
                <w:szCs w:val="1"/>
                <w:color w:val="auto"/>
              </w:rPr>
            </w:pPr>
          </w:p>
        </w:tc>
        <w:tc>
          <w:tcPr>
            <w:tcW w:w="180" w:type="dxa"/>
            <w:vAlign w:val="bottom"/>
            <w:tcBorders>
              <w:right w:val="single" w:sz="8" w:color="DDDDDD"/>
            </w:tcBorders>
            <w:gridSpan w:val="3"/>
            <w:shd w:val="clear" w:color="auto" w:fill="DDDDDD"/>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gridSpan w:val="2"/>
            <w:vMerge w:val="continue"/>
          </w:tcPr>
          <w:p>
            <w:pPr>
              <w:spacing w:after="0"/>
              <w:rPr>
                <w:sz w:val="14"/>
                <w:szCs w:val="14"/>
                <w:color w:val="auto"/>
              </w:rPr>
            </w:pPr>
          </w:p>
        </w:tc>
        <w:tc>
          <w:tcPr>
            <w:tcW w:w="4940" w:type="dxa"/>
            <w:vAlign w:val="bottom"/>
            <w:gridSpan w:val="77"/>
          </w:tcPr>
          <w:p>
            <w:pPr>
              <w:ind w:left="120"/>
              <w:spacing w:after="0" w:line="149" w:lineRule="exact"/>
              <w:rPr>
                <w:sz w:val="20"/>
                <w:szCs w:val="20"/>
                <w:color w:val="auto"/>
              </w:rPr>
            </w:pPr>
            <w:r>
              <w:rPr>
                <w:rFonts w:ascii="Arial" w:cs="Arial" w:eastAsia="Arial" w:hAnsi="Arial"/>
                <w:sz w:val="17"/>
                <w:szCs w:val="17"/>
                <w:color w:val="auto"/>
              </w:rPr>
              <w:t>Termination or Reduction of Delayed Draw Term Commitments</w:t>
            </w:r>
          </w:p>
        </w:tc>
        <w:tc>
          <w:tcPr>
            <w:tcW w:w="180" w:type="dxa"/>
            <w:vAlign w:val="bottom"/>
          </w:tcPr>
          <w:p>
            <w:pPr>
              <w:jc w:val="right"/>
              <w:spacing w:after="0" w:line="149" w:lineRule="exact"/>
              <w:rPr>
                <w:sz w:val="20"/>
                <w:szCs w:val="20"/>
                <w:color w:val="auto"/>
              </w:rPr>
            </w:pPr>
            <w:r>
              <w:rPr>
                <w:rFonts w:ascii="Arial" w:cs="Arial" w:eastAsia="Arial" w:hAnsi="Arial"/>
                <w:sz w:val="17"/>
                <w:szCs w:val="17"/>
                <w:color w:val="FF0000"/>
                <w:strike w:val="1"/>
                <w:w w:val="84"/>
              </w:rPr>
              <w:t>43</w:t>
            </w:r>
          </w:p>
        </w:tc>
        <w:tc>
          <w:tcPr>
            <w:tcW w:w="180" w:type="dxa"/>
            <w:vAlign w:val="bottom"/>
            <w:tcBorders>
              <w:bottom w:val="single" w:sz="8" w:color="0000FF"/>
            </w:tcBorders>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84"/>
              </w:rPr>
              <w:t>51</w:t>
            </w:r>
          </w:p>
        </w:tc>
        <w:tc>
          <w:tcPr>
            <w:tcW w:w="54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2.4</w:t>
            </w:r>
          </w:p>
        </w:tc>
        <w:tc>
          <w:tcPr>
            <w:tcW w:w="2000" w:type="dxa"/>
            <w:vAlign w:val="bottom"/>
            <w:gridSpan w:val="20"/>
          </w:tcPr>
          <w:p>
            <w:pPr>
              <w:ind w:left="120"/>
              <w:spacing w:after="0" w:line="149" w:lineRule="exact"/>
              <w:rPr>
                <w:sz w:val="20"/>
                <w:szCs w:val="20"/>
                <w:color w:val="auto"/>
              </w:rPr>
            </w:pPr>
            <w:r>
              <w:rPr>
                <w:rFonts w:ascii="Arial" w:cs="Arial" w:eastAsia="Arial" w:hAnsi="Arial"/>
                <w:sz w:val="17"/>
                <w:szCs w:val="17"/>
                <w:color w:val="auto"/>
              </w:rPr>
              <w:t>Revolving Commitments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jc w:val="right"/>
              <w:spacing w:after="0" w:line="149" w:lineRule="exact"/>
              <w:rPr>
                <w:sz w:val="20"/>
                <w:szCs w:val="20"/>
                <w:color w:val="auto"/>
              </w:rPr>
            </w:pPr>
            <w:r>
              <w:rPr>
                <w:rFonts w:ascii="Arial" w:cs="Arial" w:eastAsia="Arial" w:hAnsi="Arial"/>
                <w:sz w:val="17"/>
                <w:szCs w:val="17"/>
                <w:color w:val="FF0000"/>
                <w:strike w:val="1"/>
                <w:w w:val="84"/>
              </w:rPr>
              <w:t>44</w:t>
            </w:r>
          </w:p>
        </w:tc>
        <w:tc>
          <w:tcPr>
            <w:tcW w:w="180" w:type="dxa"/>
            <w:vAlign w:val="bottom"/>
            <w:tcBorders>
              <w:top w:val="single" w:sz="8" w:color="DDDDDD"/>
              <w:bottom w:val="single" w:sz="8" w:color="0000FF"/>
              <w:right w:val="single" w:sz="8" w:color="DDDDDD"/>
            </w:tcBorders>
            <w:gridSpan w:val="6"/>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84"/>
              </w:rPr>
              <w:t>51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DDDDDD"/>
            </w:tcBorders>
          </w:tcPr>
          <w:p>
            <w:pPr>
              <w:spacing w:after="0"/>
              <w:rPr>
                <w:sz w:val="13"/>
                <w:szCs w:val="13"/>
                <w:color w:val="auto"/>
              </w:rPr>
            </w:pPr>
          </w:p>
        </w:tc>
        <w:tc>
          <w:tcPr>
            <w:tcW w:w="40" w:type="dxa"/>
            <w:vAlign w:val="bottom"/>
            <w:tcBorders>
              <w:bottom w:val="single" w:sz="8" w:color="DDDDDD"/>
            </w:tcBorders>
          </w:tcPr>
          <w:p>
            <w:pPr>
              <w:spacing w:after="0"/>
              <w:rPr>
                <w:sz w:val="13"/>
                <w:szCs w:val="13"/>
                <w:color w:val="auto"/>
              </w:rPr>
            </w:pPr>
          </w:p>
        </w:tc>
        <w:tc>
          <w:tcPr>
            <w:tcW w:w="40" w:type="dxa"/>
            <w:vAlign w:val="bottom"/>
            <w:tcBorders>
              <w:bottom w:val="single" w:sz="8" w:color="DDDDDD"/>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DDDDDD"/>
            </w:tcBorders>
          </w:tcPr>
          <w:p>
            <w:pPr>
              <w:spacing w:after="0"/>
              <w:rPr>
                <w:sz w:val="13"/>
                <w:szCs w:val="13"/>
                <w:color w:val="auto"/>
              </w:rPr>
            </w:pPr>
          </w:p>
        </w:tc>
        <w:tc>
          <w:tcPr>
            <w:tcW w:w="5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20" w:type="dxa"/>
            <w:vAlign w:val="bottom"/>
            <w:gridSpan w:val="2"/>
          </w:tcPr>
          <w:p>
            <w:pPr>
              <w:ind w:left="200"/>
              <w:spacing w:after="0" w:line="162" w:lineRule="exact"/>
              <w:rPr>
                <w:sz w:val="20"/>
                <w:szCs w:val="20"/>
                <w:color w:val="auto"/>
              </w:rPr>
            </w:pPr>
            <w:r>
              <w:rPr>
                <w:rFonts w:ascii="Arial" w:cs="Arial" w:eastAsia="Arial" w:hAnsi="Arial"/>
                <w:sz w:val="18"/>
                <w:szCs w:val="18"/>
                <w:color w:val="auto"/>
              </w:rPr>
              <w:t>2.5</w:t>
            </w:r>
          </w:p>
        </w:tc>
        <w:tc>
          <w:tcPr>
            <w:tcW w:w="2300" w:type="dxa"/>
            <w:vAlign w:val="bottom"/>
            <w:gridSpan w:val="27"/>
          </w:tcPr>
          <w:p>
            <w:pPr>
              <w:ind w:left="120"/>
              <w:spacing w:after="0" w:line="162" w:lineRule="exact"/>
              <w:rPr>
                <w:sz w:val="20"/>
                <w:szCs w:val="20"/>
                <w:color w:val="auto"/>
              </w:rPr>
            </w:pPr>
            <w:r>
              <w:rPr>
                <w:rFonts w:ascii="Arial" w:cs="Arial" w:eastAsia="Arial" w:hAnsi="Arial"/>
                <w:sz w:val="18"/>
                <w:szCs w:val="18"/>
                <w:color w:val="auto"/>
                <w:w w:val="90"/>
              </w:rPr>
              <w:t>Procedure for Revolving Loan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16"/>
          </w:tcPr>
          <w:p>
            <w:pPr>
              <w:jc w:val="center"/>
              <w:spacing w:after="0" w:line="162" w:lineRule="exact"/>
              <w:rPr>
                <w:sz w:val="20"/>
                <w:szCs w:val="20"/>
                <w:color w:val="auto"/>
              </w:rPr>
            </w:pPr>
            <w:r>
              <w:rPr>
                <w:rFonts w:ascii="Arial" w:cs="Arial" w:eastAsia="Arial" w:hAnsi="Arial"/>
                <w:sz w:val="18"/>
                <w:szCs w:val="18"/>
                <w:color w:val="auto"/>
                <w:w w:val="81"/>
              </w:rPr>
              <w:t>Borrowing</w:t>
            </w:r>
          </w:p>
        </w:tc>
        <w:tc>
          <w:tcPr>
            <w:tcW w:w="140" w:type="dxa"/>
            <w:vAlign w:val="bottom"/>
            <w:gridSpan w:val="5"/>
          </w:tcPr>
          <w:p>
            <w:pPr>
              <w:spacing w:after="0"/>
              <w:rPr>
                <w:sz w:val="15"/>
                <w:szCs w:val="15"/>
                <w:color w:val="auto"/>
              </w:rPr>
            </w:pPr>
          </w:p>
        </w:tc>
        <w:tc>
          <w:tcPr>
            <w:tcW w:w="200" w:type="dxa"/>
            <w:vAlign w:val="bottom"/>
            <w:tcBorders>
              <w:right w:val="single" w:sz="8" w:color="DDDDDD"/>
            </w:tcBorders>
            <w:gridSpan w:val="5"/>
          </w:tcPr>
          <w:p>
            <w:pPr>
              <w:spacing w:after="0" w:line="162" w:lineRule="exact"/>
              <w:rPr>
                <w:sz w:val="20"/>
                <w:szCs w:val="20"/>
                <w:color w:val="auto"/>
              </w:rPr>
            </w:pPr>
            <w:r>
              <w:rPr>
                <w:rFonts w:ascii="Arial" w:cs="Arial" w:eastAsia="Arial" w:hAnsi="Arial"/>
                <w:sz w:val="18"/>
                <w:szCs w:val="18"/>
                <w:color w:val="FF0000"/>
                <w:strike w:val="1"/>
                <w:w w:val="79"/>
              </w:rPr>
              <w:t>44</w:t>
            </w:r>
          </w:p>
        </w:tc>
        <w:tc>
          <w:tcPr>
            <w:tcW w:w="160" w:type="dxa"/>
            <w:vAlign w:val="bottom"/>
            <w:gridSpan w:val="3"/>
            <w:shd w:val="clear" w:color="auto" w:fill="DDDDDD"/>
          </w:tcPr>
          <w:p>
            <w:pPr>
              <w:jc w:val="right"/>
              <w:spacing w:after="0" w:line="162" w:lineRule="exact"/>
              <w:rPr>
                <w:sz w:val="20"/>
                <w:szCs w:val="20"/>
                <w:color w:val="auto"/>
              </w:rPr>
            </w:pPr>
            <w:r>
              <w:rPr>
                <w:rFonts w:ascii="Arial" w:cs="Arial" w:eastAsia="Arial" w:hAnsi="Arial"/>
                <w:sz w:val="17"/>
                <w:szCs w:val="17"/>
                <w:color w:val="0000FF"/>
                <w:highlight w:val="lightGray"/>
                <w:w w:val="73"/>
              </w:rPr>
              <w:t>52</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2.6</w:t>
            </w:r>
          </w:p>
        </w:tc>
        <w:tc>
          <w:tcPr>
            <w:tcW w:w="1580" w:type="dxa"/>
            <w:vAlign w:val="bottom"/>
            <w:gridSpan w:val="12"/>
          </w:tcPr>
          <w:p>
            <w:pPr>
              <w:ind w:left="120"/>
              <w:spacing w:after="0" w:line="149" w:lineRule="exact"/>
              <w:rPr>
                <w:sz w:val="20"/>
                <w:szCs w:val="20"/>
                <w:color w:val="auto"/>
              </w:rPr>
            </w:pPr>
            <w:r>
              <w:rPr>
                <w:rFonts w:ascii="Arial" w:cs="Arial" w:eastAsia="Arial" w:hAnsi="Arial"/>
                <w:sz w:val="17"/>
                <w:szCs w:val="17"/>
                <w:color w:val="auto"/>
              </w:rPr>
              <w:t>Facility Fees, Etc.</w:t>
            </w:r>
          </w:p>
        </w:tc>
        <w:tc>
          <w:tcPr>
            <w:tcW w:w="220" w:type="dxa"/>
            <w:vAlign w:val="bottom"/>
            <w:tcBorders>
              <w:right w:val="single" w:sz="8" w:color="DDDDDD"/>
            </w:tcBorders>
            <w:gridSpan w:val="3"/>
          </w:tcPr>
          <w:p>
            <w:pPr>
              <w:jc w:val="right"/>
              <w:spacing w:after="0" w:line="149" w:lineRule="exact"/>
              <w:rPr>
                <w:sz w:val="20"/>
                <w:szCs w:val="20"/>
                <w:color w:val="auto"/>
              </w:rPr>
            </w:pPr>
            <w:r>
              <w:rPr>
                <w:rFonts w:ascii="Arial" w:cs="Arial" w:eastAsia="Arial" w:hAnsi="Arial"/>
                <w:sz w:val="17"/>
                <w:szCs w:val="17"/>
                <w:color w:val="FF0000"/>
                <w:strike w:val="1"/>
                <w:w w:val="94"/>
              </w:rPr>
              <w:t>45</w:t>
            </w:r>
          </w:p>
        </w:tc>
        <w:tc>
          <w:tcPr>
            <w:tcW w:w="160" w:type="dxa"/>
            <w:vAlign w:val="bottom"/>
            <w:tcBorders>
              <w:top w:val="single" w:sz="8" w:color="DDDDDD"/>
              <w:bottom w:val="single" w:sz="8" w:color="0000FF"/>
            </w:tcBorders>
            <w:gridSpan w:val="3"/>
            <w:shd w:val="clear" w:color="auto" w:fill="DDDDDD"/>
          </w:tcPr>
          <w:p>
            <w:pPr>
              <w:jc w:val="center"/>
              <w:spacing w:after="0" w:line="149" w:lineRule="exact"/>
              <w:rPr>
                <w:sz w:val="20"/>
                <w:szCs w:val="20"/>
                <w:color w:val="auto"/>
              </w:rPr>
            </w:pPr>
            <w:r>
              <w:rPr>
                <w:rFonts w:ascii="Arial" w:cs="Arial" w:eastAsia="Arial" w:hAnsi="Arial"/>
                <w:sz w:val="17"/>
                <w:szCs w:val="17"/>
                <w:color w:val="0000FF"/>
                <w:highlight w:val="lightGray"/>
                <w:w w:val="84"/>
              </w:rPr>
              <w:t>52</w:t>
            </w:r>
          </w:p>
        </w:tc>
        <w:tc>
          <w:tcPr>
            <w:tcW w:w="40" w:type="dxa"/>
            <w:vAlign w:val="bottom"/>
            <w:tcBorders>
              <w:top w:val="single" w:sz="8" w:color="DDDDDD"/>
              <w:bottom w:val="single" w:sz="8" w:color="DDDDDD"/>
            </w:tcBorders>
            <w:gridSpan w:val="2"/>
            <w:shd w:val="clear" w:color="auto" w:fill="DDDDDD"/>
          </w:tcPr>
          <w:p>
            <w:pPr>
              <w:spacing w:after="0"/>
              <w:rPr>
                <w:sz w:val="12"/>
                <w:szCs w:val="12"/>
                <w:color w:val="auto"/>
              </w:rPr>
            </w:pPr>
          </w:p>
        </w:tc>
        <w:tc>
          <w:tcPr>
            <w:tcW w:w="1520" w:type="dxa"/>
            <w:vAlign w:val="bottom"/>
            <w:gridSpan w:val="39"/>
          </w:tcPr>
          <w:p>
            <w:pPr>
              <w:spacing w:after="0"/>
              <w:rPr>
                <w:sz w:val="12"/>
                <w:szCs w:val="12"/>
                <w:color w:val="auto"/>
              </w:rPr>
            </w:pPr>
          </w:p>
        </w:tc>
        <w:tc>
          <w:tcPr>
            <w:tcW w:w="160" w:type="dxa"/>
            <w:vAlign w:val="bottom"/>
            <w:tcBorders>
              <w:top w:val="single" w:sz="8" w:color="0000FF"/>
            </w:tcBorders>
            <w:gridSpan w:val="3"/>
          </w:tcPr>
          <w:p>
            <w:pPr>
              <w:spacing w:after="0"/>
              <w:rPr>
                <w:sz w:val="12"/>
                <w:szCs w:val="12"/>
                <w:color w:val="auto"/>
              </w:rPr>
            </w:pPr>
          </w:p>
        </w:tc>
        <w:tc>
          <w:tcPr>
            <w:tcW w:w="7040" w:type="dxa"/>
            <w:vAlign w:val="bottom"/>
            <w:gridSpan w:val="19"/>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gridSpan w:val="2"/>
            <w:vMerge w:val="restart"/>
          </w:tcPr>
          <w:p>
            <w:pPr>
              <w:ind w:left="200"/>
              <w:spacing w:after="0" w:line="169" w:lineRule="exact"/>
              <w:rPr>
                <w:sz w:val="20"/>
                <w:szCs w:val="20"/>
                <w:color w:val="auto"/>
              </w:rPr>
            </w:pPr>
            <w:r>
              <w:rPr>
                <w:rFonts w:ascii="Arial" w:cs="Arial" w:eastAsia="Arial" w:hAnsi="Arial"/>
                <w:sz w:val="18"/>
                <w:szCs w:val="18"/>
                <w:color w:val="auto"/>
              </w:rPr>
              <w:t>2.7</w:t>
            </w:r>
          </w:p>
        </w:tc>
        <w:tc>
          <w:tcPr>
            <w:tcW w:w="1800" w:type="dxa"/>
            <w:vAlign w:val="bottom"/>
            <w:tcBorders>
              <w:right w:val="single" w:sz="8" w:color="DDDDDD"/>
            </w:tcBorders>
            <w:gridSpan w:val="15"/>
          </w:tcPr>
          <w:p>
            <w:pPr>
              <w:spacing w:after="0" w:line="20" w:lineRule="exact"/>
              <w:rPr>
                <w:sz w:val="1"/>
                <w:szCs w:val="1"/>
                <w:color w:val="auto"/>
              </w:rPr>
            </w:pPr>
          </w:p>
        </w:tc>
        <w:tc>
          <w:tcPr>
            <w:tcW w:w="2760" w:type="dxa"/>
            <w:vAlign w:val="bottom"/>
            <w:gridSpan w:val="60"/>
            <w:shd w:val="clear" w:color="auto" w:fill="DDDDDD"/>
          </w:tcPr>
          <w:p>
            <w:pPr>
              <w:spacing w:after="0" w:line="20" w:lineRule="exact"/>
              <w:rPr>
                <w:sz w:val="1"/>
                <w:szCs w:val="1"/>
                <w:color w:val="auto"/>
              </w:rPr>
            </w:pPr>
          </w:p>
        </w:tc>
        <w:tc>
          <w:tcPr>
            <w:tcW w:w="6160" w:type="dxa"/>
            <w:vAlign w:val="bottom"/>
            <w:tcBorders>
              <w:left w:val="single" w:sz="8" w:color="DDDDDD"/>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gridSpan w:val="2"/>
            <w:vMerge w:val="continue"/>
          </w:tcPr>
          <w:p>
            <w:pPr>
              <w:spacing w:after="0"/>
              <w:rPr>
                <w:sz w:val="14"/>
                <w:szCs w:val="14"/>
                <w:color w:val="auto"/>
              </w:rPr>
            </w:pPr>
          </w:p>
        </w:tc>
        <w:tc>
          <w:tcPr>
            <w:tcW w:w="1980" w:type="dxa"/>
            <w:vAlign w:val="bottom"/>
            <w:gridSpan w:val="19"/>
          </w:tcPr>
          <w:p>
            <w:pPr>
              <w:ind w:left="120"/>
              <w:spacing w:after="0" w:line="149" w:lineRule="exact"/>
              <w:rPr>
                <w:sz w:val="20"/>
                <w:szCs w:val="20"/>
                <w:color w:val="auto"/>
              </w:rPr>
            </w:pPr>
            <w:r>
              <w:rPr>
                <w:rFonts w:ascii="Arial" w:cs="Arial" w:eastAsia="Arial" w:hAnsi="Arial"/>
                <w:sz w:val="17"/>
                <w:szCs w:val="17"/>
                <w:color w:val="auto"/>
                <w:w w:val="96"/>
              </w:rPr>
              <w:t>Termination or Reduction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47"/>
          </w:tcPr>
          <w:p>
            <w:pPr>
              <w:jc w:val="right"/>
              <w:ind w:right="110"/>
              <w:spacing w:after="0" w:line="149" w:lineRule="exact"/>
              <w:rPr>
                <w:sz w:val="20"/>
                <w:szCs w:val="20"/>
                <w:color w:val="auto"/>
              </w:rPr>
            </w:pPr>
            <w:r>
              <w:rPr>
                <w:rFonts w:ascii="Arial" w:cs="Arial" w:eastAsia="Arial" w:hAnsi="Arial"/>
                <w:sz w:val="17"/>
                <w:szCs w:val="17"/>
                <w:color w:val="auto"/>
                <w:w w:val="98"/>
              </w:rPr>
              <w:t>of Revolving Commitments</w:t>
            </w:r>
          </w:p>
        </w:tc>
        <w:tc>
          <w:tcPr>
            <w:tcW w:w="180" w:type="dxa"/>
            <w:vAlign w:val="bottom"/>
            <w:gridSpan w:val="3"/>
          </w:tcPr>
          <w:p>
            <w:pPr>
              <w:jc w:val="right"/>
              <w:spacing w:after="0" w:line="149" w:lineRule="exact"/>
              <w:rPr>
                <w:sz w:val="20"/>
                <w:szCs w:val="20"/>
                <w:color w:val="auto"/>
              </w:rPr>
            </w:pPr>
            <w:r>
              <w:rPr>
                <w:rFonts w:ascii="Arial" w:cs="Arial" w:eastAsia="Arial" w:hAnsi="Arial"/>
                <w:sz w:val="17"/>
                <w:szCs w:val="17"/>
                <w:color w:val="FF0000"/>
                <w:strike w:val="1"/>
                <w:w w:val="73"/>
              </w:rPr>
              <w:t>45</w:t>
            </w:r>
          </w:p>
        </w:tc>
        <w:tc>
          <w:tcPr>
            <w:tcW w:w="140" w:type="dxa"/>
            <w:vAlign w:val="bottom"/>
            <w:tcBorders>
              <w:bottom w:val="single" w:sz="8" w:color="0000FF"/>
            </w:tcBorders>
            <w:gridSpan w:val="4"/>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73"/>
              </w:rPr>
              <w:t>53</w:t>
            </w:r>
          </w:p>
        </w:tc>
        <w:tc>
          <w:tcPr>
            <w:tcW w:w="160" w:type="dxa"/>
            <w:vAlign w:val="bottom"/>
            <w:tcBorders>
              <w:left w:val="single" w:sz="8" w:color="DDDDDD"/>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2.8</w:t>
            </w:r>
          </w:p>
        </w:tc>
        <w:tc>
          <w:tcPr>
            <w:tcW w:w="1180" w:type="dxa"/>
            <w:vAlign w:val="bottom"/>
            <w:gridSpan w:val="5"/>
          </w:tcPr>
          <w:p>
            <w:pPr>
              <w:ind w:left="120"/>
              <w:spacing w:after="0" w:line="149" w:lineRule="exact"/>
              <w:rPr>
                <w:sz w:val="20"/>
                <w:szCs w:val="20"/>
                <w:color w:val="auto"/>
              </w:rPr>
            </w:pPr>
            <w:r>
              <w:rPr>
                <w:rFonts w:ascii="Arial" w:cs="Arial" w:eastAsia="Arial" w:hAnsi="Arial"/>
                <w:sz w:val="17"/>
                <w:szCs w:val="17"/>
                <w:color w:val="auto"/>
                <w:w w:val="97"/>
              </w:rPr>
              <w:t>Prepayments</w:t>
            </w:r>
          </w:p>
        </w:tc>
        <w:tc>
          <w:tcPr>
            <w:tcW w:w="240" w:type="dxa"/>
            <w:vAlign w:val="bottom"/>
            <w:gridSpan w:val="5"/>
          </w:tcPr>
          <w:p>
            <w:pPr>
              <w:jc w:val="right"/>
              <w:spacing w:after="0" w:line="149" w:lineRule="exact"/>
              <w:rPr>
                <w:sz w:val="20"/>
                <w:szCs w:val="20"/>
                <w:color w:val="auto"/>
              </w:rPr>
            </w:pPr>
            <w:r>
              <w:rPr>
                <w:rFonts w:ascii="Arial" w:cs="Arial" w:eastAsia="Arial" w:hAnsi="Arial"/>
                <w:sz w:val="17"/>
                <w:szCs w:val="17"/>
                <w:color w:val="FF0000"/>
                <w:strike w:val="1"/>
              </w:rPr>
              <w:t>45</w:t>
            </w:r>
          </w:p>
        </w:tc>
        <w:tc>
          <w:tcPr>
            <w:tcW w:w="160" w:type="dxa"/>
            <w:vAlign w:val="bottom"/>
            <w:tcBorders>
              <w:top w:val="single" w:sz="8" w:color="DDDDDD"/>
              <w:left w:val="single" w:sz="8" w:color="DDDDDD"/>
              <w:bottom w:val="single" w:sz="8" w:color="0000FF"/>
            </w:tcBorders>
            <w:gridSpan w:val="2"/>
            <w:shd w:val="clear" w:color="auto" w:fill="DDDDDD"/>
          </w:tcPr>
          <w:p>
            <w:pPr>
              <w:spacing w:after="0" w:line="149" w:lineRule="exact"/>
              <w:rPr>
                <w:sz w:val="20"/>
                <w:szCs w:val="20"/>
                <w:color w:val="auto"/>
              </w:rPr>
            </w:pPr>
            <w:r>
              <w:rPr>
                <w:rFonts w:ascii="Arial" w:cs="Arial" w:eastAsia="Arial" w:hAnsi="Arial"/>
                <w:sz w:val="15"/>
                <w:szCs w:val="15"/>
                <w:color w:val="0000FF"/>
                <w:highlight w:val="lightGray"/>
                <w:w w:val="71"/>
              </w:rPr>
              <w:t>53</w:t>
            </w:r>
          </w:p>
        </w:tc>
        <w:tc>
          <w:tcPr>
            <w:tcW w:w="60" w:type="dxa"/>
            <w:vAlign w:val="bottom"/>
            <w:tcBorders>
              <w:left w:val="single" w:sz="8" w:color="DDDDDD"/>
              <w:bottom w:val="single" w:sz="8" w:color="0000FF"/>
            </w:tcBorders>
          </w:tcPr>
          <w:p>
            <w:pPr>
              <w:spacing w:after="0"/>
              <w:rPr>
                <w:sz w:val="12"/>
                <w:szCs w:val="12"/>
                <w:color w:val="auto"/>
              </w:rPr>
            </w:pPr>
          </w:p>
        </w:tc>
        <w:tc>
          <w:tcPr>
            <w:tcW w:w="2780" w:type="dxa"/>
            <w:vAlign w:val="bottom"/>
            <w:gridSpan w:val="58"/>
          </w:tcPr>
          <w:p>
            <w:pPr>
              <w:spacing w:after="0"/>
              <w:rPr>
                <w:sz w:val="12"/>
                <w:szCs w:val="12"/>
                <w:color w:val="auto"/>
              </w:rPr>
            </w:pPr>
          </w:p>
        </w:tc>
        <w:tc>
          <w:tcPr>
            <w:tcW w:w="140" w:type="dxa"/>
            <w:vAlign w:val="bottom"/>
            <w:tcBorders>
              <w:top w:val="single" w:sz="8" w:color="DDDDDD"/>
            </w:tcBorders>
            <w:gridSpan w:val="4"/>
          </w:tcPr>
          <w:p>
            <w:pPr>
              <w:spacing w:after="0"/>
              <w:rPr>
                <w:sz w:val="12"/>
                <w:szCs w:val="12"/>
                <w:color w:val="auto"/>
              </w:rPr>
            </w:pPr>
          </w:p>
        </w:tc>
        <w:tc>
          <w:tcPr>
            <w:tcW w:w="616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gridSpan w:val="2"/>
            <w:vMerge w:val="restart"/>
          </w:tcPr>
          <w:p>
            <w:pPr>
              <w:ind w:left="200"/>
              <w:spacing w:after="0" w:line="169" w:lineRule="exact"/>
              <w:rPr>
                <w:sz w:val="20"/>
                <w:szCs w:val="20"/>
                <w:color w:val="auto"/>
              </w:rPr>
            </w:pPr>
            <w:r>
              <w:rPr>
                <w:rFonts w:ascii="Arial" w:cs="Arial" w:eastAsia="Arial" w:hAnsi="Arial"/>
                <w:sz w:val="18"/>
                <w:szCs w:val="18"/>
                <w:color w:val="auto"/>
              </w:rPr>
              <w:t>2.9</w:t>
            </w:r>
          </w:p>
        </w:tc>
        <w:tc>
          <w:tcPr>
            <w:tcW w:w="1420" w:type="dxa"/>
            <w:vAlign w:val="bottom"/>
            <w:gridSpan w:val="10"/>
          </w:tcPr>
          <w:p>
            <w:pPr>
              <w:spacing w:after="0" w:line="20" w:lineRule="exact"/>
              <w:rPr>
                <w:sz w:val="1"/>
                <w:szCs w:val="1"/>
                <w:color w:val="auto"/>
              </w:rPr>
            </w:pPr>
          </w:p>
        </w:tc>
        <w:tc>
          <w:tcPr>
            <w:tcW w:w="80" w:type="dxa"/>
            <w:vAlign w:val="bottom"/>
            <w:tcBorders>
              <w:left w:val="single" w:sz="8" w:color="DDDDDD"/>
              <w:right w:val="single" w:sz="8" w:color="DDDDDD"/>
            </w:tcBorders>
            <w:shd w:val="clear" w:color="auto" w:fill="DDDDDD"/>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220" w:type="dxa"/>
            <w:vAlign w:val="bottom"/>
            <w:tcBorders>
              <w:left w:val="single" w:sz="8" w:color="DDDDDD"/>
            </w:tcBorders>
            <w:gridSpan w:val="3"/>
          </w:tcPr>
          <w:p>
            <w:pPr>
              <w:spacing w:after="0" w:line="20" w:lineRule="exact"/>
              <w:rPr>
                <w:sz w:val="1"/>
                <w:szCs w:val="1"/>
                <w:color w:val="auto"/>
              </w:rPr>
            </w:pPr>
          </w:p>
        </w:tc>
        <w:tc>
          <w:tcPr>
            <w:tcW w:w="200" w:type="dxa"/>
            <w:vAlign w:val="bottom"/>
            <w:gridSpan w:val="5"/>
            <w:vMerge w:val="restart"/>
          </w:tcPr>
          <w:p>
            <w:pPr>
              <w:spacing w:after="0" w:line="169" w:lineRule="exact"/>
              <w:rPr>
                <w:sz w:val="20"/>
                <w:szCs w:val="20"/>
                <w:color w:val="auto"/>
              </w:rPr>
            </w:pPr>
            <w:r>
              <w:rPr>
                <w:rFonts w:ascii="Arial" w:cs="Arial" w:eastAsia="Arial" w:hAnsi="Arial"/>
                <w:sz w:val="18"/>
                <w:szCs w:val="18"/>
                <w:color w:val="FF0000"/>
                <w:strike w:val="1"/>
                <w:w w:val="89"/>
              </w:rPr>
              <w:t>46</w:t>
            </w:r>
          </w:p>
        </w:tc>
        <w:tc>
          <w:tcPr>
            <w:tcW w:w="160" w:type="dxa"/>
            <w:vAlign w:val="bottom"/>
            <w:tcBorders>
              <w:right w:val="single" w:sz="8" w:color="DDDDDD"/>
            </w:tcBorders>
            <w:gridSpan w:val="4"/>
            <w:vMerge w:val="restart"/>
            <w:shd w:val="clear" w:color="auto" w:fill="DDDDDD"/>
          </w:tcPr>
          <w:p>
            <w:pPr>
              <w:spacing w:after="0" w:line="169" w:lineRule="exact"/>
              <w:rPr>
                <w:sz w:val="20"/>
                <w:szCs w:val="20"/>
                <w:color w:val="auto"/>
              </w:rPr>
            </w:pPr>
            <w:r>
              <w:rPr>
                <w:rFonts w:ascii="Arial" w:cs="Arial" w:eastAsia="Arial" w:hAnsi="Arial"/>
                <w:sz w:val="15"/>
                <w:szCs w:val="15"/>
                <w:color w:val="0000FF"/>
                <w:highlight w:val="lightGray"/>
                <w:w w:val="71"/>
              </w:rPr>
              <w:t>54</w:t>
            </w:r>
          </w:p>
        </w:tc>
        <w:tc>
          <w:tcPr>
            <w:tcW w:w="60" w:type="dxa"/>
            <w:vAlign w:val="bottom"/>
            <w:vMerge w:val="restart"/>
          </w:tcPr>
          <w:p>
            <w:pPr>
              <w:spacing w:after="0" w:line="20" w:lineRule="exact"/>
              <w:rPr>
                <w:sz w:val="1"/>
                <w:szCs w:val="1"/>
                <w:color w:val="auto"/>
              </w:rPr>
            </w:pPr>
          </w:p>
        </w:tc>
        <w:tc>
          <w:tcPr>
            <w:tcW w:w="8500" w:type="dxa"/>
            <w:vAlign w:val="bottom"/>
            <w:gridSpan w:val="5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20" w:type="dxa"/>
            <w:vAlign w:val="bottom"/>
            <w:gridSpan w:val="2"/>
            <w:vMerge w:val="continue"/>
          </w:tcPr>
          <w:p>
            <w:pPr>
              <w:spacing w:after="0"/>
              <w:rPr>
                <w:sz w:val="12"/>
                <w:szCs w:val="12"/>
                <w:color w:val="auto"/>
              </w:rPr>
            </w:pPr>
          </w:p>
        </w:tc>
        <w:tc>
          <w:tcPr>
            <w:tcW w:w="1800" w:type="dxa"/>
            <w:vAlign w:val="bottom"/>
            <w:gridSpan w:val="15"/>
          </w:tcPr>
          <w:p>
            <w:pPr>
              <w:ind w:left="120"/>
              <w:spacing w:after="0" w:line="149" w:lineRule="exact"/>
              <w:rPr>
                <w:sz w:val="20"/>
                <w:szCs w:val="20"/>
                <w:color w:val="auto"/>
              </w:rPr>
            </w:pPr>
            <w:r>
              <w:rPr>
                <w:rFonts w:ascii="Arial" w:cs="Arial" w:eastAsia="Arial" w:hAnsi="Arial"/>
                <w:sz w:val="17"/>
                <w:szCs w:val="17"/>
                <w:color w:val="auto"/>
                <w:w w:val="90"/>
              </w:rPr>
              <w:t>Repayment of Loans</w:t>
            </w:r>
          </w:p>
        </w:tc>
        <w:tc>
          <w:tcPr>
            <w:tcW w:w="200" w:type="dxa"/>
            <w:vAlign w:val="bottom"/>
            <w:gridSpan w:val="5"/>
            <w:vMerge w:val="continue"/>
          </w:tcPr>
          <w:p>
            <w:pPr>
              <w:spacing w:after="0"/>
              <w:rPr>
                <w:sz w:val="12"/>
                <w:szCs w:val="12"/>
                <w:color w:val="auto"/>
              </w:rPr>
            </w:pPr>
          </w:p>
        </w:tc>
        <w:tc>
          <w:tcPr>
            <w:tcW w:w="160" w:type="dxa"/>
            <w:vAlign w:val="bottom"/>
            <w:tcBorders>
              <w:bottom w:val="single" w:sz="8" w:color="0000FF"/>
              <w:right w:val="single" w:sz="8" w:color="DDDDDD"/>
            </w:tcBorders>
            <w:gridSpan w:val="4"/>
            <w:vMerge w:val="continue"/>
            <w:shd w:val="clear" w:color="auto" w:fill="DDDDDD"/>
          </w:tcPr>
          <w:p>
            <w:pPr>
              <w:spacing w:after="0"/>
              <w:rPr>
                <w:sz w:val="12"/>
                <w:szCs w:val="12"/>
                <w:color w:val="auto"/>
              </w:rPr>
            </w:pPr>
          </w:p>
        </w:tc>
        <w:tc>
          <w:tcPr>
            <w:tcW w:w="60" w:type="dxa"/>
            <w:vAlign w:val="bottom"/>
            <w:vMerge w:val="continue"/>
          </w:tcPr>
          <w:p>
            <w:pPr>
              <w:spacing w:after="0"/>
              <w:rPr>
                <w:sz w:val="12"/>
                <w:szCs w:val="12"/>
                <w:color w:val="auto"/>
              </w:rPr>
            </w:pPr>
          </w:p>
        </w:tc>
        <w:tc>
          <w:tcPr>
            <w:tcW w:w="8500" w:type="dxa"/>
            <w:vAlign w:val="bottom"/>
            <w:gridSpan w:val="5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gridSpan w:val="2"/>
            <w:vMerge w:val="restart"/>
          </w:tcPr>
          <w:p>
            <w:pPr>
              <w:ind w:left="200"/>
              <w:spacing w:after="0" w:line="169" w:lineRule="exact"/>
              <w:rPr>
                <w:sz w:val="20"/>
                <w:szCs w:val="20"/>
                <w:color w:val="auto"/>
              </w:rPr>
            </w:pPr>
            <w:r>
              <w:rPr>
                <w:rFonts w:ascii="Arial" w:cs="Arial" w:eastAsia="Arial" w:hAnsi="Arial"/>
                <w:sz w:val="18"/>
                <w:szCs w:val="18"/>
                <w:color w:val="auto"/>
                <w:w w:val="85"/>
              </w:rPr>
              <w:t>2.10</w:t>
            </w: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40" w:type="dxa"/>
            <w:vAlign w:val="bottom"/>
            <w:tcBorders>
              <w:right w:val="single" w:sz="8" w:color="DDDDDD"/>
            </w:tcBorders>
            <w:shd w:val="clear" w:color="auto" w:fill="DDDDDD"/>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gridSpan w:val="18"/>
            <w:vMerge w:val="restart"/>
          </w:tcPr>
          <w:p>
            <w:pPr>
              <w:ind w:left="20"/>
              <w:spacing w:after="0" w:line="169" w:lineRule="exact"/>
              <w:rPr>
                <w:sz w:val="20"/>
                <w:szCs w:val="20"/>
                <w:color w:val="auto"/>
              </w:rPr>
            </w:pPr>
            <w:r>
              <w:rPr>
                <w:rFonts w:ascii="Arial" w:cs="Arial" w:eastAsia="Arial" w:hAnsi="Arial"/>
                <w:sz w:val="18"/>
                <w:szCs w:val="18"/>
                <w:color w:val="auto"/>
              </w:rPr>
              <w:t>Options</w:t>
            </w:r>
          </w:p>
        </w:tc>
        <w:tc>
          <w:tcPr>
            <w:tcW w:w="220" w:type="dxa"/>
            <w:vAlign w:val="bottom"/>
            <w:gridSpan w:val="5"/>
            <w:vMerge w:val="restart"/>
          </w:tcPr>
          <w:p>
            <w:pPr>
              <w:jc w:val="right"/>
              <w:spacing w:after="0" w:line="169" w:lineRule="exact"/>
              <w:rPr>
                <w:sz w:val="20"/>
                <w:szCs w:val="20"/>
                <w:color w:val="auto"/>
              </w:rPr>
            </w:pPr>
            <w:r>
              <w:rPr>
                <w:rFonts w:ascii="Arial" w:cs="Arial" w:eastAsia="Arial" w:hAnsi="Arial"/>
                <w:sz w:val="18"/>
                <w:szCs w:val="18"/>
                <w:color w:val="FF0000"/>
                <w:strike w:val="1"/>
                <w:w w:val="99"/>
              </w:rPr>
              <w:t>46</w:t>
            </w:r>
          </w:p>
        </w:tc>
        <w:tc>
          <w:tcPr>
            <w:tcW w:w="180" w:type="dxa"/>
            <w:vAlign w:val="bottom"/>
            <w:gridSpan w:val="5"/>
            <w:vMerge w:val="restart"/>
            <w:shd w:val="clear" w:color="auto" w:fill="DDDDDD"/>
          </w:tcPr>
          <w:p>
            <w:pPr>
              <w:ind w:left="20"/>
              <w:spacing w:after="0" w:line="169" w:lineRule="exact"/>
              <w:rPr>
                <w:sz w:val="20"/>
                <w:szCs w:val="20"/>
                <w:color w:val="auto"/>
              </w:rPr>
            </w:pPr>
            <w:r>
              <w:rPr>
                <w:rFonts w:ascii="Arial" w:cs="Arial" w:eastAsia="Arial" w:hAnsi="Arial"/>
                <w:sz w:val="17"/>
                <w:szCs w:val="17"/>
                <w:color w:val="0000FF"/>
                <w:highlight w:val="lightGray"/>
                <w:w w:val="73"/>
              </w:rPr>
              <w:t>55</w:t>
            </w:r>
          </w:p>
        </w:tc>
        <w:tc>
          <w:tcPr>
            <w:tcW w:w="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3"/>
          </w:tcPr>
          <w:p>
            <w:pPr>
              <w:spacing w:after="0" w:line="149" w:lineRule="exact"/>
              <w:rPr>
                <w:sz w:val="20"/>
                <w:szCs w:val="20"/>
                <w:color w:val="auto"/>
              </w:rPr>
            </w:pPr>
            <w:r>
              <w:rPr>
                <w:rFonts w:ascii="Arial" w:cs="Arial" w:eastAsia="Arial" w:hAnsi="Arial"/>
                <w:sz w:val="17"/>
                <w:szCs w:val="17"/>
                <w:color w:val="auto"/>
                <w:w w:val="86"/>
              </w:rPr>
              <w:t>Conversion and Continuation</w:t>
            </w:r>
          </w:p>
        </w:tc>
        <w:tc>
          <w:tcPr>
            <w:tcW w:w="60" w:type="dxa"/>
            <w:vAlign w:val="bottom"/>
            <w:vMerge w:val="continue"/>
          </w:tcPr>
          <w:p>
            <w:pPr>
              <w:spacing w:after="0"/>
              <w:rPr>
                <w:sz w:val="14"/>
                <w:szCs w:val="14"/>
                <w:color w:val="auto"/>
              </w:rPr>
            </w:pPr>
          </w:p>
        </w:tc>
        <w:tc>
          <w:tcPr>
            <w:tcW w:w="10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720" w:type="dxa"/>
            <w:vAlign w:val="bottom"/>
            <w:gridSpan w:val="18"/>
            <w:vMerge w:val="continue"/>
          </w:tcPr>
          <w:p>
            <w:pPr>
              <w:spacing w:after="0"/>
              <w:rPr>
                <w:sz w:val="14"/>
                <w:szCs w:val="14"/>
                <w:color w:val="auto"/>
              </w:rPr>
            </w:pPr>
          </w:p>
        </w:tc>
        <w:tc>
          <w:tcPr>
            <w:tcW w:w="220" w:type="dxa"/>
            <w:vAlign w:val="bottom"/>
            <w:gridSpan w:val="5"/>
            <w:vMerge w:val="continue"/>
          </w:tcPr>
          <w:p>
            <w:pPr>
              <w:spacing w:after="0"/>
              <w:rPr>
                <w:sz w:val="14"/>
                <w:szCs w:val="14"/>
                <w:color w:val="auto"/>
              </w:rPr>
            </w:pPr>
          </w:p>
        </w:tc>
        <w:tc>
          <w:tcPr>
            <w:tcW w:w="180" w:type="dxa"/>
            <w:vAlign w:val="bottom"/>
            <w:tcBorders>
              <w:bottom w:val="single" w:sz="8" w:color="0000FF"/>
            </w:tcBorders>
            <w:gridSpan w:val="5"/>
            <w:vMerge w:val="continue"/>
            <w:shd w:val="clear" w:color="auto" w:fill="DDDDDD"/>
          </w:tcPr>
          <w:p>
            <w:pPr>
              <w:spacing w:after="0"/>
              <w:rPr>
                <w:sz w:val="14"/>
                <w:szCs w:val="14"/>
                <w:color w:val="auto"/>
              </w:rPr>
            </w:pPr>
          </w:p>
        </w:tc>
        <w:tc>
          <w:tcPr>
            <w:tcW w:w="4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 w:type="dxa"/>
            <w:vAlign w:val="bottom"/>
            <w:gridSpan w:val="2"/>
          </w:tcPr>
          <w:p>
            <w:pPr>
              <w:ind w:left="200"/>
              <w:spacing w:after="0" w:line="149" w:lineRule="exact"/>
              <w:rPr>
                <w:sz w:val="20"/>
                <w:szCs w:val="20"/>
                <w:color w:val="auto"/>
              </w:rPr>
            </w:pPr>
            <w:r>
              <w:rPr>
                <w:rFonts w:ascii="Arial" w:cs="Arial" w:eastAsia="Arial" w:hAnsi="Arial"/>
                <w:sz w:val="17"/>
                <w:szCs w:val="17"/>
                <w:color w:val="auto"/>
                <w:w w:val="90"/>
              </w:rPr>
              <w:t>2.11</w:t>
            </w:r>
          </w:p>
        </w:tc>
        <w:tc>
          <w:tcPr>
            <w:tcW w:w="1180" w:type="dxa"/>
            <w:vAlign w:val="bottom"/>
            <w:gridSpan w:val="5"/>
          </w:tcPr>
          <w:p>
            <w:pPr>
              <w:ind w:left="220"/>
              <w:spacing w:after="0" w:line="149" w:lineRule="exact"/>
              <w:rPr>
                <w:sz w:val="20"/>
                <w:szCs w:val="20"/>
                <w:color w:val="auto"/>
              </w:rPr>
            </w:pPr>
            <w:r>
              <w:rPr>
                <w:rFonts w:ascii="Arial" w:cs="Arial" w:eastAsia="Arial" w:hAnsi="Arial"/>
                <w:sz w:val="17"/>
                <w:szCs w:val="17"/>
                <w:color w:val="auto"/>
              </w:rPr>
              <w:t>[Reserved].</w:t>
            </w:r>
          </w:p>
        </w:tc>
        <w:tc>
          <w:tcPr>
            <w:tcW w:w="220" w:type="dxa"/>
            <w:vAlign w:val="bottom"/>
            <w:gridSpan w:val="4"/>
          </w:tcPr>
          <w:p>
            <w:pPr>
              <w:jc w:val="right"/>
              <w:spacing w:after="0" w:line="149" w:lineRule="exact"/>
              <w:rPr>
                <w:sz w:val="20"/>
                <w:szCs w:val="20"/>
                <w:color w:val="auto"/>
              </w:rPr>
            </w:pPr>
            <w:r>
              <w:rPr>
                <w:rFonts w:ascii="Arial" w:cs="Arial" w:eastAsia="Arial" w:hAnsi="Arial"/>
                <w:sz w:val="17"/>
                <w:szCs w:val="17"/>
                <w:color w:val="FF0000"/>
                <w:strike w:val="1"/>
              </w:rPr>
              <w:t>47</w:t>
            </w:r>
          </w:p>
        </w:tc>
        <w:tc>
          <w:tcPr>
            <w:tcW w:w="20" w:type="dxa"/>
            <w:vAlign w:val="bottom"/>
            <w:tcBorders>
              <w:bottom w:val="single" w:sz="8" w:color="0000FF"/>
            </w:tcBorders>
          </w:tcPr>
          <w:p>
            <w:pPr>
              <w:spacing w:after="0"/>
              <w:rPr>
                <w:sz w:val="12"/>
                <w:szCs w:val="12"/>
                <w:color w:val="auto"/>
              </w:rPr>
            </w:pPr>
          </w:p>
        </w:tc>
        <w:tc>
          <w:tcPr>
            <w:tcW w:w="160" w:type="dxa"/>
            <w:vAlign w:val="bottom"/>
            <w:tcBorders>
              <w:top w:val="single" w:sz="8" w:color="DDDDDD"/>
              <w:left w:val="single" w:sz="8" w:color="DDDDDD"/>
              <w:bottom w:val="single" w:sz="8" w:color="0000FF"/>
            </w:tcBorders>
            <w:gridSpan w:val="2"/>
            <w:shd w:val="clear" w:color="auto" w:fill="DDDDDD"/>
          </w:tcPr>
          <w:p>
            <w:pPr>
              <w:spacing w:after="0" w:line="149" w:lineRule="exact"/>
              <w:rPr>
                <w:sz w:val="20"/>
                <w:szCs w:val="20"/>
                <w:color w:val="auto"/>
              </w:rPr>
            </w:pPr>
            <w:r>
              <w:rPr>
                <w:rFonts w:ascii="Arial" w:cs="Arial" w:eastAsia="Arial" w:hAnsi="Arial"/>
                <w:sz w:val="15"/>
                <w:szCs w:val="15"/>
                <w:color w:val="0000FF"/>
                <w:highlight w:val="lightGray"/>
                <w:w w:val="71"/>
              </w:rPr>
              <w:t>56</w:t>
            </w:r>
          </w:p>
        </w:tc>
        <w:tc>
          <w:tcPr>
            <w:tcW w:w="1720" w:type="dxa"/>
            <w:vAlign w:val="bottom"/>
            <w:gridSpan w:val="41"/>
          </w:tcPr>
          <w:p>
            <w:pPr>
              <w:spacing w:after="0"/>
              <w:rPr>
                <w:sz w:val="12"/>
                <w:szCs w:val="12"/>
                <w:color w:val="auto"/>
              </w:rPr>
            </w:pPr>
          </w:p>
        </w:tc>
        <w:tc>
          <w:tcPr>
            <w:tcW w:w="180" w:type="dxa"/>
            <w:vAlign w:val="bottom"/>
            <w:tcBorders>
              <w:top w:val="single" w:sz="8" w:color="DDDDDD"/>
            </w:tcBorders>
            <w:gridSpan w:val="5"/>
          </w:tcPr>
          <w:p>
            <w:pPr>
              <w:spacing w:after="0"/>
              <w:rPr>
                <w:sz w:val="12"/>
                <w:szCs w:val="12"/>
                <w:color w:val="auto"/>
              </w:rPr>
            </w:pPr>
          </w:p>
        </w:tc>
        <w:tc>
          <w:tcPr>
            <w:tcW w:w="7240" w:type="dxa"/>
            <w:vAlign w:val="bottom"/>
            <w:gridSpan w:val="2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gridSpan w:val="2"/>
            <w:vMerge w:val="restart"/>
          </w:tcPr>
          <w:p>
            <w:pPr>
              <w:ind w:left="200"/>
              <w:spacing w:after="0" w:line="169" w:lineRule="exact"/>
              <w:rPr>
                <w:sz w:val="20"/>
                <w:szCs w:val="20"/>
                <w:color w:val="auto"/>
              </w:rPr>
            </w:pPr>
            <w:r>
              <w:rPr>
                <w:rFonts w:ascii="Arial" w:cs="Arial" w:eastAsia="Arial" w:hAnsi="Arial"/>
                <w:sz w:val="18"/>
                <w:szCs w:val="18"/>
                <w:color w:val="auto"/>
                <w:w w:val="85"/>
              </w:rPr>
              <w:t>2.12</w:t>
            </w: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left w:val="single" w:sz="8" w:color="DDDDDD"/>
              <w:right w:val="single" w:sz="8" w:color="DDDDDD"/>
            </w:tcBorders>
            <w:shd w:val="clear" w:color="auto" w:fill="DDDDDD"/>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1220" w:type="dxa"/>
            <w:vAlign w:val="bottom"/>
            <w:gridSpan w:val="29"/>
            <w:vMerge w:val="restart"/>
          </w:tcPr>
          <w:p>
            <w:pPr>
              <w:jc w:val="right"/>
              <w:ind w:right="70"/>
              <w:spacing w:after="0" w:line="169" w:lineRule="exact"/>
              <w:rPr>
                <w:sz w:val="20"/>
                <w:szCs w:val="20"/>
                <w:color w:val="auto"/>
              </w:rPr>
            </w:pPr>
            <w:r>
              <w:rPr>
                <w:rFonts w:ascii="Arial" w:cs="Arial" w:eastAsia="Arial" w:hAnsi="Arial"/>
                <w:sz w:val="18"/>
                <w:szCs w:val="18"/>
                <w:color w:val="auto"/>
                <w:w w:val="84"/>
              </w:rPr>
              <w:t>Payment Dates</w:t>
            </w:r>
          </w:p>
        </w:tc>
        <w:tc>
          <w:tcPr>
            <w:tcW w:w="200" w:type="dxa"/>
            <w:vAlign w:val="bottom"/>
            <w:gridSpan w:val="4"/>
            <w:vMerge w:val="restart"/>
          </w:tcPr>
          <w:p>
            <w:pPr>
              <w:jc w:val="right"/>
              <w:spacing w:after="0" w:line="169" w:lineRule="exact"/>
              <w:rPr>
                <w:sz w:val="20"/>
                <w:szCs w:val="20"/>
                <w:color w:val="auto"/>
              </w:rPr>
            </w:pPr>
            <w:r>
              <w:rPr>
                <w:rFonts w:ascii="Arial" w:cs="Arial" w:eastAsia="Arial" w:hAnsi="Arial"/>
                <w:sz w:val="18"/>
                <w:szCs w:val="18"/>
                <w:color w:val="FF0000"/>
                <w:strike w:val="1"/>
                <w:w w:val="89"/>
              </w:rPr>
              <w:t>47</w:t>
            </w:r>
          </w:p>
        </w:tc>
        <w:tc>
          <w:tcPr>
            <w:tcW w:w="180" w:type="dxa"/>
            <w:vAlign w:val="bottom"/>
            <w:tcBorders>
              <w:right w:val="single" w:sz="8" w:color="DDDDDD"/>
            </w:tcBorders>
            <w:gridSpan w:val="4"/>
            <w:vMerge w:val="restart"/>
            <w:shd w:val="clear" w:color="auto" w:fill="DDDDDD"/>
          </w:tcPr>
          <w:p>
            <w:pPr>
              <w:spacing w:after="0" w:line="169" w:lineRule="exact"/>
              <w:rPr>
                <w:sz w:val="20"/>
                <w:szCs w:val="20"/>
                <w:color w:val="auto"/>
              </w:rPr>
            </w:pPr>
            <w:r>
              <w:rPr>
                <w:rFonts w:ascii="Arial" w:cs="Arial" w:eastAsia="Arial" w:hAnsi="Arial"/>
                <w:sz w:val="17"/>
                <w:szCs w:val="17"/>
                <w:color w:val="0000FF"/>
                <w:highlight w:val="lightGray"/>
                <w:w w:val="73"/>
              </w:rPr>
              <w:t>56</w:t>
            </w: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11"/>
          </w:tcPr>
          <w:p>
            <w:pPr>
              <w:spacing w:after="0" w:line="149" w:lineRule="exact"/>
              <w:rPr>
                <w:sz w:val="20"/>
                <w:szCs w:val="20"/>
                <w:color w:val="auto"/>
              </w:rPr>
            </w:pPr>
            <w:r>
              <w:rPr>
                <w:rFonts w:ascii="Arial" w:cs="Arial" w:eastAsia="Arial" w:hAnsi="Arial"/>
                <w:sz w:val="17"/>
                <w:szCs w:val="17"/>
                <w:color w:val="auto"/>
                <w:w w:val="94"/>
              </w:rPr>
              <w:t>Interest Rates and</w:t>
            </w:r>
          </w:p>
        </w:tc>
        <w:tc>
          <w:tcPr>
            <w:tcW w:w="1220" w:type="dxa"/>
            <w:vAlign w:val="bottom"/>
            <w:gridSpan w:val="29"/>
            <w:vMerge w:val="continue"/>
          </w:tcPr>
          <w:p>
            <w:pPr>
              <w:spacing w:after="0"/>
              <w:rPr>
                <w:sz w:val="12"/>
                <w:szCs w:val="12"/>
                <w:color w:val="auto"/>
              </w:rPr>
            </w:pPr>
          </w:p>
        </w:tc>
        <w:tc>
          <w:tcPr>
            <w:tcW w:w="200" w:type="dxa"/>
            <w:vAlign w:val="bottom"/>
            <w:gridSpan w:val="4"/>
            <w:vMerge w:val="continue"/>
          </w:tcPr>
          <w:p>
            <w:pPr>
              <w:spacing w:after="0"/>
              <w:rPr>
                <w:sz w:val="12"/>
                <w:szCs w:val="12"/>
                <w:color w:val="auto"/>
              </w:rPr>
            </w:pPr>
          </w:p>
        </w:tc>
        <w:tc>
          <w:tcPr>
            <w:tcW w:w="180" w:type="dxa"/>
            <w:vAlign w:val="bottom"/>
            <w:tcBorders>
              <w:bottom w:val="single" w:sz="8" w:color="0000FF"/>
              <w:right w:val="single" w:sz="8" w:color="DDDDDD"/>
            </w:tcBorders>
            <w:gridSpan w:val="4"/>
            <w:vMerge w:val="continue"/>
            <w:shd w:val="clear" w:color="auto" w:fill="DDDDDD"/>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gridSpan w:val="2"/>
            <w:vMerge w:val="restart"/>
          </w:tcPr>
          <w:p>
            <w:pPr>
              <w:ind w:left="200"/>
              <w:spacing w:after="0" w:line="169" w:lineRule="exact"/>
              <w:rPr>
                <w:sz w:val="20"/>
                <w:szCs w:val="20"/>
                <w:color w:val="auto"/>
              </w:rPr>
            </w:pPr>
            <w:r>
              <w:rPr>
                <w:rFonts w:ascii="Arial" w:cs="Arial" w:eastAsia="Arial" w:hAnsi="Arial"/>
                <w:sz w:val="18"/>
                <w:szCs w:val="18"/>
                <w:color w:val="auto"/>
                <w:w w:val="85"/>
              </w:rPr>
              <w:t>2.13</w:t>
            </w:r>
          </w:p>
        </w:tc>
        <w:tc>
          <w:tcPr>
            <w:tcW w:w="220" w:type="dxa"/>
            <w:vAlign w:val="bottom"/>
          </w:tcPr>
          <w:p>
            <w:pPr>
              <w:spacing w:after="0" w:line="20" w:lineRule="exact"/>
              <w:rPr>
                <w:sz w:val="1"/>
                <w:szCs w:val="1"/>
                <w:color w:val="auto"/>
              </w:rPr>
            </w:pPr>
          </w:p>
        </w:tc>
        <w:tc>
          <w:tcPr>
            <w:tcW w:w="2580" w:type="dxa"/>
            <w:vAlign w:val="bottom"/>
            <w:gridSpan w:val="40"/>
            <w:vMerge w:val="restart"/>
          </w:tcPr>
          <w:p>
            <w:pPr>
              <w:spacing w:after="0" w:line="169" w:lineRule="exact"/>
              <w:rPr>
                <w:sz w:val="20"/>
                <w:szCs w:val="20"/>
                <w:color w:val="auto"/>
              </w:rPr>
            </w:pPr>
            <w:r>
              <w:rPr>
                <w:rFonts w:ascii="Arial" w:cs="Arial" w:eastAsia="Arial" w:hAnsi="Arial"/>
                <w:sz w:val="18"/>
                <w:szCs w:val="18"/>
                <w:color w:val="auto"/>
                <w:w w:val="95"/>
              </w:rPr>
              <w:t>Computation of Interest and Fees</w:t>
            </w:r>
          </w:p>
        </w:tc>
        <w:tc>
          <w:tcPr>
            <w:tcW w:w="200" w:type="dxa"/>
            <w:vAlign w:val="bottom"/>
            <w:tcBorders>
              <w:right w:val="single" w:sz="8" w:color="DDDDDD"/>
            </w:tcBorders>
            <w:gridSpan w:val="4"/>
            <w:vMerge w:val="restart"/>
          </w:tcPr>
          <w:p>
            <w:pPr>
              <w:jc w:val="right"/>
              <w:ind w:right="20"/>
              <w:spacing w:after="0" w:line="169" w:lineRule="exact"/>
              <w:rPr>
                <w:sz w:val="20"/>
                <w:szCs w:val="20"/>
                <w:color w:val="auto"/>
              </w:rPr>
            </w:pPr>
            <w:r>
              <w:rPr>
                <w:rFonts w:ascii="Arial" w:cs="Arial" w:eastAsia="Arial" w:hAnsi="Arial"/>
                <w:sz w:val="18"/>
                <w:szCs w:val="18"/>
                <w:color w:val="FF0000"/>
                <w:strike w:val="1"/>
                <w:w w:val="79"/>
              </w:rPr>
              <w:t>47</w:t>
            </w:r>
          </w:p>
        </w:tc>
        <w:tc>
          <w:tcPr>
            <w:tcW w:w="180" w:type="dxa"/>
            <w:vAlign w:val="bottom"/>
            <w:tcBorders>
              <w:right w:val="single" w:sz="8" w:color="DDDDDD"/>
            </w:tcBorders>
            <w:gridSpan w:val="4"/>
            <w:vMerge w:val="restart"/>
            <w:shd w:val="clear" w:color="auto" w:fill="DDDDDD"/>
          </w:tcPr>
          <w:p>
            <w:pPr>
              <w:spacing w:after="0" w:line="169" w:lineRule="exact"/>
              <w:rPr>
                <w:sz w:val="20"/>
                <w:szCs w:val="20"/>
                <w:color w:val="auto"/>
              </w:rPr>
            </w:pPr>
            <w:r>
              <w:rPr>
                <w:rFonts w:ascii="Arial" w:cs="Arial" w:eastAsia="Arial" w:hAnsi="Arial"/>
                <w:sz w:val="17"/>
                <w:szCs w:val="17"/>
                <w:color w:val="0000FF"/>
                <w:highlight w:val="lightGray"/>
                <w:w w:val="73"/>
              </w:rPr>
              <w:t>56</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40"/>
            <w:vMerge w:val="continue"/>
          </w:tcPr>
          <w:p>
            <w:pPr>
              <w:spacing w:after="0"/>
              <w:rPr>
                <w:sz w:val="13"/>
                <w:szCs w:val="13"/>
                <w:color w:val="auto"/>
              </w:rPr>
            </w:pPr>
          </w:p>
        </w:tc>
        <w:tc>
          <w:tcPr>
            <w:tcW w:w="200" w:type="dxa"/>
            <w:vAlign w:val="bottom"/>
            <w:tcBorders>
              <w:right w:val="single" w:sz="8" w:color="DDDDDD"/>
            </w:tcBorders>
            <w:gridSpan w:val="4"/>
            <w:vMerge w:val="continue"/>
          </w:tcPr>
          <w:p>
            <w:pPr>
              <w:spacing w:after="0"/>
              <w:rPr>
                <w:sz w:val="13"/>
                <w:szCs w:val="13"/>
                <w:color w:val="auto"/>
              </w:rPr>
            </w:pPr>
          </w:p>
        </w:tc>
        <w:tc>
          <w:tcPr>
            <w:tcW w:w="180" w:type="dxa"/>
            <w:vAlign w:val="bottom"/>
            <w:tcBorders>
              <w:bottom w:val="single" w:sz="8" w:color="0000FF"/>
              <w:right w:val="single" w:sz="8" w:color="DDDDDD"/>
            </w:tcBorders>
            <w:gridSpan w:val="4"/>
            <w:vMerge w:val="continue"/>
            <w:shd w:val="clear" w:color="auto" w:fill="DDDDDD"/>
          </w:tcPr>
          <w:p>
            <w:pPr>
              <w:spacing w:after="0"/>
              <w:rPr>
                <w:sz w:val="13"/>
                <w:szCs w:val="13"/>
                <w:color w:val="auto"/>
              </w:rPr>
            </w:pPr>
          </w:p>
        </w:tc>
        <w:tc>
          <w:tcPr>
            <w:tcW w:w="20" w:type="dxa"/>
            <w:vAlign w:val="bottom"/>
            <w:tcBorders>
              <w:bottom w:val="single" w:sz="8" w:color="DDDDDD"/>
            </w:tcBorders>
          </w:tcPr>
          <w:p>
            <w:pPr>
              <w:spacing w:after="0"/>
              <w:rPr>
                <w:sz w:val="13"/>
                <w:szCs w:val="13"/>
                <w:color w:val="auto"/>
              </w:rPr>
            </w:pPr>
          </w:p>
        </w:tc>
        <w:tc>
          <w:tcPr>
            <w:tcW w:w="40" w:type="dxa"/>
            <w:vAlign w:val="bottom"/>
            <w:tcBorders>
              <w:bottom w:val="single" w:sz="8" w:color="DDDDDD"/>
            </w:tcBorders>
          </w:tcPr>
          <w:p>
            <w:pPr>
              <w:spacing w:after="0"/>
              <w:rPr>
                <w:sz w:val="13"/>
                <w:szCs w:val="13"/>
                <w:color w:val="auto"/>
              </w:rPr>
            </w:pPr>
          </w:p>
        </w:tc>
        <w:tc>
          <w:tcPr>
            <w:tcW w:w="20" w:type="dxa"/>
            <w:vAlign w:val="bottom"/>
            <w:tcBorders>
              <w:bottom w:val="single" w:sz="8" w:color="DDDDDD"/>
            </w:tcBorders>
          </w:tcPr>
          <w:p>
            <w:pPr>
              <w:spacing w:after="0"/>
              <w:rPr>
                <w:sz w:val="13"/>
                <w:szCs w:val="13"/>
                <w:color w:val="auto"/>
              </w:rPr>
            </w:pPr>
          </w:p>
        </w:tc>
        <w:tc>
          <w:tcPr>
            <w:tcW w:w="40" w:type="dxa"/>
            <w:vAlign w:val="bottom"/>
            <w:tcBorders>
              <w:bottom w:val="single" w:sz="8" w:color="DDDDDD"/>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20" w:type="dxa"/>
            <w:vAlign w:val="bottom"/>
            <w:gridSpan w:val="2"/>
          </w:tcPr>
          <w:p>
            <w:pPr>
              <w:ind w:left="200"/>
              <w:spacing w:after="0" w:line="162" w:lineRule="exact"/>
              <w:rPr>
                <w:sz w:val="20"/>
                <w:szCs w:val="20"/>
                <w:color w:val="auto"/>
              </w:rPr>
            </w:pPr>
            <w:r>
              <w:rPr>
                <w:rFonts w:ascii="Arial" w:cs="Arial" w:eastAsia="Arial" w:hAnsi="Arial"/>
                <w:sz w:val="18"/>
                <w:szCs w:val="18"/>
                <w:color w:val="auto"/>
                <w:w w:val="85"/>
              </w:rPr>
              <w:t>2.14</w:t>
            </w:r>
          </w:p>
        </w:tc>
        <w:tc>
          <w:tcPr>
            <w:tcW w:w="220" w:type="dxa"/>
            <w:vAlign w:val="bottom"/>
          </w:tcPr>
          <w:p>
            <w:pPr>
              <w:spacing w:after="0"/>
              <w:rPr>
                <w:sz w:val="14"/>
                <w:szCs w:val="14"/>
                <w:color w:val="auto"/>
              </w:rPr>
            </w:pPr>
          </w:p>
        </w:tc>
        <w:tc>
          <w:tcPr>
            <w:tcW w:w="2580" w:type="dxa"/>
            <w:vAlign w:val="bottom"/>
            <w:gridSpan w:val="40"/>
          </w:tcPr>
          <w:p>
            <w:pPr>
              <w:spacing w:after="0" w:line="162" w:lineRule="exact"/>
              <w:rPr>
                <w:sz w:val="20"/>
                <w:szCs w:val="20"/>
                <w:color w:val="auto"/>
              </w:rPr>
            </w:pPr>
            <w:r>
              <w:rPr>
                <w:rFonts w:ascii="Arial" w:cs="Arial" w:eastAsia="Arial" w:hAnsi="Arial"/>
                <w:sz w:val="18"/>
                <w:szCs w:val="18"/>
                <w:color w:val="auto"/>
                <w:w w:val="92"/>
              </w:rPr>
              <w:t>Inability to Determine Interest Rate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right w:val="single" w:sz="8" w:color="DDDDDD"/>
            </w:tcBorders>
            <w:gridSpan w:val="4"/>
          </w:tcPr>
          <w:p>
            <w:pPr>
              <w:jc w:val="right"/>
              <w:spacing w:after="0" w:line="162" w:lineRule="exact"/>
              <w:rPr>
                <w:sz w:val="20"/>
                <w:szCs w:val="20"/>
                <w:color w:val="auto"/>
              </w:rPr>
            </w:pPr>
            <w:r>
              <w:rPr>
                <w:rFonts w:ascii="Arial" w:cs="Arial" w:eastAsia="Arial" w:hAnsi="Arial"/>
                <w:sz w:val="15"/>
                <w:szCs w:val="15"/>
                <w:color w:val="FF0000"/>
                <w:strike w:val="1"/>
                <w:w w:val="71"/>
              </w:rPr>
              <w:t>48</w:t>
            </w:r>
          </w:p>
        </w:tc>
        <w:tc>
          <w:tcPr>
            <w:tcW w:w="120" w:type="dxa"/>
            <w:vAlign w:val="bottom"/>
            <w:tcBorders>
              <w:bottom w:val="single" w:sz="8" w:color="0000FF"/>
            </w:tcBorders>
            <w:gridSpan w:val="4"/>
            <w:shd w:val="clear" w:color="auto" w:fill="DDDDDD"/>
          </w:tcPr>
          <w:p>
            <w:pPr>
              <w:jc w:val="right"/>
              <w:spacing w:after="0"/>
              <w:rPr>
                <w:sz w:val="20"/>
                <w:szCs w:val="20"/>
                <w:color w:val="auto"/>
              </w:rPr>
            </w:pPr>
            <w:r>
              <w:rPr>
                <w:rFonts w:ascii="Arial" w:cs="Arial" w:eastAsia="Arial" w:hAnsi="Arial"/>
                <w:sz w:val="12"/>
                <w:szCs w:val="12"/>
                <w:color w:val="0000FF"/>
                <w:highlight w:val="lightGray"/>
                <w:w w:val="74"/>
              </w:rPr>
              <w:t>57</w:t>
            </w: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DDDDDD"/>
            </w:tcBorders>
          </w:tcPr>
          <w:p>
            <w:pPr>
              <w:spacing w:after="0"/>
              <w:rPr>
                <w:sz w:val="14"/>
                <w:szCs w:val="14"/>
                <w:color w:val="auto"/>
              </w:rPr>
            </w:pPr>
          </w:p>
        </w:tc>
        <w:tc>
          <w:tcPr>
            <w:tcW w:w="40" w:type="dxa"/>
            <w:vAlign w:val="bottom"/>
            <w:tcBorders>
              <w:bottom w:val="single" w:sz="8" w:color="DDDDDD"/>
            </w:tcBorders>
          </w:tcPr>
          <w:p>
            <w:pPr>
              <w:spacing w:after="0"/>
              <w:rPr>
                <w:sz w:val="14"/>
                <w:szCs w:val="14"/>
                <w:color w:val="auto"/>
              </w:rPr>
            </w:pPr>
          </w:p>
        </w:tc>
        <w:tc>
          <w:tcPr>
            <w:tcW w:w="80" w:type="dxa"/>
            <w:vAlign w:val="bottom"/>
            <w:tcBorders>
              <w:bottom w:val="single" w:sz="8" w:color="DDDDDD"/>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20" w:type="dxa"/>
            <w:vAlign w:val="bottom"/>
            <w:gridSpan w:val="2"/>
          </w:tcPr>
          <w:p>
            <w:pPr>
              <w:ind w:left="200"/>
              <w:spacing w:after="0" w:line="162" w:lineRule="exact"/>
              <w:rPr>
                <w:sz w:val="20"/>
                <w:szCs w:val="20"/>
                <w:color w:val="auto"/>
              </w:rPr>
            </w:pPr>
            <w:r>
              <w:rPr>
                <w:rFonts w:ascii="Arial" w:cs="Arial" w:eastAsia="Arial" w:hAnsi="Arial"/>
                <w:sz w:val="18"/>
                <w:szCs w:val="18"/>
                <w:color w:val="auto"/>
                <w:w w:val="85"/>
              </w:rPr>
              <w:t>2.15</w:t>
            </w:r>
          </w:p>
        </w:tc>
        <w:tc>
          <w:tcPr>
            <w:tcW w:w="220" w:type="dxa"/>
            <w:vAlign w:val="bottom"/>
          </w:tcPr>
          <w:p>
            <w:pPr>
              <w:spacing w:after="0"/>
              <w:rPr>
                <w:sz w:val="15"/>
                <w:szCs w:val="15"/>
                <w:color w:val="auto"/>
              </w:rPr>
            </w:pPr>
          </w:p>
        </w:tc>
        <w:tc>
          <w:tcPr>
            <w:tcW w:w="2960" w:type="dxa"/>
            <w:vAlign w:val="bottom"/>
            <w:gridSpan w:val="48"/>
          </w:tcPr>
          <w:p>
            <w:pPr>
              <w:spacing w:after="0" w:line="162" w:lineRule="exact"/>
              <w:rPr>
                <w:sz w:val="20"/>
                <w:szCs w:val="20"/>
                <w:color w:val="auto"/>
              </w:rPr>
            </w:pPr>
            <w:r>
              <w:rPr>
                <w:rFonts w:ascii="Arial" w:cs="Arial" w:eastAsia="Arial" w:hAnsi="Arial"/>
                <w:sz w:val="18"/>
                <w:szCs w:val="18"/>
                <w:color w:val="auto"/>
                <w:w w:val="91"/>
              </w:rPr>
              <w:t>Pro Rata Treatment; Payments; Sharing</w:t>
            </w:r>
          </w:p>
        </w:tc>
        <w:tc>
          <w:tcPr>
            <w:tcW w:w="120" w:type="dxa"/>
            <w:vAlign w:val="bottom"/>
            <w:gridSpan w:val="4"/>
          </w:tcPr>
          <w:p>
            <w:pPr>
              <w:jc w:val="right"/>
              <w:spacing w:after="0"/>
              <w:rPr>
                <w:sz w:val="20"/>
                <w:szCs w:val="20"/>
                <w:color w:val="auto"/>
              </w:rPr>
            </w:pPr>
            <w:r>
              <w:rPr>
                <w:rFonts w:ascii="Arial" w:cs="Arial" w:eastAsia="Arial" w:hAnsi="Arial"/>
                <w:sz w:val="10"/>
                <w:szCs w:val="10"/>
                <w:color w:val="auto"/>
                <w:w w:val="71"/>
              </w:rPr>
              <w:t>of</w:t>
            </w:r>
          </w:p>
        </w:tc>
        <w:tc>
          <w:tcPr>
            <w:tcW w:w="20" w:type="dxa"/>
            <w:vAlign w:val="bottom"/>
          </w:tcPr>
          <w:p>
            <w:pPr>
              <w:spacing w:after="0"/>
              <w:rPr>
                <w:sz w:val="15"/>
                <w:szCs w:val="15"/>
                <w:color w:val="auto"/>
              </w:rPr>
            </w:pPr>
          </w:p>
        </w:tc>
        <w:tc>
          <w:tcPr>
            <w:tcW w:w="640" w:type="dxa"/>
            <w:vAlign w:val="bottom"/>
            <w:gridSpan w:val="11"/>
          </w:tcPr>
          <w:p>
            <w:pPr>
              <w:spacing w:after="0" w:line="162" w:lineRule="exact"/>
              <w:rPr>
                <w:sz w:val="20"/>
                <w:szCs w:val="20"/>
                <w:color w:val="auto"/>
              </w:rPr>
            </w:pPr>
            <w:r>
              <w:rPr>
                <w:rFonts w:ascii="Arial" w:cs="Arial" w:eastAsia="Arial" w:hAnsi="Arial"/>
                <w:sz w:val="18"/>
                <w:szCs w:val="18"/>
                <w:color w:val="auto"/>
              </w:rPr>
              <w:t>Setoffs</w:t>
            </w:r>
          </w:p>
        </w:tc>
        <w:tc>
          <w:tcPr>
            <w:tcW w:w="220" w:type="dxa"/>
            <w:vAlign w:val="bottom"/>
            <w:gridSpan w:val="2"/>
          </w:tcPr>
          <w:p>
            <w:pPr>
              <w:jc w:val="right"/>
              <w:spacing w:after="0" w:line="162" w:lineRule="exact"/>
              <w:rPr>
                <w:sz w:val="20"/>
                <w:szCs w:val="20"/>
                <w:color w:val="auto"/>
              </w:rPr>
            </w:pPr>
            <w:r>
              <w:rPr>
                <w:rFonts w:ascii="Arial" w:cs="Arial" w:eastAsia="Arial" w:hAnsi="Arial"/>
                <w:sz w:val="18"/>
                <w:szCs w:val="18"/>
                <w:color w:val="FF0000"/>
                <w:strike w:val="1"/>
                <w:w w:val="99"/>
              </w:rPr>
              <w:t>50</w:t>
            </w:r>
          </w:p>
        </w:tc>
        <w:tc>
          <w:tcPr>
            <w:tcW w:w="180" w:type="dxa"/>
            <w:vAlign w:val="bottom"/>
            <w:tcBorders>
              <w:bottom w:val="single" w:sz="8" w:color="0000FF"/>
            </w:tcBorders>
            <w:gridSpan w:val="3"/>
            <w:shd w:val="clear" w:color="auto" w:fill="DDDDDD"/>
          </w:tcPr>
          <w:p>
            <w:pPr>
              <w:jc w:val="right"/>
              <w:spacing w:after="0" w:line="162" w:lineRule="exact"/>
              <w:rPr>
                <w:sz w:val="20"/>
                <w:szCs w:val="20"/>
                <w:color w:val="auto"/>
              </w:rPr>
            </w:pPr>
            <w:r>
              <w:rPr>
                <w:rFonts w:ascii="Arial" w:cs="Arial" w:eastAsia="Arial" w:hAnsi="Arial"/>
                <w:sz w:val="18"/>
                <w:szCs w:val="18"/>
                <w:color w:val="0000FF"/>
                <w:highlight w:val="lightGray"/>
                <w:w w:val="79"/>
              </w:rPr>
              <w:t>60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40" w:type="dxa"/>
            <w:vAlign w:val="bottom"/>
            <w:gridSpan w:val="3"/>
          </w:tcPr>
          <w:p>
            <w:pPr>
              <w:ind w:left="200"/>
              <w:spacing w:after="0" w:line="149" w:lineRule="exact"/>
              <w:rPr>
                <w:sz w:val="20"/>
                <w:szCs w:val="20"/>
                <w:color w:val="auto"/>
              </w:rPr>
            </w:pPr>
            <w:r>
              <w:rPr>
                <w:rFonts w:ascii="Arial" w:cs="Arial" w:eastAsia="Arial" w:hAnsi="Arial"/>
                <w:sz w:val="17"/>
                <w:szCs w:val="17"/>
                <w:color w:val="auto"/>
                <w:w w:val="90"/>
              </w:rPr>
              <w:t>2.16</w:t>
            </w:r>
          </w:p>
        </w:tc>
        <w:tc>
          <w:tcPr>
            <w:tcW w:w="1720" w:type="dxa"/>
            <w:vAlign w:val="bottom"/>
            <w:gridSpan w:val="16"/>
          </w:tcPr>
          <w:p>
            <w:pPr>
              <w:spacing w:after="0" w:line="149" w:lineRule="exact"/>
              <w:rPr>
                <w:sz w:val="20"/>
                <w:szCs w:val="20"/>
                <w:color w:val="auto"/>
              </w:rPr>
            </w:pPr>
            <w:r>
              <w:rPr>
                <w:rFonts w:ascii="Arial" w:cs="Arial" w:eastAsia="Arial" w:hAnsi="Arial"/>
                <w:sz w:val="17"/>
                <w:szCs w:val="17"/>
                <w:color w:val="auto"/>
                <w:w w:val="95"/>
              </w:rPr>
              <w:t>Requirements of Law</w:t>
            </w:r>
          </w:p>
        </w:tc>
        <w:tc>
          <w:tcPr>
            <w:tcW w:w="220" w:type="dxa"/>
            <w:vAlign w:val="bottom"/>
            <w:tcBorders>
              <w:right w:val="single" w:sz="8" w:color="DDDDDD"/>
            </w:tcBorders>
            <w:gridSpan w:val="7"/>
          </w:tcPr>
          <w:p>
            <w:pPr>
              <w:jc w:val="right"/>
              <w:spacing w:after="0" w:line="149" w:lineRule="exact"/>
              <w:rPr>
                <w:sz w:val="20"/>
                <w:szCs w:val="20"/>
                <w:color w:val="auto"/>
              </w:rPr>
            </w:pPr>
            <w:r>
              <w:rPr>
                <w:rFonts w:ascii="Arial" w:cs="Arial" w:eastAsia="Arial" w:hAnsi="Arial"/>
                <w:sz w:val="17"/>
                <w:szCs w:val="17"/>
                <w:color w:val="FF0000"/>
                <w:strike w:val="1"/>
                <w:w w:val="94"/>
              </w:rPr>
              <w:t>51</w:t>
            </w:r>
          </w:p>
        </w:tc>
        <w:tc>
          <w:tcPr>
            <w:tcW w:w="160" w:type="dxa"/>
            <w:vAlign w:val="bottom"/>
            <w:tcBorders>
              <w:top w:val="single" w:sz="8" w:color="DDDDDD"/>
            </w:tcBorders>
            <w:gridSpan w:val="4"/>
            <w:shd w:val="clear" w:color="auto" w:fill="DDDDDD"/>
          </w:tcPr>
          <w:p>
            <w:pPr>
              <w:jc w:val="right"/>
              <w:spacing w:after="0" w:line="149" w:lineRule="exact"/>
              <w:rPr>
                <w:sz w:val="20"/>
                <w:szCs w:val="20"/>
                <w:color w:val="auto"/>
              </w:rPr>
            </w:pPr>
            <w:r>
              <w:rPr>
                <w:rFonts w:ascii="Arial" w:cs="Arial" w:eastAsia="Arial" w:hAnsi="Arial"/>
                <w:sz w:val="15"/>
                <w:szCs w:val="15"/>
                <w:color w:val="0000FF"/>
                <w:highlight w:val="lightGray"/>
                <w:w w:val="71"/>
              </w:rPr>
              <w:t>61</w:t>
            </w:r>
          </w:p>
        </w:tc>
        <w:tc>
          <w:tcPr>
            <w:tcW w:w="1860" w:type="dxa"/>
            <w:vAlign w:val="bottom"/>
            <w:gridSpan w:val="39"/>
          </w:tcPr>
          <w:p>
            <w:pPr>
              <w:spacing w:after="0"/>
              <w:rPr>
                <w:sz w:val="13"/>
                <w:szCs w:val="13"/>
                <w:color w:val="auto"/>
              </w:rPr>
            </w:pPr>
          </w:p>
        </w:tc>
        <w:tc>
          <w:tcPr>
            <w:tcW w:w="180" w:type="dxa"/>
            <w:vAlign w:val="bottom"/>
            <w:tcBorders>
              <w:top w:val="single" w:sz="8" w:color="DDDDDD"/>
            </w:tcBorders>
            <w:gridSpan w:val="3"/>
          </w:tcPr>
          <w:p>
            <w:pPr>
              <w:spacing w:after="0"/>
              <w:rPr>
                <w:sz w:val="13"/>
                <w:szCs w:val="13"/>
                <w:color w:val="auto"/>
              </w:rPr>
            </w:pPr>
          </w:p>
        </w:tc>
        <w:tc>
          <w:tcPr>
            <w:tcW w:w="636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40" w:type="dxa"/>
            <w:vAlign w:val="bottom"/>
            <w:gridSpan w:val="3"/>
          </w:tcPr>
          <w:p>
            <w:pPr>
              <w:ind w:left="200"/>
              <w:spacing w:after="0" w:line="162" w:lineRule="exact"/>
              <w:rPr>
                <w:sz w:val="20"/>
                <w:szCs w:val="20"/>
                <w:color w:val="auto"/>
              </w:rPr>
            </w:pPr>
            <w:r>
              <w:rPr>
                <w:rFonts w:ascii="Arial" w:cs="Arial" w:eastAsia="Arial" w:hAnsi="Arial"/>
                <w:sz w:val="18"/>
                <w:szCs w:val="18"/>
                <w:color w:val="auto"/>
                <w:w w:val="85"/>
              </w:rPr>
              <w:t>2.17</w:t>
            </w:r>
          </w:p>
        </w:tc>
        <w:tc>
          <w:tcPr>
            <w:tcW w:w="420" w:type="dxa"/>
            <w:vAlign w:val="bottom"/>
          </w:tcPr>
          <w:p>
            <w:pPr>
              <w:spacing w:after="0" w:line="162" w:lineRule="exact"/>
              <w:rPr>
                <w:sz w:val="20"/>
                <w:szCs w:val="20"/>
                <w:color w:val="auto"/>
              </w:rPr>
            </w:pPr>
            <w:r>
              <w:rPr>
                <w:rFonts w:ascii="Arial" w:cs="Arial" w:eastAsia="Arial" w:hAnsi="Arial"/>
                <w:sz w:val="18"/>
                <w:szCs w:val="18"/>
                <w:color w:val="auto"/>
                <w:w w:val="81"/>
              </w:rPr>
              <w:t>Taxes</w:t>
            </w:r>
          </w:p>
        </w:tc>
        <w:tc>
          <w:tcPr>
            <w:tcW w:w="360" w:type="dxa"/>
            <w:vAlign w:val="bottom"/>
          </w:tcPr>
          <w:p>
            <w:pPr>
              <w:jc w:val="right"/>
              <w:spacing w:after="0" w:line="162" w:lineRule="exact"/>
              <w:rPr>
                <w:sz w:val="20"/>
                <w:szCs w:val="20"/>
                <w:color w:val="auto"/>
              </w:rPr>
            </w:pPr>
            <w:r>
              <w:rPr>
                <w:rFonts w:ascii="Arial" w:cs="Arial" w:eastAsia="Arial" w:hAnsi="Arial"/>
                <w:sz w:val="18"/>
                <w:szCs w:val="18"/>
                <w:color w:val="FF0000"/>
                <w:strike w:val="1"/>
              </w:rPr>
              <w:t>52</w:t>
            </w:r>
          </w:p>
        </w:tc>
        <w:tc>
          <w:tcPr>
            <w:tcW w:w="180" w:type="dxa"/>
            <w:vAlign w:val="bottom"/>
            <w:tcBorders>
              <w:top w:val="single" w:sz="8" w:color="DDDDDD"/>
              <w:bottom w:val="single" w:sz="8" w:color="0000FF"/>
            </w:tcBorders>
            <w:gridSpan w:val="2"/>
            <w:shd w:val="clear" w:color="auto" w:fill="DDDDDD"/>
          </w:tcPr>
          <w:p>
            <w:pPr>
              <w:jc w:val="right"/>
              <w:spacing w:after="0" w:line="162" w:lineRule="exact"/>
              <w:rPr>
                <w:sz w:val="20"/>
                <w:szCs w:val="20"/>
                <w:color w:val="auto"/>
              </w:rPr>
            </w:pPr>
            <w:r>
              <w:rPr>
                <w:rFonts w:ascii="Arial" w:cs="Arial" w:eastAsia="Arial" w:hAnsi="Arial"/>
                <w:sz w:val="18"/>
                <w:szCs w:val="18"/>
                <w:color w:val="0000FF"/>
                <w:highlight w:val="lightGray"/>
                <w:w w:val="79"/>
              </w:rPr>
              <w:t>62</w:t>
            </w:r>
          </w:p>
        </w:tc>
        <w:tc>
          <w:tcPr>
            <w:tcW w:w="980" w:type="dxa"/>
            <w:vAlign w:val="bottom"/>
            <w:gridSpan w:val="19"/>
          </w:tcPr>
          <w:p>
            <w:pPr>
              <w:spacing w:after="0"/>
              <w:rPr>
                <w:sz w:val="15"/>
                <w:szCs w:val="15"/>
                <w:color w:val="auto"/>
              </w:rPr>
            </w:pPr>
          </w:p>
        </w:tc>
        <w:tc>
          <w:tcPr>
            <w:tcW w:w="180" w:type="dxa"/>
            <w:vAlign w:val="bottom"/>
            <w:tcBorders>
              <w:top w:val="single" w:sz="8" w:color="0000FF"/>
            </w:tcBorders>
            <w:gridSpan w:val="5"/>
          </w:tcPr>
          <w:p>
            <w:pPr>
              <w:spacing w:after="0"/>
              <w:rPr>
                <w:sz w:val="15"/>
                <w:szCs w:val="15"/>
                <w:color w:val="auto"/>
              </w:rPr>
            </w:pPr>
          </w:p>
        </w:tc>
        <w:tc>
          <w:tcPr>
            <w:tcW w:w="8380" w:type="dxa"/>
            <w:vAlign w:val="bottom"/>
            <w:gridSpan w:val="52"/>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40" w:type="dxa"/>
            <w:vAlign w:val="bottom"/>
            <w:gridSpan w:val="3"/>
          </w:tcPr>
          <w:p>
            <w:pPr>
              <w:ind w:left="200"/>
              <w:spacing w:after="0" w:line="149" w:lineRule="exact"/>
              <w:rPr>
                <w:sz w:val="20"/>
                <w:szCs w:val="20"/>
                <w:color w:val="auto"/>
              </w:rPr>
            </w:pPr>
            <w:r>
              <w:rPr>
                <w:rFonts w:ascii="Arial" w:cs="Arial" w:eastAsia="Arial" w:hAnsi="Arial"/>
                <w:sz w:val="17"/>
                <w:szCs w:val="17"/>
                <w:color w:val="auto"/>
                <w:w w:val="90"/>
              </w:rPr>
              <w:t>2.18</w:t>
            </w:r>
          </w:p>
        </w:tc>
        <w:tc>
          <w:tcPr>
            <w:tcW w:w="780" w:type="dxa"/>
            <w:vAlign w:val="bottom"/>
            <w:gridSpan w:val="2"/>
          </w:tcPr>
          <w:p>
            <w:pPr>
              <w:spacing w:after="0" w:line="149" w:lineRule="exact"/>
              <w:rPr>
                <w:sz w:val="20"/>
                <w:szCs w:val="20"/>
                <w:color w:val="auto"/>
              </w:rPr>
            </w:pPr>
            <w:r>
              <w:rPr>
                <w:rFonts w:ascii="Arial" w:cs="Arial" w:eastAsia="Arial" w:hAnsi="Arial"/>
                <w:sz w:val="17"/>
                <w:szCs w:val="17"/>
                <w:color w:val="auto"/>
              </w:rPr>
              <w:t>Indemnity</w:t>
            </w:r>
          </w:p>
        </w:tc>
        <w:tc>
          <w:tcPr>
            <w:tcW w:w="180" w:type="dxa"/>
            <w:vAlign w:val="bottom"/>
            <w:tcBorders>
              <w:top w:val="single" w:sz="8" w:color="DDDDDD"/>
            </w:tcBorders>
            <w:gridSpan w:val="2"/>
          </w:tcPr>
          <w:p>
            <w:pPr>
              <w:spacing w:after="0"/>
              <w:rPr>
                <w:sz w:val="13"/>
                <w:szCs w:val="13"/>
                <w:color w:val="auto"/>
              </w:rPr>
            </w:pPr>
          </w:p>
        </w:tc>
        <w:tc>
          <w:tcPr>
            <w:tcW w:w="140" w:type="dxa"/>
            <w:vAlign w:val="bottom"/>
            <w:gridSpan w:val="2"/>
          </w:tcPr>
          <w:p>
            <w:pPr>
              <w:spacing w:after="0" w:line="149" w:lineRule="exact"/>
              <w:rPr>
                <w:sz w:val="20"/>
                <w:szCs w:val="20"/>
                <w:color w:val="auto"/>
              </w:rPr>
            </w:pPr>
            <w:r>
              <w:rPr>
                <w:rFonts w:ascii="Arial" w:cs="Arial" w:eastAsia="Arial" w:hAnsi="Arial"/>
                <w:sz w:val="15"/>
                <w:szCs w:val="15"/>
                <w:color w:val="FF0000"/>
                <w:strike w:val="1"/>
                <w:w w:val="71"/>
              </w:rPr>
              <w:t>55</w:t>
            </w:r>
          </w:p>
        </w:tc>
        <w:tc>
          <w:tcPr>
            <w:tcW w:w="180" w:type="dxa"/>
            <w:vAlign w:val="bottom"/>
            <w:tcBorders>
              <w:top w:val="single" w:sz="8" w:color="DDDDDD"/>
              <w:bottom w:val="single" w:sz="8" w:color="0000FF"/>
              <w:right w:val="single" w:sz="8" w:color="DDDDDD"/>
            </w:tcBorders>
            <w:gridSpan w:val="4"/>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84"/>
              </w:rPr>
              <w:t>65</w:t>
            </w:r>
          </w:p>
        </w:tc>
        <w:tc>
          <w:tcPr>
            <w:tcW w:w="980" w:type="dxa"/>
            <w:vAlign w:val="bottom"/>
            <w:gridSpan w:val="22"/>
          </w:tcPr>
          <w:p>
            <w:pPr>
              <w:spacing w:after="0"/>
              <w:rPr>
                <w:sz w:val="13"/>
                <w:szCs w:val="13"/>
                <w:color w:val="auto"/>
              </w:rPr>
            </w:pPr>
          </w:p>
        </w:tc>
        <w:tc>
          <w:tcPr>
            <w:tcW w:w="160" w:type="dxa"/>
            <w:vAlign w:val="bottom"/>
            <w:tcBorders>
              <w:bottom w:val="single" w:sz="8" w:color="DDDDDD"/>
            </w:tcBorders>
            <w:gridSpan w:val="4"/>
          </w:tcPr>
          <w:p>
            <w:pPr>
              <w:spacing w:after="0"/>
              <w:rPr>
                <w:sz w:val="13"/>
                <w:szCs w:val="13"/>
                <w:color w:val="auto"/>
              </w:rPr>
            </w:pPr>
          </w:p>
        </w:tc>
        <w:tc>
          <w:tcPr>
            <w:tcW w:w="8080" w:type="dxa"/>
            <w:vAlign w:val="bottom"/>
            <w:gridSpan w:val="44"/>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20" w:type="dxa"/>
            <w:vAlign w:val="bottom"/>
            <w:gridSpan w:val="2"/>
          </w:tcPr>
          <w:p>
            <w:pPr>
              <w:ind w:left="200"/>
              <w:spacing w:after="0" w:line="162" w:lineRule="exact"/>
              <w:rPr>
                <w:sz w:val="20"/>
                <w:szCs w:val="20"/>
                <w:color w:val="auto"/>
              </w:rPr>
            </w:pPr>
            <w:r>
              <w:rPr>
                <w:rFonts w:ascii="Arial" w:cs="Arial" w:eastAsia="Arial" w:hAnsi="Arial"/>
                <w:sz w:val="18"/>
                <w:szCs w:val="18"/>
                <w:color w:val="auto"/>
                <w:w w:val="85"/>
              </w:rPr>
              <w:t>2.19</w:t>
            </w:r>
          </w:p>
        </w:tc>
        <w:tc>
          <w:tcPr>
            <w:tcW w:w="220" w:type="dxa"/>
            <w:vAlign w:val="bottom"/>
          </w:tcPr>
          <w:p>
            <w:pPr>
              <w:spacing w:after="0"/>
              <w:rPr>
                <w:sz w:val="15"/>
                <w:szCs w:val="15"/>
                <w:color w:val="auto"/>
              </w:rPr>
            </w:pPr>
          </w:p>
        </w:tc>
        <w:tc>
          <w:tcPr>
            <w:tcW w:w="1280" w:type="dxa"/>
            <w:vAlign w:val="bottom"/>
            <w:gridSpan w:val="10"/>
          </w:tcPr>
          <w:p>
            <w:pPr>
              <w:spacing w:after="0" w:line="162" w:lineRule="exact"/>
              <w:rPr>
                <w:sz w:val="20"/>
                <w:szCs w:val="20"/>
                <w:color w:val="auto"/>
              </w:rPr>
            </w:pPr>
            <w:r>
              <w:rPr>
                <w:rFonts w:ascii="Arial" w:cs="Arial" w:eastAsia="Arial" w:hAnsi="Arial"/>
                <w:sz w:val="18"/>
                <w:szCs w:val="18"/>
                <w:color w:val="auto"/>
                <w:w w:val="81"/>
              </w:rPr>
              <w:t>Change of Lending</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10"/>
          </w:tcPr>
          <w:p>
            <w:pPr>
              <w:jc w:val="center"/>
              <w:spacing w:after="0" w:line="162" w:lineRule="exact"/>
              <w:rPr>
                <w:sz w:val="20"/>
                <w:szCs w:val="20"/>
                <w:color w:val="auto"/>
              </w:rPr>
            </w:pPr>
            <w:r>
              <w:rPr>
                <w:rFonts w:ascii="Arial" w:cs="Arial" w:eastAsia="Arial" w:hAnsi="Arial"/>
                <w:sz w:val="18"/>
                <w:szCs w:val="18"/>
                <w:color w:val="auto"/>
                <w:w w:val="93"/>
              </w:rPr>
              <w:t>Office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right w:val="single" w:sz="8" w:color="DDDDDD"/>
            </w:tcBorders>
            <w:gridSpan w:val="7"/>
          </w:tcPr>
          <w:p>
            <w:pPr>
              <w:jc w:val="right"/>
              <w:spacing w:after="0" w:line="162" w:lineRule="exact"/>
              <w:rPr>
                <w:sz w:val="20"/>
                <w:szCs w:val="20"/>
                <w:color w:val="auto"/>
              </w:rPr>
            </w:pPr>
            <w:r>
              <w:rPr>
                <w:rFonts w:ascii="Arial" w:cs="Arial" w:eastAsia="Arial" w:hAnsi="Arial"/>
                <w:sz w:val="18"/>
                <w:szCs w:val="18"/>
                <w:color w:val="FF0000"/>
                <w:strike w:val="1"/>
                <w:w w:val="79"/>
              </w:rPr>
              <w:t>55</w:t>
            </w:r>
          </w:p>
        </w:tc>
        <w:tc>
          <w:tcPr>
            <w:tcW w:w="160" w:type="dxa"/>
            <w:vAlign w:val="bottom"/>
            <w:tcBorders>
              <w:bottom w:val="single" w:sz="8" w:color="0000FF"/>
            </w:tcBorders>
            <w:gridSpan w:val="4"/>
            <w:shd w:val="clear" w:color="auto" w:fill="DDDDDD"/>
          </w:tcPr>
          <w:p>
            <w:pPr>
              <w:jc w:val="right"/>
              <w:spacing w:after="0" w:line="162" w:lineRule="exact"/>
              <w:rPr>
                <w:sz w:val="20"/>
                <w:szCs w:val="20"/>
                <w:color w:val="auto"/>
              </w:rPr>
            </w:pPr>
            <w:r>
              <w:rPr>
                <w:rFonts w:ascii="Arial" w:cs="Arial" w:eastAsia="Arial" w:hAnsi="Arial"/>
                <w:sz w:val="17"/>
                <w:szCs w:val="17"/>
                <w:color w:val="0000FF"/>
                <w:highlight w:val="lightGray"/>
                <w:w w:val="73"/>
              </w:rPr>
              <w:t>66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40" w:type="dxa"/>
            <w:vAlign w:val="bottom"/>
            <w:gridSpan w:val="3"/>
          </w:tcPr>
          <w:p>
            <w:pPr>
              <w:ind w:left="200"/>
              <w:spacing w:after="0" w:line="149" w:lineRule="exact"/>
              <w:rPr>
                <w:sz w:val="20"/>
                <w:szCs w:val="20"/>
                <w:color w:val="auto"/>
              </w:rPr>
            </w:pPr>
            <w:r>
              <w:rPr>
                <w:rFonts w:ascii="Arial" w:cs="Arial" w:eastAsia="Arial" w:hAnsi="Arial"/>
                <w:sz w:val="17"/>
                <w:szCs w:val="17"/>
                <w:color w:val="auto"/>
                <w:w w:val="90"/>
              </w:rPr>
              <w:t>2.20</w:t>
            </w:r>
          </w:p>
        </w:tc>
        <w:tc>
          <w:tcPr>
            <w:tcW w:w="1940" w:type="dxa"/>
            <w:vAlign w:val="bottom"/>
            <w:gridSpan w:val="23"/>
          </w:tcPr>
          <w:p>
            <w:pPr>
              <w:spacing w:after="0" w:line="149" w:lineRule="exact"/>
              <w:rPr>
                <w:sz w:val="20"/>
                <w:szCs w:val="20"/>
                <w:color w:val="auto"/>
              </w:rPr>
            </w:pPr>
            <w:r>
              <w:rPr>
                <w:rFonts w:ascii="Arial" w:cs="Arial" w:eastAsia="Arial" w:hAnsi="Arial"/>
                <w:sz w:val="17"/>
                <w:szCs w:val="17"/>
                <w:color w:val="auto"/>
                <w:w w:val="95"/>
              </w:rPr>
              <w:t>Replacement of Lenders</w:t>
            </w:r>
          </w:p>
        </w:tc>
        <w:tc>
          <w:tcPr>
            <w:tcW w:w="180" w:type="dxa"/>
            <w:vAlign w:val="bottom"/>
            <w:gridSpan w:val="5"/>
          </w:tcPr>
          <w:p>
            <w:pPr>
              <w:jc w:val="right"/>
              <w:spacing w:after="0" w:line="149" w:lineRule="exact"/>
              <w:rPr>
                <w:sz w:val="20"/>
                <w:szCs w:val="20"/>
                <w:color w:val="auto"/>
              </w:rPr>
            </w:pPr>
            <w:r>
              <w:rPr>
                <w:rFonts w:ascii="Arial" w:cs="Arial" w:eastAsia="Arial" w:hAnsi="Arial"/>
                <w:sz w:val="17"/>
                <w:szCs w:val="17"/>
                <w:color w:val="FF0000"/>
                <w:strike w:val="1"/>
                <w:w w:val="84"/>
              </w:rPr>
              <w:t>56</w:t>
            </w:r>
          </w:p>
        </w:tc>
        <w:tc>
          <w:tcPr>
            <w:tcW w:w="140" w:type="dxa"/>
            <w:vAlign w:val="bottom"/>
            <w:tcBorders>
              <w:top w:val="single" w:sz="8" w:color="DDDDDD"/>
              <w:bottom w:val="single" w:sz="8" w:color="0000FF"/>
              <w:right w:val="single" w:sz="8" w:color="DDDDDD"/>
            </w:tcBorders>
            <w:gridSpan w:val="4"/>
            <w:shd w:val="clear" w:color="auto" w:fill="DDDDDD"/>
          </w:tcPr>
          <w:p>
            <w:pPr>
              <w:jc w:val="right"/>
              <w:spacing w:after="0" w:line="149" w:lineRule="exact"/>
              <w:rPr>
                <w:sz w:val="20"/>
                <w:szCs w:val="20"/>
                <w:color w:val="auto"/>
              </w:rPr>
            </w:pPr>
            <w:r>
              <w:rPr>
                <w:rFonts w:ascii="Arial" w:cs="Arial" w:eastAsia="Arial" w:hAnsi="Arial"/>
                <w:sz w:val="15"/>
                <w:szCs w:val="15"/>
                <w:color w:val="0000FF"/>
                <w:highlight w:val="lightGray"/>
                <w:w w:val="71"/>
              </w:rPr>
              <w:t>66</w:t>
            </w:r>
          </w:p>
        </w:tc>
        <w:tc>
          <w:tcPr>
            <w:tcW w:w="40" w:type="dxa"/>
            <w:vAlign w:val="bottom"/>
            <w:tcBorders>
              <w:top w:val="single" w:sz="8" w:color="DDDDDD"/>
              <w:bottom w:val="single" w:sz="8" w:color="0000FF"/>
              <w:right w:val="single" w:sz="8" w:color="DDDDDD"/>
            </w:tcBorders>
            <w:shd w:val="clear" w:color="auto" w:fill="DDDDDD"/>
          </w:tcPr>
          <w:p>
            <w:pPr>
              <w:spacing w:after="0"/>
              <w:rPr>
                <w:sz w:val="13"/>
                <w:szCs w:val="13"/>
                <w:color w:val="auto"/>
              </w:rPr>
            </w:pPr>
          </w:p>
        </w:tc>
        <w:tc>
          <w:tcPr>
            <w:tcW w:w="120" w:type="dxa"/>
            <w:vAlign w:val="bottom"/>
            <w:tcBorders>
              <w:top w:val="single" w:sz="8" w:color="DDDDDD"/>
              <w:bottom w:val="single" w:sz="8" w:color="DDDDDD"/>
            </w:tcBorders>
            <w:gridSpan w:val="3"/>
          </w:tcPr>
          <w:p>
            <w:pPr>
              <w:spacing w:after="0"/>
              <w:rPr>
                <w:sz w:val="13"/>
                <w:szCs w:val="13"/>
                <w:color w:val="auto"/>
              </w:rPr>
            </w:pPr>
          </w:p>
        </w:tc>
        <w:tc>
          <w:tcPr>
            <w:tcW w:w="40" w:type="dxa"/>
            <w:vAlign w:val="bottom"/>
            <w:tcBorders>
              <w:bottom w:val="single" w:sz="8" w:color="DDDDDD"/>
            </w:tcBorders>
          </w:tcPr>
          <w:p>
            <w:pPr>
              <w:spacing w:after="0"/>
              <w:rPr>
                <w:sz w:val="13"/>
                <w:szCs w:val="13"/>
                <w:color w:val="auto"/>
              </w:rPr>
            </w:pPr>
          </w:p>
        </w:tc>
        <w:tc>
          <w:tcPr>
            <w:tcW w:w="8040" w:type="dxa"/>
            <w:vAlign w:val="bottom"/>
            <w:gridSpan w:val="4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20" w:type="dxa"/>
            <w:vAlign w:val="bottom"/>
            <w:gridSpan w:val="2"/>
          </w:tcPr>
          <w:p>
            <w:pPr>
              <w:ind w:left="200"/>
              <w:spacing w:after="0" w:line="162" w:lineRule="exact"/>
              <w:rPr>
                <w:sz w:val="20"/>
                <w:szCs w:val="20"/>
                <w:color w:val="auto"/>
              </w:rPr>
            </w:pPr>
            <w:r>
              <w:rPr>
                <w:rFonts w:ascii="Arial" w:cs="Arial" w:eastAsia="Arial" w:hAnsi="Arial"/>
                <w:sz w:val="18"/>
                <w:szCs w:val="18"/>
                <w:color w:val="auto"/>
                <w:w w:val="85"/>
              </w:rPr>
              <w:t>2.21</w:t>
            </w:r>
          </w:p>
        </w:tc>
        <w:tc>
          <w:tcPr>
            <w:tcW w:w="220" w:type="dxa"/>
            <w:vAlign w:val="bottom"/>
          </w:tcPr>
          <w:p>
            <w:pPr>
              <w:spacing w:after="0"/>
              <w:rPr>
                <w:sz w:val="14"/>
                <w:szCs w:val="14"/>
                <w:color w:val="auto"/>
              </w:rPr>
            </w:pPr>
          </w:p>
        </w:tc>
        <w:tc>
          <w:tcPr>
            <w:tcW w:w="2060" w:type="dxa"/>
            <w:vAlign w:val="bottom"/>
            <w:gridSpan w:val="25"/>
          </w:tcPr>
          <w:p>
            <w:pPr>
              <w:spacing w:after="0" w:line="162" w:lineRule="exact"/>
              <w:rPr>
                <w:sz w:val="20"/>
                <w:szCs w:val="20"/>
                <w:color w:val="auto"/>
              </w:rPr>
            </w:pPr>
            <w:r>
              <w:rPr>
                <w:rFonts w:ascii="Arial" w:cs="Arial" w:eastAsia="Arial" w:hAnsi="Arial"/>
                <w:sz w:val="18"/>
                <w:szCs w:val="18"/>
                <w:color w:val="auto"/>
                <w:w w:val="97"/>
              </w:rPr>
              <w:t>Incremental Commitments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DDDDDD"/>
            </w:tcBorders>
            <w:gridSpan w:val="5"/>
          </w:tcPr>
          <w:p>
            <w:pPr>
              <w:jc w:val="right"/>
              <w:spacing w:after="0" w:line="162" w:lineRule="exact"/>
              <w:rPr>
                <w:sz w:val="20"/>
                <w:szCs w:val="20"/>
                <w:color w:val="auto"/>
              </w:rPr>
            </w:pPr>
            <w:r>
              <w:rPr>
                <w:rFonts w:ascii="Arial" w:cs="Arial" w:eastAsia="Arial" w:hAnsi="Arial"/>
                <w:sz w:val="17"/>
                <w:szCs w:val="17"/>
                <w:color w:val="FF0000"/>
                <w:strike w:val="1"/>
                <w:w w:val="73"/>
              </w:rPr>
              <w:t>56</w:t>
            </w:r>
          </w:p>
        </w:tc>
        <w:tc>
          <w:tcPr>
            <w:tcW w:w="160" w:type="dxa"/>
            <w:vAlign w:val="bottom"/>
            <w:tcBorders>
              <w:left w:val="single" w:sz="8" w:color="DDDDDD"/>
            </w:tcBorders>
            <w:gridSpan w:val="4"/>
            <w:shd w:val="clear" w:color="auto" w:fill="DDDDDD"/>
          </w:tcPr>
          <w:p>
            <w:pPr>
              <w:jc w:val="right"/>
              <w:spacing w:after="0" w:line="162" w:lineRule="exact"/>
              <w:rPr>
                <w:sz w:val="20"/>
                <w:szCs w:val="20"/>
                <w:color w:val="auto"/>
              </w:rPr>
            </w:pPr>
            <w:r>
              <w:rPr>
                <w:rFonts w:ascii="Arial" w:cs="Arial" w:eastAsia="Arial" w:hAnsi="Arial"/>
                <w:sz w:val="17"/>
                <w:szCs w:val="17"/>
                <w:color w:val="0000FF"/>
                <w:highlight w:val="lightGray"/>
                <w:w w:val="73"/>
              </w:rPr>
              <w:t>67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gridSpan w:val="3"/>
          </w:tcPr>
          <w:p>
            <w:pPr>
              <w:ind w:left="200"/>
              <w:spacing w:after="0" w:line="162" w:lineRule="exact"/>
              <w:rPr>
                <w:sz w:val="20"/>
                <w:szCs w:val="20"/>
                <w:color w:val="auto"/>
              </w:rPr>
            </w:pPr>
            <w:r>
              <w:rPr>
                <w:rFonts w:ascii="Arial" w:cs="Arial" w:eastAsia="Arial" w:hAnsi="Arial"/>
                <w:sz w:val="18"/>
                <w:szCs w:val="18"/>
                <w:color w:val="auto"/>
                <w:w w:val="85"/>
              </w:rPr>
              <w:t>2.22</w:t>
            </w:r>
          </w:p>
        </w:tc>
        <w:tc>
          <w:tcPr>
            <w:tcW w:w="1580" w:type="dxa"/>
            <w:vAlign w:val="bottom"/>
            <w:gridSpan w:val="14"/>
          </w:tcPr>
          <w:p>
            <w:pPr>
              <w:spacing w:after="0" w:line="162" w:lineRule="exact"/>
              <w:rPr>
                <w:sz w:val="20"/>
                <w:szCs w:val="20"/>
                <w:color w:val="auto"/>
              </w:rPr>
            </w:pPr>
            <w:r>
              <w:rPr>
                <w:rFonts w:ascii="Arial" w:cs="Arial" w:eastAsia="Arial" w:hAnsi="Arial"/>
                <w:sz w:val="18"/>
                <w:szCs w:val="18"/>
                <w:color w:val="auto"/>
              </w:rPr>
              <w:t>Defaulting Lenders</w:t>
            </w:r>
          </w:p>
        </w:tc>
        <w:tc>
          <w:tcPr>
            <w:tcW w:w="180" w:type="dxa"/>
            <w:vAlign w:val="bottom"/>
            <w:gridSpan w:val="4"/>
          </w:tcPr>
          <w:p>
            <w:pPr>
              <w:spacing w:after="0" w:line="162" w:lineRule="exact"/>
              <w:rPr>
                <w:sz w:val="20"/>
                <w:szCs w:val="20"/>
                <w:color w:val="auto"/>
              </w:rPr>
            </w:pPr>
            <w:r>
              <w:rPr>
                <w:rFonts w:ascii="Arial" w:cs="Arial" w:eastAsia="Arial" w:hAnsi="Arial"/>
                <w:sz w:val="18"/>
                <w:szCs w:val="18"/>
                <w:color w:val="FF0000"/>
                <w:strike w:val="1"/>
                <w:w w:val="79"/>
              </w:rPr>
              <w:t>58</w:t>
            </w:r>
          </w:p>
        </w:tc>
        <w:tc>
          <w:tcPr>
            <w:tcW w:w="180" w:type="dxa"/>
            <w:vAlign w:val="bottom"/>
            <w:tcBorders>
              <w:top w:val="single" w:sz="8" w:color="DDDDDD"/>
              <w:bottom w:val="single" w:sz="8" w:color="0000FF"/>
              <w:right w:val="single" w:sz="8" w:color="DDDDDD"/>
            </w:tcBorders>
            <w:gridSpan w:val="5"/>
            <w:shd w:val="clear" w:color="auto" w:fill="DDDDDD"/>
          </w:tcPr>
          <w:p>
            <w:pPr>
              <w:jc w:val="right"/>
              <w:spacing w:after="0" w:line="162" w:lineRule="exact"/>
              <w:rPr>
                <w:sz w:val="20"/>
                <w:szCs w:val="20"/>
                <w:color w:val="auto"/>
              </w:rPr>
            </w:pPr>
            <w:r>
              <w:rPr>
                <w:rFonts w:ascii="Arial" w:cs="Arial" w:eastAsia="Arial" w:hAnsi="Arial"/>
                <w:sz w:val="17"/>
                <w:szCs w:val="17"/>
                <w:color w:val="0000FF"/>
                <w:highlight w:val="lightGray"/>
                <w:w w:val="73"/>
              </w:rPr>
              <w:t>68</w:t>
            </w:r>
          </w:p>
        </w:tc>
        <w:tc>
          <w:tcPr>
            <w:tcW w:w="360" w:type="dxa"/>
            <w:vAlign w:val="bottom"/>
            <w:gridSpan w:val="10"/>
          </w:tcPr>
          <w:p>
            <w:pPr>
              <w:spacing w:after="0"/>
              <w:rPr>
                <w:sz w:val="14"/>
                <w:szCs w:val="14"/>
                <w:color w:val="auto"/>
              </w:rPr>
            </w:pPr>
          </w:p>
        </w:tc>
        <w:tc>
          <w:tcPr>
            <w:tcW w:w="160" w:type="dxa"/>
            <w:vAlign w:val="bottom"/>
            <w:tcBorders>
              <w:top w:val="single" w:sz="8" w:color="0000FF"/>
            </w:tcBorders>
            <w:gridSpan w:val="4"/>
          </w:tcPr>
          <w:p>
            <w:pPr>
              <w:spacing w:after="0"/>
              <w:rPr>
                <w:sz w:val="14"/>
                <w:szCs w:val="14"/>
                <w:color w:val="auto"/>
              </w:rPr>
            </w:pPr>
          </w:p>
        </w:tc>
        <w:tc>
          <w:tcPr>
            <w:tcW w:w="8040" w:type="dxa"/>
            <w:vAlign w:val="bottom"/>
            <w:gridSpan w:val="4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gridSpan w:val="2"/>
            <w:vMerge w:val="restart"/>
          </w:tcPr>
          <w:p>
            <w:pPr>
              <w:ind w:left="200"/>
              <w:spacing w:after="0" w:line="169" w:lineRule="exact"/>
              <w:rPr>
                <w:sz w:val="20"/>
                <w:szCs w:val="20"/>
                <w:color w:val="auto"/>
              </w:rPr>
            </w:pPr>
            <w:r>
              <w:rPr>
                <w:rFonts w:ascii="Arial" w:cs="Arial" w:eastAsia="Arial" w:hAnsi="Arial"/>
                <w:sz w:val="18"/>
                <w:szCs w:val="18"/>
                <w:color w:val="auto"/>
                <w:w w:val="85"/>
              </w:rPr>
              <w:t>2.23</w:t>
            </w:r>
          </w:p>
        </w:tc>
        <w:tc>
          <w:tcPr>
            <w:tcW w:w="220" w:type="dxa"/>
            <w:vAlign w:val="bottom"/>
          </w:tcPr>
          <w:p>
            <w:pPr>
              <w:spacing w:after="0" w:line="20" w:lineRule="exact"/>
              <w:rPr>
                <w:sz w:val="1"/>
                <w:szCs w:val="1"/>
                <w:color w:val="auto"/>
              </w:rPr>
            </w:pPr>
          </w:p>
        </w:tc>
        <w:tc>
          <w:tcPr>
            <w:tcW w:w="1760" w:type="dxa"/>
            <w:vAlign w:val="bottom"/>
            <w:gridSpan w:val="18"/>
            <w:vMerge w:val="restart"/>
          </w:tcPr>
          <w:p>
            <w:pPr>
              <w:spacing w:after="0" w:line="169" w:lineRule="exact"/>
              <w:rPr>
                <w:sz w:val="20"/>
                <w:szCs w:val="20"/>
                <w:color w:val="auto"/>
              </w:rPr>
            </w:pPr>
            <w:r>
              <w:rPr>
                <w:rFonts w:ascii="Arial" w:cs="Arial" w:eastAsia="Arial" w:hAnsi="Arial"/>
                <w:sz w:val="18"/>
                <w:szCs w:val="18"/>
                <w:color w:val="auto"/>
                <w:w w:val="95"/>
              </w:rPr>
              <w:t>Extension of Revolving</w:t>
            </w:r>
          </w:p>
        </w:tc>
        <w:tc>
          <w:tcPr>
            <w:tcW w:w="180" w:type="dxa"/>
            <w:vAlign w:val="bottom"/>
            <w:tcBorders>
              <w:right w:val="single" w:sz="8" w:color="DDDDDD"/>
            </w:tcBorders>
            <w:gridSpan w:val="5"/>
            <w:shd w:val="clear" w:color="auto" w:fill="DDDDDD"/>
          </w:tcPr>
          <w:p>
            <w:pPr>
              <w:spacing w:after="0" w:line="20" w:lineRule="exact"/>
              <w:rPr>
                <w:sz w:val="1"/>
                <w:szCs w:val="1"/>
                <w:color w:val="auto"/>
              </w:rPr>
            </w:pPr>
          </w:p>
        </w:tc>
        <w:tc>
          <w:tcPr>
            <w:tcW w:w="1020" w:type="dxa"/>
            <w:vAlign w:val="bottom"/>
            <w:gridSpan w:val="25"/>
          </w:tcPr>
          <w:p>
            <w:pPr>
              <w:spacing w:after="0" w:line="20" w:lineRule="exact"/>
              <w:rPr>
                <w:sz w:val="1"/>
                <w:szCs w:val="1"/>
                <w:color w:val="auto"/>
              </w:rPr>
            </w:pPr>
          </w:p>
        </w:tc>
        <w:tc>
          <w:tcPr>
            <w:tcW w:w="160" w:type="dxa"/>
            <w:vAlign w:val="bottom"/>
            <w:gridSpan w:val="6"/>
            <w:vMerge w:val="restart"/>
          </w:tcPr>
          <w:p>
            <w:pPr>
              <w:jc w:val="right"/>
              <w:spacing w:after="0" w:line="169" w:lineRule="exact"/>
              <w:rPr>
                <w:sz w:val="20"/>
                <w:szCs w:val="20"/>
                <w:color w:val="auto"/>
              </w:rPr>
            </w:pPr>
            <w:r>
              <w:rPr>
                <w:rFonts w:ascii="Arial" w:cs="Arial" w:eastAsia="Arial" w:hAnsi="Arial"/>
                <w:sz w:val="17"/>
                <w:szCs w:val="17"/>
                <w:color w:val="FF0000"/>
                <w:strike w:val="1"/>
                <w:w w:val="73"/>
              </w:rPr>
              <w:t>59</w:t>
            </w:r>
          </w:p>
        </w:tc>
        <w:tc>
          <w:tcPr>
            <w:tcW w:w="180" w:type="dxa"/>
            <w:vAlign w:val="bottom"/>
            <w:tcBorders>
              <w:right w:val="single" w:sz="8" w:color="DDDDDD"/>
            </w:tcBorders>
            <w:gridSpan w:val="4"/>
            <w:vMerge w:val="restart"/>
            <w:shd w:val="clear" w:color="auto" w:fill="DDDDDD"/>
          </w:tcPr>
          <w:p>
            <w:pPr>
              <w:jc w:val="right"/>
              <w:spacing w:after="0" w:line="169" w:lineRule="exact"/>
              <w:rPr>
                <w:sz w:val="20"/>
                <w:szCs w:val="20"/>
                <w:color w:val="auto"/>
              </w:rPr>
            </w:pPr>
            <w:r>
              <w:rPr>
                <w:rFonts w:ascii="Arial" w:cs="Arial" w:eastAsia="Arial" w:hAnsi="Arial"/>
                <w:sz w:val="18"/>
                <w:szCs w:val="18"/>
                <w:color w:val="0000FF"/>
                <w:highlight w:val="lightGray"/>
                <w:w w:val="79"/>
              </w:rPr>
              <w:t>70</w:t>
            </w:r>
          </w:p>
        </w:tc>
        <w:tc>
          <w:tcPr>
            <w:tcW w:w="80" w:type="dxa"/>
            <w:vAlign w:val="bottom"/>
            <w:vMerge w:val="restart"/>
          </w:tcPr>
          <w:p>
            <w:pPr>
              <w:spacing w:after="0" w:line="20" w:lineRule="exact"/>
              <w:rPr>
                <w:sz w:val="1"/>
                <w:szCs w:val="1"/>
                <w:color w:val="auto"/>
              </w:rPr>
            </w:pPr>
          </w:p>
        </w:tc>
        <w:tc>
          <w:tcPr>
            <w:tcW w:w="712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18"/>
            <w:vMerge w:val="continue"/>
          </w:tcPr>
          <w:p>
            <w:pPr>
              <w:spacing w:after="0"/>
              <w:rPr>
                <w:sz w:val="12"/>
                <w:szCs w:val="12"/>
                <w:color w:val="auto"/>
              </w:rPr>
            </w:pPr>
          </w:p>
        </w:tc>
        <w:tc>
          <w:tcPr>
            <w:tcW w:w="1100" w:type="dxa"/>
            <w:vAlign w:val="bottom"/>
            <w:gridSpan w:val="29"/>
          </w:tcPr>
          <w:p>
            <w:pPr>
              <w:spacing w:after="0" w:line="149" w:lineRule="exact"/>
              <w:rPr>
                <w:sz w:val="20"/>
                <w:szCs w:val="20"/>
                <w:color w:val="auto"/>
              </w:rPr>
            </w:pPr>
            <w:r>
              <w:rPr>
                <w:rFonts w:ascii="Arial" w:cs="Arial" w:eastAsia="Arial" w:hAnsi="Arial"/>
                <w:sz w:val="17"/>
                <w:szCs w:val="17"/>
                <w:color w:val="auto"/>
              </w:rPr>
              <w:t>Maturity Date</w:t>
            </w:r>
          </w:p>
        </w:tc>
        <w:tc>
          <w:tcPr>
            <w:tcW w:w="100" w:type="dxa"/>
            <w:vAlign w:val="bottom"/>
          </w:tcPr>
          <w:p>
            <w:pPr>
              <w:spacing w:after="0"/>
              <w:rPr>
                <w:sz w:val="12"/>
                <w:szCs w:val="12"/>
                <w:color w:val="auto"/>
              </w:rPr>
            </w:pPr>
          </w:p>
        </w:tc>
        <w:tc>
          <w:tcPr>
            <w:tcW w:w="160" w:type="dxa"/>
            <w:vAlign w:val="bottom"/>
            <w:gridSpan w:val="6"/>
            <w:vMerge w:val="continue"/>
          </w:tcPr>
          <w:p>
            <w:pPr>
              <w:spacing w:after="0"/>
              <w:rPr>
                <w:sz w:val="12"/>
                <w:szCs w:val="12"/>
                <w:color w:val="auto"/>
              </w:rPr>
            </w:pPr>
          </w:p>
        </w:tc>
        <w:tc>
          <w:tcPr>
            <w:tcW w:w="180" w:type="dxa"/>
            <w:vAlign w:val="bottom"/>
            <w:tcBorders>
              <w:bottom w:val="single" w:sz="8" w:color="0000FF"/>
              <w:right w:val="single" w:sz="8" w:color="DDDDDD"/>
            </w:tcBorders>
            <w:gridSpan w:val="4"/>
            <w:vMerge w:val="continue"/>
            <w:shd w:val="clear" w:color="auto" w:fill="DDDDDD"/>
          </w:tcPr>
          <w:p>
            <w:pPr>
              <w:spacing w:after="0"/>
              <w:rPr>
                <w:sz w:val="12"/>
                <w:szCs w:val="12"/>
                <w:color w:val="auto"/>
              </w:rPr>
            </w:pPr>
          </w:p>
        </w:tc>
        <w:tc>
          <w:tcPr>
            <w:tcW w:w="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gridSpan w:val="2"/>
            <w:vMerge w:val="restart"/>
          </w:tcPr>
          <w:p>
            <w:pPr>
              <w:ind w:left="200"/>
              <w:spacing w:after="0" w:line="169" w:lineRule="exact"/>
              <w:rPr>
                <w:sz w:val="20"/>
                <w:szCs w:val="20"/>
                <w:color w:val="auto"/>
              </w:rPr>
            </w:pPr>
            <w:r>
              <w:rPr>
                <w:rFonts w:ascii="Arial" w:cs="Arial" w:eastAsia="Arial" w:hAnsi="Arial"/>
                <w:sz w:val="18"/>
                <w:szCs w:val="18"/>
                <w:color w:val="auto"/>
                <w:w w:val="85"/>
              </w:rPr>
              <w:t>2.24</w:t>
            </w:r>
          </w:p>
        </w:tc>
        <w:tc>
          <w:tcPr>
            <w:tcW w:w="220" w:type="dxa"/>
            <w:vAlign w:val="bottom"/>
          </w:tcPr>
          <w:p>
            <w:pPr>
              <w:spacing w:after="0" w:line="20" w:lineRule="exact"/>
              <w:rPr>
                <w:sz w:val="1"/>
                <w:szCs w:val="1"/>
                <w:color w:val="auto"/>
              </w:rPr>
            </w:pPr>
          </w:p>
        </w:tc>
        <w:tc>
          <w:tcPr>
            <w:tcW w:w="3120" w:type="dxa"/>
            <w:vAlign w:val="bottom"/>
            <w:gridSpan w:val="54"/>
            <w:vMerge w:val="restart"/>
          </w:tcPr>
          <w:p>
            <w:pPr>
              <w:spacing w:after="0" w:line="169" w:lineRule="exact"/>
              <w:rPr>
                <w:sz w:val="20"/>
                <w:szCs w:val="20"/>
                <w:color w:val="auto"/>
              </w:rPr>
            </w:pPr>
            <w:r>
              <w:rPr>
                <w:rFonts w:ascii="Arial" w:cs="Arial" w:eastAsia="Arial" w:hAnsi="Arial"/>
                <w:sz w:val="18"/>
                <w:szCs w:val="18"/>
                <w:color w:val="auto"/>
                <w:w w:val="93"/>
              </w:rPr>
              <w:t>Extension of Delayed Draw Term Maturity</w:t>
            </w:r>
          </w:p>
        </w:tc>
        <w:tc>
          <w:tcPr>
            <w:tcW w:w="100" w:type="dxa"/>
            <w:vAlign w:val="bottom"/>
            <w:tcBorders>
              <w:right w:val="single" w:sz="8" w:color="DDDDDD"/>
            </w:tcBorders>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40" w:type="dxa"/>
            <w:vAlign w:val="bottom"/>
            <w:tcBorders>
              <w:right w:val="single" w:sz="8" w:color="DDDDDD"/>
            </w:tcBorders>
            <w:shd w:val="clear" w:color="auto" w:fill="DDDDD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DDDDDD"/>
            </w:tcBorders>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60" w:type="dxa"/>
            <w:vAlign w:val="bottom"/>
            <w:tcBorders>
              <w:right w:val="single" w:sz="8" w:color="DDDDDD"/>
            </w:tcBorders>
            <w:shd w:val="clear" w:color="auto" w:fill="DDDDD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120" w:type="dxa"/>
            <w:vAlign w:val="bottom"/>
            <w:gridSpan w:val="54"/>
            <w:vMerge w:val="continue"/>
          </w:tcPr>
          <w:p>
            <w:pPr>
              <w:spacing w:after="0"/>
              <w:rPr>
                <w:sz w:val="13"/>
                <w:szCs w:val="13"/>
                <w:color w:val="auto"/>
              </w:rPr>
            </w:pPr>
          </w:p>
        </w:tc>
        <w:tc>
          <w:tcPr>
            <w:tcW w:w="540" w:type="dxa"/>
            <w:vAlign w:val="bottom"/>
            <w:gridSpan w:val="9"/>
          </w:tcPr>
          <w:p>
            <w:pPr>
              <w:jc w:val="center"/>
              <w:ind w:right="160"/>
              <w:spacing w:after="0" w:line="149" w:lineRule="exact"/>
              <w:rPr>
                <w:sz w:val="20"/>
                <w:szCs w:val="20"/>
                <w:color w:val="auto"/>
              </w:rPr>
            </w:pPr>
            <w:r>
              <w:rPr>
                <w:rFonts w:ascii="Arial" w:cs="Arial" w:eastAsia="Arial" w:hAnsi="Arial"/>
                <w:sz w:val="17"/>
                <w:szCs w:val="17"/>
                <w:color w:val="auto"/>
                <w:w w:val="94"/>
              </w:rPr>
              <w:t>Date</w:t>
            </w:r>
          </w:p>
        </w:tc>
        <w:tc>
          <w:tcPr>
            <w:tcW w:w="220" w:type="dxa"/>
            <w:vAlign w:val="bottom"/>
            <w:tcBorders>
              <w:right w:val="single" w:sz="8" w:color="DDDDDD"/>
            </w:tcBorders>
            <w:gridSpan w:val="2"/>
          </w:tcPr>
          <w:p>
            <w:pPr>
              <w:jc w:val="right"/>
              <w:spacing w:after="0" w:line="149" w:lineRule="exact"/>
              <w:rPr>
                <w:sz w:val="20"/>
                <w:szCs w:val="20"/>
                <w:color w:val="auto"/>
              </w:rPr>
            </w:pPr>
            <w:r>
              <w:rPr>
                <w:rFonts w:ascii="Arial" w:cs="Arial" w:eastAsia="Arial" w:hAnsi="Arial"/>
                <w:sz w:val="17"/>
                <w:szCs w:val="17"/>
                <w:color w:val="FF0000"/>
                <w:strike w:val="1"/>
                <w:w w:val="84"/>
              </w:rPr>
              <w:t>61</w:t>
            </w:r>
          </w:p>
        </w:tc>
        <w:tc>
          <w:tcPr>
            <w:tcW w:w="140" w:type="dxa"/>
            <w:vAlign w:val="bottom"/>
            <w:tcBorders>
              <w:bottom w:val="single" w:sz="8" w:color="0000FF"/>
              <w:right w:val="single" w:sz="8" w:color="DDDDDD"/>
            </w:tcBorders>
            <w:gridSpan w:val="2"/>
            <w:shd w:val="clear" w:color="auto" w:fill="DDDDDD"/>
          </w:tcPr>
          <w:p>
            <w:pPr>
              <w:jc w:val="right"/>
              <w:spacing w:after="0" w:line="149" w:lineRule="exact"/>
              <w:rPr>
                <w:sz w:val="20"/>
                <w:szCs w:val="20"/>
                <w:color w:val="auto"/>
              </w:rPr>
            </w:pPr>
            <w:r>
              <w:rPr>
                <w:rFonts w:ascii="Arial" w:cs="Arial" w:eastAsia="Arial" w:hAnsi="Arial"/>
                <w:sz w:val="15"/>
                <w:szCs w:val="15"/>
                <w:color w:val="0000FF"/>
                <w:highlight w:val="lightGray"/>
                <w:w w:val="71"/>
              </w:rPr>
              <w:t>74</w:t>
            </w:r>
          </w:p>
        </w:tc>
        <w:tc>
          <w:tcPr>
            <w:tcW w:w="4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2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040" w:type="dxa"/>
            <w:vAlign w:val="bottom"/>
            <w:gridSpan w:val="36"/>
            <w:vMerge w:val="restart"/>
          </w:tcPr>
          <w:p>
            <w:pPr>
              <w:spacing w:after="0"/>
              <w:rPr>
                <w:sz w:val="20"/>
                <w:szCs w:val="20"/>
                <w:color w:val="auto"/>
              </w:rPr>
            </w:pPr>
            <w:r>
              <w:rPr>
                <w:rFonts w:ascii="Arial" w:cs="Arial" w:eastAsia="Arial" w:hAnsi="Arial"/>
                <w:sz w:val="18"/>
                <w:szCs w:val="18"/>
                <w:color w:val="auto"/>
              </w:rPr>
              <w:t>SECTION 3.   LETTERS OF CREDIT</w:t>
            </w:r>
          </w:p>
        </w:tc>
        <w:tc>
          <w:tcPr>
            <w:tcW w:w="240" w:type="dxa"/>
            <w:vAlign w:val="bottom"/>
            <w:gridSpan w:val="6"/>
            <w:vMerge w:val="restart"/>
          </w:tcPr>
          <w:p>
            <w:pPr>
              <w:jc w:val="right"/>
              <w:ind w:right="20"/>
              <w:spacing w:after="0"/>
              <w:rPr>
                <w:sz w:val="20"/>
                <w:szCs w:val="20"/>
                <w:color w:val="auto"/>
              </w:rPr>
            </w:pPr>
            <w:r>
              <w:rPr>
                <w:rFonts w:ascii="Arial" w:cs="Arial" w:eastAsia="Arial" w:hAnsi="Arial"/>
                <w:sz w:val="18"/>
                <w:szCs w:val="18"/>
                <w:color w:val="FF0000"/>
                <w:strike w:val="1"/>
                <w:w w:val="99"/>
              </w:rPr>
              <w:t>63</w:t>
            </w:r>
          </w:p>
        </w:tc>
        <w:tc>
          <w:tcPr>
            <w:tcW w:w="12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040" w:type="dxa"/>
            <w:vAlign w:val="bottom"/>
            <w:gridSpan w:val="36"/>
            <w:vMerge w:val="continue"/>
          </w:tcPr>
          <w:p>
            <w:pPr>
              <w:spacing w:after="0"/>
              <w:rPr>
                <w:sz w:val="15"/>
                <w:szCs w:val="15"/>
                <w:color w:val="auto"/>
              </w:rPr>
            </w:pPr>
          </w:p>
        </w:tc>
        <w:tc>
          <w:tcPr>
            <w:tcW w:w="240" w:type="dxa"/>
            <w:vAlign w:val="bottom"/>
            <w:gridSpan w:val="6"/>
            <w:vMerge w:val="continue"/>
          </w:tcPr>
          <w:p>
            <w:pPr>
              <w:spacing w:after="0"/>
              <w:rPr>
                <w:sz w:val="15"/>
                <w:szCs w:val="15"/>
                <w:color w:val="auto"/>
              </w:rPr>
            </w:pPr>
          </w:p>
        </w:tc>
        <w:tc>
          <w:tcPr>
            <w:tcW w:w="160" w:type="dxa"/>
            <w:vAlign w:val="bottom"/>
            <w:gridSpan w:val="3"/>
            <w:shd w:val="clear" w:color="auto" w:fill="DDDDDD"/>
          </w:tcPr>
          <w:p>
            <w:pPr>
              <w:jc w:val="center"/>
              <w:spacing w:after="0" w:line="176" w:lineRule="exact"/>
              <w:rPr>
                <w:sz w:val="20"/>
                <w:szCs w:val="20"/>
                <w:color w:val="auto"/>
              </w:rPr>
            </w:pPr>
            <w:r>
              <w:rPr>
                <w:rFonts w:ascii="Arial" w:cs="Arial" w:eastAsia="Arial" w:hAnsi="Arial"/>
                <w:sz w:val="18"/>
                <w:szCs w:val="18"/>
                <w:color w:val="0000FF"/>
                <w:highlight w:val="lightGray"/>
                <w:w w:val="79"/>
              </w:rPr>
              <w:t>76</w:t>
            </w:r>
          </w:p>
        </w:tc>
        <w:tc>
          <w:tcPr>
            <w:tcW w:w="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20" w:type="dxa"/>
            <w:vAlign w:val="bottom"/>
            <w:gridSpan w:val="2"/>
          </w:tcPr>
          <w:p>
            <w:pPr>
              <w:ind w:left="200"/>
              <w:spacing w:after="0" w:line="162" w:lineRule="exact"/>
              <w:rPr>
                <w:sz w:val="20"/>
                <w:szCs w:val="20"/>
                <w:color w:val="auto"/>
              </w:rPr>
            </w:pPr>
            <w:r>
              <w:rPr>
                <w:rFonts w:ascii="Arial" w:cs="Arial" w:eastAsia="Arial" w:hAnsi="Arial"/>
                <w:sz w:val="18"/>
                <w:szCs w:val="18"/>
                <w:color w:val="auto"/>
              </w:rPr>
              <w:t>3.1</w:t>
            </w:r>
          </w:p>
        </w:tc>
        <w:tc>
          <w:tcPr>
            <w:tcW w:w="1580" w:type="dxa"/>
            <w:vAlign w:val="bottom"/>
            <w:gridSpan w:val="12"/>
          </w:tcPr>
          <w:p>
            <w:pPr>
              <w:ind w:left="120"/>
              <w:spacing w:after="0" w:line="162" w:lineRule="exact"/>
              <w:rPr>
                <w:sz w:val="20"/>
                <w:szCs w:val="20"/>
                <w:color w:val="auto"/>
              </w:rPr>
            </w:pPr>
            <w:r>
              <w:rPr>
                <w:rFonts w:ascii="Arial" w:cs="Arial" w:eastAsia="Arial" w:hAnsi="Arial"/>
                <w:sz w:val="18"/>
                <w:szCs w:val="18"/>
                <w:color w:val="auto"/>
              </w:rPr>
              <w:t>L/C Commitment</w:t>
            </w:r>
          </w:p>
        </w:tc>
        <w:tc>
          <w:tcPr>
            <w:tcW w:w="180" w:type="dxa"/>
            <w:vAlign w:val="bottom"/>
            <w:gridSpan w:val="2"/>
          </w:tcPr>
          <w:p>
            <w:pPr>
              <w:jc w:val="right"/>
              <w:spacing w:after="0" w:line="162" w:lineRule="exact"/>
              <w:rPr>
                <w:sz w:val="20"/>
                <w:szCs w:val="20"/>
                <w:color w:val="auto"/>
              </w:rPr>
            </w:pPr>
            <w:r>
              <w:rPr>
                <w:rFonts w:ascii="Arial" w:cs="Arial" w:eastAsia="Arial" w:hAnsi="Arial"/>
                <w:sz w:val="18"/>
                <w:szCs w:val="18"/>
                <w:color w:val="FF0000"/>
                <w:strike w:val="1"/>
                <w:w w:val="79"/>
              </w:rPr>
              <w:t>63</w:t>
            </w:r>
          </w:p>
        </w:tc>
        <w:tc>
          <w:tcPr>
            <w:tcW w:w="180" w:type="dxa"/>
            <w:vAlign w:val="bottom"/>
            <w:tcBorders>
              <w:top w:val="single" w:sz="8" w:color="DDDDDD"/>
              <w:bottom w:val="single" w:sz="8" w:color="0000FF"/>
            </w:tcBorders>
            <w:gridSpan w:val="3"/>
            <w:shd w:val="clear" w:color="auto" w:fill="DDDDDD"/>
          </w:tcPr>
          <w:p>
            <w:pPr>
              <w:jc w:val="right"/>
              <w:spacing w:after="0" w:line="162" w:lineRule="exact"/>
              <w:rPr>
                <w:sz w:val="20"/>
                <w:szCs w:val="20"/>
                <w:color w:val="auto"/>
              </w:rPr>
            </w:pPr>
            <w:r>
              <w:rPr>
                <w:rFonts w:ascii="Arial" w:cs="Arial" w:eastAsia="Arial" w:hAnsi="Arial"/>
                <w:sz w:val="18"/>
                <w:szCs w:val="18"/>
                <w:color w:val="0000FF"/>
                <w:highlight w:val="lightGray"/>
                <w:w w:val="79"/>
              </w:rPr>
              <w:t>76</w:t>
            </w:r>
          </w:p>
        </w:tc>
        <w:tc>
          <w:tcPr>
            <w:tcW w:w="820" w:type="dxa"/>
            <w:vAlign w:val="bottom"/>
            <w:gridSpan w:val="23"/>
          </w:tcPr>
          <w:p>
            <w:pPr>
              <w:spacing w:after="0"/>
              <w:rPr>
                <w:sz w:val="15"/>
                <w:szCs w:val="15"/>
                <w:color w:val="auto"/>
              </w:rPr>
            </w:pPr>
          </w:p>
        </w:tc>
        <w:tc>
          <w:tcPr>
            <w:tcW w:w="180" w:type="dxa"/>
            <w:vAlign w:val="bottom"/>
            <w:tcBorders>
              <w:top w:val="single" w:sz="8" w:color="0000FF"/>
            </w:tcBorders>
            <w:gridSpan w:val="4"/>
          </w:tcPr>
          <w:p>
            <w:pPr>
              <w:spacing w:after="0"/>
              <w:rPr>
                <w:sz w:val="15"/>
                <w:szCs w:val="15"/>
                <w:color w:val="auto"/>
              </w:rPr>
            </w:pPr>
          </w:p>
        </w:tc>
        <w:tc>
          <w:tcPr>
            <w:tcW w:w="7780" w:type="dxa"/>
            <w:vAlign w:val="bottom"/>
            <w:gridSpan w:val="37"/>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3.2</w:t>
            </w:r>
          </w:p>
        </w:tc>
        <w:tc>
          <w:tcPr>
            <w:tcW w:w="1760" w:type="dxa"/>
            <w:vAlign w:val="bottom"/>
            <w:gridSpan w:val="14"/>
          </w:tcPr>
          <w:p>
            <w:pPr>
              <w:ind w:left="120"/>
              <w:spacing w:after="0" w:line="149" w:lineRule="exact"/>
              <w:rPr>
                <w:sz w:val="20"/>
                <w:szCs w:val="20"/>
                <w:color w:val="auto"/>
              </w:rPr>
            </w:pPr>
            <w:r>
              <w:rPr>
                <w:rFonts w:ascii="Arial" w:cs="Arial" w:eastAsia="Arial" w:hAnsi="Arial"/>
                <w:sz w:val="17"/>
                <w:szCs w:val="17"/>
                <w:color w:val="auto"/>
                <w:w w:val="92"/>
              </w:rPr>
              <w:t>Procedure for Issuance</w:t>
            </w:r>
          </w:p>
        </w:tc>
        <w:tc>
          <w:tcPr>
            <w:tcW w:w="40" w:type="dxa"/>
            <w:vAlign w:val="bottom"/>
            <w:tcBorders>
              <w:top w:val="single" w:sz="8" w:color="DDDDDD"/>
            </w:tcBorders>
          </w:tcPr>
          <w:p>
            <w:pPr>
              <w:spacing w:after="0"/>
              <w:rPr>
                <w:sz w:val="14"/>
                <w:szCs w:val="14"/>
                <w:color w:val="auto"/>
              </w:rPr>
            </w:pPr>
          </w:p>
        </w:tc>
        <w:tc>
          <w:tcPr>
            <w:tcW w:w="140" w:type="dxa"/>
            <w:vAlign w:val="bottom"/>
            <w:tcBorders>
              <w:top w:val="single" w:sz="8" w:color="DDDDDD"/>
            </w:tcBorders>
            <w:gridSpan w:val="2"/>
          </w:tcPr>
          <w:p>
            <w:pPr>
              <w:jc w:val="center"/>
              <w:spacing w:after="0" w:line="149" w:lineRule="exact"/>
              <w:rPr>
                <w:sz w:val="20"/>
                <w:szCs w:val="20"/>
                <w:color w:val="auto"/>
              </w:rPr>
            </w:pPr>
            <w:r>
              <w:rPr>
                <w:rFonts w:ascii="Arial" w:cs="Arial" w:eastAsia="Arial" w:hAnsi="Arial"/>
                <w:sz w:val="17"/>
                <w:szCs w:val="17"/>
                <w:color w:val="auto"/>
                <w:w w:val="84"/>
              </w:rPr>
              <w:t>of</w:t>
            </w:r>
          </w:p>
        </w:tc>
        <w:tc>
          <w:tcPr>
            <w:tcW w:w="40" w:type="dxa"/>
            <w:vAlign w:val="bottom"/>
            <w:gridSpan w:val="2"/>
          </w:tcPr>
          <w:p>
            <w:pPr>
              <w:spacing w:after="0"/>
              <w:rPr>
                <w:sz w:val="14"/>
                <w:szCs w:val="14"/>
                <w:color w:val="auto"/>
              </w:rPr>
            </w:pPr>
          </w:p>
        </w:tc>
        <w:tc>
          <w:tcPr>
            <w:tcW w:w="1200" w:type="dxa"/>
            <w:vAlign w:val="bottom"/>
            <w:gridSpan w:val="30"/>
          </w:tcPr>
          <w:p>
            <w:pPr>
              <w:jc w:val="right"/>
              <w:spacing w:after="0" w:line="149" w:lineRule="exact"/>
              <w:rPr>
                <w:sz w:val="20"/>
                <w:szCs w:val="20"/>
                <w:color w:val="auto"/>
              </w:rPr>
            </w:pPr>
            <w:r>
              <w:rPr>
                <w:rFonts w:ascii="Arial" w:cs="Arial" w:eastAsia="Arial" w:hAnsi="Arial"/>
                <w:sz w:val="17"/>
                <w:szCs w:val="17"/>
                <w:color w:val="auto"/>
              </w:rPr>
              <w:t>Letter of Credit</w:t>
            </w:r>
          </w:p>
        </w:tc>
        <w:tc>
          <w:tcPr>
            <w:tcW w:w="140" w:type="dxa"/>
            <w:vAlign w:val="bottom"/>
            <w:gridSpan w:val="5"/>
          </w:tcPr>
          <w:p>
            <w:pPr>
              <w:spacing w:after="0"/>
              <w:rPr>
                <w:sz w:val="14"/>
                <w:szCs w:val="14"/>
                <w:color w:val="auto"/>
              </w:rPr>
            </w:pPr>
          </w:p>
        </w:tc>
        <w:tc>
          <w:tcPr>
            <w:tcW w:w="200" w:type="dxa"/>
            <w:vAlign w:val="bottom"/>
            <w:tcBorders>
              <w:right w:val="single" w:sz="8" w:color="DDDDDD"/>
            </w:tcBorders>
            <w:gridSpan w:val="5"/>
          </w:tcPr>
          <w:p>
            <w:pPr>
              <w:spacing w:after="0" w:line="149" w:lineRule="exact"/>
              <w:rPr>
                <w:sz w:val="20"/>
                <w:szCs w:val="20"/>
                <w:color w:val="auto"/>
              </w:rPr>
            </w:pPr>
            <w:r>
              <w:rPr>
                <w:rFonts w:ascii="Arial" w:cs="Arial" w:eastAsia="Arial" w:hAnsi="Arial"/>
                <w:sz w:val="17"/>
                <w:szCs w:val="17"/>
                <w:color w:val="FF0000"/>
                <w:strike w:val="1"/>
                <w:w w:val="84"/>
              </w:rPr>
              <w:t>64</w:t>
            </w:r>
          </w:p>
        </w:tc>
        <w:tc>
          <w:tcPr>
            <w:tcW w:w="160" w:type="dxa"/>
            <w:vAlign w:val="bottom"/>
            <w:tcBorders>
              <w:top w:val="single" w:sz="8" w:color="DDDDDD"/>
              <w:bottom w:val="single" w:sz="8" w:color="0000FF"/>
            </w:tcBorders>
            <w:gridSpan w:val="3"/>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73"/>
              </w:rPr>
              <w:t>77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3.3</w:t>
            </w:r>
          </w:p>
        </w:tc>
        <w:tc>
          <w:tcPr>
            <w:tcW w:w="2000" w:type="dxa"/>
            <w:vAlign w:val="bottom"/>
            <w:gridSpan w:val="20"/>
          </w:tcPr>
          <w:p>
            <w:pPr>
              <w:ind w:left="120"/>
              <w:spacing w:after="0" w:line="149" w:lineRule="exact"/>
              <w:rPr>
                <w:sz w:val="20"/>
                <w:szCs w:val="20"/>
                <w:color w:val="auto"/>
              </w:rPr>
            </w:pPr>
            <w:r>
              <w:rPr>
                <w:rFonts w:ascii="Arial" w:cs="Arial" w:eastAsia="Arial" w:hAnsi="Arial"/>
                <w:sz w:val="17"/>
                <w:szCs w:val="17"/>
                <w:color w:val="auto"/>
                <w:w w:val="99"/>
              </w:rPr>
              <w:t>Fees and Other Charges</w:t>
            </w:r>
          </w:p>
        </w:tc>
        <w:tc>
          <w:tcPr>
            <w:tcW w:w="20" w:type="dxa"/>
            <w:vAlign w:val="bottom"/>
          </w:tcPr>
          <w:p>
            <w:pPr>
              <w:spacing w:after="0"/>
              <w:rPr>
                <w:sz w:val="13"/>
                <w:szCs w:val="13"/>
                <w:color w:val="auto"/>
              </w:rPr>
            </w:pPr>
          </w:p>
        </w:tc>
        <w:tc>
          <w:tcPr>
            <w:tcW w:w="200" w:type="dxa"/>
            <w:vAlign w:val="bottom"/>
            <w:gridSpan w:val="4"/>
          </w:tcPr>
          <w:p>
            <w:pPr>
              <w:jc w:val="right"/>
              <w:spacing w:after="0" w:line="149" w:lineRule="exact"/>
              <w:rPr>
                <w:sz w:val="20"/>
                <w:szCs w:val="20"/>
                <w:color w:val="auto"/>
              </w:rPr>
            </w:pPr>
            <w:r>
              <w:rPr>
                <w:rFonts w:ascii="Arial" w:cs="Arial" w:eastAsia="Arial" w:hAnsi="Arial"/>
                <w:sz w:val="17"/>
                <w:szCs w:val="17"/>
                <w:color w:val="FF0000"/>
                <w:strike w:val="1"/>
                <w:w w:val="84"/>
              </w:rPr>
              <w:t>64</w:t>
            </w:r>
          </w:p>
        </w:tc>
        <w:tc>
          <w:tcPr>
            <w:tcW w:w="180" w:type="dxa"/>
            <w:vAlign w:val="bottom"/>
            <w:tcBorders>
              <w:top w:val="single" w:sz="8" w:color="DDDDDD"/>
            </w:tcBorders>
            <w:gridSpan w:val="7"/>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73"/>
              </w:rPr>
              <w:t>78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DDDDDD"/>
            </w:tcBorders>
          </w:tcPr>
          <w:p>
            <w:pPr>
              <w:spacing w:after="0"/>
              <w:rPr>
                <w:sz w:val="13"/>
                <w:szCs w:val="13"/>
                <w:color w:val="auto"/>
              </w:rPr>
            </w:pPr>
          </w:p>
        </w:tc>
        <w:tc>
          <w:tcPr>
            <w:tcW w:w="40" w:type="dxa"/>
            <w:vAlign w:val="bottom"/>
            <w:tcBorders>
              <w:top w:val="single" w:sz="8" w:color="DDDDDD"/>
            </w:tcBorders>
          </w:tcPr>
          <w:p>
            <w:pPr>
              <w:spacing w:after="0"/>
              <w:rPr>
                <w:sz w:val="13"/>
                <w:szCs w:val="13"/>
                <w:color w:val="auto"/>
              </w:rPr>
            </w:pPr>
          </w:p>
        </w:tc>
        <w:tc>
          <w:tcPr>
            <w:tcW w:w="40" w:type="dxa"/>
            <w:vAlign w:val="bottom"/>
            <w:tcBorders>
              <w:top w:val="single" w:sz="8" w:color="DDDDDD"/>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 w:type="dxa"/>
            <w:vAlign w:val="bottom"/>
            <w:gridSpan w:val="2"/>
          </w:tcPr>
          <w:p>
            <w:pPr>
              <w:ind w:left="200"/>
              <w:spacing w:after="0" w:line="162" w:lineRule="exact"/>
              <w:rPr>
                <w:sz w:val="20"/>
                <w:szCs w:val="20"/>
                <w:color w:val="auto"/>
              </w:rPr>
            </w:pPr>
            <w:r>
              <w:rPr>
                <w:rFonts w:ascii="Arial" w:cs="Arial" w:eastAsia="Arial" w:hAnsi="Arial"/>
                <w:sz w:val="18"/>
                <w:szCs w:val="18"/>
                <w:color w:val="auto"/>
              </w:rPr>
              <w:t>3.4</w:t>
            </w:r>
          </w:p>
        </w:tc>
        <w:tc>
          <w:tcPr>
            <w:tcW w:w="1640" w:type="dxa"/>
            <w:vAlign w:val="bottom"/>
            <w:gridSpan w:val="13"/>
          </w:tcPr>
          <w:p>
            <w:pPr>
              <w:ind w:left="120"/>
              <w:spacing w:after="0" w:line="162" w:lineRule="exact"/>
              <w:rPr>
                <w:sz w:val="20"/>
                <w:szCs w:val="20"/>
                <w:color w:val="auto"/>
              </w:rPr>
            </w:pPr>
            <w:r>
              <w:rPr>
                <w:rFonts w:ascii="Arial" w:cs="Arial" w:eastAsia="Arial" w:hAnsi="Arial"/>
                <w:sz w:val="18"/>
                <w:szCs w:val="18"/>
                <w:color w:val="auto"/>
              </w:rPr>
              <w:t>L/C Participations</w:t>
            </w:r>
          </w:p>
        </w:tc>
        <w:tc>
          <w:tcPr>
            <w:tcW w:w="160" w:type="dxa"/>
            <w:vAlign w:val="bottom"/>
            <w:gridSpan w:val="2"/>
          </w:tcPr>
          <w:p>
            <w:pPr>
              <w:jc w:val="right"/>
              <w:spacing w:after="0" w:line="162" w:lineRule="exact"/>
              <w:rPr>
                <w:sz w:val="20"/>
                <w:szCs w:val="20"/>
                <w:color w:val="auto"/>
              </w:rPr>
            </w:pPr>
            <w:r>
              <w:rPr>
                <w:rFonts w:ascii="Arial" w:cs="Arial" w:eastAsia="Arial" w:hAnsi="Arial"/>
                <w:sz w:val="17"/>
                <w:szCs w:val="17"/>
                <w:color w:val="FF0000"/>
                <w:strike w:val="1"/>
                <w:w w:val="73"/>
              </w:rPr>
              <w:t>64</w:t>
            </w:r>
          </w:p>
        </w:tc>
        <w:tc>
          <w:tcPr>
            <w:tcW w:w="200" w:type="dxa"/>
            <w:vAlign w:val="bottom"/>
            <w:tcBorders>
              <w:top w:val="single" w:sz="8" w:color="DDDDDD"/>
              <w:bottom w:val="single" w:sz="8" w:color="0000FF"/>
            </w:tcBorders>
            <w:gridSpan w:val="5"/>
            <w:shd w:val="clear" w:color="auto" w:fill="DDDDDD"/>
          </w:tcPr>
          <w:p>
            <w:pPr>
              <w:spacing w:after="0" w:line="162" w:lineRule="exact"/>
              <w:rPr>
                <w:sz w:val="20"/>
                <w:szCs w:val="20"/>
                <w:color w:val="auto"/>
              </w:rPr>
            </w:pPr>
            <w:r>
              <w:rPr>
                <w:rFonts w:ascii="Arial" w:cs="Arial" w:eastAsia="Arial" w:hAnsi="Arial"/>
                <w:sz w:val="18"/>
                <w:szCs w:val="18"/>
                <w:color w:val="0000FF"/>
                <w:highlight w:val="lightGray"/>
                <w:w w:val="79"/>
              </w:rPr>
              <w:t>78</w:t>
            </w:r>
          </w:p>
        </w:tc>
        <w:tc>
          <w:tcPr>
            <w:tcW w:w="220" w:type="dxa"/>
            <w:vAlign w:val="bottom"/>
            <w:gridSpan w:val="5"/>
          </w:tcPr>
          <w:p>
            <w:pPr>
              <w:spacing w:after="0"/>
              <w:rPr>
                <w:sz w:val="14"/>
                <w:szCs w:val="14"/>
                <w:color w:val="auto"/>
              </w:rPr>
            </w:pPr>
          </w:p>
        </w:tc>
        <w:tc>
          <w:tcPr>
            <w:tcW w:w="160" w:type="dxa"/>
            <w:vAlign w:val="bottom"/>
            <w:tcBorders>
              <w:top w:val="single" w:sz="8" w:color="0000FF"/>
            </w:tcBorders>
            <w:gridSpan w:val="6"/>
          </w:tcPr>
          <w:p>
            <w:pPr>
              <w:spacing w:after="0"/>
              <w:rPr>
                <w:sz w:val="14"/>
                <w:szCs w:val="14"/>
                <w:color w:val="auto"/>
              </w:rPr>
            </w:pPr>
          </w:p>
        </w:tc>
        <w:tc>
          <w:tcPr>
            <w:tcW w:w="20" w:type="dxa"/>
            <w:vAlign w:val="bottom"/>
            <w:tcBorders>
              <w:top w:val="single" w:sz="8" w:color="DDDDDD"/>
            </w:tcBorders>
          </w:tcPr>
          <w:p>
            <w:pPr>
              <w:spacing w:after="0"/>
              <w:rPr>
                <w:sz w:val="14"/>
                <w:szCs w:val="14"/>
                <w:color w:val="auto"/>
              </w:rPr>
            </w:pPr>
          </w:p>
        </w:tc>
        <w:tc>
          <w:tcPr>
            <w:tcW w:w="8320" w:type="dxa"/>
            <w:vAlign w:val="bottom"/>
            <w:gridSpan w:val="4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gridSpan w:val="2"/>
            <w:vMerge w:val="restart"/>
          </w:tcPr>
          <w:p>
            <w:pPr>
              <w:ind w:left="200"/>
              <w:spacing w:after="0" w:line="169" w:lineRule="exact"/>
              <w:rPr>
                <w:sz w:val="20"/>
                <w:szCs w:val="20"/>
                <w:color w:val="auto"/>
              </w:rPr>
            </w:pPr>
            <w:r>
              <w:rPr>
                <w:rFonts w:ascii="Arial" w:cs="Arial" w:eastAsia="Arial" w:hAnsi="Arial"/>
                <w:sz w:val="18"/>
                <w:szCs w:val="18"/>
                <w:color w:val="auto"/>
              </w:rPr>
              <w:t>3.5</w:t>
            </w: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360" w:type="dxa"/>
            <w:vAlign w:val="bottom"/>
            <w:gridSpan w:val="35"/>
            <w:vMerge w:val="restart"/>
          </w:tcPr>
          <w:p>
            <w:pPr>
              <w:jc w:val="center"/>
              <w:ind w:right="70"/>
              <w:spacing w:after="0" w:line="169" w:lineRule="exact"/>
              <w:rPr>
                <w:sz w:val="20"/>
                <w:szCs w:val="20"/>
                <w:color w:val="auto"/>
              </w:rPr>
            </w:pPr>
            <w:r>
              <w:rPr>
                <w:rFonts w:ascii="Arial" w:cs="Arial" w:eastAsia="Arial" w:hAnsi="Arial"/>
                <w:sz w:val="18"/>
                <w:szCs w:val="18"/>
                <w:color w:val="auto"/>
                <w:w w:val="94"/>
              </w:rPr>
              <w:t>of the Borrower</w:t>
            </w:r>
          </w:p>
        </w:tc>
        <w:tc>
          <w:tcPr>
            <w:tcW w:w="180" w:type="dxa"/>
            <w:vAlign w:val="bottom"/>
            <w:gridSpan w:val="4"/>
            <w:vMerge w:val="restart"/>
          </w:tcPr>
          <w:p>
            <w:pPr>
              <w:jc w:val="center"/>
              <w:spacing w:after="0" w:line="169" w:lineRule="exact"/>
              <w:rPr>
                <w:sz w:val="20"/>
                <w:szCs w:val="20"/>
                <w:color w:val="auto"/>
              </w:rPr>
            </w:pPr>
            <w:r>
              <w:rPr>
                <w:rFonts w:ascii="Arial" w:cs="Arial" w:eastAsia="Arial" w:hAnsi="Arial"/>
                <w:sz w:val="18"/>
                <w:szCs w:val="18"/>
                <w:color w:val="FF0000"/>
                <w:strike w:val="1"/>
                <w:w w:val="89"/>
              </w:rPr>
              <w:t>65</w:t>
            </w:r>
          </w:p>
        </w:tc>
        <w:tc>
          <w:tcPr>
            <w:tcW w:w="180" w:type="dxa"/>
            <w:vAlign w:val="bottom"/>
            <w:gridSpan w:val="2"/>
            <w:vMerge w:val="restart"/>
            <w:shd w:val="clear" w:color="auto" w:fill="DDDDDD"/>
          </w:tcPr>
          <w:p>
            <w:pPr>
              <w:jc w:val="right"/>
              <w:spacing w:after="0" w:line="169" w:lineRule="exact"/>
              <w:rPr>
                <w:sz w:val="20"/>
                <w:szCs w:val="20"/>
                <w:color w:val="auto"/>
              </w:rPr>
            </w:pPr>
            <w:r>
              <w:rPr>
                <w:rFonts w:ascii="Arial" w:cs="Arial" w:eastAsia="Arial" w:hAnsi="Arial"/>
                <w:sz w:val="18"/>
                <w:szCs w:val="18"/>
                <w:color w:val="0000FF"/>
                <w:highlight w:val="lightGray"/>
                <w:w w:val="79"/>
              </w:rPr>
              <w:t>79</w:t>
            </w:r>
          </w:p>
        </w:tc>
        <w:tc>
          <w:tcPr>
            <w:tcW w:w="140" w:type="dxa"/>
            <w:vAlign w:val="bottom"/>
            <w:gridSpan w:val="2"/>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gridSpan w:val="2"/>
            <w:vMerge w:val="continue"/>
          </w:tcPr>
          <w:p>
            <w:pPr>
              <w:spacing w:after="0"/>
              <w:rPr>
                <w:sz w:val="14"/>
                <w:szCs w:val="14"/>
                <w:color w:val="auto"/>
              </w:rPr>
            </w:pPr>
          </w:p>
        </w:tc>
        <w:tc>
          <w:tcPr>
            <w:tcW w:w="2000" w:type="dxa"/>
            <w:vAlign w:val="bottom"/>
            <w:gridSpan w:val="20"/>
          </w:tcPr>
          <w:p>
            <w:pPr>
              <w:ind w:left="120"/>
              <w:spacing w:after="0" w:line="149" w:lineRule="exact"/>
              <w:rPr>
                <w:sz w:val="20"/>
                <w:szCs w:val="20"/>
                <w:color w:val="auto"/>
              </w:rPr>
            </w:pPr>
            <w:r>
              <w:rPr>
                <w:rFonts w:ascii="Arial" w:cs="Arial" w:eastAsia="Arial" w:hAnsi="Arial"/>
                <w:sz w:val="17"/>
                <w:szCs w:val="17"/>
                <w:color w:val="auto"/>
                <w:w w:val="92"/>
              </w:rPr>
              <w:t>Reimbursement Obligation</w:t>
            </w: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360" w:type="dxa"/>
            <w:vAlign w:val="bottom"/>
            <w:gridSpan w:val="35"/>
            <w:vMerge w:val="continue"/>
          </w:tcPr>
          <w:p>
            <w:pPr>
              <w:spacing w:after="0"/>
              <w:rPr>
                <w:sz w:val="14"/>
                <w:szCs w:val="14"/>
                <w:color w:val="auto"/>
              </w:rPr>
            </w:pPr>
          </w:p>
        </w:tc>
        <w:tc>
          <w:tcPr>
            <w:tcW w:w="180" w:type="dxa"/>
            <w:vAlign w:val="bottom"/>
            <w:gridSpan w:val="4"/>
            <w:vMerge w:val="continue"/>
          </w:tcPr>
          <w:p>
            <w:pPr>
              <w:spacing w:after="0"/>
              <w:rPr>
                <w:sz w:val="14"/>
                <w:szCs w:val="14"/>
                <w:color w:val="auto"/>
              </w:rPr>
            </w:pPr>
          </w:p>
        </w:tc>
        <w:tc>
          <w:tcPr>
            <w:tcW w:w="180" w:type="dxa"/>
            <w:vAlign w:val="bottom"/>
            <w:tcBorders>
              <w:bottom w:val="single" w:sz="8" w:color="0000FF"/>
            </w:tcBorders>
            <w:gridSpan w:val="2"/>
            <w:vMerge w:val="continue"/>
            <w:shd w:val="clear" w:color="auto" w:fill="DDDDDD"/>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3.6</w:t>
            </w:r>
          </w:p>
        </w:tc>
        <w:tc>
          <w:tcPr>
            <w:tcW w:w="1800" w:type="dxa"/>
            <w:vAlign w:val="bottom"/>
            <w:gridSpan w:val="15"/>
          </w:tcPr>
          <w:p>
            <w:pPr>
              <w:ind w:left="120"/>
              <w:spacing w:after="0" w:line="149" w:lineRule="exact"/>
              <w:rPr>
                <w:sz w:val="20"/>
                <w:szCs w:val="20"/>
                <w:color w:val="auto"/>
              </w:rPr>
            </w:pPr>
            <w:r>
              <w:rPr>
                <w:rFonts w:ascii="Arial" w:cs="Arial" w:eastAsia="Arial" w:hAnsi="Arial"/>
                <w:sz w:val="17"/>
                <w:szCs w:val="17"/>
                <w:color w:val="auto"/>
              </w:rPr>
              <w:t>Obligations Absolute</w:t>
            </w:r>
          </w:p>
        </w:tc>
        <w:tc>
          <w:tcPr>
            <w:tcW w:w="220" w:type="dxa"/>
            <w:vAlign w:val="bottom"/>
            <w:gridSpan w:val="6"/>
          </w:tcPr>
          <w:p>
            <w:pPr>
              <w:jc w:val="right"/>
              <w:spacing w:after="0" w:line="149" w:lineRule="exact"/>
              <w:rPr>
                <w:sz w:val="20"/>
                <w:szCs w:val="20"/>
                <w:color w:val="auto"/>
              </w:rPr>
            </w:pPr>
            <w:r>
              <w:rPr>
                <w:rFonts w:ascii="Arial" w:cs="Arial" w:eastAsia="Arial" w:hAnsi="Arial"/>
                <w:sz w:val="17"/>
                <w:szCs w:val="17"/>
                <w:color w:val="FF0000"/>
                <w:strike w:val="1"/>
              </w:rPr>
              <w:t>65</w:t>
            </w:r>
          </w:p>
        </w:tc>
        <w:tc>
          <w:tcPr>
            <w:tcW w:w="200" w:type="dxa"/>
            <w:vAlign w:val="bottom"/>
            <w:tcBorders>
              <w:top w:val="single" w:sz="8" w:color="DDDDDD"/>
              <w:bottom w:val="single" w:sz="8" w:color="0000FF"/>
              <w:right w:val="single" w:sz="8" w:color="DDDDDD"/>
            </w:tcBorders>
            <w:gridSpan w:val="4"/>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84"/>
              </w:rPr>
              <w:t>79</w:t>
            </w:r>
          </w:p>
        </w:tc>
        <w:tc>
          <w:tcPr>
            <w:tcW w:w="1420" w:type="dxa"/>
            <w:vAlign w:val="bottom"/>
            <w:gridSpan w:val="36"/>
          </w:tcPr>
          <w:p>
            <w:pPr>
              <w:spacing w:after="0"/>
              <w:rPr>
                <w:sz w:val="14"/>
                <w:szCs w:val="14"/>
                <w:color w:val="auto"/>
              </w:rPr>
            </w:pPr>
          </w:p>
        </w:tc>
        <w:tc>
          <w:tcPr>
            <w:tcW w:w="180" w:type="dxa"/>
            <w:vAlign w:val="bottom"/>
            <w:tcBorders>
              <w:top w:val="single" w:sz="8" w:color="DDDDDD"/>
            </w:tcBorders>
            <w:gridSpan w:val="2"/>
          </w:tcPr>
          <w:p>
            <w:pPr>
              <w:spacing w:after="0"/>
              <w:rPr>
                <w:sz w:val="14"/>
                <w:szCs w:val="14"/>
                <w:color w:val="auto"/>
              </w:rPr>
            </w:pPr>
          </w:p>
        </w:tc>
        <w:tc>
          <w:tcPr>
            <w:tcW w:w="690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3.7</w:t>
            </w:r>
          </w:p>
        </w:tc>
        <w:tc>
          <w:tcPr>
            <w:tcW w:w="2020" w:type="dxa"/>
            <w:vAlign w:val="bottom"/>
            <w:gridSpan w:val="21"/>
          </w:tcPr>
          <w:p>
            <w:pPr>
              <w:ind w:left="120"/>
              <w:spacing w:after="0" w:line="149" w:lineRule="exact"/>
              <w:rPr>
                <w:sz w:val="20"/>
                <w:szCs w:val="20"/>
                <w:color w:val="auto"/>
              </w:rPr>
            </w:pPr>
            <w:r>
              <w:rPr>
                <w:rFonts w:ascii="Arial" w:cs="Arial" w:eastAsia="Arial" w:hAnsi="Arial"/>
                <w:sz w:val="17"/>
                <w:szCs w:val="17"/>
                <w:color w:val="auto"/>
                <w:w w:val="96"/>
              </w:rPr>
              <w:t>Letter of Credit Payments</w:t>
            </w:r>
          </w:p>
        </w:tc>
        <w:tc>
          <w:tcPr>
            <w:tcW w:w="200" w:type="dxa"/>
            <w:vAlign w:val="bottom"/>
            <w:tcBorders>
              <w:top w:val="single" w:sz="8" w:color="DDDDDD"/>
            </w:tcBorders>
            <w:gridSpan w:val="4"/>
          </w:tcPr>
          <w:p>
            <w:pPr>
              <w:spacing w:after="0"/>
              <w:rPr>
                <w:sz w:val="13"/>
                <w:szCs w:val="13"/>
                <w:color w:val="auto"/>
              </w:rPr>
            </w:pPr>
          </w:p>
        </w:tc>
        <w:tc>
          <w:tcPr>
            <w:tcW w:w="140" w:type="dxa"/>
            <w:vAlign w:val="bottom"/>
            <w:gridSpan w:val="5"/>
          </w:tcPr>
          <w:p>
            <w:pPr>
              <w:jc w:val="right"/>
              <w:spacing w:after="0"/>
              <w:rPr>
                <w:sz w:val="20"/>
                <w:szCs w:val="20"/>
                <w:color w:val="auto"/>
              </w:rPr>
            </w:pPr>
            <w:r>
              <w:rPr>
                <w:rFonts w:ascii="Arial" w:cs="Arial" w:eastAsia="Arial" w:hAnsi="Arial"/>
                <w:sz w:val="12"/>
                <w:szCs w:val="12"/>
                <w:color w:val="FF0000"/>
                <w:strike w:val="1"/>
                <w:w w:val="74"/>
              </w:rPr>
              <w:t>66</w:t>
            </w:r>
          </w:p>
        </w:tc>
        <w:tc>
          <w:tcPr>
            <w:tcW w:w="160" w:type="dxa"/>
            <w:vAlign w:val="bottom"/>
            <w:tcBorders>
              <w:top w:val="single" w:sz="8" w:color="DDDDDD"/>
              <w:right w:val="single" w:sz="8" w:color="DDDDDD"/>
            </w:tcBorders>
            <w:gridSpan w:val="4"/>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73"/>
              </w:rPr>
              <w:t>80</w:t>
            </w:r>
          </w:p>
        </w:tc>
        <w:tc>
          <w:tcPr>
            <w:tcW w:w="8200" w:type="dxa"/>
            <w:vAlign w:val="bottom"/>
            <w:tcBorders>
              <w:left w:val="single" w:sz="8" w:color="DDDDDD"/>
            </w:tcBorders>
            <w:gridSpan w:val="47"/>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 w:type="dxa"/>
            <w:vAlign w:val="bottom"/>
            <w:gridSpan w:val="2"/>
          </w:tcPr>
          <w:p>
            <w:pPr>
              <w:ind w:left="200"/>
              <w:spacing w:after="0" w:line="162" w:lineRule="exact"/>
              <w:rPr>
                <w:sz w:val="20"/>
                <w:szCs w:val="20"/>
                <w:color w:val="auto"/>
              </w:rPr>
            </w:pPr>
            <w:r>
              <w:rPr>
                <w:rFonts w:ascii="Arial" w:cs="Arial" w:eastAsia="Arial" w:hAnsi="Arial"/>
                <w:sz w:val="18"/>
                <w:szCs w:val="18"/>
                <w:color w:val="auto"/>
              </w:rPr>
              <w:t>3.8</w:t>
            </w:r>
          </w:p>
        </w:tc>
        <w:tc>
          <w:tcPr>
            <w:tcW w:w="1180" w:type="dxa"/>
            <w:vAlign w:val="bottom"/>
            <w:gridSpan w:val="5"/>
          </w:tcPr>
          <w:p>
            <w:pPr>
              <w:ind w:left="120"/>
              <w:spacing w:after="0" w:line="162" w:lineRule="exact"/>
              <w:rPr>
                <w:sz w:val="20"/>
                <w:szCs w:val="20"/>
                <w:color w:val="auto"/>
              </w:rPr>
            </w:pPr>
            <w:r>
              <w:rPr>
                <w:rFonts w:ascii="Arial" w:cs="Arial" w:eastAsia="Arial" w:hAnsi="Arial"/>
                <w:sz w:val="18"/>
                <w:szCs w:val="18"/>
                <w:color w:val="auto"/>
              </w:rPr>
              <w:t>Applications</w:t>
            </w:r>
          </w:p>
        </w:tc>
        <w:tc>
          <w:tcPr>
            <w:tcW w:w="240" w:type="dxa"/>
            <w:vAlign w:val="bottom"/>
            <w:gridSpan w:val="5"/>
          </w:tcPr>
          <w:p>
            <w:pPr>
              <w:jc w:val="right"/>
              <w:ind w:right="20"/>
              <w:spacing w:after="0" w:line="162" w:lineRule="exact"/>
              <w:rPr>
                <w:sz w:val="20"/>
                <w:szCs w:val="20"/>
                <w:color w:val="auto"/>
              </w:rPr>
            </w:pPr>
            <w:r>
              <w:rPr>
                <w:rFonts w:ascii="Arial" w:cs="Arial" w:eastAsia="Arial" w:hAnsi="Arial"/>
                <w:sz w:val="18"/>
                <w:szCs w:val="18"/>
                <w:color w:val="FF0000"/>
                <w:strike w:val="1"/>
                <w:w w:val="99"/>
              </w:rPr>
              <w:t>66</w:t>
            </w:r>
          </w:p>
        </w:tc>
        <w:tc>
          <w:tcPr>
            <w:tcW w:w="160" w:type="dxa"/>
            <w:vAlign w:val="bottom"/>
            <w:tcBorders>
              <w:top w:val="single" w:sz="8" w:color="DDDDDD"/>
              <w:left w:val="single" w:sz="8" w:color="DDDDDD"/>
              <w:bottom w:val="single" w:sz="8" w:color="0000FF"/>
            </w:tcBorders>
            <w:gridSpan w:val="2"/>
            <w:shd w:val="clear" w:color="auto" w:fill="DDDDDD"/>
          </w:tcPr>
          <w:p>
            <w:pPr>
              <w:spacing w:after="0" w:line="162" w:lineRule="exact"/>
              <w:rPr>
                <w:sz w:val="20"/>
                <w:szCs w:val="20"/>
                <w:color w:val="auto"/>
              </w:rPr>
            </w:pPr>
            <w:r>
              <w:rPr>
                <w:rFonts w:ascii="Arial" w:cs="Arial" w:eastAsia="Arial" w:hAnsi="Arial"/>
                <w:sz w:val="15"/>
                <w:szCs w:val="15"/>
                <w:color w:val="0000FF"/>
                <w:highlight w:val="lightGray"/>
                <w:w w:val="71"/>
              </w:rPr>
              <w:t>80</w:t>
            </w:r>
          </w:p>
        </w:tc>
        <w:tc>
          <w:tcPr>
            <w:tcW w:w="780" w:type="dxa"/>
            <w:vAlign w:val="bottom"/>
            <w:gridSpan w:val="18"/>
          </w:tcPr>
          <w:p>
            <w:pPr>
              <w:spacing w:after="0"/>
              <w:rPr>
                <w:sz w:val="14"/>
                <w:szCs w:val="14"/>
                <w:color w:val="auto"/>
              </w:rPr>
            </w:pPr>
          </w:p>
        </w:tc>
        <w:tc>
          <w:tcPr>
            <w:tcW w:w="160" w:type="dxa"/>
            <w:vAlign w:val="bottom"/>
            <w:tcBorders>
              <w:top w:val="single" w:sz="8" w:color="0000FF"/>
            </w:tcBorders>
            <w:gridSpan w:val="4"/>
          </w:tcPr>
          <w:p>
            <w:pPr>
              <w:spacing w:after="0"/>
              <w:rPr>
                <w:sz w:val="14"/>
                <w:szCs w:val="14"/>
                <w:color w:val="auto"/>
              </w:rPr>
            </w:pPr>
          </w:p>
        </w:tc>
        <w:tc>
          <w:tcPr>
            <w:tcW w:w="8200" w:type="dxa"/>
            <w:vAlign w:val="bottom"/>
            <w:gridSpan w:val="4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gridSpan w:val="2"/>
            <w:vMerge w:val="restart"/>
          </w:tcPr>
          <w:p>
            <w:pPr>
              <w:ind w:left="200"/>
              <w:spacing w:after="0" w:line="169" w:lineRule="exact"/>
              <w:rPr>
                <w:sz w:val="20"/>
                <w:szCs w:val="20"/>
                <w:color w:val="auto"/>
              </w:rPr>
            </w:pPr>
            <w:r>
              <w:rPr>
                <w:rFonts w:ascii="Arial" w:cs="Arial" w:eastAsia="Arial" w:hAnsi="Arial"/>
                <w:sz w:val="18"/>
                <w:szCs w:val="18"/>
                <w:color w:val="auto"/>
              </w:rPr>
              <w:t>3.9</w:t>
            </w:r>
          </w:p>
        </w:tc>
        <w:tc>
          <w:tcPr>
            <w:tcW w:w="1420" w:type="dxa"/>
            <w:vAlign w:val="bottom"/>
            <w:gridSpan w:val="10"/>
            <w:vMerge w:val="restart"/>
          </w:tcPr>
          <w:p>
            <w:pPr>
              <w:ind w:left="120"/>
              <w:spacing w:after="0" w:line="169" w:lineRule="exact"/>
              <w:rPr>
                <w:sz w:val="20"/>
                <w:szCs w:val="20"/>
                <w:color w:val="auto"/>
              </w:rPr>
            </w:pPr>
            <w:r>
              <w:rPr>
                <w:rFonts w:ascii="Arial" w:cs="Arial" w:eastAsia="Arial" w:hAnsi="Arial"/>
                <w:sz w:val="18"/>
                <w:szCs w:val="18"/>
                <w:color w:val="auto"/>
                <w:w w:val="99"/>
              </w:rPr>
              <w:t>Replacement of</w:t>
            </w:r>
          </w:p>
        </w:tc>
        <w:tc>
          <w:tcPr>
            <w:tcW w:w="80" w:type="dxa"/>
            <w:vAlign w:val="bottom"/>
            <w:tcBorders>
              <w:left w:val="single" w:sz="8" w:color="DDDDDD"/>
              <w:right w:val="single" w:sz="8" w:color="DDDDDD"/>
            </w:tcBorders>
            <w:shd w:val="clear" w:color="auto" w:fill="DDDDDD"/>
          </w:tcPr>
          <w:p>
            <w:pPr>
              <w:spacing w:after="0" w:line="20" w:lineRule="exact"/>
              <w:rPr>
                <w:sz w:val="1"/>
                <w:szCs w:val="1"/>
                <w:color w:val="auto"/>
              </w:rPr>
            </w:pPr>
          </w:p>
        </w:tc>
        <w:tc>
          <w:tcPr>
            <w:tcW w:w="1020" w:type="dxa"/>
            <w:vAlign w:val="bottom"/>
            <w:gridSpan w:val="23"/>
            <w:shd w:val="clear" w:color="auto" w:fill="DDDDDD"/>
          </w:tcPr>
          <w:p>
            <w:pPr>
              <w:spacing w:after="0" w:line="20" w:lineRule="exact"/>
              <w:rPr>
                <w:sz w:val="1"/>
                <w:szCs w:val="1"/>
                <w:color w:val="auto"/>
              </w:rPr>
            </w:pPr>
          </w:p>
        </w:tc>
        <w:tc>
          <w:tcPr>
            <w:tcW w:w="220" w:type="dxa"/>
            <w:vAlign w:val="bottom"/>
            <w:gridSpan w:val="5"/>
            <w:vMerge w:val="restart"/>
          </w:tcPr>
          <w:p>
            <w:pPr>
              <w:jc w:val="right"/>
              <w:spacing w:after="0" w:line="169" w:lineRule="exact"/>
              <w:rPr>
                <w:sz w:val="20"/>
                <w:szCs w:val="20"/>
                <w:color w:val="auto"/>
              </w:rPr>
            </w:pPr>
            <w:r>
              <w:rPr>
                <w:rFonts w:ascii="Arial" w:cs="Arial" w:eastAsia="Arial" w:hAnsi="Arial"/>
                <w:sz w:val="18"/>
                <w:szCs w:val="18"/>
                <w:color w:val="FF0000"/>
                <w:strike w:val="1"/>
                <w:w w:val="99"/>
              </w:rPr>
              <w:t>66</w:t>
            </w:r>
          </w:p>
        </w:tc>
        <w:tc>
          <w:tcPr>
            <w:tcW w:w="20" w:type="dxa"/>
            <w:vAlign w:val="bottom"/>
            <w:vMerge w:val="restart"/>
          </w:tcPr>
          <w:p>
            <w:pPr>
              <w:spacing w:after="0" w:line="20" w:lineRule="exact"/>
              <w:rPr>
                <w:sz w:val="1"/>
                <w:szCs w:val="1"/>
                <w:color w:val="auto"/>
              </w:rPr>
            </w:pPr>
          </w:p>
        </w:tc>
        <w:tc>
          <w:tcPr>
            <w:tcW w:w="160" w:type="dxa"/>
            <w:vAlign w:val="bottom"/>
            <w:gridSpan w:val="3"/>
            <w:vMerge w:val="restart"/>
            <w:shd w:val="clear" w:color="auto" w:fill="DDDDDD"/>
          </w:tcPr>
          <w:p>
            <w:pPr>
              <w:jc w:val="center"/>
              <w:spacing w:after="0" w:line="169" w:lineRule="exact"/>
              <w:rPr>
                <w:sz w:val="20"/>
                <w:szCs w:val="20"/>
                <w:color w:val="auto"/>
              </w:rPr>
            </w:pPr>
            <w:r>
              <w:rPr>
                <w:rFonts w:ascii="Arial" w:cs="Arial" w:eastAsia="Arial" w:hAnsi="Arial"/>
                <w:sz w:val="18"/>
                <w:szCs w:val="18"/>
                <w:color w:val="0000FF"/>
                <w:highlight w:val="lightGray"/>
                <w:w w:val="79"/>
              </w:rPr>
              <w:t>80</w:t>
            </w:r>
          </w:p>
        </w:tc>
        <w:tc>
          <w:tcPr>
            <w:tcW w:w="20" w:type="dxa"/>
            <w:vAlign w:val="bottom"/>
            <w:vMerge w:val="restart"/>
          </w:tcPr>
          <w:p>
            <w:pPr>
              <w:spacing w:after="0" w:line="20" w:lineRule="exact"/>
              <w:rPr>
                <w:sz w:val="1"/>
                <w:szCs w:val="1"/>
                <w:color w:val="auto"/>
              </w:rPr>
            </w:pPr>
          </w:p>
        </w:tc>
        <w:tc>
          <w:tcPr>
            <w:tcW w:w="7780" w:type="dxa"/>
            <w:vAlign w:val="bottom"/>
            <w:gridSpan w:val="3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20" w:type="dxa"/>
            <w:vAlign w:val="bottom"/>
            <w:gridSpan w:val="2"/>
            <w:vMerge w:val="continue"/>
          </w:tcPr>
          <w:p>
            <w:pPr>
              <w:spacing w:after="0"/>
              <w:rPr>
                <w:sz w:val="13"/>
                <w:szCs w:val="13"/>
                <w:color w:val="auto"/>
              </w:rPr>
            </w:pPr>
          </w:p>
        </w:tc>
        <w:tc>
          <w:tcPr>
            <w:tcW w:w="1420" w:type="dxa"/>
            <w:vAlign w:val="bottom"/>
            <w:gridSpan w:val="10"/>
            <w:vMerge w:val="continue"/>
          </w:tcPr>
          <w:p>
            <w:pPr>
              <w:spacing w:after="0"/>
              <w:rPr>
                <w:sz w:val="13"/>
                <w:szCs w:val="13"/>
                <w:color w:val="auto"/>
              </w:rPr>
            </w:pPr>
          </w:p>
        </w:tc>
        <w:tc>
          <w:tcPr>
            <w:tcW w:w="1100" w:type="dxa"/>
            <w:vAlign w:val="bottom"/>
            <w:gridSpan w:val="24"/>
          </w:tcPr>
          <w:p>
            <w:pPr>
              <w:spacing w:after="0" w:line="149" w:lineRule="exact"/>
              <w:rPr>
                <w:sz w:val="20"/>
                <w:szCs w:val="20"/>
                <w:color w:val="auto"/>
              </w:rPr>
            </w:pPr>
            <w:r>
              <w:rPr>
                <w:rFonts w:ascii="Arial" w:cs="Arial" w:eastAsia="Arial" w:hAnsi="Arial"/>
                <w:sz w:val="17"/>
                <w:szCs w:val="17"/>
                <w:color w:val="auto"/>
                <w:w w:val="95"/>
              </w:rPr>
              <w:t>Issuing Lender</w:t>
            </w:r>
          </w:p>
        </w:tc>
        <w:tc>
          <w:tcPr>
            <w:tcW w:w="220" w:type="dxa"/>
            <w:vAlign w:val="bottom"/>
            <w:gridSpan w:val="5"/>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3"/>
            <w:vMerge w:val="continue"/>
            <w:shd w:val="clear" w:color="auto" w:fill="DDDDDD"/>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480" w:type="dxa"/>
            <w:vAlign w:val="bottom"/>
            <w:gridSpan w:val="67"/>
            <w:vMerge w:val="restart"/>
          </w:tcPr>
          <w:p>
            <w:pPr>
              <w:spacing w:after="0"/>
              <w:rPr>
                <w:sz w:val="20"/>
                <w:szCs w:val="20"/>
                <w:color w:val="auto"/>
              </w:rPr>
            </w:pPr>
            <w:r>
              <w:rPr>
                <w:rFonts w:ascii="Arial" w:cs="Arial" w:eastAsia="Arial" w:hAnsi="Arial"/>
                <w:sz w:val="18"/>
                <w:szCs w:val="18"/>
                <w:color w:val="auto"/>
                <w:w w:val="96"/>
              </w:rPr>
              <w:t>SECTION 4.   REPRESENTATIONS AND WARRANTIES</w:t>
            </w:r>
          </w:p>
        </w:tc>
        <w:tc>
          <w:tcPr>
            <w:tcW w:w="140" w:type="dxa"/>
            <w:vAlign w:val="bottom"/>
          </w:tcPr>
          <w:p>
            <w:pPr>
              <w:spacing w:after="0"/>
              <w:rPr>
                <w:sz w:val="17"/>
                <w:szCs w:val="17"/>
                <w:color w:val="auto"/>
              </w:rPr>
            </w:pPr>
          </w:p>
        </w:tc>
        <w:tc>
          <w:tcPr>
            <w:tcW w:w="180" w:type="dxa"/>
            <w:vAlign w:val="bottom"/>
            <w:gridSpan w:val="3"/>
            <w:vMerge w:val="restart"/>
          </w:tcPr>
          <w:p>
            <w:pPr>
              <w:jc w:val="right"/>
              <w:spacing w:after="0"/>
              <w:rPr>
                <w:sz w:val="20"/>
                <w:szCs w:val="20"/>
                <w:color w:val="auto"/>
              </w:rPr>
            </w:pPr>
            <w:r>
              <w:rPr>
                <w:rFonts w:ascii="Arial" w:cs="Arial" w:eastAsia="Arial" w:hAnsi="Arial"/>
                <w:sz w:val="18"/>
                <w:szCs w:val="18"/>
                <w:color w:val="FF0000"/>
                <w:strike w:val="1"/>
                <w:w w:val="79"/>
              </w:rPr>
              <w:t>66</w:t>
            </w:r>
          </w:p>
        </w:tc>
        <w:tc>
          <w:tcPr>
            <w:tcW w:w="180" w:type="dxa"/>
            <w:vAlign w:val="bottom"/>
            <w:gridSpan w:val="3"/>
          </w:tcPr>
          <w:p>
            <w:pPr>
              <w:spacing w:after="0"/>
              <w:rPr>
                <w:sz w:val="17"/>
                <w:szCs w:val="17"/>
                <w:color w:val="auto"/>
              </w:rPr>
            </w:pPr>
          </w:p>
        </w:tc>
        <w:tc>
          <w:tcPr>
            <w:tcW w:w="2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gridSpan w:val="67"/>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tcBorders>
              <w:bottom w:val="single" w:sz="8" w:color="0000FF"/>
            </w:tcBorders>
            <w:gridSpan w:val="3"/>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79"/>
              </w:rPr>
              <w:t>81</w:t>
            </w:r>
          </w:p>
        </w:tc>
        <w:tc>
          <w:tcPr>
            <w:tcW w:w="20" w:type="dxa"/>
            <w:vAlign w:val="bottom"/>
            <w:tcBorders>
              <w:bottom w:val="single" w:sz="8" w:color="0000FF"/>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4.1</w:t>
            </w:r>
          </w:p>
        </w:tc>
        <w:tc>
          <w:tcPr>
            <w:tcW w:w="1640" w:type="dxa"/>
            <w:vAlign w:val="bottom"/>
            <w:gridSpan w:val="13"/>
          </w:tcPr>
          <w:p>
            <w:pPr>
              <w:ind w:left="120"/>
              <w:spacing w:after="0" w:line="149" w:lineRule="exact"/>
              <w:rPr>
                <w:sz w:val="20"/>
                <w:szCs w:val="20"/>
                <w:color w:val="auto"/>
              </w:rPr>
            </w:pPr>
            <w:r>
              <w:rPr>
                <w:rFonts w:ascii="Arial" w:cs="Arial" w:eastAsia="Arial" w:hAnsi="Arial"/>
                <w:sz w:val="17"/>
                <w:szCs w:val="17"/>
                <w:color w:val="auto"/>
                <w:w w:val="98"/>
              </w:rPr>
              <w:t>Financial Condition</w:t>
            </w:r>
          </w:p>
        </w:tc>
        <w:tc>
          <w:tcPr>
            <w:tcW w:w="280" w:type="dxa"/>
            <w:vAlign w:val="bottom"/>
            <w:gridSpan w:val="3"/>
          </w:tcPr>
          <w:p>
            <w:pPr>
              <w:jc w:val="right"/>
              <w:spacing w:after="0" w:line="149" w:lineRule="exact"/>
              <w:rPr>
                <w:sz w:val="20"/>
                <w:szCs w:val="20"/>
                <w:color w:val="auto"/>
              </w:rPr>
            </w:pPr>
            <w:r>
              <w:rPr>
                <w:rFonts w:ascii="Arial" w:cs="Arial" w:eastAsia="Arial" w:hAnsi="Arial"/>
                <w:sz w:val="17"/>
                <w:szCs w:val="17"/>
                <w:color w:val="FF0000"/>
                <w:strike w:val="1"/>
              </w:rPr>
              <w:t>66</w:t>
            </w:r>
          </w:p>
        </w:tc>
        <w:tc>
          <w:tcPr>
            <w:tcW w:w="180" w:type="dxa"/>
            <w:vAlign w:val="bottom"/>
            <w:tcBorders>
              <w:top w:val="single" w:sz="8" w:color="DDDDDD"/>
            </w:tcBorders>
            <w:gridSpan w:val="6"/>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84"/>
              </w:rPr>
              <w:t>81</w:t>
            </w:r>
          </w:p>
        </w:tc>
        <w:tc>
          <w:tcPr>
            <w:tcW w:w="2180" w:type="dxa"/>
            <w:vAlign w:val="bottom"/>
            <w:gridSpan w:val="47"/>
          </w:tcPr>
          <w:p>
            <w:pPr>
              <w:spacing w:after="0"/>
              <w:rPr>
                <w:sz w:val="14"/>
                <w:szCs w:val="14"/>
                <w:color w:val="auto"/>
              </w:rPr>
            </w:pPr>
          </w:p>
        </w:tc>
        <w:tc>
          <w:tcPr>
            <w:tcW w:w="180" w:type="dxa"/>
            <w:vAlign w:val="bottom"/>
            <w:tcBorders>
              <w:top w:val="single" w:sz="8" w:color="DDDDDD"/>
            </w:tcBorders>
            <w:gridSpan w:val="3"/>
          </w:tcPr>
          <w:p>
            <w:pPr>
              <w:spacing w:after="0"/>
              <w:rPr>
                <w:sz w:val="14"/>
                <w:szCs w:val="14"/>
                <w:color w:val="auto"/>
              </w:rPr>
            </w:pPr>
          </w:p>
        </w:tc>
        <w:tc>
          <w:tcPr>
            <w:tcW w:w="62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4.2</w:t>
            </w:r>
          </w:p>
        </w:tc>
        <w:tc>
          <w:tcPr>
            <w:tcW w:w="1120" w:type="dxa"/>
            <w:vAlign w:val="bottom"/>
            <w:gridSpan w:val="4"/>
          </w:tcPr>
          <w:p>
            <w:pPr>
              <w:ind w:left="120"/>
              <w:spacing w:after="0" w:line="149" w:lineRule="exact"/>
              <w:rPr>
                <w:sz w:val="20"/>
                <w:szCs w:val="20"/>
                <w:color w:val="auto"/>
              </w:rPr>
            </w:pPr>
            <w:r>
              <w:rPr>
                <w:rFonts w:ascii="Arial" w:cs="Arial" w:eastAsia="Arial" w:hAnsi="Arial"/>
                <w:sz w:val="17"/>
                <w:szCs w:val="17"/>
                <w:color w:val="auto"/>
              </w:rPr>
              <w:t>No Change</w:t>
            </w:r>
          </w:p>
        </w:tc>
        <w:tc>
          <w:tcPr>
            <w:tcW w:w="180" w:type="dxa"/>
            <w:vAlign w:val="bottom"/>
            <w:gridSpan w:val="2"/>
          </w:tcPr>
          <w:p>
            <w:pPr>
              <w:jc w:val="right"/>
              <w:spacing w:after="0" w:line="149" w:lineRule="exact"/>
              <w:rPr>
                <w:sz w:val="20"/>
                <w:szCs w:val="20"/>
                <w:color w:val="auto"/>
              </w:rPr>
            </w:pPr>
            <w:r>
              <w:rPr>
                <w:rFonts w:ascii="Arial" w:cs="Arial" w:eastAsia="Arial" w:hAnsi="Arial"/>
                <w:sz w:val="17"/>
                <w:szCs w:val="17"/>
                <w:color w:val="FF0000"/>
                <w:strike w:val="1"/>
                <w:w w:val="84"/>
              </w:rPr>
              <w:t>67</w:t>
            </w:r>
          </w:p>
        </w:tc>
        <w:tc>
          <w:tcPr>
            <w:tcW w:w="200" w:type="dxa"/>
            <w:vAlign w:val="bottom"/>
            <w:tcBorders>
              <w:top w:val="single" w:sz="8" w:color="DDDDDD"/>
              <w:bottom w:val="single" w:sz="8" w:color="0000FF"/>
              <w:right w:val="single" w:sz="8" w:color="DDDDDD"/>
            </w:tcBorders>
            <w:gridSpan w:val="5"/>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84"/>
              </w:rPr>
              <w:t>81</w:t>
            </w:r>
          </w:p>
        </w:tc>
        <w:tc>
          <w:tcPr>
            <w:tcW w:w="420" w:type="dxa"/>
            <w:vAlign w:val="bottom"/>
            <w:gridSpan w:val="5"/>
          </w:tcPr>
          <w:p>
            <w:pPr>
              <w:spacing w:after="0"/>
              <w:rPr>
                <w:sz w:val="13"/>
                <w:szCs w:val="13"/>
                <w:color w:val="auto"/>
              </w:rPr>
            </w:pPr>
          </w:p>
        </w:tc>
        <w:tc>
          <w:tcPr>
            <w:tcW w:w="180" w:type="dxa"/>
            <w:vAlign w:val="bottom"/>
            <w:tcBorders>
              <w:top w:val="single" w:sz="8" w:color="0000FF"/>
            </w:tcBorders>
            <w:gridSpan w:val="6"/>
          </w:tcPr>
          <w:p>
            <w:pPr>
              <w:spacing w:after="0"/>
              <w:rPr>
                <w:sz w:val="13"/>
                <w:szCs w:val="13"/>
                <w:color w:val="auto"/>
              </w:rPr>
            </w:pPr>
          </w:p>
        </w:tc>
        <w:tc>
          <w:tcPr>
            <w:tcW w:w="780" w:type="dxa"/>
            <w:vAlign w:val="bottom"/>
            <w:gridSpan w:val="20"/>
          </w:tcPr>
          <w:p>
            <w:pPr>
              <w:spacing w:after="0"/>
              <w:rPr>
                <w:sz w:val="13"/>
                <w:szCs w:val="13"/>
                <w:color w:val="auto"/>
              </w:rPr>
            </w:pPr>
          </w:p>
        </w:tc>
        <w:tc>
          <w:tcPr>
            <w:tcW w:w="180" w:type="dxa"/>
            <w:vAlign w:val="bottom"/>
            <w:tcBorders>
              <w:bottom w:val="single" w:sz="8" w:color="DDDDDD"/>
            </w:tcBorders>
            <w:gridSpan w:val="5"/>
          </w:tcPr>
          <w:p>
            <w:pPr>
              <w:spacing w:after="0"/>
              <w:rPr>
                <w:sz w:val="13"/>
                <w:szCs w:val="13"/>
                <w:color w:val="auto"/>
              </w:rPr>
            </w:pPr>
          </w:p>
        </w:tc>
        <w:tc>
          <w:tcPr>
            <w:tcW w:w="7660" w:type="dxa"/>
            <w:vAlign w:val="bottom"/>
            <w:gridSpan w:val="3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20" w:type="dxa"/>
            <w:vAlign w:val="bottom"/>
            <w:gridSpan w:val="2"/>
          </w:tcPr>
          <w:p>
            <w:pPr>
              <w:ind w:left="200"/>
              <w:spacing w:after="0" w:line="162" w:lineRule="exact"/>
              <w:rPr>
                <w:sz w:val="20"/>
                <w:szCs w:val="20"/>
                <w:color w:val="auto"/>
              </w:rPr>
            </w:pPr>
            <w:r>
              <w:rPr>
                <w:rFonts w:ascii="Arial" w:cs="Arial" w:eastAsia="Arial" w:hAnsi="Arial"/>
                <w:sz w:val="18"/>
                <w:szCs w:val="18"/>
                <w:color w:val="auto"/>
              </w:rPr>
              <w:t>4.3</w:t>
            </w:r>
          </w:p>
        </w:tc>
        <w:tc>
          <w:tcPr>
            <w:tcW w:w="2520" w:type="dxa"/>
            <w:vAlign w:val="bottom"/>
            <w:gridSpan w:val="34"/>
          </w:tcPr>
          <w:p>
            <w:pPr>
              <w:ind w:left="120"/>
              <w:spacing w:after="0" w:line="162" w:lineRule="exact"/>
              <w:rPr>
                <w:sz w:val="20"/>
                <w:szCs w:val="20"/>
                <w:color w:val="auto"/>
              </w:rPr>
            </w:pPr>
            <w:r>
              <w:rPr>
                <w:rFonts w:ascii="Arial" w:cs="Arial" w:eastAsia="Arial" w:hAnsi="Arial"/>
                <w:sz w:val="18"/>
                <w:szCs w:val="18"/>
                <w:color w:val="auto"/>
                <w:w w:val="91"/>
              </w:rPr>
              <w:t>Existence; Compliance with Law</w:t>
            </w:r>
          </w:p>
        </w:tc>
        <w:tc>
          <w:tcPr>
            <w:tcW w:w="160" w:type="dxa"/>
            <w:vAlign w:val="bottom"/>
            <w:gridSpan w:val="4"/>
          </w:tcPr>
          <w:p>
            <w:pPr>
              <w:spacing w:after="0"/>
              <w:rPr>
                <w:sz w:val="14"/>
                <w:szCs w:val="14"/>
                <w:color w:val="auto"/>
              </w:rPr>
            </w:pPr>
          </w:p>
        </w:tc>
        <w:tc>
          <w:tcPr>
            <w:tcW w:w="200" w:type="dxa"/>
            <w:vAlign w:val="bottom"/>
            <w:gridSpan w:val="4"/>
          </w:tcPr>
          <w:p>
            <w:pPr>
              <w:jc w:val="center"/>
              <w:spacing w:after="0" w:line="162" w:lineRule="exact"/>
              <w:rPr>
                <w:sz w:val="20"/>
                <w:szCs w:val="20"/>
                <w:color w:val="auto"/>
              </w:rPr>
            </w:pPr>
            <w:r>
              <w:rPr>
                <w:rFonts w:ascii="Arial" w:cs="Arial" w:eastAsia="Arial" w:hAnsi="Arial"/>
                <w:sz w:val="18"/>
                <w:szCs w:val="18"/>
                <w:color w:val="FF0000"/>
                <w:strike w:val="1"/>
                <w:w w:val="89"/>
              </w:rPr>
              <w:t>67</w:t>
            </w:r>
          </w:p>
        </w:tc>
        <w:tc>
          <w:tcPr>
            <w:tcW w:w="180" w:type="dxa"/>
            <w:vAlign w:val="bottom"/>
            <w:tcBorders>
              <w:bottom w:val="single" w:sz="8" w:color="0000FF"/>
            </w:tcBorders>
            <w:gridSpan w:val="5"/>
            <w:shd w:val="clear" w:color="auto" w:fill="DDDDDD"/>
          </w:tcPr>
          <w:p>
            <w:pPr>
              <w:jc w:val="right"/>
              <w:spacing w:after="0" w:line="162" w:lineRule="exact"/>
              <w:rPr>
                <w:sz w:val="20"/>
                <w:szCs w:val="20"/>
                <w:color w:val="auto"/>
              </w:rPr>
            </w:pPr>
            <w:r>
              <w:rPr>
                <w:rFonts w:ascii="Arial" w:cs="Arial" w:eastAsia="Arial" w:hAnsi="Arial"/>
                <w:sz w:val="18"/>
                <w:szCs w:val="18"/>
                <w:color w:val="0000FF"/>
                <w:highlight w:val="lightGray"/>
                <w:w w:val="79"/>
              </w:rPr>
              <w:t>81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27"/>
        </w:trPr>
        <w:tc>
          <w:tcPr>
            <w:tcW w:w="580" w:type="dxa"/>
            <w:vAlign w:val="bottom"/>
          </w:tcPr>
          <w:p>
            <w:pPr>
              <w:ind w:left="200"/>
              <w:spacing w:after="0"/>
              <w:rPr>
                <w:sz w:val="20"/>
                <w:szCs w:val="20"/>
                <w:color w:val="auto"/>
              </w:rPr>
            </w:pPr>
            <w:r>
              <w:rPr>
                <w:rFonts w:ascii="Arial" w:cs="Arial" w:eastAsia="Arial" w:hAnsi="Arial"/>
                <w:sz w:val="18"/>
                <w:szCs w:val="18"/>
                <w:color w:val="auto"/>
              </w:rPr>
              <w:t>4.4</w:t>
            </w:r>
          </w:p>
        </w:tc>
        <w:tc>
          <w:tcPr>
            <w:tcW w:w="3480" w:type="dxa"/>
            <w:vAlign w:val="bottom"/>
            <w:gridSpan w:val="64"/>
          </w:tcPr>
          <w:p>
            <w:pPr>
              <w:ind w:left="60"/>
              <w:spacing w:after="0"/>
              <w:rPr>
                <w:sz w:val="20"/>
                <w:szCs w:val="20"/>
                <w:color w:val="auto"/>
              </w:rPr>
            </w:pPr>
            <w:r>
              <w:rPr>
                <w:rFonts w:ascii="Arial" w:cs="Arial" w:eastAsia="Arial" w:hAnsi="Arial"/>
                <w:sz w:val="18"/>
                <w:szCs w:val="18"/>
                <w:color w:val="auto"/>
                <w:w w:val="92"/>
              </w:rPr>
              <w:t>Power; Authorization; Enforceable Obligations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FF0000"/>
                <w:strike w:val="1"/>
                <w:w w:val="89"/>
              </w:rPr>
              <w:t>67</w:t>
            </w:r>
          </w:p>
        </w:tc>
        <w:tc>
          <w:tcPr>
            <w:tcW w:w="18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0000FF"/>
                <w:highlight w:val="lightGray"/>
                <w:w w:val="79"/>
              </w:rPr>
              <w:t>81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80" w:type="dxa"/>
            <w:vAlign w:val="bottom"/>
          </w:tcPr>
          <w:p>
            <w:pPr>
              <w:ind w:left="200"/>
              <w:spacing w:after="0" w:line="149" w:lineRule="exact"/>
              <w:rPr>
                <w:sz w:val="20"/>
                <w:szCs w:val="20"/>
                <w:color w:val="auto"/>
              </w:rPr>
            </w:pPr>
            <w:r>
              <w:rPr>
                <w:rFonts w:ascii="Arial" w:cs="Arial" w:eastAsia="Arial" w:hAnsi="Arial"/>
                <w:sz w:val="17"/>
                <w:szCs w:val="17"/>
                <w:color w:val="auto"/>
              </w:rPr>
              <w:t>4.5</w:t>
            </w:r>
          </w:p>
        </w:tc>
        <w:tc>
          <w:tcPr>
            <w:tcW w:w="1200" w:type="dxa"/>
            <w:vAlign w:val="bottom"/>
            <w:gridSpan w:val="11"/>
          </w:tcPr>
          <w:p>
            <w:pPr>
              <w:ind w:left="60"/>
              <w:spacing w:after="0" w:line="149" w:lineRule="exact"/>
              <w:rPr>
                <w:sz w:val="20"/>
                <w:szCs w:val="20"/>
                <w:color w:val="auto"/>
              </w:rPr>
            </w:pPr>
            <w:r>
              <w:rPr>
                <w:rFonts w:ascii="Arial" w:cs="Arial" w:eastAsia="Arial" w:hAnsi="Arial"/>
                <w:sz w:val="17"/>
                <w:szCs w:val="17"/>
                <w:color w:val="auto"/>
              </w:rPr>
              <w:t>No Legal Bar</w:t>
            </w:r>
          </w:p>
        </w:tc>
        <w:tc>
          <w:tcPr>
            <w:tcW w:w="220" w:type="dxa"/>
            <w:vAlign w:val="bottom"/>
            <w:gridSpan w:val="5"/>
          </w:tcPr>
          <w:p>
            <w:pPr>
              <w:jc w:val="right"/>
              <w:spacing w:after="0" w:line="149" w:lineRule="exact"/>
              <w:rPr>
                <w:sz w:val="20"/>
                <w:szCs w:val="20"/>
                <w:color w:val="auto"/>
              </w:rPr>
            </w:pPr>
            <w:r>
              <w:rPr>
                <w:rFonts w:ascii="Arial" w:cs="Arial" w:eastAsia="Arial" w:hAnsi="Arial"/>
                <w:sz w:val="17"/>
                <w:szCs w:val="17"/>
                <w:color w:val="FF0000"/>
                <w:strike w:val="1"/>
                <w:w w:val="94"/>
              </w:rPr>
              <w:t>68</w:t>
            </w:r>
          </w:p>
        </w:tc>
        <w:tc>
          <w:tcPr>
            <w:tcW w:w="180" w:type="dxa"/>
            <w:vAlign w:val="bottom"/>
            <w:tcBorders>
              <w:top w:val="single" w:sz="8" w:color="DDDDDD"/>
              <w:left w:val="single" w:sz="8" w:color="DDDDDD"/>
              <w:bottom w:val="single" w:sz="8" w:color="0000FF"/>
              <w:right w:val="single" w:sz="8" w:color="DDDDDD"/>
            </w:tcBorders>
            <w:gridSpan w:val="3"/>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73"/>
              </w:rPr>
              <w:t>82</w:t>
            </w:r>
          </w:p>
        </w:tc>
        <w:tc>
          <w:tcPr>
            <w:tcW w:w="2220" w:type="dxa"/>
            <w:vAlign w:val="bottom"/>
            <w:gridSpan w:val="50"/>
          </w:tcPr>
          <w:p>
            <w:pPr>
              <w:spacing w:after="0"/>
              <w:rPr>
                <w:sz w:val="14"/>
                <w:szCs w:val="14"/>
                <w:color w:val="auto"/>
              </w:rPr>
            </w:pPr>
          </w:p>
        </w:tc>
        <w:tc>
          <w:tcPr>
            <w:tcW w:w="180" w:type="dxa"/>
            <w:vAlign w:val="bottom"/>
            <w:tcBorders>
              <w:top w:val="single" w:sz="8" w:color="0000FF"/>
            </w:tcBorders>
            <w:gridSpan w:val="2"/>
          </w:tcPr>
          <w:p>
            <w:pPr>
              <w:spacing w:after="0"/>
              <w:rPr>
                <w:sz w:val="14"/>
                <w:szCs w:val="14"/>
                <w:color w:val="auto"/>
              </w:rPr>
            </w:pPr>
          </w:p>
        </w:tc>
        <w:tc>
          <w:tcPr>
            <w:tcW w:w="124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ind w:left="200"/>
              <w:spacing w:after="0" w:line="149" w:lineRule="exact"/>
              <w:rPr>
                <w:sz w:val="20"/>
                <w:szCs w:val="20"/>
                <w:color w:val="auto"/>
              </w:rPr>
            </w:pPr>
            <w:r>
              <w:rPr>
                <w:rFonts w:ascii="Arial" w:cs="Arial" w:eastAsia="Arial" w:hAnsi="Arial"/>
                <w:sz w:val="17"/>
                <w:szCs w:val="17"/>
                <w:color w:val="auto"/>
              </w:rPr>
              <w:t>4.6</w:t>
            </w:r>
          </w:p>
        </w:tc>
        <w:tc>
          <w:tcPr>
            <w:tcW w:w="940" w:type="dxa"/>
            <w:vAlign w:val="bottom"/>
            <w:gridSpan w:val="4"/>
          </w:tcPr>
          <w:p>
            <w:pPr>
              <w:ind w:left="60"/>
              <w:spacing w:after="0" w:line="149" w:lineRule="exact"/>
              <w:rPr>
                <w:sz w:val="20"/>
                <w:szCs w:val="20"/>
                <w:color w:val="auto"/>
              </w:rPr>
            </w:pPr>
            <w:r>
              <w:rPr>
                <w:rFonts w:ascii="Arial" w:cs="Arial" w:eastAsia="Arial" w:hAnsi="Arial"/>
                <w:sz w:val="17"/>
                <w:szCs w:val="17"/>
                <w:color w:val="auto"/>
              </w:rPr>
              <w:t>Litigation</w:t>
            </w:r>
          </w:p>
        </w:tc>
        <w:tc>
          <w:tcPr>
            <w:tcW w:w="200" w:type="dxa"/>
            <w:vAlign w:val="bottom"/>
            <w:gridSpan w:val="5"/>
          </w:tcPr>
          <w:p>
            <w:pPr>
              <w:ind w:left="20"/>
              <w:spacing w:after="0" w:line="149" w:lineRule="exact"/>
              <w:rPr>
                <w:sz w:val="20"/>
                <w:szCs w:val="20"/>
                <w:color w:val="auto"/>
              </w:rPr>
            </w:pPr>
            <w:r>
              <w:rPr>
                <w:rFonts w:ascii="Arial" w:cs="Arial" w:eastAsia="Arial" w:hAnsi="Arial"/>
                <w:sz w:val="17"/>
                <w:szCs w:val="17"/>
                <w:color w:val="FF0000"/>
                <w:strike w:val="1"/>
                <w:w w:val="84"/>
              </w:rPr>
              <w:t>68</w:t>
            </w:r>
          </w:p>
        </w:tc>
        <w:tc>
          <w:tcPr>
            <w:tcW w:w="180" w:type="dxa"/>
            <w:vAlign w:val="bottom"/>
            <w:tcBorders>
              <w:top w:val="single" w:sz="8" w:color="DDDDDD"/>
              <w:bottom w:val="single" w:sz="8" w:color="0000FF"/>
            </w:tcBorders>
            <w:gridSpan w:val="5"/>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84"/>
              </w:rPr>
              <w:t>82</w:t>
            </w:r>
          </w:p>
        </w:tc>
        <w:tc>
          <w:tcPr>
            <w:tcW w:w="100" w:type="dxa"/>
            <w:vAlign w:val="bottom"/>
            <w:tcBorders>
              <w:bottom w:val="single" w:sz="8" w:color="DDDDDD"/>
            </w:tcBorders>
            <w:gridSpan w:val="2"/>
          </w:tcPr>
          <w:p>
            <w:pPr>
              <w:spacing w:after="0"/>
              <w:rPr>
                <w:sz w:val="13"/>
                <w:szCs w:val="13"/>
                <w:color w:val="auto"/>
              </w:rPr>
            </w:pPr>
          </w:p>
        </w:tc>
        <w:tc>
          <w:tcPr>
            <w:tcW w:w="180" w:type="dxa"/>
            <w:vAlign w:val="bottom"/>
            <w:tcBorders>
              <w:top w:val="single" w:sz="8" w:color="DDDDDD"/>
            </w:tcBorders>
            <w:gridSpan w:val="3"/>
          </w:tcPr>
          <w:p>
            <w:pPr>
              <w:spacing w:after="0"/>
              <w:rPr>
                <w:sz w:val="13"/>
                <w:szCs w:val="13"/>
                <w:color w:val="auto"/>
              </w:rPr>
            </w:pPr>
          </w:p>
        </w:tc>
        <w:tc>
          <w:tcPr>
            <w:tcW w:w="3640" w:type="dxa"/>
            <w:vAlign w:val="bottom"/>
            <w:gridSpan w:val="6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4.7</w:t>
            </w:r>
          </w:p>
        </w:tc>
        <w:tc>
          <w:tcPr>
            <w:tcW w:w="1040" w:type="dxa"/>
            <w:vAlign w:val="bottom"/>
            <w:gridSpan w:val="7"/>
          </w:tcPr>
          <w:p>
            <w:pPr>
              <w:ind w:left="60"/>
              <w:spacing w:after="0" w:line="162" w:lineRule="exact"/>
              <w:rPr>
                <w:sz w:val="20"/>
                <w:szCs w:val="20"/>
                <w:color w:val="auto"/>
              </w:rPr>
            </w:pPr>
            <w:r>
              <w:rPr>
                <w:rFonts w:ascii="Arial" w:cs="Arial" w:eastAsia="Arial" w:hAnsi="Arial"/>
                <w:sz w:val="18"/>
                <w:szCs w:val="18"/>
                <w:color w:val="auto"/>
              </w:rPr>
              <w:t>No Default</w:t>
            </w:r>
          </w:p>
        </w:tc>
        <w:tc>
          <w:tcPr>
            <w:tcW w:w="200" w:type="dxa"/>
            <w:vAlign w:val="bottom"/>
            <w:gridSpan w:val="5"/>
          </w:tcPr>
          <w:p>
            <w:pPr>
              <w:ind w:left="20"/>
              <w:spacing w:after="0" w:line="162" w:lineRule="exact"/>
              <w:rPr>
                <w:sz w:val="20"/>
                <w:szCs w:val="20"/>
                <w:color w:val="auto"/>
              </w:rPr>
            </w:pPr>
            <w:r>
              <w:rPr>
                <w:rFonts w:ascii="Arial" w:cs="Arial" w:eastAsia="Arial" w:hAnsi="Arial"/>
                <w:sz w:val="18"/>
                <w:szCs w:val="18"/>
                <w:color w:val="FF0000"/>
                <w:strike w:val="1"/>
                <w:w w:val="79"/>
              </w:rPr>
              <w:t>68</w:t>
            </w:r>
          </w:p>
        </w:tc>
        <w:tc>
          <w:tcPr>
            <w:tcW w:w="180" w:type="dxa"/>
            <w:vAlign w:val="bottom"/>
            <w:tcBorders>
              <w:bottom w:val="single" w:sz="8" w:color="0000FF"/>
            </w:tcBorders>
            <w:gridSpan w:val="4"/>
            <w:shd w:val="clear" w:color="auto" w:fill="DDDDDD"/>
          </w:tcPr>
          <w:p>
            <w:pPr>
              <w:spacing w:after="0" w:line="162" w:lineRule="exact"/>
              <w:rPr>
                <w:sz w:val="20"/>
                <w:szCs w:val="20"/>
                <w:color w:val="auto"/>
              </w:rPr>
            </w:pPr>
            <w:r>
              <w:rPr>
                <w:rFonts w:ascii="Arial" w:cs="Arial" w:eastAsia="Arial" w:hAnsi="Arial"/>
                <w:sz w:val="17"/>
                <w:szCs w:val="17"/>
                <w:color w:val="0000FF"/>
                <w:highlight w:val="lightGray"/>
                <w:w w:val="73"/>
              </w:rPr>
              <w:t>82</w:t>
            </w:r>
          </w:p>
        </w:tc>
        <w:tc>
          <w:tcPr>
            <w:tcW w:w="660" w:type="dxa"/>
            <w:vAlign w:val="bottom"/>
            <w:tcBorders>
              <w:left w:val="single" w:sz="8" w:color="DDDDDD"/>
            </w:tcBorders>
            <w:gridSpan w:val="13"/>
          </w:tcPr>
          <w:p>
            <w:pPr>
              <w:spacing w:after="0"/>
              <w:rPr>
                <w:sz w:val="14"/>
                <w:szCs w:val="14"/>
                <w:color w:val="auto"/>
              </w:rPr>
            </w:pPr>
          </w:p>
        </w:tc>
        <w:tc>
          <w:tcPr>
            <w:tcW w:w="180" w:type="dxa"/>
            <w:vAlign w:val="bottom"/>
            <w:tcBorders>
              <w:bottom w:val="single" w:sz="8" w:color="DDDDDD"/>
            </w:tcBorders>
            <w:gridSpan w:val="6"/>
          </w:tcPr>
          <w:p>
            <w:pPr>
              <w:spacing w:after="0"/>
              <w:rPr>
                <w:sz w:val="14"/>
                <w:szCs w:val="14"/>
                <w:color w:val="auto"/>
              </w:rPr>
            </w:pPr>
          </w:p>
        </w:tc>
        <w:tc>
          <w:tcPr>
            <w:tcW w:w="2980" w:type="dxa"/>
            <w:vAlign w:val="bottom"/>
            <w:gridSpan w:val="4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4.8</w:t>
            </w:r>
          </w:p>
        </w:tc>
        <w:tc>
          <w:tcPr>
            <w:tcW w:w="1240" w:type="dxa"/>
            <w:vAlign w:val="bottom"/>
            <w:gridSpan w:val="12"/>
          </w:tcPr>
          <w:p>
            <w:pPr>
              <w:ind w:left="60"/>
              <w:spacing w:after="0" w:line="162" w:lineRule="exact"/>
              <w:rPr>
                <w:sz w:val="20"/>
                <w:szCs w:val="20"/>
                <w:color w:val="auto"/>
              </w:rPr>
            </w:pPr>
            <w:r>
              <w:rPr>
                <w:rFonts w:ascii="Arial" w:cs="Arial" w:eastAsia="Arial" w:hAnsi="Arial"/>
                <w:sz w:val="18"/>
                <w:szCs w:val="18"/>
                <w:color w:val="auto"/>
              </w:rPr>
              <w:t>Ownership of</w:t>
            </w:r>
          </w:p>
        </w:tc>
        <w:tc>
          <w:tcPr>
            <w:tcW w:w="660" w:type="dxa"/>
            <w:vAlign w:val="bottom"/>
            <w:gridSpan w:val="13"/>
          </w:tcPr>
          <w:p>
            <w:pPr>
              <w:spacing w:after="0" w:line="162" w:lineRule="exact"/>
              <w:rPr>
                <w:sz w:val="20"/>
                <w:szCs w:val="20"/>
                <w:color w:val="auto"/>
              </w:rPr>
            </w:pPr>
            <w:r>
              <w:rPr>
                <w:rFonts w:ascii="Arial" w:cs="Arial" w:eastAsia="Arial" w:hAnsi="Arial"/>
                <w:sz w:val="16"/>
                <w:szCs w:val="16"/>
                <w:color w:val="auto"/>
                <w:w w:val="72"/>
              </w:rPr>
              <w:t>Property</w:t>
            </w:r>
          </w:p>
        </w:tc>
        <w:tc>
          <w:tcPr>
            <w:tcW w:w="180" w:type="dxa"/>
            <w:vAlign w:val="bottom"/>
            <w:tcBorders>
              <w:bottom w:val="single" w:sz="8" w:color="DDDDDD"/>
            </w:tcBorders>
            <w:gridSpan w:val="4"/>
          </w:tcPr>
          <w:p>
            <w:pPr>
              <w:jc w:val="right"/>
              <w:spacing w:after="0" w:line="162" w:lineRule="exact"/>
              <w:rPr>
                <w:sz w:val="20"/>
                <w:szCs w:val="20"/>
                <w:color w:val="auto"/>
              </w:rPr>
            </w:pPr>
            <w:r>
              <w:rPr>
                <w:rFonts w:ascii="Arial" w:cs="Arial" w:eastAsia="Arial" w:hAnsi="Arial"/>
                <w:sz w:val="18"/>
                <w:szCs w:val="18"/>
                <w:color w:val="FF0000"/>
                <w:strike w:val="1"/>
                <w:w w:val="79"/>
              </w:rPr>
              <w:t>68</w:t>
            </w:r>
          </w:p>
        </w:tc>
        <w:tc>
          <w:tcPr>
            <w:tcW w:w="180" w:type="dxa"/>
            <w:vAlign w:val="bottom"/>
            <w:tcBorders>
              <w:bottom w:val="single" w:sz="8" w:color="0000FF"/>
              <w:right w:val="single" w:sz="8" w:color="DDDDDD"/>
            </w:tcBorders>
            <w:gridSpan w:val="6"/>
            <w:shd w:val="clear" w:color="auto" w:fill="DDDDDD"/>
          </w:tcPr>
          <w:p>
            <w:pPr>
              <w:jc w:val="right"/>
              <w:spacing w:after="0" w:line="162" w:lineRule="exact"/>
              <w:rPr>
                <w:sz w:val="20"/>
                <w:szCs w:val="20"/>
                <w:color w:val="auto"/>
              </w:rPr>
            </w:pPr>
            <w:r>
              <w:rPr>
                <w:rFonts w:ascii="Arial" w:cs="Arial" w:eastAsia="Arial" w:hAnsi="Arial"/>
                <w:sz w:val="17"/>
                <w:szCs w:val="17"/>
                <w:color w:val="0000FF"/>
                <w:highlight w:val="lightGray"/>
                <w:w w:val="73"/>
              </w:rPr>
              <w:t>82</w:t>
            </w:r>
          </w:p>
        </w:tc>
        <w:tc>
          <w:tcPr>
            <w:tcW w:w="2980" w:type="dxa"/>
            <w:vAlign w:val="bottom"/>
            <w:gridSpan w:val="4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4.9</w:t>
            </w:r>
          </w:p>
        </w:tc>
        <w:tc>
          <w:tcPr>
            <w:tcW w:w="1720" w:type="dxa"/>
            <w:vAlign w:val="bottom"/>
            <w:gridSpan w:val="20"/>
          </w:tcPr>
          <w:p>
            <w:pPr>
              <w:ind w:left="60"/>
              <w:spacing w:after="0" w:line="162" w:lineRule="exact"/>
              <w:rPr>
                <w:sz w:val="20"/>
                <w:szCs w:val="20"/>
                <w:color w:val="auto"/>
              </w:rPr>
            </w:pPr>
            <w:r>
              <w:rPr>
                <w:rFonts w:ascii="Arial" w:cs="Arial" w:eastAsia="Arial" w:hAnsi="Arial"/>
                <w:sz w:val="18"/>
                <w:szCs w:val="18"/>
                <w:color w:val="auto"/>
              </w:rPr>
              <w:t>Intellectual Property</w:t>
            </w:r>
          </w:p>
        </w:tc>
        <w:tc>
          <w:tcPr>
            <w:tcW w:w="180" w:type="dxa"/>
            <w:vAlign w:val="bottom"/>
            <w:gridSpan w:val="5"/>
          </w:tcPr>
          <w:p>
            <w:pPr>
              <w:jc w:val="right"/>
              <w:spacing w:after="0" w:line="162" w:lineRule="exact"/>
              <w:rPr>
                <w:sz w:val="20"/>
                <w:szCs w:val="20"/>
                <w:color w:val="auto"/>
              </w:rPr>
            </w:pPr>
            <w:r>
              <w:rPr>
                <w:rFonts w:ascii="Arial" w:cs="Arial" w:eastAsia="Arial" w:hAnsi="Arial"/>
                <w:sz w:val="18"/>
                <w:szCs w:val="18"/>
                <w:color w:val="FF0000"/>
                <w:strike w:val="1"/>
                <w:w w:val="79"/>
              </w:rPr>
              <w:t>68</w:t>
            </w:r>
          </w:p>
        </w:tc>
        <w:tc>
          <w:tcPr>
            <w:tcW w:w="3340" w:type="dxa"/>
            <w:vAlign w:val="bottom"/>
            <w:gridSpan w:val="57"/>
            <w:shd w:val="clear" w:color="auto" w:fill="DDDDDD"/>
          </w:tcPr>
          <w:p>
            <w:pPr>
              <w:jc w:val="right"/>
              <w:ind w:right="3160"/>
              <w:spacing w:after="0" w:line="162" w:lineRule="exact"/>
              <w:rPr>
                <w:sz w:val="20"/>
                <w:szCs w:val="20"/>
                <w:color w:val="auto"/>
              </w:rPr>
            </w:pPr>
            <w:r>
              <w:rPr>
                <w:rFonts w:ascii="Arial" w:cs="Arial" w:eastAsia="Arial" w:hAnsi="Arial"/>
                <w:sz w:val="18"/>
                <w:szCs w:val="18"/>
                <w:color w:val="0000FF"/>
                <w:highlight w:val="lightGray"/>
                <w:w w:val="79"/>
              </w:rPr>
              <w:t>82</w:t>
            </w:r>
          </w:p>
        </w:tc>
        <w:tc>
          <w:tcPr>
            <w:tcW w:w="0" w:type="dxa"/>
            <w:vAlign w:val="bottom"/>
          </w:tcPr>
          <w:p>
            <w:pPr>
              <w:spacing w:after="0"/>
              <w:rPr>
                <w:sz w:val="1"/>
                <w:szCs w:val="1"/>
                <w:color w:val="auto"/>
              </w:rPr>
            </w:pPr>
          </w:p>
        </w:tc>
      </w:tr>
      <w:tr>
        <w:trPr>
          <w:trHeight w:val="169"/>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4.10</w:t>
            </w:r>
          </w:p>
        </w:tc>
        <w:tc>
          <w:tcPr>
            <w:tcW w:w="580" w:type="dxa"/>
            <w:vAlign w:val="bottom"/>
          </w:tcPr>
          <w:p>
            <w:pPr>
              <w:ind w:left="160"/>
              <w:spacing w:after="0" w:line="162" w:lineRule="exact"/>
              <w:rPr>
                <w:sz w:val="20"/>
                <w:szCs w:val="20"/>
                <w:color w:val="auto"/>
              </w:rPr>
            </w:pPr>
            <w:r>
              <w:rPr>
                <w:rFonts w:ascii="Arial" w:cs="Arial" w:eastAsia="Arial" w:hAnsi="Arial"/>
                <w:sz w:val="18"/>
                <w:szCs w:val="18"/>
                <w:color w:val="auto"/>
                <w:w w:val="81"/>
              </w:rPr>
              <w:t>Taxes</w:t>
            </w:r>
          </w:p>
        </w:tc>
        <w:tc>
          <w:tcPr>
            <w:tcW w:w="360" w:type="dxa"/>
            <w:vAlign w:val="bottom"/>
            <w:gridSpan w:val="3"/>
          </w:tcPr>
          <w:p>
            <w:pPr>
              <w:jc w:val="right"/>
              <w:spacing w:after="0" w:line="162" w:lineRule="exact"/>
              <w:rPr>
                <w:sz w:val="20"/>
                <w:szCs w:val="20"/>
                <w:color w:val="auto"/>
              </w:rPr>
            </w:pPr>
            <w:r>
              <w:rPr>
                <w:rFonts w:ascii="Arial" w:cs="Arial" w:eastAsia="Arial" w:hAnsi="Arial"/>
                <w:sz w:val="18"/>
                <w:szCs w:val="18"/>
                <w:color w:val="FF0000"/>
                <w:strike w:val="1"/>
              </w:rPr>
              <w:t>68</w:t>
            </w:r>
          </w:p>
        </w:tc>
        <w:tc>
          <w:tcPr>
            <w:tcW w:w="180" w:type="dxa"/>
            <w:vAlign w:val="bottom"/>
            <w:tcBorders>
              <w:top w:val="single" w:sz="8" w:color="DDDDDD"/>
              <w:bottom w:val="single" w:sz="8" w:color="0000FF"/>
            </w:tcBorders>
            <w:gridSpan w:val="4"/>
            <w:shd w:val="clear" w:color="auto" w:fill="DDDDDD"/>
          </w:tcPr>
          <w:p>
            <w:pPr>
              <w:spacing w:after="0" w:line="162" w:lineRule="exact"/>
              <w:rPr>
                <w:sz w:val="20"/>
                <w:szCs w:val="20"/>
                <w:color w:val="auto"/>
              </w:rPr>
            </w:pPr>
            <w:r>
              <w:rPr>
                <w:rFonts w:ascii="Arial" w:cs="Arial" w:eastAsia="Arial" w:hAnsi="Arial"/>
                <w:sz w:val="18"/>
                <w:szCs w:val="18"/>
                <w:color w:val="0000FF"/>
                <w:highlight w:val="lightGray"/>
                <w:w w:val="79"/>
              </w:rPr>
              <w:t>82</w:t>
            </w:r>
          </w:p>
        </w:tc>
        <w:tc>
          <w:tcPr>
            <w:tcW w:w="780" w:type="dxa"/>
            <w:vAlign w:val="bottom"/>
            <w:gridSpan w:val="17"/>
          </w:tcPr>
          <w:p>
            <w:pPr>
              <w:spacing w:after="0"/>
              <w:rPr>
                <w:sz w:val="14"/>
                <w:szCs w:val="14"/>
                <w:color w:val="auto"/>
              </w:rPr>
            </w:pPr>
          </w:p>
        </w:tc>
        <w:tc>
          <w:tcPr>
            <w:tcW w:w="80" w:type="dxa"/>
            <w:vAlign w:val="bottom"/>
            <w:tcBorders>
              <w:top w:val="single" w:sz="8" w:color="0000FF"/>
            </w:tcBorders>
            <w:gridSpan w:val="2"/>
          </w:tcPr>
          <w:p>
            <w:pPr>
              <w:spacing w:after="0"/>
              <w:rPr>
                <w:sz w:val="14"/>
                <w:szCs w:val="14"/>
                <w:color w:val="auto"/>
              </w:rPr>
            </w:pPr>
          </w:p>
        </w:tc>
        <w:tc>
          <w:tcPr>
            <w:tcW w:w="120" w:type="dxa"/>
            <w:vAlign w:val="bottom"/>
            <w:tcBorders>
              <w:top w:val="single" w:sz="8" w:color="0000FF"/>
              <w:bottom w:val="single" w:sz="8" w:color="DDDDDD"/>
            </w:tcBorders>
            <w:gridSpan w:val="3"/>
          </w:tcPr>
          <w:p>
            <w:pPr>
              <w:spacing w:after="0"/>
              <w:rPr>
                <w:sz w:val="14"/>
                <w:szCs w:val="14"/>
                <w:color w:val="auto"/>
              </w:rPr>
            </w:pPr>
          </w:p>
        </w:tc>
        <w:tc>
          <w:tcPr>
            <w:tcW w:w="40" w:type="dxa"/>
            <w:vAlign w:val="bottom"/>
            <w:tcBorders>
              <w:bottom w:val="single" w:sz="8" w:color="DDDDDD"/>
            </w:tcBorders>
          </w:tcPr>
          <w:p>
            <w:pPr>
              <w:spacing w:after="0"/>
              <w:rPr>
                <w:sz w:val="14"/>
                <w:szCs w:val="14"/>
                <w:color w:val="auto"/>
              </w:rPr>
            </w:pPr>
          </w:p>
        </w:tc>
        <w:tc>
          <w:tcPr>
            <w:tcW w:w="3100" w:type="dxa"/>
            <w:vAlign w:val="bottom"/>
            <w:gridSpan w:val="51"/>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4.11</w:t>
            </w:r>
          </w:p>
        </w:tc>
        <w:tc>
          <w:tcPr>
            <w:tcW w:w="940" w:type="dxa"/>
            <w:vAlign w:val="bottom"/>
            <w:gridSpan w:val="4"/>
          </w:tcPr>
          <w:p>
            <w:pPr>
              <w:ind w:left="160"/>
              <w:spacing w:after="0" w:line="162" w:lineRule="exact"/>
              <w:rPr>
                <w:sz w:val="20"/>
                <w:szCs w:val="20"/>
                <w:color w:val="auto"/>
              </w:rPr>
            </w:pPr>
            <w:r>
              <w:rPr>
                <w:rFonts w:ascii="Arial" w:cs="Arial" w:eastAsia="Arial" w:hAnsi="Arial"/>
                <w:sz w:val="18"/>
                <w:szCs w:val="18"/>
                <w:color w:val="auto"/>
              </w:rPr>
              <w:t>Federal</w:t>
            </w:r>
          </w:p>
        </w:tc>
        <w:tc>
          <w:tcPr>
            <w:tcW w:w="820" w:type="dxa"/>
            <w:vAlign w:val="bottom"/>
            <w:gridSpan w:val="17"/>
          </w:tcPr>
          <w:p>
            <w:pPr>
              <w:spacing w:after="0" w:line="162" w:lineRule="exact"/>
              <w:rPr>
                <w:sz w:val="20"/>
                <w:szCs w:val="20"/>
                <w:color w:val="auto"/>
              </w:rPr>
            </w:pPr>
            <w:r>
              <w:rPr>
                <w:rFonts w:ascii="Arial" w:cs="Arial" w:eastAsia="Arial" w:hAnsi="Arial"/>
                <w:sz w:val="18"/>
                <w:szCs w:val="18"/>
                <w:color w:val="auto"/>
                <w:w w:val="77"/>
              </w:rPr>
              <w:t>Regulations</w:t>
            </w:r>
          </w:p>
        </w:tc>
        <w:tc>
          <w:tcPr>
            <w:tcW w:w="220" w:type="dxa"/>
            <w:vAlign w:val="bottom"/>
            <w:tcBorders>
              <w:right w:val="single" w:sz="8" w:color="DDDDDD"/>
            </w:tcBorders>
            <w:gridSpan w:val="6"/>
          </w:tcPr>
          <w:p>
            <w:pPr>
              <w:jc w:val="right"/>
              <w:spacing w:after="0" w:line="162" w:lineRule="exact"/>
              <w:rPr>
                <w:sz w:val="20"/>
                <w:szCs w:val="20"/>
                <w:color w:val="auto"/>
              </w:rPr>
            </w:pPr>
            <w:r>
              <w:rPr>
                <w:rFonts w:ascii="Arial" w:cs="Arial" w:eastAsia="Arial" w:hAnsi="Arial"/>
                <w:sz w:val="18"/>
                <w:szCs w:val="18"/>
                <w:color w:val="FF0000"/>
                <w:strike w:val="1"/>
                <w:w w:val="89"/>
              </w:rPr>
              <w:t>68</w:t>
            </w:r>
          </w:p>
        </w:tc>
        <w:tc>
          <w:tcPr>
            <w:tcW w:w="120" w:type="dxa"/>
            <w:vAlign w:val="bottom"/>
            <w:gridSpan w:val="3"/>
            <w:shd w:val="clear" w:color="auto" w:fill="DDDDDD"/>
          </w:tcPr>
          <w:p>
            <w:pPr>
              <w:spacing w:after="0"/>
              <w:rPr>
                <w:sz w:val="20"/>
                <w:szCs w:val="20"/>
                <w:color w:val="auto"/>
              </w:rPr>
            </w:pPr>
            <w:r>
              <w:rPr>
                <w:rFonts w:ascii="Arial" w:cs="Arial" w:eastAsia="Arial" w:hAnsi="Arial"/>
                <w:sz w:val="10"/>
                <w:szCs w:val="10"/>
                <w:color w:val="0000FF"/>
                <w:highlight w:val="lightGray"/>
                <w:w w:val="71"/>
              </w:rPr>
              <w:t>83</w:t>
            </w:r>
          </w:p>
        </w:tc>
        <w:tc>
          <w:tcPr>
            <w:tcW w:w="3140" w:type="dxa"/>
            <w:vAlign w:val="bottom"/>
            <w:tcBorders>
              <w:left w:val="single" w:sz="8" w:color="DDDDDD"/>
            </w:tcBorders>
            <w:gridSpan w:val="52"/>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4.12</w:t>
            </w:r>
          </w:p>
        </w:tc>
        <w:tc>
          <w:tcPr>
            <w:tcW w:w="1320" w:type="dxa"/>
            <w:vAlign w:val="bottom"/>
            <w:gridSpan w:val="14"/>
          </w:tcPr>
          <w:p>
            <w:pPr>
              <w:ind w:left="160"/>
              <w:spacing w:after="0" w:line="162" w:lineRule="exact"/>
              <w:rPr>
                <w:sz w:val="20"/>
                <w:szCs w:val="20"/>
                <w:color w:val="auto"/>
              </w:rPr>
            </w:pPr>
            <w:r>
              <w:rPr>
                <w:rFonts w:ascii="Arial" w:cs="Arial" w:eastAsia="Arial" w:hAnsi="Arial"/>
                <w:sz w:val="18"/>
                <w:szCs w:val="18"/>
                <w:color w:val="auto"/>
                <w:w w:val="90"/>
              </w:rPr>
              <w:t>Labor Matters</w:t>
            </w:r>
          </w:p>
        </w:tc>
        <w:tc>
          <w:tcPr>
            <w:tcW w:w="240" w:type="dxa"/>
            <w:vAlign w:val="bottom"/>
            <w:tcBorders>
              <w:right w:val="single" w:sz="8" w:color="DDDDDD"/>
            </w:tcBorders>
            <w:gridSpan w:val="4"/>
          </w:tcPr>
          <w:p>
            <w:pPr>
              <w:jc w:val="right"/>
              <w:spacing w:after="0" w:line="162" w:lineRule="exact"/>
              <w:rPr>
                <w:sz w:val="20"/>
                <w:szCs w:val="20"/>
                <w:color w:val="auto"/>
              </w:rPr>
            </w:pPr>
            <w:r>
              <w:rPr>
                <w:rFonts w:ascii="Arial" w:cs="Arial" w:eastAsia="Arial" w:hAnsi="Arial"/>
                <w:sz w:val="18"/>
                <w:szCs w:val="18"/>
                <w:color w:val="FF0000"/>
                <w:strike w:val="1"/>
                <w:w w:val="99"/>
              </w:rPr>
              <w:t>68</w:t>
            </w:r>
          </w:p>
        </w:tc>
        <w:tc>
          <w:tcPr>
            <w:tcW w:w="160" w:type="dxa"/>
            <w:vAlign w:val="bottom"/>
            <w:tcBorders>
              <w:top w:val="single" w:sz="8" w:color="DDDDDD"/>
              <w:bottom w:val="single" w:sz="8" w:color="0000FF"/>
              <w:right w:val="single" w:sz="8" w:color="DDDDDD"/>
            </w:tcBorders>
            <w:gridSpan w:val="2"/>
            <w:shd w:val="clear" w:color="auto" w:fill="DDDDDD"/>
          </w:tcPr>
          <w:p>
            <w:pPr>
              <w:spacing w:after="0" w:line="162" w:lineRule="exact"/>
              <w:rPr>
                <w:sz w:val="20"/>
                <w:szCs w:val="20"/>
                <w:color w:val="auto"/>
              </w:rPr>
            </w:pPr>
            <w:r>
              <w:rPr>
                <w:rFonts w:ascii="Arial" w:cs="Arial" w:eastAsia="Arial" w:hAnsi="Arial"/>
                <w:sz w:val="15"/>
                <w:szCs w:val="15"/>
                <w:color w:val="0000FF"/>
                <w:highlight w:val="lightGray"/>
                <w:w w:val="71"/>
              </w:rPr>
              <w:t>83</w:t>
            </w:r>
          </w:p>
        </w:tc>
        <w:tc>
          <w:tcPr>
            <w:tcW w:w="260" w:type="dxa"/>
            <w:vAlign w:val="bottom"/>
            <w:gridSpan w:val="7"/>
          </w:tcPr>
          <w:p>
            <w:pPr>
              <w:spacing w:after="0"/>
              <w:rPr>
                <w:sz w:val="15"/>
                <w:szCs w:val="15"/>
                <w:color w:val="auto"/>
              </w:rPr>
            </w:pPr>
          </w:p>
        </w:tc>
        <w:tc>
          <w:tcPr>
            <w:tcW w:w="160" w:type="dxa"/>
            <w:vAlign w:val="bottom"/>
            <w:tcBorders>
              <w:top w:val="single" w:sz="8" w:color="0000FF"/>
            </w:tcBorders>
            <w:gridSpan w:val="4"/>
          </w:tcPr>
          <w:p>
            <w:pPr>
              <w:spacing w:after="0"/>
              <w:rPr>
                <w:sz w:val="15"/>
                <w:szCs w:val="15"/>
                <w:color w:val="auto"/>
              </w:rPr>
            </w:pPr>
          </w:p>
        </w:tc>
        <w:tc>
          <w:tcPr>
            <w:tcW w:w="3100" w:type="dxa"/>
            <w:vAlign w:val="bottom"/>
            <w:gridSpan w:val="51"/>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ind w:left="200"/>
              <w:spacing w:after="0" w:line="149" w:lineRule="exact"/>
              <w:rPr>
                <w:sz w:val="20"/>
                <w:szCs w:val="20"/>
                <w:color w:val="auto"/>
              </w:rPr>
            </w:pPr>
            <w:r>
              <w:rPr>
                <w:rFonts w:ascii="Arial" w:cs="Arial" w:eastAsia="Arial" w:hAnsi="Arial"/>
                <w:sz w:val="17"/>
                <w:szCs w:val="17"/>
                <w:color w:val="auto"/>
              </w:rPr>
              <w:t>4.13</w:t>
            </w:r>
          </w:p>
        </w:tc>
        <w:tc>
          <w:tcPr>
            <w:tcW w:w="840" w:type="dxa"/>
            <w:vAlign w:val="bottom"/>
            <w:gridSpan w:val="3"/>
          </w:tcPr>
          <w:p>
            <w:pPr>
              <w:ind w:left="160"/>
              <w:spacing w:after="0" w:line="149" w:lineRule="exact"/>
              <w:rPr>
                <w:sz w:val="20"/>
                <w:szCs w:val="20"/>
                <w:color w:val="auto"/>
              </w:rPr>
            </w:pPr>
            <w:r>
              <w:rPr>
                <w:rFonts w:ascii="Arial" w:cs="Arial" w:eastAsia="Arial" w:hAnsi="Arial"/>
                <w:sz w:val="17"/>
                <w:szCs w:val="17"/>
                <w:color w:val="auto"/>
              </w:rPr>
              <w:t>ERISA</w:t>
            </w:r>
          </w:p>
        </w:tc>
        <w:tc>
          <w:tcPr>
            <w:tcW w:w="180" w:type="dxa"/>
            <w:vAlign w:val="bottom"/>
            <w:gridSpan w:val="3"/>
          </w:tcPr>
          <w:p>
            <w:pPr>
              <w:jc w:val="right"/>
              <w:spacing w:after="0" w:line="149" w:lineRule="exact"/>
              <w:rPr>
                <w:sz w:val="20"/>
                <w:szCs w:val="20"/>
                <w:color w:val="auto"/>
              </w:rPr>
            </w:pPr>
            <w:r>
              <w:rPr>
                <w:rFonts w:ascii="Arial" w:cs="Arial" w:eastAsia="Arial" w:hAnsi="Arial"/>
                <w:sz w:val="17"/>
                <w:szCs w:val="17"/>
                <w:color w:val="FF0000"/>
                <w:strike w:val="1"/>
                <w:w w:val="84"/>
              </w:rPr>
              <w:t>69</w:t>
            </w:r>
          </w:p>
        </w:tc>
        <w:tc>
          <w:tcPr>
            <w:tcW w:w="180" w:type="dxa"/>
            <w:vAlign w:val="bottom"/>
            <w:tcBorders>
              <w:top w:val="single" w:sz="8" w:color="DDDDDD"/>
              <w:bottom w:val="single" w:sz="8" w:color="0000FF"/>
              <w:right w:val="single" w:sz="8" w:color="DDDDDD"/>
            </w:tcBorders>
            <w:gridSpan w:val="5"/>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84"/>
              </w:rPr>
              <w:t>83</w:t>
            </w:r>
          </w:p>
        </w:tc>
        <w:tc>
          <w:tcPr>
            <w:tcW w:w="360" w:type="dxa"/>
            <w:vAlign w:val="bottom"/>
            <w:gridSpan w:val="7"/>
          </w:tcPr>
          <w:p>
            <w:pPr>
              <w:spacing w:after="0"/>
              <w:rPr>
                <w:sz w:val="13"/>
                <w:szCs w:val="13"/>
                <w:color w:val="auto"/>
              </w:rPr>
            </w:pPr>
          </w:p>
        </w:tc>
        <w:tc>
          <w:tcPr>
            <w:tcW w:w="160" w:type="dxa"/>
            <w:vAlign w:val="bottom"/>
            <w:tcBorders>
              <w:top w:val="single" w:sz="8" w:color="DDDDDD"/>
            </w:tcBorders>
            <w:gridSpan w:val="2"/>
          </w:tcPr>
          <w:p>
            <w:pPr>
              <w:spacing w:after="0"/>
              <w:rPr>
                <w:sz w:val="13"/>
                <w:szCs w:val="13"/>
                <w:color w:val="auto"/>
              </w:rPr>
            </w:pPr>
          </w:p>
        </w:tc>
        <w:tc>
          <w:tcPr>
            <w:tcW w:w="2060" w:type="dxa"/>
            <w:vAlign w:val="bottom"/>
            <w:gridSpan w:val="48"/>
          </w:tcPr>
          <w:p>
            <w:pPr>
              <w:spacing w:after="0"/>
              <w:rPr>
                <w:sz w:val="13"/>
                <w:szCs w:val="13"/>
                <w:color w:val="auto"/>
              </w:rPr>
            </w:pPr>
          </w:p>
        </w:tc>
        <w:tc>
          <w:tcPr>
            <w:tcW w:w="180" w:type="dxa"/>
            <w:vAlign w:val="bottom"/>
            <w:tcBorders>
              <w:bottom w:val="single" w:sz="8" w:color="DDDDDD"/>
            </w:tcBorders>
            <w:gridSpan w:val="2"/>
          </w:tcPr>
          <w:p>
            <w:pPr>
              <w:spacing w:after="0"/>
              <w:rPr>
                <w:sz w:val="13"/>
                <w:szCs w:val="13"/>
                <w:color w:val="auto"/>
              </w:rPr>
            </w:pPr>
          </w:p>
        </w:tc>
        <w:tc>
          <w:tcPr>
            <w:tcW w:w="128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4.14</w:t>
            </w:r>
          </w:p>
        </w:tc>
        <w:tc>
          <w:tcPr>
            <w:tcW w:w="1020" w:type="dxa"/>
            <w:vAlign w:val="bottom"/>
            <w:gridSpan w:val="6"/>
          </w:tcPr>
          <w:p>
            <w:pPr>
              <w:ind w:left="160"/>
              <w:spacing w:after="0" w:line="162" w:lineRule="exact"/>
              <w:rPr>
                <w:sz w:val="20"/>
                <w:szCs w:val="20"/>
                <w:color w:val="auto"/>
              </w:rPr>
            </w:pPr>
            <w:r>
              <w:rPr>
                <w:rFonts w:ascii="Arial" w:cs="Arial" w:eastAsia="Arial" w:hAnsi="Arial"/>
                <w:sz w:val="18"/>
                <w:szCs w:val="18"/>
                <w:color w:val="auto"/>
                <w:w w:val="95"/>
              </w:rPr>
              <w:t>Investment</w:t>
            </w:r>
          </w:p>
        </w:tc>
        <w:tc>
          <w:tcPr>
            <w:tcW w:w="2460" w:type="dxa"/>
            <w:vAlign w:val="bottom"/>
            <w:gridSpan w:val="58"/>
          </w:tcPr>
          <w:p>
            <w:pPr>
              <w:jc w:val="right"/>
              <w:ind w:right="60"/>
              <w:spacing w:after="0" w:line="162" w:lineRule="exact"/>
              <w:rPr>
                <w:sz w:val="20"/>
                <w:szCs w:val="20"/>
                <w:color w:val="auto"/>
              </w:rPr>
            </w:pPr>
            <w:r>
              <w:rPr>
                <w:rFonts w:ascii="Arial" w:cs="Arial" w:eastAsia="Arial" w:hAnsi="Arial"/>
                <w:sz w:val="18"/>
                <w:szCs w:val="18"/>
                <w:color w:val="auto"/>
                <w:w w:val="90"/>
              </w:rPr>
              <w:t>Company Act; Other Regulations</w:t>
            </w:r>
          </w:p>
        </w:tc>
        <w:tc>
          <w:tcPr>
            <w:tcW w:w="20" w:type="dxa"/>
            <w:vAlign w:val="bottom"/>
          </w:tcPr>
          <w:p>
            <w:pPr>
              <w:spacing w:after="0"/>
              <w:rPr>
                <w:sz w:val="15"/>
                <w:szCs w:val="15"/>
                <w:color w:val="auto"/>
              </w:rPr>
            </w:pPr>
          </w:p>
        </w:tc>
        <w:tc>
          <w:tcPr>
            <w:tcW w:w="280" w:type="dxa"/>
            <w:vAlign w:val="bottom"/>
            <w:gridSpan w:val="3"/>
          </w:tcPr>
          <w:p>
            <w:pPr>
              <w:jc w:val="right"/>
              <w:spacing w:after="0" w:line="162" w:lineRule="exact"/>
              <w:rPr>
                <w:sz w:val="20"/>
                <w:szCs w:val="20"/>
                <w:color w:val="auto"/>
              </w:rPr>
            </w:pPr>
            <w:r>
              <w:rPr>
                <w:rFonts w:ascii="Arial" w:cs="Arial" w:eastAsia="Arial" w:hAnsi="Arial"/>
                <w:sz w:val="18"/>
                <w:szCs w:val="18"/>
                <w:color w:val="FF0000"/>
                <w:strike w:val="1"/>
              </w:rPr>
              <w:t>69</w:t>
            </w:r>
          </w:p>
        </w:tc>
        <w:tc>
          <w:tcPr>
            <w:tcW w:w="180" w:type="dxa"/>
            <w:vAlign w:val="bottom"/>
            <w:gridSpan w:val="2"/>
            <w:shd w:val="clear" w:color="auto" w:fill="DDDDDD"/>
          </w:tcPr>
          <w:p>
            <w:pPr>
              <w:jc w:val="right"/>
              <w:spacing w:after="0" w:line="162" w:lineRule="exact"/>
              <w:rPr>
                <w:sz w:val="20"/>
                <w:szCs w:val="20"/>
                <w:color w:val="auto"/>
              </w:rPr>
            </w:pPr>
            <w:r>
              <w:rPr>
                <w:rFonts w:ascii="Arial" w:cs="Arial" w:eastAsia="Arial" w:hAnsi="Arial"/>
                <w:sz w:val="18"/>
                <w:szCs w:val="18"/>
                <w:color w:val="0000FF"/>
                <w:highlight w:val="lightGray"/>
                <w:w w:val="79"/>
              </w:rPr>
              <w:t>83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80" w:type="dxa"/>
            <w:vAlign w:val="bottom"/>
          </w:tcPr>
          <w:p>
            <w:pPr>
              <w:ind w:left="200"/>
              <w:spacing w:after="0" w:line="149" w:lineRule="exact"/>
              <w:rPr>
                <w:sz w:val="20"/>
                <w:szCs w:val="20"/>
                <w:color w:val="auto"/>
              </w:rPr>
            </w:pPr>
            <w:r>
              <w:rPr>
                <w:rFonts w:ascii="Arial" w:cs="Arial" w:eastAsia="Arial" w:hAnsi="Arial"/>
                <w:sz w:val="17"/>
                <w:szCs w:val="17"/>
                <w:color w:val="auto"/>
              </w:rPr>
              <w:t>4.15</w:t>
            </w:r>
          </w:p>
        </w:tc>
        <w:tc>
          <w:tcPr>
            <w:tcW w:w="1200" w:type="dxa"/>
            <w:vAlign w:val="bottom"/>
            <w:gridSpan w:val="11"/>
          </w:tcPr>
          <w:p>
            <w:pPr>
              <w:ind w:left="160"/>
              <w:spacing w:after="0" w:line="149" w:lineRule="exact"/>
              <w:rPr>
                <w:sz w:val="20"/>
                <w:szCs w:val="20"/>
                <w:color w:val="auto"/>
              </w:rPr>
            </w:pPr>
            <w:r>
              <w:rPr>
                <w:rFonts w:ascii="Arial" w:cs="Arial" w:eastAsia="Arial" w:hAnsi="Arial"/>
                <w:sz w:val="17"/>
                <w:szCs w:val="17"/>
                <w:color w:val="auto"/>
                <w:w w:val="92"/>
              </w:rPr>
              <w:t>Subsidiaries</w:t>
            </w:r>
          </w:p>
        </w:tc>
        <w:tc>
          <w:tcPr>
            <w:tcW w:w="200" w:type="dxa"/>
            <w:vAlign w:val="bottom"/>
            <w:gridSpan w:val="4"/>
          </w:tcPr>
          <w:p>
            <w:pPr>
              <w:jc w:val="right"/>
              <w:spacing w:after="0" w:line="149" w:lineRule="exact"/>
              <w:rPr>
                <w:sz w:val="20"/>
                <w:szCs w:val="20"/>
                <w:color w:val="auto"/>
              </w:rPr>
            </w:pPr>
            <w:r>
              <w:rPr>
                <w:rFonts w:ascii="Arial" w:cs="Arial" w:eastAsia="Arial" w:hAnsi="Arial"/>
                <w:sz w:val="17"/>
                <w:szCs w:val="17"/>
                <w:color w:val="FF0000"/>
                <w:strike w:val="1"/>
                <w:w w:val="94"/>
              </w:rPr>
              <w:t>69</w:t>
            </w:r>
          </w:p>
        </w:tc>
        <w:tc>
          <w:tcPr>
            <w:tcW w:w="200" w:type="dxa"/>
            <w:vAlign w:val="bottom"/>
            <w:tcBorders>
              <w:top w:val="single" w:sz="8" w:color="DDDDDD"/>
              <w:bottom w:val="single" w:sz="8" w:color="0000FF"/>
              <w:right w:val="single" w:sz="8" w:color="DDDDDD"/>
            </w:tcBorders>
            <w:gridSpan w:val="4"/>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84"/>
              </w:rPr>
              <w:t>83</w:t>
            </w:r>
          </w:p>
        </w:tc>
        <w:tc>
          <w:tcPr>
            <w:tcW w:w="2180" w:type="dxa"/>
            <w:vAlign w:val="bottom"/>
            <w:gridSpan w:val="49"/>
          </w:tcPr>
          <w:p>
            <w:pPr>
              <w:spacing w:after="0"/>
              <w:rPr>
                <w:sz w:val="12"/>
                <w:szCs w:val="12"/>
                <w:color w:val="auto"/>
              </w:rPr>
            </w:pPr>
          </w:p>
        </w:tc>
        <w:tc>
          <w:tcPr>
            <w:tcW w:w="180" w:type="dxa"/>
            <w:vAlign w:val="bottom"/>
            <w:tcBorders>
              <w:top w:val="single" w:sz="8" w:color="0000FF"/>
            </w:tcBorders>
            <w:gridSpan w:val="2"/>
          </w:tcPr>
          <w:p>
            <w:pPr>
              <w:spacing w:after="0"/>
              <w:rPr>
                <w:sz w:val="12"/>
                <w:szCs w:val="12"/>
                <w:color w:val="auto"/>
              </w:rPr>
            </w:pPr>
          </w:p>
        </w:tc>
        <w:tc>
          <w:tcPr>
            <w:tcW w:w="128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ind w:left="200"/>
              <w:spacing w:after="0" w:line="169" w:lineRule="exact"/>
              <w:rPr>
                <w:sz w:val="20"/>
                <w:szCs w:val="20"/>
                <w:color w:val="auto"/>
              </w:rPr>
            </w:pPr>
            <w:r>
              <w:rPr>
                <w:rFonts w:ascii="Arial" w:cs="Arial" w:eastAsia="Arial" w:hAnsi="Arial"/>
                <w:sz w:val="18"/>
                <w:szCs w:val="18"/>
                <w:color w:val="auto"/>
              </w:rPr>
              <w:t>4.16</w:t>
            </w:r>
          </w:p>
        </w:tc>
        <w:tc>
          <w:tcPr>
            <w:tcW w:w="1400" w:type="dxa"/>
            <w:vAlign w:val="bottom"/>
            <w:gridSpan w:val="15"/>
            <w:vMerge w:val="restart"/>
          </w:tcPr>
          <w:p>
            <w:pPr>
              <w:ind w:left="160"/>
              <w:spacing w:after="0" w:line="169" w:lineRule="exact"/>
              <w:rPr>
                <w:sz w:val="20"/>
                <w:szCs w:val="20"/>
                <w:color w:val="auto"/>
              </w:rPr>
            </w:pPr>
            <w:r>
              <w:rPr>
                <w:rFonts w:ascii="Arial" w:cs="Arial" w:eastAsia="Arial" w:hAnsi="Arial"/>
                <w:sz w:val="18"/>
                <w:szCs w:val="18"/>
                <w:color w:val="auto"/>
                <w:w w:val="90"/>
              </w:rPr>
              <w:t>Use of Proceeds</w:t>
            </w:r>
          </w:p>
        </w:tc>
        <w:tc>
          <w:tcPr>
            <w:tcW w:w="20" w:type="dxa"/>
            <w:vAlign w:val="bottom"/>
            <w:shd w:val="clear" w:color="auto" w:fill="DDDDDD"/>
          </w:tcPr>
          <w:p>
            <w:pPr>
              <w:spacing w:after="0" w:line="20" w:lineRule="exact"/>
              <w:rPr>
                <w:sz w:val="1"/>
                <w:szCs w:val="1"/>
                <w:color w:val="auto"/>
              </w:rPr>
            </w:pPr>
          </w:p>
        </w:tc>
        <w:tc>
          <w:tcPr>
            <w:tcW w:w="140" w:type="dxa"/>
            <w:vAlign w:val="bottom"/>
            <w:tcBorders>
              <w:left w:val="single" w:sz="8" w:color="DDDDDD"/>
              <w:right w:val="single" w:sz="8" w:color="DDDDDD"/>
            </w:tcBorders>
            <w:gridSpan w:val="2"/>
            <w:shd w:val="clear" w:color="auto" w:fill="DDDDDD"/>
          </w:tcPr>
          <w:p>
            <w:pPr>
              <w:spacing w:after="0" w:line="20" w:lineRule="exact"/>
              <w:rPr>
                <w:sz w:val="1"/>
                <w:szCs w:val="1"/>
                <w:color w:val="auto"/>
              </w:rPr>
            </w:pPr>
          </w:p>
        </w:tc>
        <w:tc>
          <w:tcPr>
            <w:tcW w:w="40" w:type="dxa"/>
            <w:vAlign w:val="bottom"/>
            <w:tcBorders>
              <w:right w:val="single" w:sz="8" w:color="DDDDDD"/>
            </w:tcBorders>
            <w:shd w:val="clear" w:color="auto" w:fill="DDDDDD"/>
          </w:tcPr>
          <w:p>
            <w:pPr>
              <w:spacing w:after="0" w:line="20" w:lineRule="exact"/>
              <w:rPr>
                <w:sz w:val="1"/>
                <w:szCs w:val="1"/>
                <w:color w:val="auto"/>
              </w:rPr>
            </w:pPr>
          </w:p>
        </w:tc>
        <w:tc>
          <w:tcPr>
            <w:tcW w:w="120" w:type="dxa"/>
            <w:vAlign w:val="bottom"/>
            <w:tcBorders>
              <w:right w:val="single" w:sz="8" w:color="DDDDDD"/>
            </w:tcBorders>
          </w:tcPr>
          <w:p>
            <w:pPr>
              <w:spacing w:after="0" w:line="20" w:lineRule="exact"/>
              <w:rPr>
                <w:sz w:val="1"/>
                <w:szCs w:val="1"/>
                <w:color w:val="auto"/>
              </w:rPr>
            </w:pPr>
          </w:p>
        </w:tc>
        <w:tc>
          <w:tcPr>
            <w:tcW w:w="40" w:type="dxa"/>
            <w:vAlign w:val="bottom"/>
            <w:tcBorders>
              <w:right w:val="single" w:sz="8" w:color="DDDDDD"/>
            </w:tcBorders>
            <w:shd w:val="clear" w:color="auto" w:fill="DDDDDD"/>
          </w:tcPr>
          <w:p>
            <w:pPr>
              <w:spacing w:after="0" w:line="20" w:lineRule="exact"/>
              <w:rPr>
                <w:sz w:val="1"/>
                <w:szCs w:val="1"/>
                <w:color w:val="auto"/>
              </w:rPr>
            </w:pPr>
          </w:p>
        </w:tc>
        <w:tc>
          <w:tcPr>
            <w:tcW w:w="120" w:type="dxa"/>
            <w:vAlign w:val="bottom"/>
            <w:tcBorders>
              <w:right w:val="single" w:sz="8" w:color="DDDDDD"/>
            </w:tcBorders>
            <w:gridSpan w:val="3"/>
            <w:shd w:val="clear" w:color="auto" w:fill="DDDDDD"/>
          </w:tcPr>
          <w:p>
            <w:pPr>
              <w:spacing w:after="0" w:line="20" w:lineRule="exact"/>
              <w:rPr>
                <w:sz w:val="1"/>
                <w:szCs w:val="1"/>
                <w:color w:val="auto"/>
              </w:rPr>
            </w:pPr>
          </w:p>
        </w:tc>
        <w:tc>
          <w:tcPr>
            <w:tcW w:w="3360" w:type="dxa"/>
            <w:vAlign w:val="bottom"/>
            <w:gridSpan w:val="5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 w:type="dxa"/>
            <w:vAlign w:val="bottom"/>
            <w:vMerge w:val="continue"/>
          </w:tcPr>
          <w:p>
            <w:pPr>
              <w:spacing w:after="0"/>
              <w:rPr>
                <w:sz w:val="13"/>
                <w:szCs w:val="13"/>
                <w:color w:val="auto"/>
              </w:rPr>
            </w:pPr>
          </w:p>
        </w:tc>
        <w:tc>
          <w:tcPr>
            <w:tcW w:w="1400" w:type="dxa"/>
            <w:vAlign w:val="bottom"/>
            <w:gridSpan w:val="15"/>
            <w:vMerge w:val="continue"/>
          </w:tcPr>
          <w:p>
            <w:pPr>
              <w:spacing w:after="0"/>
              <w:rPr>
                <w:sz w:val="13"/>
                <w:szCs w:val="13"/>
                <w:color w:val="auto"/>
              </w:rPr>
            </w:pPr>
          </w:p>
        </w:tc>
        <w:tc>
          <w:tcPr>
            <w:tcW w:w="320" w:type="dxa"/>
            <w:vAlign w:val="bottom"/>
            <w:tcBorders>
              <w:right w:val="single" w:sz="8" w:color="DDDDDD"/>
            </w:tcBorders>
            <w:gridSpan w:val="5"/>
          </w:tcPr>
          <w:p>
            <w:pPr>
              <w:jc w:val="right"/>
              <w:ind w:right="243"/>
              <w:spacing w:after="0"/>
              <w:rPr>
                <w:sz w:val="20"/>
                <w:szCs w:val="20"/>
                <w:color w:val="auto"/>
              </w:rPr>
            </w:pPr>
            <w:r>
              <w:rPr>
                <w:rFonts w:ascii="Arial" w:cs="Arial" w:eastAsia="Arial" w:hAnsi="Arial"/>
                <w:sz w:val="17"/>
                <w:szCs w:val="17"/>
                <w:color w:val="FF0000"/>
                <w:strike w:val="1"/>
              </w:rPr>
              <w:t>69</w:t>
            </w:r>
          </w:p>
        </w:tc>
        <w:tc>
          <w:tcPr>
            <w:tcW w:w="160" w:type="dxa"/>
            <w:vAlign w:val="bottom"/>
            <w:tcBorders>
              <w:bottom w:val="single" w:sz="8" w:color="0000FF"/>
              <w:right w:val="single" w:sz="8" w:color="DDDDDD"/>
            </w:tcBorders>
            <w:gridSpan w:val="4"/>
            <w:shd w:val="clear" w:color="auto" w:fill="DDDDDD"/>
          </w:tcPr>
          <w:p>
            <w:pPr>
              <w:jc w:val="right"/>
              <w:spacing w:after="0" w:line="149" w:lineRule="exact"/>
              <w:rPr>
                <w:sz w:val="20"/>
                <w:szCs w:val="20"/>
                <w:color w:val="auto"/>
              </w:rPr>
            </w:pPr>
            <w:r>
              <w:rPr>
                <w:rFonts w:ascii="Arial" w:cs="Arial" w:eastAsia="Arial" w:hAnsi="Arial"/>
                <w:sz w:val="15"/>
                <w:szCs w:val="15"/>
                <w:color w:val="0000FF"/>
                <w:highlight w:val="lightGray"/>
                <w:w w:val="71"/>
              </w:rPr>
              <w:t>83</w:t>
            </w:r>
          </w:p>
        </w:tc>
        <w:tc>
          <w:tcPr>
            <w:tcW w:w="300" w:type="dxa"/>
            <w:vAlign w:val="bottom"/>
            <w:gridSpan w:val="9"/>
          </w:tcPr>
          <w:p>
            <w:pPr>
              <w:spacing w:after="0"/>
              <w:rPr>
                <w:sz w:val="13"/>
                <w:szCs w:val="13"/>
                <w:color w:val="auto"/>
              </w:rPr>
            </w:pPr>
          </w:p>
        </w:tc>
        <w:tc>
          <w:tcPr>
            <w:tcW w:w="180" w:type="dxa"/>
            <w:vAlign w:val="bottom"/>
            <w:tcBorders>
              <w:bottom w:val="single" w:sz="8" w:color="DDDDDD"/>
            </w:tcBorders>
            <w:gridSpan w:val="4"/>
          </w:tcPr>
          <w:p>
            <w:pPr>
              <w:spacing w:after="0"/>
              <w:rPr>
                <w:sz w:val="13"/>
                <w:szCs w:val="13"/>
                <w:color w:val="auto"/>
              </w:rPr>
            </w:pPr>
          </w:p>
        </w:tc>
        <w:tc>
          <w:tcPr>
            <w:tcW w:w="2880" w:type="dxa"/>
            <w:vAlign w:val="bottom"/>
            <w:gridSpan w:val="4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4.17</w:t>
            </w:r>
          </w:p>
        </w:tc>
        <w:tc>
          <w:tcPr>
            <w:tcW w:w="1880" w:type="dxa"/>
            <w:vAlign w:val="bottom"/>
            <w:gridSpan w:val="24"/>
          </w:tcPr>
          <w:p>
            <w:pPr>
              <w:ind w:left="160"/>
              <w:spacing w:after="0" w:line="162" w:lineRule="exact"/>
              <w:rPr>
                <w:sz w:val="20"/>
                <w:szCs w:val="20"/>
                <w:color w:val="auto"/>
              </w:rPr>
            </w:pPr>
            <w:r>
              <w:rPr>
                <w:rFonts w:ascii="Arial" w:cs="Arial" w:eastAsia="Arial" w:hAnsi="Arial"/>
                <w:sz w:val="18"/>
                <w:szCs w:val="18"/>
                <w:color w:val="auto"/>
                <w:w w:val="93"/>
              </w:rPr>
              <w:t>Environmental Matters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6"/>
          </w:tcPr>
          <w:p>
            <w:pPr>
              <w:jc w:val="right"/>
              <w:spacing w:after="0" w:line="162" w:lineRule="exact"/>
              <w:rPr>
                <w:sz w:val="20"/>
                <w:szCs w:val="20"/>
                <w:color w:val="auto"/>
              </w:rPr>
            </w:pPr>
            <w:r>
              <w:rPr>
                <w:rFonts w:ascii="Arial" w:cs="Arial" w:eastAsia="Arial" w:hAnsi="Arial"/>
                <w:sz w:val="18"/>
                <w:szCs w:val="18"/>
                <w:color w:val="FF0000"/>
                <w:strike w:val="1"/>
                <w:w w:val="89"/>
              </w:rPr>
              <w:t>69</w:t>
            </w:r>
          </w:p>
        </w:tc>
        <w:tc>
          <w:tcPr>
            <w:tcW w:w="180" w:type="dxa"/>
            <w:vAlign w:val="bottom"/>
            <w:tcBorders>
              <w:bottom w:val="single" w:sz="8" w:color="0000FF"/>
            </w:tcBorders>
            <w:gridSpan w:val="4"/>
            <w:shd w:val="clear" w:color="auto" w:fill="DDDDDD"/>
          </w:tcPr>
          <w:p>
            <w:pPr>
              <w:spacing w:after="0" w:line="162" w:lineRule="exact"/>
              <w:rPr>
                <w:sz w:val="20"/>
                <w:szCs w:val="20"/>
                <w:color w:val="auto"/>
              </w:rPr>
            </w:pPr>
            <w:r>
              <w:rPr>
                <w:rFonts w:ascii="Arial" w:cs="Arial" w:eastAsia="Arial" w:hAnsi="Arial"/>
                <w:sz w:val="17"/>
                <w:szCs w:val="17"/>
                <w:color w:val="0000FF"/>
                <w:highlight w:val="lightGray"/>
                <w:w w:val="73"/>
              </w:rPr>
              <w:t>83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4"/>
            <w:vMerge w:val="restart"/>
          </w:tcPr>
          <w:p>
            <w:pPr>
              <w:jc w:val="right"/>
              <w:spacing w:after="0"/>
              <w:rPr>
                <w:sz w:val="20"/>
                <w:szCs w:val="20"/>
                <w:color w:val="auto"/>
              </w:rPr>
            </w:pPr>
            <w:r>
              <w:rPr>
                <w:rFonts w:ascii="Arial" w:cs="Arial" w:eastAsia="Arial" w:hAnsi="Arial"/>
                <w:sz w:val="18"/>
                <w:szCs w:val="18"/>
                <w:color w:val="FF0000"/>
                <w:strike w:val="1"/>
                <w:w w:val="99"/>
              </w:rPr>
              <w:t>69</w:t>
            </w:r>
          </w:p>
        </w:tc>
        <w:tc>
          <w:tcPr>
            <w:tcW w:w="2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60" w:type="dxa"/>
            <w:vAlign w:val="bottom"/>
            <w:tcBorders>
              <w:bottom w:val="single" w:sz="8" w:color="DDDDDD"/>
            </w:tcBorders>
          </w:tcPr>
          <w:p>
            <w:pPr>
              <w:spacing w:after="0"/>
              <w:rPr>
                <w:sz w:val="14"/>
                <w:szCs w:val="14"/>
                <w:color w:val="auto"/>
              </w:rPr>
            </w:pPr>
          </w:p>
        </w:tc>
        <w:tc>
          <w:tcPr>
            <w:tcW w:w="4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40" w:type="dxa"/>
            <w:vAlign w:val="bottom"/>
            <w:gridSpan w:val="38"/>
          </w:tcPr>
          <w:p>
            <w:pPr>
              <w:ind w:left="200"/>
              <w:spacing w:after="0" w:line="162" w:lineRule="exact"/>
              <w:rPr>
                <w:sz w:val="20"/>
                <w:szCs w:val="20"/>
                <w:color w:val="auto"/>
              </w:rPr>
            </w:pPr>
            <w:r>
              <w:rPr>
                <w:rFonts w:ascii="Arial" w:cs="Arial" w:eastAsia="Arial" w:hAnsi="Arial"/>
                <w:sz w:val="18"/>
                <w:szCs w:val="18"/>
                <w:color w:val="auto"/>
                <w:w w:val="96"/>
              </w:rPr>
              <w:t>4.18   Accuracy of Information, Etc.</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4"/>
            <w:vMerge w:val="continue"/>
          </w:tcPr>
          <w:p>
            <w:pPr>
              <w:spacing w:after="0"/>
              <w:rPr>
                <w:sz w:val="14"/>
                <w:szCs w:val="14"/>
                <w:color w:val="auto"/>
              </w:rPr>
            </w:pPr>
          </w:p>
        </w:tc>
        <w:tc>
          <w:tcPr>
            <w:tcW w:w="180" w:type="dxa"/>
            <w:vAlign w:val="bottom"/>
            <w:tcBorders>
              <w:bottom w:val="single" w:sz="8" w:color="0000FF"/>
            </w:tcBorders>
            <w:gridSpan w:val="6"/>
            <w:shd w:val="clear" w:color="auto" w:fill="DDDDDD"/>
          </w:tcPr>
          <w:p>
            <w:pPr>
              <w:jc w:val="right"/>
              <w:spacing w:after="0" w:line="162" w:lineRule="exact"/>
              <w:rPr>
                <w:sz w:val="20"/>
                <w:szCs w:val="20"/>
                <w:color w:val="auto"/>
              </w:rPr>
            </w:pPr>
            <w:r>
              <w:rPr>
                <w:rFonts w:ascii="Arial" w:cs="Arial" w:eastAsia="Arial" w:hAnsi="Arial"/>
                <w:sz w:val="18"/>
                <w:szCs w:val="18"/>
                <w:color w:val="0000FF"/>
                <w:highlight w:val="lightGray"/>
                <w:w w:val="79"/>
              </w:rPr>
              <w:t>84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4.19</w:t>
            </w:r>
          </w:p>
        </w:tc>
        <w:tc>
          <w:tcPr>
            <w:tcW w:w="2680" w:type="dxa"/>
            <w:vAlign w:val="bottom"/>
            <w:gridSpan w:val="43"/>
          </w:tcPr>
          <w:p>
            <w:pPr>
              <w:ind w:left="160"/>
              <w:spacing w:after="0" w:line="162" w:lineRule="exact"/>
              <w:rPr>
                <w:sz w:val="20"/>
                <w:szCs w:val="20"/>
                <w:color w:val="auto"/>
              </w:rPr>
            </w:pPr>
            <w:r>
              <w:rPr>
                <w:rFonts w:ascii="Arial" w:cs="Arial" w:eastAsia="Arial" w:hAnsi="Arial"/>
                <w:sz w:val="18"/>
                <w:szCs w:val="18"/>
                <w:color w:val="auto"/>
                <w:w w:val="87"/>
              </w:rPr>
              <w:t>Anti-Corruption Laws and Sanctions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right w:val="single" w:sz="8" w:color="DDDDDD"/>
            </w:tcBorders>
            <w:gridSpan w:val="5"/>
          </w:tcPr>
          <w:p>
            <w:pPr>
              <w:jc w:val="right"/>
              <w:spacing w:after="0" w:line="162" w:lineRule="exact"/>
              <w:rPr>
                <w:sz w:val="20"/>
                <w:szCs w:val="20"/>
                <w:color w:val="auto"/>
              </w:rPr>
            </w:pPr>
            <w:r>
              <w:rPr>
                <w:rFonts w:ascii="Arial" w:cs="Arial" w:eastAsia="Arial" w:hAnsi="Arial"/>
                <w:sz w:val="18"/>
                <w:szCs w:val="18"/>
                <w:color w:val="FF0000"/>
                <w:strike w:val="1"/>
                <w:w w:val="79"/>
              </w:rPr>
              <w:t>70</w:t>
            </w:r>
          </w:p>
        </w:tc>
        <w:tc>
          <w:tcPr>
            <w:tcW w:w="100" w:type="dxa"/>
            <w:vAlign w:val="bottom"/>
            <w:gridSpan w:val="3"/>
            <w:shd w:val="clear" w:color="auto" w:fill="DDDDDD"/>
          </w:tcPr>
          <w:p>
            <w:pPr>
              <w:jc w:val="right"/>
              <w:spacing w:after="0" w:line="162" w:lineRule="exact"/>
              <w:rPr>
                <w:sz w:val="20"/>
                <w:szCs w:val="20"/>
                <w:color w:val="auto"/>
              </w:rPr>
            </w:pPr>
            <w:r>
              <w:rPr>
                <w:rFonts w:ascii="Arial" w:cs="Arial" w:eastAsia="Arial" w:hAnsi="Arial"/>
                <w:sz w:val="17"/>
                <w:szCs w:val="17"/>
                <w:color w:val="0000FF"/>
                <w:highlight w:val="lightGray"/>
                <w:w w:val="73"/>
              </w:rPr>
              <w:t>84</w:t>
            </w:r>
          </w:p>
        </w:tc>
        <w:tc>
          <w:tcPr>
            <w:tcW w:w="140" w:type="dxa"/>
            <w:vAlign w:val="bottom"/>
            <w:tcBorders>
              <w:left w:val="single" w:sz="8" w:color="DDDDDD"/>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4.20</w:t>
            </w:r>
          </w:p>
        </w:tc>
        <w:tc>
          <w:tcPr>
            <w:tcW w:w="980" w:type="dxa"/>
            <w:vAlign w:val="bottom"/>
            <w:gridSpan w:val="5"/>
          </w:tcPr>
          <w:p>
            <w:pPr>
              <w:ind w:left="160"/>
              <w:spacing w:after="0" w:line="162" w:lineRule="exact"/>
              <w:rPr>
                <w:sz w:val="20"/>
                <w:szCs w:val="20"/>
                <w:color w:val="auto"/>
              </w:rPr>
            </w:pPr>
            <w:r>
              <w:rPr>
                <w:rFonts w:ascii="Arial" w:cs="Arial" w:eastAsia="Arial" w:hAnsi="Arial"/>
                <w:sz w:val="18"/>
                <w:szCs w:val="18"/>
                <w:color w:val="auto"/>
                <w:w w:val="90"/>
              </w:rPr>
              <w:t>Solvency</w:t>
            </w:r>
          </w:p>
        </w:tc>
        <w:tc>
          <w:tcPr>
            <w:tcW w:w="220" w:type="dxa"/>
            <w:vAlign w:val="bottom"/>
            <w:tcBorders>
              <w:right w:val="single" w:sz="8" w:color="DDDDDD"/>
            </w:tcBorders>
            <w:gridSpan w:val="6"/>
          </w:tcPr>
          <w:p>
            <w:pPr>
              <w:jc w:val="right"/>
              <w:spacing w:after="0" w:line="162" w:lineRule="exact"/>
              <w:rPr>
                <w:sz w:val="20"/>
                <w:szCs w:val="20"/>
                <w:color w:val="auto"/>
              </w:rPr>
            </w:pPr>
            <w:r>
              <w:rPr>
                <w:rFonts w:ascii="Arial" w:cs="Arial" w:eastAsia="Arial" w:hAnsi="Arial"/>
                <w:sz w:val="18"/>
                <w:szCs w:val="18"/>
                <w:color w:val="FF0000"/>
                <w:strike w:val="1"/>
                <w:w w:val="89"/>
              </w:rPr>
              <w:t>70</w:t>
            </w:r>
          </w:p>
        </w:tc>
        <w:tc>
          <w:tcPr>
            <w:tcW w:w="200" w:type="dxa"/>
            <w:vAlign w:val="bottom"/>
            <w:tcBorders>
              <w:top w:val="single" w:sz="8" w:color="DDDDDD"/>
              <w:left w:val="single" w:sz="8" w:color="DDDDDD"/>
              <w:right w:val="single" w:sz="8" w:color="DDDDDD"/>
            </w:tcBorders>
            <w:gridSpan w:val="4"/>
            <w:shd w:val="clear" w:color="auto" w:fill="DDDDDD"/>
          </w:tcPr>
          <w:p>
            <w:pPr>
              <w:jc w:val="right"/>
              <w:spacing w:after="0" w:line="162" w:lineRule="exact"/>
              <w:rPr>
                <w:sz w:val="20"/>
                <w:szCs w:val="20"/>
                <w:color w:val="auto"/>
              </w:rPr>
            </w:pPr>
            <w:r>
              <w:rPr>
                <w:rFonts w:ascii="Arial" w:cs="Arial" w:eastAsia="Arial" w:hAnsi="Arial"/>
                <w:sz w:val="17"/>
                <w:szCs w:val="17"/>
                <w:color w:val="0000FF"/>
                <w:highlight w:val="lightGray"/>
                <w:w w:val="73"/>
              </w:rPr>
              <w:t>84</w:t>
            </w:r>
          </w:p>
        </w:tc>
        <w:tc>
          <w:tcPr>
            <w:tcW w:w="1800" w:type="dxa"/>
            <w:vAlign w:val="bottom"/>
            <w:gridSpan w:val="43"/>
          </w:tcPr>
          <w:p>
            <w:pPr>
              <w:spacing w:after="0"/>
              <w:rPr>
                <w:sz w:val="14"/>
                <w:szCs w:val="14"/>
                <w:color w:val="auto"/>
              </w:rPr>
            </w:pPr>
          </w:p>
        </w:tc>
        <w:tc>
          <w:tcPr>
            <w:tcW w:w="100" w:type="dxa"/>
            <w:vAlign w:val="bottom"/>
            <w:tcBorders>
              <w:top w:val="single" w:sz="8" w:color="0000FF"/>
            </w:tcBorders>
            <w:gridSpan w:val="3"/>
          </w:tcPr>
          <w:p>
            <w:pPr>
              <w:spacing w:after="0"/>
              <w:rPr>
                <w:sz w:val="14"/>
                <w:szCs w:val="14"/>
                <w:color w:val="auto"/>
              </w:rPr>
            </w:pPr>
          </w:p>
        </w:tc>
        <w:tc>
          <w:tcPr>
            <w:tcW w:w="1940" w:type="dxa"/>
            <w:vAlign w:val="bottom"/>
            <w:gridSpan w:val="21"/>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ind w:left="200"/>
              <w:spacing w:after="0" w:line="189" w:lineRule="exact"/>
              <w:rPr>
                <w:sz w:val="20"/>
                <w:szCs w:val="20"/>
                <w:color w:val="auto"/>
              </w:rPr>
            </w:pPr>
            <w:r>
              <w:rPr>
                <w:rFonts w:ascii="Arial" w:cs="Arial" w:eastAsia="Arial" w:hAnsi="Arial"/>
                <w:sz w:val="18"/>
                <w:szCs w:val="18"/>
                <w:color w:val="auto"/>
              </w:rPr>
              <w:t>4.21</w:t>
            </w:r>
          </w:p>
        </w:tc>
        <w:tc>
          <w:tcPr>
            <w:tcW w:w="1200" w:type="dxa"/>
            <w:vAlign w:val="bottom"/>
            <w:tcBorders>
              <w:right w:val="single" w:sz="8" w:color="0000FF"/>
            </w:tcBorders>
            <w:gridSpan w:val="11"/>
          </w:tcPr>
          <w:p>
            <w:pPr>
              <w:spacing w:after="0"/>
              <w:rPr>
                <w:sz w:val="2"/>
                <w:szCs w:val="2"/>
                <w:color w:val="auto"/>
              </w:rPr>
            </w:pPr>
          </w:p>
        </w:tc>
        <w:tc>
          <w:tcPr>
            <w:tcW w:w="120" w:type="dxa"/>
            <w:vAlign w:val="bottom"/>
            <w:tcBorders>
              <w:left w:val="single" w:sz="8" w:color="0000FF"/>
            </w:tcBorders>
            <w:gridSpan w:val="3"/>
            <w:shd w:val="clear" w:color="auto" w:fill="0000FF"/>
          </w:tcPr>
          <w:p>
            <w:pPr>
              <w:spacing w:after="0"/>
              <w:rPr>
                <w:sz w:val="2"/>
                <w:szCs w:val="2"/>
                <w:color w:val="auto"/>
              </w:rPr>
            </w:pPr>
          </w:p>
        </w:tc>
        <w:tc>
          <w:tcPr>
            <w:tcW w:w="80" w:type="dxa"/>
            <w:vAlign w:val="bottom"/>
            <w:tcBorders>
              <w:left w:val="single" w:sz="8" w:color="0000FF"/>
              <w:right w:val="single" w:sz="8" w:color="DDDDDD"/>
            </w:tcBorders>
            <w:shd w:val="clear" w:color="auto" w:fill="DDDDDD"/>
          </w:tcPr>
          <w:p>
            <w:pPr>
              <w:spacing w:after="0"/>
              <w:rPr>
                <w:sz w:val="2"/>
                <w:szCs w:val="2"/>
                <w:color w:val="auto"/>
              </w:rPr>
            </w:pPr>
          </w:p>
        </w:tc>
        <w:tc>
          <w:tcPr>
            <w:tcW w:w="500" w:type="dxa"/>
            <w:vAlign w:val="bottom"/>
            <w:gridSpan w:val="10"/>
          </w:tcPr>
          <w:p>
            <w:pPr>
              <w:spacing w:after="0"/>
              <w:rPr>
                <w:sz w:val="2"/>
                <w:szCs w:val="2"/>
                <w:color w:val="auto"/>
              </w:rPr>
            </w:pPr>
          </w:p>
        </w:tc>
        <w:tc>
          <w:tcPr>
            <w:tcW w:w="200" w:type="dxa"/>
            <w:vAlign w:val="bottom"/>
            <w:gridSpan w:val="5"/>
            <w:vMerge w:val="restart"/>
          </w:tcPr>
          <w:p>
            <w:pPr>
              <w:jc w:val="right"/>
              <w:spacing w:after="0" w:line="189" w:lineRule="exact"/>
              <w:rPr>
                <w:sz w:val="20"/>
                <w:szCs w:val="20"/>
                <w:color w:val="auto"/>
              </w:rPr>
            </w:pPr>
            <w:r>
              <w:rPr>
                <w:rFonts w:ascii="Arial" w:cs="Arial" w:eastAsia="Arial" w:hAnsi="Arial"/>
                <w:sz w:val="18"/>
                <w:szCs w:val="18"/>
                <w:color w:val="FF0000"/>
                <w:strike w:val="1"/>
                <w:w w:val="79"/>
              </w:rPr>
              <w:t>70</w:t>
            </w:r>
          </w:p>
        </w:tc>
        <w:tc>
          <w:tcPr>
            <w:tcW w:w="180" w:type="dxa"/>
            <w:vAlign w:val="bottom"/>
            <w:tcBorders>
              <w:left w:val="single" w:sz="8" w:color="DDDDDD"/>
            </w:tcBorders>
            <w:gridSpan w:val="6"/>
            <w:vMerge w:val="restart"/>
            <w:shd w:val="clear" w:color="auto" w:fill="DDDDDD"/>
          </w:tcPr>
          <w:p>
            <w:pPr>
              <w:jc w:val="right"/>
              <w:spacing w:after="0" w:line="189" w:lineRule="exact"/>
              <w:rPr>
                <w:sz w:val="20"/>
                <w:szCs w:val="20"/>
                <w:color w:val="auto"/>
              </w:rPr>
            </w:pPr>
            <w:r>
              <w:rPr>
                <w:rFonts w:ascii="Arial" w:cs="Arial" w:eastAsia="Arial" w:hAnsi="Arial"/>
                <w:sz w:val="18"/>
                <w:szCs w:val="18"/>
                <w:color w:val="0000FF"/>
                <w:highlight w:val="lightGray"/>
                <w:w w:val="79"/>
              </w:rPr>
              <w:t>84</w:t>
            </w:r>
          </w:p>
        </w:tc>
        <w:tc>
          <w:tcPr>
            <w:tcW w:w="80" w:type="dxa"/>
            <w:vAlign w:val="bottom"/>
            <w:vMerge w:val="restart"/>
          </w:tcPr>
          <w:p>
            <w:pPr>
              <w:spacing w:after="0"/>
              <w:rPr>
                <w:sz w:val="2"/>
                <w:szCs w:val="2"/>
                <w:color w:val="auto"/>
              </w:rPr>
            </w:pPr>
          </w:p>
        </w:tc>
        <w:tc>
          <w:tcPr>
            <w:tcW w:w="2880" w:type="dxa"/>
            <w:vAlign w:val="bottom"/>
            <w:gridSpan w:val="4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80" w:type="dxa"/>
            <w:vAlign w:val="bottom"/>
            <w:vMerge w:val="continue"/>
          </w:tcPr>
          <w:p>
            <w:pPr>
              <w:spacing w:after="0"/>
              <w:rPr>
                <w:sz w:val="14"/>
                <w:szCs w:val="14"/>
                <w:color w:val="auto"/>
              </w:rPr>
            </w:pPr>
          </w:p>
        </w:tc>
        <w:tc>
          <w:tcPr>
            <w:tcW w:w="1900" w:type="dxa"/>
            <w:vAlign w:val="bottom"/>
            <w:gridSpan w:val="25"/>
          </w:tcPr>
          <w:p>
            <w:pPr>
              <w:ind w:left="160"/>
              <w:spacing w:after="0" w:line="162" w:lineRule="exact"/>
              <w:rPr>
                <w:sz w:val="20"/>
                <w:szCs w:val="20"/>
                <w:color w:val="auto"/>
              </w:rPr>
            </w:pPr>
            <w:r>
              <w:rPr>
                <w:rFonts w:ascii="Arial" w:cs="Arial" w:eastAsia="Arial" w:hAnsi="Arial"/>
                <w:sz w:val="18"/>
                <w:szCs w:val="18"/>
                <w:color w:val="auto"/>
              </w:rPr>
              <w:t>Beneficial Ownership</w:t>
            </w:r>
          </w:p>
        </w:tc>
        <w:tc>
          <w:tcPr>
            <w:tcW w:w="200" w:type="dxa"/>
            <w:vAlign w:val="bottom"/>
            <w:gridSpan w:val="5"/>
            <w:vMerge w:val="continue"/>
          </w:tcPr>
          <w:p>
            <w:pPr>
              <w:spacing w:after="0"/>
              <w:rPr>
                <w:sz w:val="14"/>
                <w:szCs w:val="14"/>
                <w:color w:val="auto"/>
              </w:rPr>
            </w:pPr>
          </w:p>
        </w:tc>
        <w:tc>
          <w:tcPr>
            <w:tcW w:w="180" w:type="dxa"/>
            <w:vAlign w:val="bottom"/>
            <w:tcBorders>
              <w:left w:val="single" w:sz="8" w:color="DDDDDD"/>
            </w:tcBorders>
            <w:gridSpan w:val="6"/>
            <w:vMerge w:val="continue"/>
            <w:shd w:val="clear" w:color="auto" w:fill="DDDDDD"/>
          </w:tcPr>
          <w:p>
            <w:pPr>
              <w:spacing w:after="0"/>
              <w:rPr>
                <w:sz w:val="14"/>
                <w:szCs w:val="14"/>
                <w:color w:val="auto"/>
              </w:rPr>
            </w:pPr>
          </w:p>
        </w:tc>
        <w:tc>
          <w:tcPr>
            <w:tcW w:w="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4.22</w:t>
            </w:r>
          </w:p>
        </w:tc>
        <w:tc>
          <w:tcPr>
            <w:tcW w:w="1400" w:type="dxa"/>
            <w:vAlign w:val="bottom"/>
            <w:gridSpan w:val="15"/>
          </w:tcPr>
          <w:p>
            <w:pPr>
              <w:ind w:left="160"/>
              <w:spacing w:after="0" w:line="162" w:lineRule="exact"/>
              <w:rPr>
                <w:sz w:val="20"/>
                <w:szCs w:val="20"/>
                <w:color w:val="auto"/>
              </w:rPr>
            </w:pPr>
            <w:r>
              <w:rPr>
                <w:rFonts w:ascii="Arial" w:cs="Arial" w:eastAsia="Arial" w:hAnsi="Arial"/>
                <w:sz w:val="18"/>
                <w:szCs w:val="18"/>
                <w:color w:val="auto"/>
                <w:w w:val="89"/>
              </w:rPr>
              <w:t>Status of VICI</w:t>
            </w:r>
          </w:p>
        </w:tc>
        <w:tc>
          <w:tcPr>
            <w:tcW w:w="200" w:type="dxa"/>
            <w:vAlign w:val="bottom"/>
            <w:tcBorders>
              <w:right w:val="single" w:sz="8" w:color="DDDDDD"/>
            </w:tcBorders>
            <w:gridSpan w:val="4"/>
          </w:tcPr>
          <w:p>
            <w:pPr>
              <w:jc w:val="right"/>
              <w:spacing w:after="0" w:line="162" w:lineRule="exact"/>
              <w:rPr>
                <w:sz w:val="20"/>
                <w:szCs w:val="20"/>
                <w:color w:val="auto"/>
              </w:rPr>
            </w:pPr>
            <w:r>
              <w:rPr>
                <w:rFonts w:ascii="Arial" w:cs="Arial" w:eastAsia="Arial" w:hAnsi="Arial"/>
                <w:sz w:val="17"/>
                <w:szCs w:val="17"/>
                <w:color w:val="FF0000"/>
                <w:strike w:val="1"/>
                <w:w w:val="73"/>
              </w:rPr>
              <w:t>70</w:t>
            </w:r>
          </w:p>
        </w:tc>
        <w:tc>
          <w:tcPr>
            <w:tcW w:w="160" w:type="dxa"/>
            <w:vAlign w:val="bottom"/>
            <w:tcBorders>
              <w:top w:val="single" w:sz="8" w:color="DDDDDD"/>
              <w:bottom w:val="single" w:sz="8" w:color="0000FF"/>
              <w:right w:val="single" w:sz="8" w:color="DDDDDD"/>
            </w:tcBorders>
            <w:gridSpan w:val="2"/>
            <w:shd w:val="clear" w:color="auto" w:fill="DDDDDD"/>
          </w:tcPr>
          <w:p>
            <w:pPr>
              <w:jc w:val="right"/>
              <w:spacing w:after="0" w:line="162" w:lineRule="exact"/>
              <w:rPr>
                <w:sz w:val="20"/>
                <w:szCs w:val="20"/>
                <w:color w:val="auto"/>
              </w:rPr>
            </w:pPr>
            <w:r>
              <w:rPr>
                <w:rFonts w:ascii="Arial" w:cs="Arial" w:eastAsia="Arial" w:hAnsi="Arial"/>
                <w:sz w:val="15"/>
                <w:szCs w:val="15"/>
                <w:color w:val="0000FF"/>
                <w:highlight w:val="lightGray"/>
                <w:w w:val="71"/>
              </w:rPr>
              <w:t>84</w:t>
            </w:r>
          </w:p>
        </w:tc>
        <w:tc>
          <w:tcPr>
            <w:tcW w:w="340" w:type="dxa"/>
            <w:vAlign w:val="bottom"/>
            <w:gridSpan w:val="9"/>
          </w:tcPr>
          <w:p>
            <w:pPr>
              <w:spacing w:after="0"/>
              <w:rPr>
                <w:sz w:val="15"/>
                <w:szCs w:val="15"/>
                <w:color w:val="auto"/>
              </w:rPr>
            </w:pPr>
          </w:p>
        </w:tc>
        <w:tc>
          <w:tcPr>
            <w:tcW w:w="180" w:type="dxa"/>
            <w:vAlign w:val="bottom"/>
            <w:tcBorders>
              <w:top w:val="single" w:sz="8" w:color="0000FF"/>
            </w:tcBorders>
            <w:gridSpan w:val="6"/>
          </w:tcPr>
          <w:p>
            <w:pPr>
              <w:spacing w:after="0"/>
              <w:rPr>
                <w:sz w:val="15"/>
                <w:szCs w:val="15"/>
                <w:color w:val="auto"/>
              </w:rPr>
            </w:pPr>
          </w:p>
        </w:tc>
        <w:tc>
          <w:tcPr>
            <w:tcW w:w="2960" w:type="dxa"/>
            <w:vAlign w:val="bottom"/>
            <w:gridSpan w:val="46"/>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ind w:left="200"/>
              <w:spacing w:after="0" w:line="149" w:lineRule="exact"/>
              <w:rPr>
                <w:sz w:val="20"/>
                <w:szCs w:val="20"/>
                <w:color w:val="auto"/>
              </w:rPr>
            </w:pPr>
            <w:r>
              <w:rPr>
                <w:rFonts w:ascii="Arial" w:cs="Arial" w:eastAsia="Arial" w:hAnsi="Arial"/>
                <w:sz w:val="17"/>
                <w:szCs w:val="17"/>
                <w:color w:val="auto"/>
              </w:rPr>
              <w:t>4.23</w:t>
            </w:r>
          </w:p>
        </w:tc>
        <w:tc>
          <w:tcPr>
            <w:tcW w:w="1040" w:type="dxa"/>
            <w:vAlign w:val="bottom"/>
            <w:gridSpan w:val="7"/>
          </w:tcPr>
          <w:p>
            <w:pPr>
              <w:ind w:left="160"/>
              <w:spacing w:after="0" w:line="149" w:lineRule="exact"/>
              <w:rPr>
                <w:sz w:val="20"/>
                <w:szCs w:val="20"/>
                <w:color w:val="auto"/>
              </w:rPr>
            </w:pPr>
            <w:r>
              <w:rPr>
                <w:rFonts w:ascii="Arial" w:cs="Arial" w:eastAsia="Arial" w:hAnsi="Arial"/>
                <w:sz w:val="17"/>
                <w:szCs w:val="17"/>
                <w:color w:val="auto"/>
              </w:rPr>
              <w:t>Properties</w:t>
            </w:r>
          </w:p>
        </w:tc>
        <w:tc>
          <w:tcPr>
            <w:tcW w:w="200" w:type="dxa"/>
            <w:vAlign w:val="bottom"/>
            <w:gridSpan w:val="5"/>
          </w:tcPr>
          <w:p>
            <w:pPr>
              <w:ind w:left="20"/>
              <w:spacing w:after="0" w:line="149" w:lineRule="exact"/>
              <w:rPr>
                <w:sz w:val="20"/>
                <w:szCs w:val="20"/>
                <w:color w:val="auto"/>
              </w:rPr>
            </w:pPr>
            <w:r>
              <w:rPr>
                <w:rFonts w:ascii="Arial" w:cs="Arial" w:eastAsia="Arial" w:hAnsi="Arial"/>
                <w:sz w:val="17"/>
                <w:szCs w:val="17"/>
                <w:color w:val="FF0000"/>
                <w:strike w:val="1"/>
                <w:w w:val="84"/>
              </w:rPr>
              <w:t>70</w:t>
            </w:r>
          </w:p>
        </w:tc>
        <w:tc>
          <w:tcPr>
            <w:tcW w:w="20" w:type="dxa"/>
            <w:vAlign w:val="bottom"/>
            <w:tcBorders>
              <w:bottom w:val="single" w:sz="8" w:color="0000FF"/>
            </w:tcBorders>
          </w:tcPr>
          <w:p>
            <w:pPr>
              <w:spacing w:after="0"/>
              <w:rPr>
                <w:sz w:val="13"/>
                <w:szCs w:val="13"/>
                <w:color w:val="auto"/>
              </w:rPr>
            </w:pPr>
          </w:p>
        </w:tc>
        <w:tc>
          <w:tcPr>
            <w:tcW w:w="160" w:type="dxa"/>
            <w:vAlign w:val="bottom"/>
            <w:tcBorders>
              <w:top w:val="single" w:sz="8" w:color="DDDDDD"/>
              <w:bottom w:val="single" w:sz="8" w:color="0000FF"/>
            </w:tcBorders>
            <w:gridSpan w:val="3"/>
            <w:shd w:val="clear" w:color="auto" w:fill="DDDDDD"/>
          </w:tcPr>
          <w:p>
            <w:pPr>
              <w:spacing w:after="0" w:line="149" w:lineRule="exact"/>
              <w:rPr>
                <w:sz w:val="20"/>
                <w:szCs w:val="20"/>
                <w:color w:val="auto"/>
              </w:rPr>
            </w:pPr>
            <w:r>
              <w:rPr>
                <w:rFonts w:ascii="Arial" w:cs="Arial" w:eastAsia="Arial" w:hAnsi="Arial"/>
                <w:sz w:val="15"/>
                <w:szCs w:val="15"/>
                <w:color w:val="0000FF"/>
                <w:highlight w:val="lightGray"/>
                <w:w w:val="71"/>
              </w:rPr>
              <w:t>84</w:t>
            </w:r>
          </w:p>
        </w:tc>
        <w:tc>
          <w:tcPr>
            <w:tcW w:w="180" w:type="dxa"/>
            <w:vAlign w:val="bottom"/>
            <w:tcBorders>
              <w:left w:val="single" w:sz="8" w:color="DDDDDD"/>
            </w:tcBorders>
            <w:gridSpan w:val="3"/>
          </w:tcPr>
          <w:p>
            <w:pPr>
              <w:spacing w:after="0"/>
              <w:rPr>
                <w:sz w:val="13"/>
                <w:szCs w:val="13"/>
                <w:color w:val="auto"/>
              </w:rPr>
            </w:pPr>
          </w:p>
        </w:tc>
        <w:tc>
          <w:tcPr>
            <w:tcW w:w="160" w:type="dxa"/>
            <w:vAlign w:val="bottom"/>
            <w:tcBorders>
              <w:top w:val="single" w:sz="8" w:color="DDDDDD"/>
            </w:tcBorders>
            <w:gridSpan w:val="2"/>
          </w:tcPr>
          <w:p>
            <w:pPr>
              <w:spacing w:after="0"/>
              <w:rPr>
                <w:sz w:val="13"/>
                <w:szCs w:val="13"/>
                <w:color w:val="auto"/>
              </w:rPr>
            </w:pPr>
          </w:p>
        </w:tc>
        <w:tc>
          <w:tcPr>
            <w:tcW w:w="940" w:type="dxa"/>
            <w:vAlign w:val="bottom"/>
            <w:gridSpan w:val="23"/>
          </w:tcPr>
          <w:p>
            <w:pPr>
              <w:spacing w:after="0"/>
              <w:rPr>
                <w:sz w:val="13"/>
                <w:szCs w:val="13"/>
                <w:color w:val="auto"/>
              </w:rPr>
            </w:pPr>
          </w:p>
        </w:tc>
        <w:tc>
          <w:tcPr>
            <w:tcW w:w="200" w:type="dxa"/>
            <w:vAlign w:val="bottom"/>
            <w:tcBorders>
              <w:bottom w:val="single" w:sz="8" w:color="DDDDDD"/>
            </w:tcBorders>
            <w:gridSpan w:val="6"/>
          </w:tcPr>
          <w:p>
            <w:pPr>
              <w:spacing w:after="0"/>
              <w:rPr>
                <w:sz w:val="13"/>
                <w:szCs w:val="13"/>
                <w:color w:val="auto"/>
              </w:rPr>
            </w:pPr>
          </w:p>
        </w:tc>
        <w:tc>
          <w:tcPr>
            <w:tcW w:w="2340" w:type="dxa"/>
            <w:vAlign w:val="bottom"/>
            <w:gridSpan w:val="3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4.24</w:t>
            </w:r>
          </w:p>
        </w:tc>
        <w:tc>
          <w:tcPr>
            <w:tcW w:w="1420" w:type="dxa"/>
            <w:vAlign w:val="bottom"/>
            <w:gridSpan w:val="16"/>
          </w:tcPr>
          <w:p>
            <w:pPr>
              <w:ind w:left="160"/>
              <w:spacing w:after="0" w:line="162" w:lineRule="exact"/>
              <w:rPr>
                <w:sz w:val="20"/>
                <w:szCs w:val="20"/>
                <w:color w:val="auto"/>
              </w:rPr>
            </w:pPr>
            <w:r>
              <w:rPr>
                <w:rFonts w:ascii="Arial" w:cs="Arial" w:eastAsia="Arial" w:hAnsi="Arial"/>
                <w:sz w:val="18"/>
                <w:szCs w:val="18"/>
                <w:color w:val="auto"/>
                <w:w w:val="85"/>
              </w:rPr>
              <w:t>Affected Financial</w:t>
            </w:r>
          </w:p>
        </w:tc>
        <w:tc>
          <w:tcPr>
            <w:tcW w:w="940" w:type="dxa"/>
            <w:vAlign w:val="bottom"/>
            <w:gridSpan w:val="21"/>
          </w:tcPr>
          <w:p>
            <w:pPr>
              <w:ind w:left="120"/>
              <w:spacing w:after="0" w:line="162" w:lineRule="exact"/>
              <w:rPr>
                <w:sz w:val="20"/>
                <w:szCs w:val="20"/>
                <w:color w:val="auto"/>
              </w:rPr>
            </w:pPr>
            <w:r>
              <w:rPr>
                <w:rFonts w:ascii="Arial" w:cs="Arial" w:eastAsia="Arial" w:hAnsi="Arial"/>
                <w:sz w:val="18"/>
                <w:szCs w:val="18"/>
                <w:color w:val="auto"/>
                <w:w w:val="90"/>
              </w:rPr>
              <w:t>Institutions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gridSpan w:val="5"/>
          </w:tcPr>
          <w:p>
            <w:pPr>
              <w:jc w:val="right"/>
              <w:spacing w:after="0" w:line="162" w:lineRule="exact"/>
              <w:rPr>
                <w:sz w:val="20"/>
                <w:szCs w:val="20"/>
                <w:color w:val="auto"/>
              </w:rPr>
            </w:pPr>
            <w:r>
              <w:rPr>
                <w:rFonts w:ascii="Arial" w:cs="Arial" w:eastAsia="Arial" w:hAnsi="Arial"/>
                <w:sz w:val="18"/>
                <w:szCs w:val="18"/>
                <w:color w:val="FF0000"/>
                <w:strike w:val="1"/>
              </w:rPr>
              <w:t>70</w:t>
            </w:r>
          </w:p>
        </w:tc>
        <w:tc>
          <w:tcPr>
            <w:tcW w:w="200" w:type="dxa"/>
            <w:vAlign w:val="bottom"/>
            <w:gridSpan w:val="6"/>
            <w:shd w:val="clear" w:color="auto" w:fill="DDDDDD"/>
          </w:tcPr>
          <w:p>
            <w:pPr>
              <w:jc w:val="right"/>
              <w:spacing w:after="0" w:line="162" w:lineRule="exact"/>
              <w:rPr>
                <w:sz w:val="20"/>
                <w:szCs w:val="20"/>
                <w:color w:val="auto"/>
              </w:rPr>
            </w:pPr>
            <w:r>
              <w:rPr>
                <w:rFonts w:ascii="Arial" w:cs="Arial" w:eastAsia="Arial" w:hAnsi="Arial"/>
                <w:sz w:val="18"/>
                <w:szCs w:val="18"/>
                <w:color w:val="0000FF"/>
                <w:highlight w:val="lightGray"/>
                <w:w w:val="89"/>
              </w:rPr>
              <w:t>84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4.25</w:t>
            </w:r>
          </w:p>
        </w:tc>
        <w:tc>
          <w:tcPr>
            <w:tcW w:w="2700" w:type="dxa"/>
            <w:vAlign w:val="bottom"/>
            <w:gridSpan w:val="44"/>
          </w:tcPr>
          <w:p>
            <w:pPr>
              <w:ind w:left="160"/>
              <w:spacing w:after="0" w:line="162" w:lineRule="exact"/>
              <w:rPr>
                <w:sz w:val="20"/>
                <w:szCs w:val="20"/>
                <w:color w:val="auto"/>
              </w:rPr>
            </w:pPr>
            <w:r>
              <w:rPr>
                <w:rFonts w:ascii="Arial" w:cs="Arial" w:eastAsia="Arial" w:hAnsi="Arial"/>
                <w:sz w:val="18"/>
                <w:szCs w:val="18"/>
                <w:color w:val="auto"/>
                <w:w w:val="85"/>
              </w:rPr>
              <w:t>Plan Assets; Prohibited Transactions</w:t>
            </w:r>
          </w:p>
        </w:tc>
        <w:tc>
          <w:tcPr>
            <w:tcW w:w="20" w:type="dxa"/>
            <w:vAlign w:val="bottom"/>
            <w:tcBorders>
              <w:top w:val="single" w:sz="8" w:color="DDDDDD"/>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4"/>
          </w:tcPr>
          <w:p>
            <w:pPr>
              <w:jc w:val="right"/>
              <w:spacing w:after="0" w:line="162" w:lineRule="exact"/>
              <w:rPr>
                <w:sz w:val="20"/>
                <w:szCs w:val="20"/>
                <w:color w:val="auto"/>
              </w:rPr>
            </w:pPr>
            <w:r>
              <w:rPr>
                <w:rFonts w:ascii="Arial" w:cs="Arial" w:eastAsia="Arial" w:hAnsi="Arial"/>
                <w:sz w:val="18"/>
                <w:szCs w:val="18"/>
                <w:color w:val="FF0000"/>
                <w:strike w:val="1"/>
                <w:w w:val="79"/>
              </w:rPr>
              <w:t>70</w:t>
            </w:r>
          </w:p>
        </w:tc>
        <w:tc>
          <w:tcPr>
            <w:tcW w:w="140" w:type="dxa"/>
            <w:vAlign w:val="bottom"/>
            <w:tcBorders>
              <w:top w:val="single" w:sz="8" w:color="DDDDDD"/>
              <w:bottom w:val="single" w:sz="8" w:color="0000FF"/>
            </w:tcBorders>
            <w:gridSpan w:val="4"/>
            <w:shd w:val="clear" w:color="auto" w:fill="DDDDDD"/>
          </w:tcPr>
          <w:p>
            <w:pPr>
              <w:jc w:val="right"/>
              <w:spacing w:after="0" w:line="162" w:lineRule="exact"/>
              <w:rPr>
                <w:sz w:val="20"/>
                <w:szCs w:val="20"/>
                <w:color w:val="auto"/>
              </w:rPr>
            </w:pPr>
            <w:r>
              <w:rPr>
                <w:rFonts w:ascii="Arial" w:cs="Arial" w:eastAsia="Arial" w:hAnsi="Arial"/>
                <w:sz w:val="17"/>
                <w:szCs w:val="17"/>
                <w:color w:val="0000FF"/>
                <w:highlight w:val="lightGray"/>
                <w:w w:val="73"/>
              </w:rPr>
              <w:t>84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60" w:type="dxa"/>
            <w:vAlign w:val="bottom"/>
            <w:gridSpan w:val="2"/>
            <w:vMerge w:val="restart"/>
          </w:tcPr>
          <w:p>
            <w:pPr>
              <w:spacing w:after="0"/>
              <w:rPr>
                <w:sz w:val="20"/>
                <w:szCs w:val="20"/>
                <w:color w:val="auto"/>
              </w:rPr>
            </w:pPr>
            <w:r>
              <w:rPr>
                <w:rFonts w:ascii="Arial" w:cs="Arial" w:eastAsia="Arial" w:hAnsi="Arial"/>
                <w:sz w:val="18"/>
                <w:szCs w:val="18"/>
                <w:color w:val="auto"/>
              </w:rPr>
              <w:t>SECTION 5.</w:t>
            </w:r>
          </w:p>
        </w:tc>
        <w:tc>
          <w:tcPr>
            <w:tcW w:w="2220" w:type="dxa"/>
            <w:vAlign w:val="bottom"/>
            <w:gridSpan w:val="46"/>
            <w:vMerge w:val="restart"/>
          </w:tcPr>
          <w:p>
            <w:pPr>
              <w:spacing w:after="0"/>
              <w:rPr>
                <w:sz w:val="20"/>
                <w:szCs w:val="20"/>
                <w:color w:val="auto"/>
              </w:rPr>
            </w:pPr>
            <w:r>
              <w:rPr>
                <w:rFonts w:ascii="Arial" w:cs="Arial" w:eastAsia="Arial" w:hAnsi="Arial"/>
                <w:sz w:val="18"/>
                <w:szCs w:val="18"/>
                <w:color w:val="auto"/>
                <w:w w:val="96"/>
              </w:rPr>
              <w:t>CONDITIONS PRECEDENT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5"/>
            <w:vMerge w:val="restart"/>
          </w:tcPr>
          <w:p>
            <w:pPr>
              <w:jc w:val="right"/>
              <w:spacing w:after="0"/>
              <w:rPr>
                <w:sz w:val="20"/>
                <w:szCs w:val="20"/>
                <w:color w:val="auto"/>
              </w:rPr>
            </w:pPr>
            <w:r>
              <w:rPr>
                <w:rFonts w:ascii="Arial" w:cs="Arial" w:eastAsia="Arial" w:hAnsi="Arial"/>
                <w:sz w:val="18"/>
                <w:szCs w:val="18"/>
                <w:color w:val="FF0000"/>
                <w:strike w:val="1"/>
                <w:w w:val="79"/>
              </w:rPr>
              <w:t>70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2220" w:type="dxa"/>
            <w:vAlign w:val="bottom"/>
            <w:gridSpan w:val="46"/>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5"/>
            <w:vMerge w:val="continue"/>
          </w:tcPr>
          <w:p>
            <w:pPr>
              <w:spacing w:after="0"/>
              <w:rPr>
                <w:sz w:val="15"/>
                <w:szCs w:val="15"/>
                <w:color w:val="auto"/>
              </w:rPr>
            </w:pPr>
          </w:p>
        </w:tc>
        <w:tc>
          <w:tcPr>
            <w:tcW w:w="180" w:type="dxa"/>
            <w:vAlign w:val="bottom"/>
            <w:gridSpan w:val="5"/>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79"/>
              </w:rPr>
              <w:t>85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5.1</w:t>
            </w:r>
          </w:p>
        </w:tc>
        <w:tc>
          <w:tcPr>
            <w:tcW w:w="1200" w:type="dxa"/>
            <w:vAlign w:val="bottom"/>
            <w:gridSpan w:val="11"/>
          </w:tcPr>
          <w:p>
            <w:pPr>
              <w:ind w:left="60"/>
              <w:spacing w:after="0" w:line="162" w:lineRule="exact"/>
              <w:rPr>
                <w:sz w:val="20"/>
                <w:szCs w:val="20"/>
                <w:color w:val="auto"/>
              </w:rPr>
            </w:pPr>
            <w:r>
              <w:rPr>
                <w:rFonts w:ascii="Arial" w:cs="Arial" w:eastAsia="Arial" w:hAnsi="Arial"/>
                <w:sz w:val="18"/>
                <w:szCs w:val="18"/>
                <w:color w:val="auto"/>
                <w:w w:val="93"/>
              </w:rPr>
              <w:t>Closing Date</w:t>
            </w:r>
          </w:p>
        </w:tc>
        <w:tc>
          <w:tcPr>
            <w:tcW w:w="200" w:type="dxa"/>
            <w:vAlign w:val="bottom"/>
            <w:tcBorders>
              <w:right w:val="single" w:sz="8" w:color="DDDDDD"/>
            </w:tcBorders>
            <w:gridSpan w:val="4"/>
          </w:tcPr>
          <w:p>
            <w:pPr>
              <w:jc w:val="right"/>
              <w:spacing w:after="0" w:line="162" w:lineRule="exact"/>
              <w:rPr>
                <w:sz w:val="20"/>
                <w:szCs w:val="20"/>
                <w:color w:val="auto"/>
              </w:rPr>
            </w:pPr>
            <w:r>
              <w:rPr>
                <w:rFonts w:ascii="Arial" w:cs="Arial" w:eastAsia="Arial" w:hAnsi="Arial"/>
                <w:sz w:val="18"/>
                <w:szCs w:val="18"/>
                <w:color w:val="FF0000"/>
                <w:strike w:val="1"/>
                <w:w w:val="79"/>
              </w:rPr>
              <w:t>70</w:t>
            </w:r>
          </w:p>
        </w:tc>
        <w:tc>
          <w:tcPr>
            <w:tcW w:w="160" w:type="dxa"/>
            <w:vAlign w:val="bottom"/>
            <w:tcBorders>
              <w:top w:val="single" w:sz="8" w:color="DDDDDD"/>
              <w:bottom w:val="single" w:sz="8" w:color="0000FF"/>
              <w:right w:val="single" w:sz="8" w:color="DDDDDD"/>
            </w:tcBorders>
            <w:gridSpan w:val="3"/>
            <w:shd w:val="clear" w:color="auto" w:fill="DDDDDD"/>
          </w:tcPr>
          <w:p>
            <w:pPr>
              <w:jc w:val="right"/>
              <w:spacing w:after="0" w:line="162" w:lineRule="exact"/>
              <w:rPr>
                <w:sz w:val="20"/>
                <w:szCs w:val="20"/>
                <w:color w:val="auto"/>
              </w:rPr>
            </w:pPr>
            <w:r>
              <w:rPr>
                <w:rFonts w:ascii="Arial" w:cs="Arial" w:eastAsia="Arial" w:hAnsi="Arial"/>
                <w:sz w:val="15"/>
                <w:szCs w:val="15"/>
                <w:color w:val="0000FF"/>
                <w:highlight w:val="lightGray"/>
                <w:w w:val="71"/>
              </w:rPr>
              <w:t>85</w:t>
            </w:r>
          </w:p>
        </w:tc>
        <w:tc>
          <w:tcPr>
            <w:tcW w:w="1560" w:type="dxa"/>
            <w:vAlign w:val="bottom"/>
            <w:gridSpan w:val="38"/>
          </w:tcPr>
          <w:p>
            <w:pPr>
              <w:spacing w:after="0"/>
              <w:rPr>
                <w:sz w:val="15"/>
                <w:szCs w:val="15"/>
                <w:color w:val="auto"/>
              </w:rPr>
            </w:pPr>
          </w:p>
        </w:tc>
        <w:tc>
          <w:tcPr>
            <w:tcW w:w="180" w:type="dxa"/>
            <w:vAlign w:val="bottom"/>
            <w:tcBorders>
              <w:top w:val="single" w:sz="8" w:color="0000FF"/>
            </w:tcBorders>
            <w:gridSpan w:val="5"/>
          </w:tcPr>
          <w:p>
            <w:pPr>
              <w:spacing w:after="0"/>
              <w:rPr>
                <w:sz w:val="15"/>
                <w:szCs w:val="15"/>
                <w:color w:val="auto"/>
              </w:rPr>
            </w:pPr>
          </w:p>
        </w:tc>
        <w:tc>
          <w:tcPr>
            <w:tcW w:w="194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ind w:left="200"/>
              <w:spacing w:after="0" w:line="149" w:lineRule="exact"/>
              <w:rPr>
                <w:sz w:val="20"/>
                <w:szCs w:val="20"/>
                <w:color w:val="auto"/>
              </w:rPr>
            </w:pPr>
            <w:r>
              <w:rPr>
                <w:rFonts w:ascii="Arial" w:cs="Arial" w:eastAsia="Arial" w:hAnsi="Arial"/>
                <w:sz w:val="17"/>
                <w:szCs w:val="17"/>
                <w:color w:val="auto"/>
              </w:rPr>
              <w:t>5.2</w:t>
            </w:r>
          </w:p>
        </w:tc>
        <w:tc>
          <w:tcPr>
            <w:tcW w:w="1400" w:type="dxa"/>
            <w:vAlign w:val="bottom"/>
            <w:gridSpan w:val="15"/>
          </w:tcPr>
          <w:p>
            <w:pPr>
              <w:ind w:left="60"/>
              <w:spacing w:after="0" w:line="149" w:lineRule="exact"/>
              <w:rPr>
                <w:sz w:val="20"/>
                <w:szCs w:val="20"/>
                <w:color w:val="auto"/>
              </w:rPr>
            </w:pPr>
            <w:r>
              <w:rPr>
                <w:rFonts w:ascii="Arial" w:cs="Arial" w:eastAsia="Arial" w:hAnsi="Arial"/>
                <w:sz w:val="17"/>
                <w:szCs w:val="17"/>
                <w:color w:val="auto"/>
                <w:w w:val="91"/>
              </w:rPr>
              <w:t>Conditions to Each</w:t>
            </w:r>
          </w:p>
        </w:tc>
        <w:tc>
          <w:tcPr>
            <w:tcW w:w="20" w:type="dxa"/>
            <w:vAlign w:val="bottom"/>
            <w:tcBorders>
              <w:top w:val="single" w:sz="8" w:color="DDDDDD"/>
            </w:tcBorders>
          </w:tcPr>
          <w:p>
            <w:pPr>
              <w:spacing w:after="0"/>
              <w:rPr>
                <w:sz w:val="13"/>
                <w:szCs w:val="13"/>
                <w:color w:val="auto"/>
              </w:rPr>
            </w:pPr>
          </w:p>
        </w:tc>
        <w:tc>
          <w:tcPr>
            <w:tcW w:w="80" w:type="dxa"/>
            <w:vAlign w:val="bottom"/>
            <w:tcBorders>
              <w:top w:val="single" w:sz="8" w:color="DDDDDD"/>
            </w:tcBorders>
          </w:tcPr>
          <w:p>
            <w:pPr>
              <w:spacing w:after="0"/>
              <w:rPr>
                <w:sz w:val="13"/>
                <w:szCs w:val="13"/>
                <w:color w:val="auto"/>
              </w:rPr>
            </w:pPr>
          </w:p>
        </w:tc>
        <w:tc>
          <w:tcPr>
            <w:tcW w:w="60" w:type="dxa"/>
            <w:vAlign w:val="bottom"/>
            <w:tcBorders>
              <w:top w:val="single" w:sz="8" w:color="DDDDDD"/>
            </w:tcBorders>
          </w:tcPr>
          <w:p>
            <w:pPr>
              <w:spacing w:after="0"/>
              <w:rPr>
                <w:sz w:val="13"/>
                <w:szCs w:val="13"/>
                <w:color w:val="auto"/>
              </w:rPr>
            </w:pPr>
          </w:p>
        </w:tc>
        <w:tc>
          <w:tcPr>
            <w:tcW w:w="1380" w:type="dxa"/>
            <w:vAlign w:val="bottom"/>
            <w:gridSpan w:val="33"/>
          </w:tcPr>
          <w:p>
            <w:pPr>
              <w:spacing w:after="0" w:line="149" w:lineRule="exact"/>
              <w:rPr>
                <w:sz w:val="20"/>
                <w:szCs w:val="20"/>
                <w:color w:val="auto"/>
              </w:rPr>
            </w:pPr>
            <w:r>
              <w:rPr>
                <w:rFonts w:ascii="Arial" w:cs="Arial" w:eastAsia="Arial" w:hAnsi="Arial"/>
                <w:sz w:val="17"/>
                <w:szCs w:val="17"/>
                <w:color w:val="auto"/>
                <w:w w:val="94"/>
              </w:rPr>
              <w:t>Extension of Credit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5"/>
          </w:tcPr>
          <w:p>
            <w:pPr>
              <w:jc w:val="right"/>
              <w:spacing w:after="0" w:line="149" w:lineRule="exact"/>
              <w:rPr>
                <w:sz w:val="20"/>
                <w:szCs w:val="20"/>
                <w:color w:val="auto"/>
              </w:rPr>
            </w:pPr>
            <w:r>
              <w:rPr>
                <w:rFonts w:ascii="Arial" w:cs="Arial" w:eastAsia="Arial" w:hAnsi="Arial"/>
                <w:sz w:val="17"/>
                <w:szCs w:val="17"/>
                <w:color w:val="FF0000"/>
                <w:strike w:val="1"/>
              </w:rPr>
              <w:t>72</w:t>
            </w:r>
          </w:p>
        </w:tc>
        <w:tc>
          <w:tcPr>
            <w:tcW w:w="180" w:type="dxa"/>
            <w:vAlign w:val="bottom"/>
            <w:tcBorders>
              <w:top w:val="single" w:sz="8" w:color="DDDDDD"/>
              <w:bottom w:val="single" w:sz="8" w:color="0000FF"/>
            </w:tcBorders>
            <w:gridSpan w:val="3"/>
            <w:shd w:val="clear" w:color="auto" w:fill="DDDDDD"/>
          </w:tcPr>
          <w:p>
            <w:pPr>
              <w:spacing w:after="0" w:line="149" w:lineRule="exact"/>
              <w:rPr>
                <w:sz w:val="20"/>
                <w:szCs w:val="20"/>
                <w:color w:val="auto"/>
              </w:rPr>
            </w:pPr>
            <w:r>
              <w:rPr>
                <w:rFonts w:ascii="Arial" w:cs="Arial" w:eastAsia="Arial" w:hAnsi="Arial"/>
                <w:sz w:val="17"/>
                <w:szCs w:val="17"/>
                <w:color w:val="0000FF"/>
                <w:highlight w:val="lightGray"/>
                <w:w w:val="84"/>
              </w:rPr>
              <w:t>86</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gridSpan w:val="2"/>
            <w:vMerge w:val="restart"/>
          </w:tcPr>
          <w:p>
            <w:pPr>
              <w:spacing w:after="0"/>
              <w:rPr>
                <w:sz w:val="20"/>
                <w:szCs w:val="20"/>
                <w:color w:val="auto"/>
              </w:rPr>
            </w:pPr>
            <w:r>
              <w:rPr>
                <w:rFonts w:ascii="Arial" w:cs="Arial" w:eastAsia="Arial" w:hAnsi="Arial"/>
                <w:sz w:val="18"/>
                <w:szCs w:val="18"/>
                <w:color w:val="auto"/>
              </w:rPr>
              <w:t>SECTION 6.</w:t>
            </w:r>
          </w:p>
        </w:tc>
        <w:tc>
          <w:tcPr>
            <w:tcW w:w="2360" w:type="dxa"/>
            <w:vAlign w:val="bottom"/>
            <w:gridSpan w:val="50"/>
            <w:vMerge w:val="restart"/>
          </w:tcPr>
          <w:p>
            <w:pPr>
              <w:spacing w:after="0"/>
              <w:rPr>
                <w:sz w:val="20"/>
                <w:szCs w:val="20"/>
                <w:color w:val="auto"/>
              </w:rPr>
            </w:pPr>
            <w:r>
              <w:rPr>
                <w:rFonts w:ascii="Arial" w:cs="Arial" w:eastAsia="Arial" w:hAnsi="Arial"/>
                <w:sz w:val="18"/>
                <w:szCs w:val="18"/>
                <w:color w:val="auto"/>
                <w:w w:val="99"/>
              </w:rPr>
              <w:t>AFFIRMATIVE COVENANTS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gridSpan w:val="5"/>
            <w:vMerge w:val="restart"/>
          </w:tcPr>
          <w:p>
            <w:pPr>
              <w:jc w:val="right"/>
              <w:spacing w:after="0"/>
              <w:rPr>
                <w:sz w:val="20"/>
                <w:szCs w:val="20"/>
                <w:color w:val="auto"/>
              </w:rPr>
            </w:pPr>
            <w:r>
              <w:rPr>
                <w:rFonts w:ascii="Arial" w:cs="Arial" w:eastAsia="Arial" w:hAnsi="Arial"/>
                <w:sz w:val="18"/>
                <w:szCs w:val="18"/>
                <w:color w:val="FF0000"/>
                <w:strike w:val="1"/>
                <w:w w:val="79"/>
              </w:rPr>
              <w:t>72</w:t>
            </w:r>
          </w:p>
        </w:tc>
        <w:tc>
          <w:tcPr>
            <w:tcW w:w="2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2360" w:type="dxa"/>
            <w:vAlign w:val="bottom"/>
            <w:gridSpan w:val="50"/>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gridSpan w:val="5"/>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tcBorders>
              <w:left w:val="single" w:sz="8" w:color="DDDDDD"/>
            </w:tcBorders>
            <w:gridSpan w:val="2"/>
            <w:shd w:val="clear" w:color="auto" w:fill="DDDDDD"/>
          </w:tcPr>
          <w:p>
            <w:pPr>
              <w:spacing w:after="0" w:line="176" w:lineRule="exact"/>
              <w:rPr>
                <w:sz w:val="20"/>
                <w:szCs w:val="20"/>
                <w:color w:val="auto"/>
              </w:rPr>
            </w:pPr>
            <w:r>
              <w:rPr>
                <w:rFonts w:ascii="Arial" w:cs="Arial" w:eastAsia="Arial" w:hAnsi="Arial"/>
                <w:sz w:val="17"/>
                <w:szCs w:val="17"/>
                <w:color w:val="0000FF"/>
                <w:highlight w:val="lightGray"/>
                <w:w w:val="73"/>
              </w:rPr>
              <w:t>86</w:t>
            </w:r>
          </w:p>
        </w:tc>
        <w:tc>
          <w:tcPr>
            <w:tcW w:w="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80" w:type="dxa"/>
            <w:vAlign w:val="bottom"/>
          </w:tcPr>
          <w:p>
            <w:pPr>
              <w:ind w:left="200"/>
              <w:spacing w:after="0" w:line="149" w:lineRule="exact"/>
              <w:rPr>
                <w:sz w:val="20"/>
                <w:szCs w:val="20"/>
                <w:color w:val="auto"/>
              </w:rPr>
            </w:pPr>
            <w:r>
              <w:rPr>
                <w:rFonts w:ascii="Arial" w:cs="Arial" w:eastAsia="Arial" w:hAnsi="Arial"/>
                <w:sz w:val="17"/>
                <w:szCs w:val="17"/>
                <w:color w:val="auto"/>
              </w:rPr>
              <w:t>6.1</w:t>
            </w:r>
          </w:p>
        </w:tc>
        <w:tc>
          <w:tcPr>
            <w:tcW w:w="1760" w:type="dxa"/>
            <w:vAlign w:val="bottom"/>
            <w:gridSpan w:val="21"/>
          </w:tcPr>
          <w:p>
            <w:pPr>
              <w:ind w:left="60"/>
              <w:spacing w:after="0" w:line="149" w:lineRule="exact"/>
              <w:rPr>
                <w:sz w:val="20"/>
                <w:szCs w:val="20"/>
                <w:color w:val="auto"/>
              </w:rPr>
            </w:pPr>
            <w:r>
              <w:rPr>
                <w:rFonts w:ascii="Arial" w:cs="Arial" w:eastAsia="Arial" w:hAnsi="Arial"/>
                <w:sz w:val="17"/>
                <w:szCs w:val="17"/>
                <w:color w:val="auto"/>
              </w:rPr>
              <w:t>Financial Statements</w:t>
            </w:r>
          </w:p>
        </w:tc>
        <w:tc>
          <w:tcPr>
            <w:tcW w:w="160" w:type="dxa"/>
            <w:vAlign w:val="bottom"/>
            <w:gridSpan w:val="5"/>
          </w:tcPr>
          <w:p>
            <w:pPr>
              <w:jc w:val="right"/>
              <w:spacing w:after="0" w:line="149" w:lineRule="exact"/>
              <w:rPr>
                <w:sz w:val="20"/>
                <w:szCs w:val="20"/>
                <w:color w:val="auto"/>
              </w:rPr>
            </w:pPr>
            <w:r>
              <w:rPr>
                <w:rFonts w:ascii="Arial" w:cs="Arial" w:eastAsia="Arial" w:hAnsi="Arial"/>
                <w:sz w:val="17"/>
                <w:szCs w:val="17"/>
                <w:color w:val="FF0000"/>
                <w:strike w:val="1"/>
                <w:w w:val="73"/>
              </w:rPr>
              <w:t>72</w:t>
            </w:r>
          </w:p>
        </w:tc>
        <w:tc>
          <w:tcPr>
            <w:tcW w:w="180" w:type="dxa"/>
            <w:vAlign w:val="bottom"/>
            <w:tcBorders>
              <w:top w:val="single" w:sz="8" w:color="DDDDDD"/>
              <w:left w:val="single" w:sz="8" w:color="DDDDDD"/>
            </w:tcBorders>
            <w:gridSpan w:val="4"/>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94"/>
              </w:rPr>
              <w:t>86</w:t>
            </w:r>
          </w:p>
        </w:tc>
        <w:tc>
          <w:tcPr>
            <w:tcW w:w="1160" w:type="dxa"/>
            <w:vAlign w:val="bottom"/>
            <w:tcBorders>
              <w:left w:val="single" w:sz="8" w:color="DDDDDD"/>
            </w:tcBorders>
            <w:gridSpan w:val="29"/>
          </w:tcPr>
          <w:p>
            <w:pPr>
              <w:spacing w:after="0"/>
              <w:rPr>
                <w:sz w:val="12"/>
                <w:szCs w:val="12"/>
                <w:color w:val="auto"/>
              </w:rPr>
            </w:pPr>
          </w:p>
        </w:tc>
        <w:tc>
          <w:tcPr>
            <w:tcW w:w="220" w:type="dxa"/>
            <w:vAlign w:val="bottom"/>
            <w:tcBorders>
              <w:top w:val="single" w:sz="8" w:color="0000FF"/>
            </w:tcBorders>
            <w:gridSpan w:val="5"/>
          </w:tcPr>
          <w:p>
            <w:pPr>
              <w:spacing w:after="0"/>
              <w:rPr>
                <w:sz w:val="12"/>
                <w:szCs w:val="12"/>
                <w:color w:val="auto"/>
              </w:rPr>
            </w:pPr>
          </w:p>
        </w:tc>
        <w:tc>
          <w:tcPr>
            <w:tcW w:w="1760" w:type="dxa"/>
            <w:vAlign w:val="bottom"/>
            <w:gridSpan w:val="18"/>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ind w:left="200"/>
              <w:spacing w:after="0" w:line="189" w:lineRule="exact"/>
              <w:rPr>
                <w:sz w:val="20"/>
                <w:szCs w:val="20"/>
                <w:color w:val="auto"/>
              </w:rPr>
            </w:pPr>
            <w:r>
              <w:rPr>
                <w:rFonts w:ascii="Arial" w:cs="Arial" w:eastAsia="Arial" w:hAnsi="Arial"/>
                <w:sz w:val="18"/>
                <w:szCs w:val="18"/>
                <w:color w:val="auto"/>
              </w:rPr>
              <w:t>6.2</w:t>
            </w:r>
          </w:p>
        </w:tc>
        <w:tc>
          <w:tcPr>
            <w:tcW w:w="1920" w:type="dxa"/>
            <w:vAlign w:val="bottom"/>
            <w:gridSpan w:val="26"/>
          </w:tcPr>
          <w:p>
            <w:pPr>
              <w:spacing w:after="0"/>
              <w:rPr>
                <w:sz w:val="2"/>
                <w:szCs w:val="2"/>
                <w:color w:val="auto"/>
              </w:rPr>
            </w:pPr>
          </w:p>
        </w:tc>
        <w:tc>
          <w:tcPr>
            <w:tcW w:w="60" w:type="dxa"/>
            <w:vAlign w:val="bottom"/>
            <w:tcBorders>
              <w:left w:val="single" w:sz="8" w:color="DDDDDD"/>
              <w:right w:val="single" w:sz="8" w:color="0000FF"/>
            </w:tcBorders>
            <w:shd w:val="clear" w:color="auto" w:fill="0000FF"/>
          </w:tcPr>
          <w:p>
            <w:pPr>
              <w:spacing w:after="0"/>
              <w:rPr>
                <w:sz w:val="2"/>
                <w:szCs w:val="2"/>
                <w:color w:val="auto"/>
              </w:rPr>
            </w:pPr>
          </w:p>
        </w:tc>
        <w:tc>
          <w:tcPr>
            <w:tcW w:w="120" w:type="dxa"/>
            <w:vAlign w:val="bottom"/>
            <w:gridSpan w:val="3"/>
            <w:shd w:val="clear" w:color="auto" w:fill="0000FF"/>
          </w:tcPr>
          <w:p>
            <w:pPr>
              <w:spacing w:after="0"/>
              <w:rPr>
                <w:sz w:val="2"/>
                <w:szCs w:val="2"/>
                <w:color w:val="auto"/>
              </w:rPr>
            </w:pPr>
          </w:p>
        </w:tc>
        <w:tc>
          <w:tcPr>
            <w:tcW w:w="260" w:type="dxa"/>
            <w:vAlign w:val="bottom"/>
            <w:tcBorders>
              <w:left w:val="single" w:sz="8" w:color="0000FF"/>
            </w:tcBorders>
            <w:gridSpan w:val="7"/>
          </w:tcPr>
          <w:p>
            <w:pPr>
              <w:spacing w:after="0"/>
              <w:rPr>
                <w:sz w:val="2"/>
                <w:szCs w:val="2"/>
                <w:color w:val="auto"/>
              </w:rPr>
            </w:pPr>
          </w:p>
        </w:tc>
        <w:tc>
          <w:tcPr>
            <w:tcW w:w="6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0" w:type="dxa"/>
            <w:vAlign w:val="bottom"/>
            <w:gridSpan w:val="3"/>
            <w:vMerge w:val="restart"/>
          </w:tcPr>
          <w:p>
            <w:pPr>
              <w:jc w:val="right"/>
              <w:spacing w:after="0" w:line="189" w:lineRule="exact"/>
              <w:rPr>
                <w:sz w:val="20"/>
                <w:szCs w:val="20"/>
                <w:color w:val="auto"/>
              </w:rPr>
            </w:pPr>
            <w:r>
              <w:rPr>
                <w:rFonts w:ascii="Arial" w:cs="Arial" w:eastAsia="Arial" w:hAnsi="Arial"/>
                <w:sz w:val="18"/>
                <w:szCs w:val="18"/>
                <w:color w:val="FF0000"/>
                <w:strike w:val="1"/>
                <w:w w:val="89"/>
              </w:rPr>
              <w:t>73</w:t>
            </w:r>
          </w:p>
        </w:tc>
        <w:tc>
          <w:tcPr>
            <w:tcW w:w="180" w:type="dxa"/>
            <w:vAlign w:val="bottom"/>
            <w:gridSpan w:val="6"/>
            <w:vMerge w:val="restart"/>
            <w:shd w:val="clear" w:color="auto" w:fill="DDDDDD"/>
          </w:tcPr>
          <w:p>
            <w:pPr>
              <w:jc w:val="right"/>
              <w:spacing w:after="0" w:line="189" w:lineRule="exact"/>
              <w:rPr>
                <w:sz w:val="20"/>
                <w:szCs w:val="20"/>
                <w:color w:val="auto"/>
              </w:rPr>
            </w:pPr>
            <w:r>
              <w:rPr>
                <w:rFonts w:ascii="Arial" w:cs="Arial" w:eastAsia="Arial" w:hAnsi="Arial"/>
                <w:sz w:val="18"/>
                <w:szCs w:val="18"/>
                <w:color w:val="0000FF"/>
                <w:highlight w:val="lightGray"/>
                <w:w w:val="79"/>
              </w:rPr>
              <w:t>87</w:t>
            </w:r>
          </w:p>
        </w:tc>
        <w:tc>
          <w:tcPr>
            <w:tcW w:w="20" w:type="dxa"/>
            <w:vAlign w:val="bottom"/>
            <w:vMerge w:val="restart"/>
          </w:tcPr>
          <w:p>
            <w:pPr>
              <w:spacing w:after="0"/>
              <w:rPr>
                <w:sz w:val="2"/>
                <w:szCs w:val="2"/>
                <w:color w:val="auto"/>
              </w:rPr>
            </w:pPr>
          </w:p>
        </w:tc>
        <w:tc>
          <w:tcPr>
            <w:tcW w:w="2380" w:type="dxa"/>
            <w:vAlign w:val="bottom"/>
            <w:gridSpan w:val="3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80" w:type="dxa"/>
            <w:vAlign w:val="bottom"/>
            <w:vMerge w:val="continue"/>
          </w:tcPr>
          <w:p>
            <w:pPr>
              <w:spacing w:after="0"/>
              <w:rPr>
                <w:sz w:val="14"/>
                <w:szCs w:val="14"/>
                <w:color w:val="auto"/>
              </w:rPr>
            </w:pPr>
          </w:p>
        </w:tc>
        <w:tc>
          <w:tcPr>
            <w:tcW w:w="2100" w:type="dxa"/>
            <w:vAlign w:val="bottom"/>
            <w:gridSpan w:val="30"/>
          </w:tcPr>
          <w:p>
            <w:pPr>
              <w:ind w:left="60"/>
              <w:spacing w:after="0" w:line="162" w:lineRule="exact"/>
              <w:rPr>
                <w:sz w:val="20"/>
                <w:szCs w:val="20"/>
                <w:color w:val="auto"/>
              </w:rPr>
            </w:pPr>
            <w:r>
              <w:rPr>
                <w:rFonts w:ascii="Arial" w:cs="Arial" w:eastAsia="Arial" w:hAnsi="Arial"/>
                <w:sz w:val="18"/>
                <w:szCs w:val="18"/>
                <w:color w:val="auto"/>
                <w:w w:val="83"/>
              </w:rPr>
              <w:t>Certificates; Other Information</w:t>
            </w:r>
          </w:p>
        </w:tc>
        <w:tc>
          <w:tcPr>
            <w:tcW w:w="40" w:type="dxa"/>
            <w:vAlign w:val="bottom"/>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6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180" w:type="dxa"/>
            <w:vAlign w:val="bottom"/>
            <w:tcBorders>
              <w:bottom w:val="single" w:sz="8" w:color="0000FF"/>
            </w:tcBorders>
            <w:gridSpan w:val="6"/>
            <w:vMerge w:val="continue"/>
            <w:shd w:val="clear" w:color="auto" w:fill="DDDDDD"/>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6.3</w:t>
            </w:r>
          </w:p>
        </w:tc>
        <w:tc>
          <w:tcPr>
            <w:tcW w:w="1900" w:type="dxa"/>
            <w:vAlign w:val="bottom"/>
            <w:gridSpan w:val="25"/>
          </w:tcPr>
          <w:p>
            <w:pPr>
              <w:ind w:left="60"/>
              <w:spacing w:after="0" w:line="162" w:lineRule="exact"/>
              <w:rPr>
                <w:sz w:val="20"/>
                <w:szCs w:val="20"/>
                <w:color w:val="auto"/>
              </w:rPr>
            </w:pPr>
            <w:r>
              <w:rPr>
                <w:rFonts w:ascii="Arial" w:cs="Arial" w:eastAsia="Arial" w:hAnsi="Arial"/>
                <w:sz w:val="18"/>
                <w:szCs w:val="18"/>
                <w:color w:val="auto"/>
                <w:w w:val="97"/>
              </w:rPr>
              <w:t>Payment of Obligations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4"/>
          </w:tcPr>
          <w:p>
            <w:pPr>
              <w:spacing w:after="0" w:line="162" w:lineRule="exact"/>
              <w:rPr>
                <w:sz w:val="20"/>
                <w:szCs w:val="20"/>
                <w:color w:val="auto"/>
              </w:rPr>
            </w:pPr>
            <w:r>
              <w:rPr>
                <w:rFonts w:ascii="Arial" w:cs="Arial" w:eastAsia="Arial" w:hAnsi="Arial"/>
                <w:sz w:val="17"/>
                <w:szCs w:val="17"/>
                <w:color w:val="FF0000"/>
                <w:strike w:val="1"/>
                <w:w w:val="73"/>
              </w:rPr>
              <w:t>74</w:t>
            </w:r>
          </w:p>
        </w:tc>
        <w:tc>
          <w:tcPr>
            <w:tcW w:w="140" w:type="dxa"/>
            <w:vAlign w:val="bottom"/>
            <w:tcBorders>
              <w:bottom w:val="single" w:sz="8" w:color="0000FF"/>
            </w:tcBorders>
            <w:gridSpan w:val="5"/>
            <w:shd w:val="clear" w:color="auto" w:fill="DDDDDD"/>
          </w:tcPr>
          <w:p>
            <w:pPr>
              <w:spacing w:after="0"/>
              <w:rPr>
                <w:sz w:val="20"/>
                <w:szCs w:val="20"/>
                <w:color w:val="auto"/>
              </w:rPr>
            </w:pPr>
            <w:r>
              <w:rPr>
                <w:rFonts w:ascii="Arial" w:cs="Arial" w:eastAsia="Arial" w:hAnsi="Arial"/>
                <w:sz w:val="12"/>
                <w:szCs w:val="12"/>
                <w:color w:val="0000FF"/>
                <w:highlight w:val="lightGray"/>
                <w:w w:val="74"/>
              </w:rPr>
              <w:t>88</w:t>
            </w:r>
          </w:p>
        </w:tc>
        <w:tc>
          <w:tcPr>
            <w:tcW w:w="80" w:type="dxa"/>
            <w:vAlign w:val="bottom"/>
            <w:tcBorders>
              <w:left w:val="single" w:sz="8" w:color="DDDDDD"/>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140" w:type="dxa"/>
            <w:vAlign w:val="bottom"/>
            <w:tcBorders>
              <w:bottom w:val="single" w:sz="8" w:color="DDDDDD"/>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6.4</w:t>
            </w:r>
          </w:p>
        </w:tc>
        <w:tc>
          <w:tcPr>
            <w:tcW w:w="2140" w:type="dxa"/>
            <w:vAlign w:val="bottom"/>
            <w:gridSpan w:val="31"/>
          </w:tcPr>
          <w:p>
            <w:pPr>
              <w:ind w:left="60"/>
              <w:spacing w:after="0" w:line="162" w:lineRule="exact"/>
              <w:rPr>
                <w:sz w:val="20"/>
                <w:szCs w:val="20"/>
                <w:color w:val="auto"/>
              </w:rPr>
            </w:pPr>
            <w:r>
              <w:rPr>
                <w:rFonts w:ascii="Arial" w:cs="Arial" w:eastAsia="Arial" w:hAnsi="Arial"/>
                <w:sz w:val="18"/>
                <w:szCs w:val="18"/>
                <w:color w:val="auto"/>
                <w:w w:val="97"/>
              </w:rPr>
              <w:t>Maintenance of Existence;</w:t>
            </w:r>
          </w:p>
        </w:tc>
        <w:tc>
          <w:tcPr>
            <w:tcW w:w="800" w:type="dxa"/>
            <w:vAlign w:val="bottom"/>
            <w:gridSpan w:val="20"/>
          </w:tcPr>
          <w:p>
            <w:pPr>
              <w:spacing w:after="0" w:line="162" w:lineRule="exact"/>
              <w:rPr>
                <w:sz w:val="20"/>
                <w:szCs w:val="20"/>
                <w:color w:val="auto"/>
              </w:rPr>
            </w:pPr>
            <w:r>
              <w:rPr>
                <w:rFonts w:ascii="Arial" w:cs="Arial" w:eastAsia="Arial" w:hAnsi="Arial"/>
                <w:sz w:val="18"/>
                <w:szCs w:val="18"/>
                <w:color w:val="auto"/>
                <w:w w:val="82"/>
              </w:rPr>
              <w:t>Compliance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5"/>
          </w:tcPr>
          <w:p>
            <w:pPr>
              <w:jc w:val="right"/>
              <w:spacing w:after="0" w:line="162" w:lineRule="exact"/>
              <w:rPr>
                <w:sz w:val="20"/>
                <w:szCs w:val="20"/>
                <w:color w:val="auto"/>
              </w:rPr>
            </w:pPr>
            <w:r>
              <w:rPr>
                <w:rFonts w:ascii="Arial" w:cs="Arial" w:eastAsia="Arial" w:hAnsi="Arial"/>
                <w:sz w:val="18"/>
                <w:szCs w:val="18"/>
                <w:color w:val="FF0000"/>
                <w:strike w:val="1"/>
              </w:rPr>
              <w:t>74</w:t>
            </w:r>
          </w:p>
        </w:tc>
        <w:tc>
          <w:tcPr>
            <w:tcW w:w="180" w:type="dxa"/>
            <w:vAlign w:val="bottom"/>
            <w:tcBorders>
              <w:bottom w:val="single" w:sz="8" w:color="0000FF"/>
            </w:tcBorders>
            <w:gridSpan w:val="3"/>
            <w:shd w:val="clear" w:color="auto" w:fill="DDDDDD"/>
          </w:tcPr>
          <w:p>
            <w:pPr>
              <w:spacing w:after="0" w:line="162" w:lineRule="exact"/>
              <w:rPr>
                <w:sz w:val="20"/>
                <w:szCs w:val="20"/>
                <w:color w:val="auto"/>
              </w:rPr>
            </w:pPr>
            <w:r>
              <w:rPr>
                <w:rFonts w:ascii="Arial" w:cs="Arial" w:eastAsia="Arial" w:hAnsi="Arial"/>
                <w:sz w:val="18"/>
                <w:szCs w:val="18"/>
                <w:color w:val="0000FF"/>
                <w:highlight w:val="lightGray"/>
                <w:w w:val="79"/>
              </w:rPr>
              <w:t>88</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80" w:type="dxa"/>
            <w:vAlign w:val="bottom"/>
          </w:tcPr>
          <w:p>
            <w:pPr>
              <w:ind w:left="200"/>
              <w:spacing w:after="0" w:line="149" w:lineRule="exact"/>
              <w:rPr>
                <w:sz w:val="20"/>
                <w:szCs w:val="20"/>
                <w:color w:val="auto"/>
              </w:rPr>
            </w:pPr>
            <w:r>
              <w:rPr>
                <w:rFonts w:ascii="Arial" w:cs="Arial" w:eastAsia="Arial" w:hAnsi="Arial"/>
                <w:sz w:val="17"/>
                <w:szCs w:val="17"/>
                <w:color w:val="auto"/>
              </w:rPr>
              <w:t>6.5</w:t>
            </w:r>
          </w:p>
        </w:tc>
        <w:tc>
          <w:tcPr>
            <w:tcW w:w="2800" w:type="dxa"/>
            <w:vAlign w:val="bottom"/>
            <w:gridSpan w:val="47"/>
          </w:tcPr>
          <w:p>
            <w:pPr>
              <w:ind w:left="60"/>
              <w:spacing w:after="0" w:line="149" w:lineRule="exact"/>
              <w:rPr>
                <w:sz w:val="20"/>
                <w:szCs w:val="20"/>
                <w:color w:val="auto"/>
              </w:rPr>
            </w:pPr>
            <w:r>
              <w:rPr>
                <w:rFonts w:ascii="Arial" w:cs="Arial" w:eastAsia="Arial" w:hAnsi="Arial"/>
                <w:sz w:val="17"/>
                <w:szCs w:val="17"/>
                <w:color w:val="auto"/>
              </w:rPr>
              <w:t>Maintenance of Property; Insurance</w:t>
            </w:r>
          </w:p>
        </w:tc>
        <w:tc>
          <w:tcPr>
            <w:tcW w:w="200" w:type="dxa"/>
            <w:vAlign w:val="bottom"/>
            <w:gridSpan w:val="7"/>
          </w:tcPr>
          <w:p>
            <w:pPr>
              <w:jc w:val="right"/>
              <w:spacing w:after="0" w:line="149" w:lineRule="exact"/>
              <w:rPr>
                <w:sz w:val="20"/>
                <w:szCs w:val="20"/>
                <w:color w:val="auto"/>
              </w:rPr>
            </w:pPr>
            <w:r>
              <w:rPr>
                <w:rFonts w:ascii="Arial" w:cs="Arial" w:eastAsia="Arial" w:hAnsi="Arial"/>
                <w:sz w:val="17"/>
                <w:szCs w:val="17"/>
                <w:color w:val="FF0000"/>
                <w:strike w:val="1"/>
                <w:w w:val="94"/>
              </w:rPr>
              <w:t>74</w:t>
            </w:r>
          </w:p>
        </w:tc>
        <w:tc>
          <w:tcPr>
            <w:tcW w:w="200" w:type="dxa"/>
            <w:vAlign w:val="bottom"/>
            <w:tcBorders>
              <w:top w:val="single" w:sz="8" w:color="DDDDDD"/>
              <w:bottom w:val="single" w:sz="8" w:color="0000FF"/>
              <w:right w:val="single" w:sz="8" w:color="DDDDDD"/>
            </w:tcBorders>
            <w:gridSpan w:val="4"/>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84"/>
              </w:rPr>
              <w:t>88</w:t>
            </w:r>
          </w:p>
        </w:tc>
        <w:tc>
          <w:tcPr>
            <w:tcW w:w="60" w:type="dxa"/>
            <w:vAlign w:val="bottom"/>
          </w:tcPr>
          <w:p>
            <w:pPr>
              <w:spacing w:after="0"/>
              <w:rPr>
                <w:sz w:val="12"/>
                <w:szCs w:val="12"/>
                <w:color w:val="auto"/>
              </w:rPr>
            </w:pPr>
          </w:p>
        </w:tc>
        <w:tc>
          <w:tcPr>
            <w:tcW w:w="20" w:type="dxa"/>
            <w:vAlign w:val="bottom"/>
            <w:tcBorders>
              <w:top w:val="single" w:sz="8" w:color="DDDDDD"/>
            </w:tcBorders>
          </w:tcPr>
          <w:p>
            <w:pPr>
              <w:spacing w:after="0"/>
              <w:rPr>
                <w:sz w:val="12"/>
                <w:szCs w:val="12"/>
                <w:color w:val="auto"/>
              </w:rPr>
            </w:pPr>
          </w:p>
        </w:tc>
        <w:tc>
          <w:tcPr>
            <w:tcW w:w="20" w:type="dxa"/>
            <w:vAlign w:val="bottom"/>
            <w:tcBorders>
              <w:top w:val="single" w:sz="8" w:color="DDDDDD"/>
            </w:tcBorders>
          </w:tcPr>
          <w:p>
            <w:pPr>
              <w:spacing w:after="0"/>
              <w:rPr>
                <w:sz w:val="12"/>
                <w:szCs w:val="12"/>
                <w:color w:val="auto"/>
              </w:rPr>
            </w:pPr>
          </w:p>
        </w:tc>
        <w:tc>
          <w:tcPr>
            <w:tcW w:w="140" w:type="dxa"/>
            <w:vAlign w:val="bottom"/>
            <w:tcBorders>
              <w:top w:val="single" w:sz="8" w:color="DDDDDD"/>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ind w:left="200"/>
              <w:spacing w:after="0" w:line="169" w:lineRule="exact"/>
              <w:rPr>
                <w:sz w:val="20"/>
                <w:szCs w:val="20"/>
                <w:color w:val="auto"/>
              </w:rPr>
            </w:pPr>
            <w:r>
              <w:rPr>
                <w:rFonts w:ascii="Arial" w:cs="Arial" w:eastAsia="Arial" w:hAnsi="Arial"/>
                <w:sz w:val="18"/>
                <w:szCs w:val="18"/>
                <w:color w:val="auto"/>
              </w:rPr>
              <w:t>6.6</w:t>
            </w:r>
          </w:p>
        </w:tc>
        <w:tc>
          <w:tcPr>
            <w:tcW w:w="3200" w:type="dxa"/>
            <w:vAlign w:val="bottom"/>
            <w:tcBorders>
              <w:right w:val="single" w:sz="8" w:color="DDDDDD"/>
            </w:tcBorders>
            <w:gridSpan w:val="58"/>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gridSpan w:val="13"/>
            <w:vMerge w:val="restart"/>
          </w:tcPr>
          <w:p>
            <w:pPr>
              <w:spacing w:after="0" w:line="169" w:lineRule="exact"/>
              <w:rPr>
                <w:sz w:val="20"/>
                <w:szCs w:val="20"/>
                <w:color w:val="auto"/>
              </w:rPr>
            </w:pPr>
            <w:r>
              <w:rPr>
                <w:rFonts w:ascii="Arial" w:cs="Arial" w:eastAsia="Arial" w:hAnsi="Arial"/>
                <w:sz w:val="18"/>
                <w:szCs w:val="18"/>
                <w:color w:val="auto"/>
                <w:w w:val="89"/>
              </w:rPr>
              <w:t>Discussions</w:t>
            </w:r>
          </w:p>
        </w:tc>
        <w:tc>
          <w:tcPr>
            <w:tcW w:w="360" w:type="dxa"/>
            <w:vAlign w:val="bottom"/>
            <w:tcBorders>
              <w:right w:val="single" w:sz="8" w:color="DDDDDD"/>
            </w:tcBorders>
            <w:gridSpan w:val="2"/>
            <w:vMerge w:val="restart"/>
          </w:tcPr>
          <w:p>
            <w:pPr>
              <w:jc w:val="right"/>
              <w:spacing w:after="0" w:line="169" w:lineRule="exact"/>
              <w:rPr>
                <w:sz w:val="20"/>
                <w:szCs w:val="20"/>
                <w:color w:val="auto"/>
              </w:rPr>
            </w:pPr>
            <w:r>
              <w:rPr>
                <w:rFonts w:ascii="Arial" w:cs="Arial" w:eastAsia="Arial" w:hAnsi="Arial"/>
                <w:sz w:val="18"/>
                <w:szCs w:val="18"/>
                <w:color w:val="FF0000"/>
                <w:strike w:val="1"/>
              </w:rPr>
              <w:t>74</w:t>
            </w:r>
          </w:p>
        </w:tc>
        <w:tc>
          <w:tcPr>
            <w:tcW w:w="160" w:type="dxa"/>
            <w:vAlign w:val="bottom"/>
            <w:vMerge w:val="restart"/>
            <w:shd w:val="clear" w:color="auto" w:fill="DDDDDD"/>
          </w:tcPr>
          <w:p>
            <w:pPr>
              <w:jc w:val="right"/>
              <w:spacing w:after="0" w:line="169" w:lineRule="exact"/>
              <w:rPr>
                <w:sz w:val="20"/>
                <w:szCs w:val="20"/>
                <w:color w:val="auto"/>
              </w:rPr>
            </w:pPr>
            <w:r>
              <w:rPr>
                <w:rFonts w:ascii="Arial" w:cs="Arial" w:eastAsia="Arial" w:hAnsi="Arial"/>
                <w:sz w:val="17"/>
                <w:szCs w:val="17"/>
                <w:color w:val="0000FF"/>
                <w:highlight w:val="lightGray"/>
                <w:w w:val="73"/>
              </w:rPr>
              <w:t>89</w:t>
            </w:r>
          </w:p>
        </w:tc>
        <w:tc>
          <w:tcPr>
            <w:tcW w:w="80" w:type="dxa"/>
            <w:vAlign w:val="bottom"/>
            <w:vMerge w:val="restart"/>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0" w:type="dxa"/>
            <w:vAlign w:val="bottom"/>
            <w:vMerge w:val="continue"/>
          </w:tcPr>
          <w:p>
            <w:pPr>
              <w:spacing w:after="0"/>
              <w:rPr>
                <w:sz w:val="14"/>
                <w:szCs w:val="14"/>
                <w:color w:val="auto"/>
              </w:rPr>
            </w:pPr>
          </w:p>
        </w:tc>
        <w:tc>
          <w:tcPr>
            <w:tcW w:w="3200" w:type="dxa"/>
            <w:vAlign w:val="bottom"/>
            <w:gridSpan w:val="58"/>
          </w:tcPr>
          <w:p>
            <w:pPr>
              <w:ind w:left="60"/>
              <w:spacing w:after="0" w:line="149" w:lineRule="exact"/>
              <w:rPr>
                <w:sz w:val="20"/>
                <w:szCs w:val="20"/>
                <w:color w:val="auto"/>
              </w:rPr>
            </w:pPr>
            <w:r>
              <w:rPr>
                <w:rFonts w:ascii="Arial" w:cs="Arial" w:eastAsia="Arial" w:hAnsi="Arial"/>
                <w:sz w:val="17"/>
                <w:szCs w:val="17"/>
                <w:color w:val="auto"/>
                <w:w w:val="94"/>
              </w:rPr>
              <w:t>Inspection of Property; Books and Records;</w:t>
            </w:r>
          </w:p>
        </w:tc>
        <w:tc>
          <w:tcPr>
            <w:tcW w:w="60" w:type="dxa"/>
            <w:vAlign w:val="bottom"/>
            <w:vMerge w:val="continue"/>
          </w:tcPr>
          <w:p>
            <w:pPr>
              <w:spacing w:after="0"/>
              <w:rPr>
                <w:sz w:val="14"/>
                <w:szCs w:val="14"/>
                <w:color w:val="auto"/>
              </w:rPr>
            </w:pPr>
          </w:p>
        </w:tc>
        <w:tc>
          <w:tcPr>
            <w:tcW w:w="880" w:type="dxa"/>
            <w:vAlign w:val="bottom"/>
            <w:gridSpan w:val="13"/>
            <w:vMerge w:val="continue"/>
          </w:tcPr>
          <w:p>
            <w:pPr>
              <w:spacing w:after="0"/>
              <w:rPr>
                <w:sz w:val="14"/>
                <w:szCs w:val="14"/>
                <w:color w:val="auto"/>
              </w:rPr>
            </w:pPr>
          </w:p>
        </w:tc>
        <w:tc>
          <w:tcPr>
            <w:tcW w:w="360" w:type="dxa"/>
            <w:vAlign w:val="bottom"/>
            <w:tcBorders>
              <w:right w:val="single" w:sz="8" w:color="DDDDDD"/>
            </w:tcBorders>
            <w:gridSpan w:val="2"/>
            <w:vMerge w:val="continue"/>
          </w:tcPr>
          <w:p>
            <w:pPr>
              <w:spacing w:after="0"/>
              <w:rPr>
                <w:sz w:val="14"/>
                <w:szCs w:val="14"/>
                <w:color w:val="auto"/>
              </w:rPr>
            </w:pPr>
          </w:p>
        </w:tc>
        <w:tc>
          <w:tcPr>
            <w:tcW w:w="160" w:type="dxa"/>
            <w:vAlign w:val="bottom"/>
            <w:tcBorders>
              <w:bottom w:val="single" w:sz="8" w:color="0000FF"/>
            </w:tcBorders>
            <w:vMerge w:val="continue"/>
            <w:shd w:val="clear" w:color="auto" w:fill="DDDDDD"/>
          </w:tcPr>
          <w:p>
            <w:pPr>
              <w:spacing w:after="0"/>
              <w:rPr>
                <w:sz w:val="14"/>
                <w:szCs w:val="14"/>
                <w:color w:val="auto"/>
              </w:rPr>
            </w:pPr>
          </w:p>
        </w:tc>
        <w:tc>
          <w:tcPr>
            <w:tcW w:w="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ind w:left="200"/>
              <w:spacing w:after="0" w:line="149" w:lineRule="exact"/>
              <w:rPr>
                <w:sz w:val="20"/>
                <w:szCs w:val="20"/>
                <w:color w:val="auto"/>
              </w:rPr>
            </w:pPr>
            <w:r>
              <w:rPr>
                <w:rFonts w:ascii="Arial" w:cs="Arial" w:eastAsia="Arial" w:hAnsi="Arial"/>
                <w:sz w:val="17"/>
                <w:szCs w:val="17"/>
                <w:color w:val="auto"/>
              </w:rPr>
              <w:t>6.7</w:t>
            </w:r>
          </w:p>
        </w:tc>
        <w:tc>
          <w:tcPr>
            <w:tcW w:w="800" w:type="dxa"/>
            <w:vAlign w:val="bottom"/>
            <w:gridSpan w:val="2"/>
          </w:tcPr>
          <w:p>
            <w:pPr>
              <w:ind w:left="60"/>
              <w:spacing w:after="0" w:line="149" w:lineRule="exact"/>
              <w:rPr>
                <w:sz w:val="20"/>
                <w:szCs w:val="20"/>
                <w:color w:val="auto"/>
              </w:rPr>
            </w:pPr>
            <w:r>
              <w:rPr>
                <w:rFonts w:ascii="Arial" w:cs="Arial" w:eastAsia="Arial" w:hAnsi="Arial"/>
                <w:sz w:val="17"/>
                <w:szCs w:val="17"/>
                <w:color w:val="auto"/>
              </w:rPr>
              <w:t>Notices</w:t>
            </w:r>
          </w:p>
        </w:tc>
        <w:tc>
          <w:tcPr>
            <w:tcW w:w="180" w:type="dxa"/>
            <w:vAlign w:val="bottom"/>
            <w:gridSpan w:val="3"/>
          </w:tcPr>
          <w:p>
            <w:pPr>
              <w:jc w:val="right"/>
              <w:spacing w:after="0" w:line="149" w:lineRule="exact"/>
              <w:rPr>
                <w:sz w:val="20"/>
                <w:szCs w:val="20"/>
                <w:color w:val="auto"/>
              </w:rPr>
            </w:pPr>
            <w:r>
              <w:rPr>
                <w:rFonts w:ascii="Arial" w:cs="Arial" w:eastAsia="Arial" w:hAnsi="Arial"/>
                <w:sz w:val="17"/>
                <w:szCs w:val="17"/>
                <w:color w:val="FF0000"/>
                <w:strike w:val="1"/>
                <w:w w:val="84"/>
              </w:rPr>
              <w:t>75</w:t>
            </w:r>
          </w:p>
        </w:tc>
        <w:tc>
          <w:tcPr>
            <w:tcW w:w="180" w:type="dxa"/>
            <w:vAlign w:val="bottom"/>
            <w:tcBorders>
              <w:top w:val="single" w:sz="8" w:color="DDDDDD"/>
              <w:bottom w:val="single" w:sz="8" w:color="0000FF"/>
            </w:tcBorders>
            <w:gridSpan w:val="5"/>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84"/>
              </w:rPr>
              <w:t>89</w:t>
            </w:r>
          </w:p>
        </w:tc>
        <w:tc>
          <w:tcPr>
            <w:tcW w:w="760" w:type="dxa"/>
            <w:vAlign w:val="bottom"/>
            <w:gridSpan w:val="16"/>
          </w:tcPr>
          <w:p>
            <w:pPr>
              <w:spacing w:after="0"/>
              <w:rPr>
                <w:sz w:val="13"/>
                <w:szCs w:val="13"/>
                <w:color w:val="auto"/>
              </w:rPr>
            </w:pPr>
          </w:p>
        </w:tc>
        <w:tc>
          <w:tcPr>
            <w:tcW w:w="180" w:type="dxa"/>
            <w:vAlign w:val="bottom"/>
            <w:tcBorders>
              <w:bottom w:val="single" w:sz="8" w:color="DDDDDD"/>
            </w:tcBorders>
            <w:gridSpan w:val="4"/>
          </w:tcPr>
          <w:p>
            <w:pPr>
              <w:spacing w:after="0"/>
              <w:rPr>
                <w:sz w:val="13"/>
                <w:szCs w:val="13"/>
                <w:color w:val="auto"/>
              </w:rPr>
            </w:pPr>
          </w:p>
        </w:tc>
        <w:tc>
          <w:tcPr>
            <w:tcW w:w="2400" w:type="dxa"/>
            <w:vAlign w:val="bottom"/>
            <w:gridSpan w:val="44"/>
          </w:tcPr>
          <w:p>
            <w:pPr>
              <w:spacing w:after="0"/>
              <w:rPr>
                <w:sz w:val="13"/>
                <w:szCs w:val="13"/>
                <w:color w:val="auto"/>
              </w:rPr>
            </w:pPr>
          </w:p>
        </w:tc>
        <w:tc>
          <w:tcPr>
            <w:tcW w:w="160" w:type="dxa"/>
            <w:vAlign w:val="bottom"/>
            <w:tcBorders>
              <w:top w:val="single" w:sz="8" w:color="DDDDDD"/>
            </w:tcBorders>
          </w:tcPr>
          <w:p>
            <w:pPr>
              <w:spacing w:after="0"/>
              <w:rPr>
                <w:sz w:val="13"/>
                <w:szCs w:val="13"/>
                <w:color w:val="auto"/>
              </w:rPr>
            </w:pPr>
          </w:p>
        </w:tc>
        <w:tc>
          <w:tcPr>
            <w:tcW w:w="5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6.8</w:t>
            </w:r>
          </w:p>
        </w:tc>
        <w:tc>
          <w:tcPr>
            <w:tcW w:w="1160" w:type="dxa"/>
            <w:vAlign w:val="bottom"/>
            <w:gridSpan w:val="10"/>
          </w:tcPr>
          <w:p>
            <w:pPr>
              <w:ind w:left="60"/>
              <w:spacing w:after="0" w:line="162" w:lineRule="exact"/>
              <w:rPr>
                <w:sz w:val="20"/>
                <w:szCs w:val="20"/>
                <w:color w:val="auto"/>
              </w:rPr>
            </w:pPr>
            <w:r>
              <w:rPr>
                <w:rFonts w:ascii="Arial" w:cs="Arial" w:eastAsia="Arial" w:hAnsi="Arial"/>
                <w:sz w:val="18"/>
                <w:szCs w:val="18"/>
                <w:color w:val="auto"/>
                <w:w w:val="78"/>
              </w:rPr>
              <w:t>Environmental</w:t>
            </w:r>
          </w:p>
        </w:tc>
        <w:tc>
          <w:tcPr>
            <w:tcW w:w="600" w:type="dxa"/>
            <w:vAlign w:val="bottom"/>
            <w:gridSpan w:val="11"/>
          </w:tcPr>
          <w:p>
            <w:pPr>
              <w:jc w:val="right"/>
              <w:ind w:right="101"/>
              <w:spacing w:after="0" w:line="162" w:lineRule="exact"/>
              <w:rPr>
                <w:sz w:val="20"/>
                <w:szCs w:val="20"/>
                <w:color w:val="auto"/>
              </w:rPr>
            </w:pPr>
            <w:r>
              <w:rPr>
                <w:rFonts w:ascii="Arial" w:cs="Arial" w:eastAsia="Arial" w:hAnsi="Arial"/>
                <w:sz w:val="18"/>
                <w:szCs w:val="18"/>
                <w:color w:val="auto"/>
                <w:w w:val="95"/>
              </w:rPr>
              <w:t>Laws</w:t>
            </w:r>
          </w:p>
        </w:tc>
        <w:tc>
          <w:tcPr>
            <w:tcW w:w="160" w:type="dxa"/>
            <w:vAlign w:val="bottom"/>
            <w:gridSpan w:val="5"/>
          </w:tcPr>
          <w:p>
            <w:pPr>
              <w:jc w:val="right"/>
              <w:spacing w:after="0" w:line="162" w:lineRule="exact"/>
              <w:rPr>
                <w:sz w:val="20"/>
                <w:szCs w:val="20"/>
                <w:color w:val="auto"/>
              </w:rPr>
            </w:pPr>
            <w:r>
              <w:rPr>
                <w:rFonts w:ascii="Arial" w:cs="Arial" w:eastAsia="Arial" w:hAnsi="Arial"/>
                <w:sz w:val="17"/>
                <w:szCs w:val="17"/>
                <w:color w:val="FF0000"/>
                <w:strike w:val="1"/>
                <w:w w:val="73"/>
              </w:rPr>
              <w:t>75</w:t>
            </w:r>
          </w:p>
        </w:tc>
        <w:tc>
          <w:tcPr>
            <w:tcW w:w="180" w:type="dxa"/>
            <w:vAlign w:val="bottom"/>
            <w:tcBorders>
              <w:left w:val="single" w:sz="8" w:color="DDDDDD"/>
            </w:tcBorders>
            <w:gridSpan w:val="4"/>
            <w:shd w:val="clear" w:color="auto" w:fill="DDDDDD"/>
          </w:tcPr>
          <w:p>
            <w:pPr>
              <w:jc w:val="right"/>
              <w:spacing w:after="0" w:line="162" w:lineRule="exact"/>
              <w:rPr>
                <w:sz w:val="20"/>
                <w:szCs w:val="20"/>
                <w:color w:val="auto"/>
              </w:rPr>
            </w:pPr>
            <w:r>
              <w:rPr>
                <w:rFonts w:ascii="Arial" w:cs="Arial" w:eastAsia="Arial" w:hAnsi="Arial"/>
                <w:sz w:val="18"/>
                <w:szCs w:val="18"/>
                <w:color w:val="0000FF"/>
                <w:highlight w:val="lightGray"/>
                <w:w w:val="89"/>
              </w:rPr>
              <w:t>90</w:t>
            </w:r>
          </w:p>
        </w:tc>
        <w:tc>
          <w:tcPr>
            <w:tcW w:w="3140" w:type="dxa"/>
            <w:vAlign w:val="bottom"/>
            <w:tcBorders>
              <w:left w:val="single" w:sz="8" w:color="DDDDDD"/>
            </w:tcBorders>
            <w:gridSpan w:val="5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6.9</w:t>
            </w:r>
          </w:p>
        </w:tc>
        <w:tc>
          <w:tcPr>
            <w:tcW w:w="1040" w:type="dxa"/>
            <w:vAlign w:val="bottom"/>
            <w:gridSpan w:val="7"/>
          </w:tcPr>
          <w:p>
            <w:pPr>
              <w:ind w:left="60"/>
              <w:spacing w:after="0" w:line="162" w:lineRule="exact"/>
              <w:rPr>
                <w:sz w:val="20"/>
                <w:szCs w:val="20"/>
                <w:color w:val="auto"/>
              </w:rPr>
            </w:pPr>
            <w:r>
              <w:rPr>
                <w:rFonts w:ascii="Arial" w:cs="Arial" w:eastAsia="Arial" w:hAnsi="Arial"/>
                <w:sz w:val="18"/>
                <w:szCs w:val="18"/>
                <w:color w:val="auto"/>
              </w:rPr>
              <w:t>[Reserved]</w:t>
            </w:r>
          </w:p>
        </w:tc>
        <w:tc>
          <w:tcPr>
            <w:tcW w:w="160" w:type="dxa"/>
            <w:vAlign w:val="bottom"/>
            <w:gridSpan w:val="4"/>
          </w:tcPr>
          <w:p>
            <w:pPr>
              <w:jc w:val="right"/>
              <w:spacing w:after="0" w:line="162" w:lineRule="exact"/>
              <w:rPr>
                <w:sz w:val="20"/>
                <w:szCs w:val="20"/>
                <w:color w:val="auto"/>
              </w:rPr>
            </w:pPr>
            <w:r>
              <w:rPr>
                <w:rFonts w:ascii="Arial" w:cs="Arial" w:eastAsia="Arial" w:hAnsi="Arial"/>
                <w:sz w:val="17"/>
                <w:szCs w:val="17"/>
                <w:color w:val="FF0000"/>
                <w:strike w:val="1"/>
                <w:w w:val="73"/>
              </w:rPr>
              <w:t>76</w:t>
            </w:r>
          </w:p>
        </w:tc>
        <w:tc>
          <w:tcPr>
            <w:tcW w:w="200" w:type="dxa"/>
            <w:vAlign w:val="bottom"/>
            <w:tcBorders>
              <w:top w:val="single" w:sz="8" w:color="DDDDDD"/>
              <w:left w:val="single" w:sz="8" w:color="DDDDDD"/>
              <w:right w:val="single" w:sz="8" w:color="DDDDDD"/>
            </w:tcBorders>
            <w:gridSpan w:val="4"/>
            <w:shd w:val="clear" w:color="auto" w:fill="DDDDDD"/>
          </w:tcPr>
          <w:p>
            <w:pPr>
              <w:jc w:val="right"/>
              <w:spacing w:after="0" w:line="162" w:lineRule="exact"/>
              <w:rPr>
                <w:sz w:val="20"/>
                <w:szCs w:val="20"/>
                <w:color w:val="auto"/>
              </w:rPr>
            </w:pPr>
            <w:r>
              <w:rPr>
                <w:rFonts w:ascii="Arial" w:cs="Arial" w:eastAsia="Arial" w:hAnsi="Arial"/>
                <w:sz w:val="18"/>
                <w:szCs w:val="18"/>
                <w:color w:val="0000FF"/>
                <w:highlight w:val="lightGray"/>
                <w:w w:val="89"/>
              </w:rPr>
              <w:t>90</w:t>
            </w:r>
          </w:p>
        </w:tc>
        <w:tc>
          <w:tcPr>
            <w:tcW w:w="20" w:type="dxa"/>
            <w:vAlign w:val="bottom"/>
            <w:tcBorders>
              <w:top w:val="single" w:sz="8" w:color="DDDDDD"/>
            </w:tcBorders>
            <w:shd w:val="clear" w:color="auto" w:fill="DDDDDD"/>
          </w:tcPr>
          <w:p>
            <w:pPr>
              <w:spacing w:after="0"/>
              <w:rPr>
                <w:sz w:val="14"/>
                <w:szCs w:val="14"/>
                <w:color w:val="auto"/>
              </w:rPr>
            </w:pPr>
          </w:p>
        </w:tc>
        <w:tc>
          <w:tcPr>
            <w:tcW w:w="500" w:type="dxa"/>
            <w:vAlign w:val="bottom"/>
            <w:gridSpan w:val="10"/>
          </w:tcPr>
          <w:p>
            <w:pPr>
              <w:spacing w:after="0"/>
              <w:rPr>
                <w:sz w:val="14"/>
                <w:szCs w:val="14"/>
                <w:color w:val="auto"/>
              </w:rPr>
            </w:pPr>
          </w:p>
        </w:tc>
        <w:tc>
          <w:tcPr>
            <w:tcW w:w="180" w:type="dxa"/>
            <w:vAlign w:val="bottom"/>
            <w:tcBorders>
              <w:top w:val="single" w:sz="8" w:color="0000FF"/>
            </w:tcBorders>
            <w:gridSpan w:val="4"/>
          </w:tcPr>
          <w:p>
            <w:pPr>
              <w:spacing w:after="0"/>
              <w:rPr>
                <w:sz w:val="14"/>
                <w:szCs w:val="14"/>
                <w:color w:val="auto"/>
              </w:rPr>
            </w:pPr>
          </w:p>
        </w:tc>
        <w:tc>
          <w:tcPr>
            <w:tcW w:w="3140" w:type="dxa"/>
            <w:vAlign w:val="bottom"/>
            <w:gridSpan w:val="52"/>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ind w:left="200"/>
              <w:spacing w:after="0" w:line="189" w:lineRule="exact"/>
              <w:rPr>
                <w:sz w:val="20"/>
                <w:szCs w:val="20"/>
                <w:color w:val="auto"/>
              </w:rPr>
            </w:pPr>
            <w:r>
              <w:rPr>
                <w:rFonts w:ascii="Arial" w:cs="Arial" w:eastAsia="Arial" w:hAnsi="Arial"/>
                <w:sz w:val="18"/>
                <w:szCs w:val="18"/>
                <w:color w:val="auto"/>
              </w:rPr>
              <w:t>6.10</w:t>
            </w:r>
          </w:p>
        </w:tc>
        <w:tc>
          <w:tcPr>
            <w:tcW w:w="1200" w:type="dxa"/>
            <w:vAlign w:val="bottom"/>
            <w:gridSpan w:val="11"/>
          </w:tcPr>
          <w:p>
            <w:pPr>
              <w:spacing w:after="0"/>
              <w:rPr>
                <w:sz w:val="2"/>
                <w:szCs w:val="2"/>
                <w:color w:val="auto"/>
              </w:rPr>
            </w:pPr>
          </w:p>
        </w:tc>
        <w:tc>
          <w:tcPr>
            <w:tcW w:w="120" w:type="dxa"/>
            <w:vAlign w:val="bottom"/>
            <w:tcBorders>
              <w:left w:val="single" w:sz="8" w:color="DDDDDD"/>
            </w:tcBorders>
            <w:gridSpan w:val="3"/>
            <w:shd w:val="clear" w:color="auto" w:fill="0000FF"/>
          </w:tcPr>
          <w:p>
            <w:pPr>
              <w:spacing w:after="0"/>
              <w:rPr>
                <w:sz w:val="2"/>
                <w:szCs w:val="2"/>
                <w:color w:val="auto"/>
              </w:rPr>
            </w:pPr>
          </w:p>
        </w:tc>
        <w:tc>
          <w:tcPr>
            <w:tcW w:w="80" w:type="dxa"/>
            <w:vAlign w:val="bottom"/>
            <w:tcBorders>
              <w:left w:val="single" w:sz="8" w:color="0000FF"/>
              <w:right w:val="single" w:sz="8" w:color="0000FF"/>
            </w:tcBorders>
            <w:shd w:val="clear" w:color="auto" w:fill="0000FF"/>
          </w:tcPr>
          <w:p>
            <w:pPr>
              <w:spacing w:after="0"/>
              <w:rPr>
                <w:sz w:val="2"/>
                <w:szCs w:val="2"/>
                <w:color w:val="auto"/>
              </w:rPr>
            </w:pPr>
          </w:p>
        </w:tc>
        <w:tc>
          <w:tcPr>
            <w:tcW w:w="3340" w:type="dxa"/>
            <w:vAlign w:val="bottom"/>
            <w:gridSpan w:val="61"/>
            <w:shd w:val="clear" w:color="auto" w:fill="DDDDDD"/>
          </w:tcPr>
          <w:p>
            <w:pPr>
              <w:spacing w:after="0"/>
              <w:rPr>
                <w:sz w:val="2"/>
                <w:szCs w:val="2"/>
                <w:color w:val="auto"/>
              </w:rPr>
            </w:pPr>
          </w:p>
        </w:tc>
        <w:tc>
          <w:tcPr>
            <w:tcW w:w="160" w:type="dxa"/>
            <w:vAlign w:val="bottom"/>
            <w:vMerge w:val="restart"/>
          </w:tcPr>
          <w:p>
            <w:pPr>
              <w:jc w:val="right"/>
              <w:spacing w:after="0" w:line="189" w:lineRule="exact"/>
              <w:rPr>
                <w:sz w:val="20"/>
                <w:szCs w:val="20"/>
                <w:color w:val="auto"/>
              </w:rPr>
            </w:pPr>
            <w:r>
              <w:rPr>
                <w:rFonts w:ascii="Arial" w:cs="Arial" w:eastAsia="Arial" w:hAnsi="Arial"/>
                <w:sz w:val="17"/>
                <w:szCs w:val="17"/>
                <w:color w:val="FF0000"/>
                <w:strike w:val="1"/>
                <w:w w:val="73"/>
              </w:rPr>
              <w:t>76</w:t>
            </w:r>
          </w:p>
        </w:tc>
        <w:tc>
          <w:tcPr>
            <w:tcW w:w="200" w:type="dxa"/>
            <w:vAlign w:val="bottom"/>
            <w:gridSpan w:val="3"/>
            <w:vMerge w:val="restart"/>
            <w:shd w:val="clear" w:color="auto" w:fill="DDDDDD"/>
          </w:tcPr>
          <w:p>
            <w:pPr>
              <w:jc w:val="right"/>
              <w:spacing w:after="0" w:line="189" w:lineRule="exact"/>
              <w:rPr>
                <w:sz w:val="20"/>
                <w:szCs w:val="20"/>
                <w:color w:val="auto"/>
              </w:rPr>
            </w:pPr>
            <w:r>
              <w:rPr>
                <w:rFonts w:ascii="Arial" w:cs="Arial" w:eastAsia="Arial" w:hAnsi="Arial"/>
                <w:sz w:val="18"/>
                <w:szCs w:val="18"/>
                <w:color w:val="0000FF"/>
                <w:highlight w:val="lightGray"/>
                <w:w w:val="89"/>
              </w:rPr>
              <w:t>90</w:t>
            </w:r>
          </w:p>
        </w:tc>
        <w:tc>
          <w:tcPr>
            <w:tcW w:w="1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580" w:type="dxa"/>
            <w:vAlign w:val="bottom"/>
            <w:vMerge w:val="continue"/>
          </w:tcPr>
          <w:p>
            <w:pPr>
              <w:spacing w:after="0"/>
              <w:rPr>
                <w:sz w:val="15"/>
                <w:szCs w:val="15"/>
                <w:color w:val="auto"/>
              </w:rPr>
            </w:pPr>
          </w:p>
        </w:tc>
        <w:tc>
          <w:tcPr>
            <w:tcW w:w="4740" w:type="dxa"/>
            <w:vAlign w:val="bottom"/>
            <w:gridSpan w:val="76"/>
          </w:tcPr>
          <w:p>
            <w:pPr>
              <w:ind w:left="160"/>
              <w:spacing w:after="0" w:line="162" w:lineRule="exact"/>
              <w:rPr>
                <w:sz w:val="20"/>
                <w:szCs w:val="20"/>
                <w:color w:val="auto"/>
              </w:rPr>
            </w:pPr>
            <w:r>
              <w:rPr>
                <w:rFonts w:ascii="Arial" w:cs="Arial" w:eastAsia="Arial" w:hAnsi="Arial"/>
                <w:sz w:val="18"/>
                <w:szCs w:val="18"/>
                <w:color w:val="auto"/>
                <w:w w:val="95"/>
              </w:rPr>
              <w:t>Additional Guarantors; Additional Unencumbered Properties</w:t>
            </w:r>
          </w:p>
        </w:tc>
        <w:tc>
          <w:tcPr>
            <w:tcW w:w="160" w:type="dxa"/>
            <w:vAlign w:val="bottom"/>
            <w:vMerge w:val="continue"/>
          </w:tcPr>
          <w:p>
            <w:pPr>
              <w:spacing w:after="0"/>
              <w:rPr>
                <w:sz w:val="15"/>
                <w:szCs w:val="15"/>
                <w:color w:val="auto"/>
              </w:rPr>
            </w:pPr>
          </w:p>
        </w:tc>
        <w:tc>
          <w:tcPr>
            <w:tcW w:w="200" w:type="dxa"/>
            <w:vAlign w:val="bottom"/>
            <w:gridSpan w:val="3"/>
            <w:vMerge w:val="continue"/>
            <w:shd w:val="clear" w:color="auto" w:fill="DDDDDD"/>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ind w:left="200"/>
              <w:spacing w:after="0" w:line="149" w:lineRule="exact"/>
              <w:rPr>
                <w:sz w:val="20"/>
                <w:szCs w:val="20"/>
                <w:color w:val="auto"/>
              </w:rPr>
            </w:pPr>
            <w:r>
              <w:rPr>
                <w:rFonts w:ascii="Arial" w:cs="Arial" w:eastAsia="Arial" w:hAnsi="Arial"/>
                <w:sz w:val="17"/>
                <w:szCs w:val="17"/>
                <w:color w:val="auto"/>
              </w:rPr>
              <w:t>6.11</w:t>
            </w:r>
          </w:p>
        </w:tc>
        <w:tc>
          <w:tcPr>
            <w:tcW w:w="2360" w:type="dxa"/>
            <w:vAlign w:val="bottom"/>
            <w:gridSpan w:val="37"/>
          </w:tcPr>
          <w:p>
            <w:pPr>
              <w:ind w:left="160"/>
              <w:spacing w:after="0" w:line="149" w:lineRule="exact"/>
              <w:rPr>
                <w:sz w:val="20"/>
                <w:szCs w:val="20"/>
                <w:color w:val="auto"/>
              </w:rPr>
            </w:pPr>
            <w:r>
              <w:rPr>
                <w:rFonts w:ascii="Arial" w:cs="Arial" w:eastAsia="Arial" w:hAnsi="Arial"/>
                <w:sz w:val="17"/>
                <w:szCs w:val="17"/>
                <w:color w:val="auto"/>
              </w:rPr>
              <w:t>Maintenance of REIT Status</w:t>
            </w:r>
          </w:p>
        </w:tc>
        <w:tc>
          <w:tcPr>
            <w:tcW w:w="200" w:type="dxa"/>
            <w:vAlign w:val="bottom"/>
            <w:gridSpan w:val="3"/>
          </w:tcPr>
          <w:p>
            <w:pPr>
              <w:jc w:val="right"/>
              <w:spacing w:after="0" w:line="149" w:lineRule="exact"/>
              <w:rPr>
                <w:sz w:val="20"/>
                <w:szCs w:val="20"/>
                <w:color w:val="auto"/>
              </w:rPr>
            </w:pPr>
            <w:r>
              <w:rPr>
                <w:rFonts w:ascii="Arial" w:cs="Arial" w:eastAsia="Arial" w:hAnsi="Arial"/>
                <w:sz w:val="17"/>
                <w:szCs w:val="17"/>
                <w:color w:val="FF0000"/>
                <w:strike w:val="1"/>
                <w:w w:val="94"/>
              </w:rPr>
              <w:t>76</w:t>
            </w:r>
          </w:p>
        </w:tc>
        <w:tc>
          <w:tcPr>
            <w:tcW w:w="180" w:type="dxa"/>
            <w:vAlign w:val="bottom"/>
            <w:tcBorders>
              <w:top w:val="single" w:sz="8" w:color="DDDDDD"/>
            </w:tcBorders>
            <w:gridSpan w:val="6"/>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84"/>
              </w:rPr>
              <w:t>90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Borders>
              <w:top w:val="single" w:sz="8" w:color="DDDDDD"/>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6.12</w:t>
            </w:r>
          </w:p>
        </w:tc>
        <w:tc>
          <w:tcPr>
            <w:tcW w:w="1900" w:type="dxa"/>
            <w:vAlign w:val="bottom"/>
            <w:gridSpan w:val="25"/>
          </w:tcPr>
          <w:p>
            <w:pPr>
              <w:ind w:left="160"/>
              <w:spacing w:after="0" w:line="162" w:lineRule="exact"/>
              <w:rPr>
                <w:sz w:val="20"/>
                <w:szCs w:val="20"/>
                <w:color w:val="auto"/>
              </w:rPr>
            </w:pPr>
            <w:r>
              <w:rPr>
                <w:rFonts w:ascii="Arial" w:cs="Arial" w:eastAsia="Arial" w:hAnsi="Arial"/>
                <w:sz w:val="18"/>
                <w:szCs w:val="18"/>
                <w:color w:val="auto"/>
                <w:w w:val="90"/>
              </w:rPr>
              <w:t>Maintenance of Ratings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right w:val="single" w:sz="8" w:color="DDDDDD"/>
            </w:tcBorders>
            <w:gridSpan w:val="7"/>
          </w:tcPr>
          <w:p>
            <w:pPr>
              <w:jc w:val="right"/>
              <w:spacing w:after="0" w:line="162" w:lineRule="exact"/>
              <w:rPr>
                <w:sz w:val="20"/>
                <w:szCs w:val="20"/>
                <w:color w:val="auto"/>
              </w:rPr>
            </w:pPr>
            <w:r>
              <w:rPr>
                <w:rFonts w:ascii="Arial" w:cs="Arial" w:eastAsia="Arial" w:hAnsi="Arial"/>
                <w:sz w:val="18"/>
                <w:szCs w:val="18"/>
                <w:color w:val="FF0000"/>
                <w:strike w:val="1"/>
                <w:w w:val="89"/>
              </w:rPr>
              <w:t>76</w:t>
            </w:r>
          </w:p>
        </w:tc>
        <w:tc>
          <w:tcPr>
            <w:tcW w:w="160" w:type="dxa"/>
            <w:vAlign w:val="bottom"/>
            <w:tcBorders>
              <w:top w:val="single" w:sz="8" w:color="DDDDDD"/>
            </w:tcBorders>
            <w:gridSpan w:val="3"/>
            <w:shd w:val="clear" w:color="auto" w:fill="DDDDDD"/>
          </w:tcPr>
          <w:p>
            <w:pPr>
              <w:jc w:val="right"/>
              <w:spacing w:after="0" w:line="162" w:lineRule="exact"/>
              <w:rPr>
                <w:sz w:val="20"/>
                <w:szCs w:val="20"/>
                <w:color w:val="auto"/>
              </w:rPr>
            </w:pPr>
            <w:r>
              <w:rPr>
                <w:rFonts w:ascii="Arial" w:cs="Arial" w:eastAsia="Arial" w:hAnsi="Arial"/>
                <w:sz w:val="17"/>
                <w:szCs w:val="17"/>
                <w:color w:val="0000FF"/>
                <w:highlight w:val="lightGray"/>
                <w:w w:val="73"/>
              </w:rPr>
              <w:t>90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6.13</w:t>
            </w:r>
          </w:p>
        </w:tc>
        <w:tc>
          <w:tcPr>
            <w:tcW w:w="1500" w:type="dxa"/>
            <w:vAlign w:val="bottom"/>
            <w:gridSpan w:val="17"/>
          </w:tcPr>
          <w:p>
            <w:pPr>
              <w:ind w:left="160"/>
              <w:spacing w:after="0" w:line="162" w:lineRule="exact"/>
              <w:rPr>
                <w:sz w:val="20"/>
                <w:szCs w:val="20"/>
                <w:color w:val="auto"/>
              </w:rPr>
            </w:pPr>
            <w:r>
              <w:rPr>
                <w:rFonts w:ascii="Arial" w:cs="Arial" w:eastAsia="Arial" w:hAnsi="Arial"/>
                <w:sz w:val="18"/>
                <w:szCs w:val="18"/>
                <w:color w:val="auto"/>
                <w:w w:val="99"/>
              </w:rPr>
              <w:t>Use of Proceeds</w:t>
            </w:r>
          </w:p>
        </w:tc>
        <w:tc>
          <w:tcPr>
            <w:tcW w:w="220" w:type="dxa"/>
            <w:vAlign w:val="bottom"/>
            <w:tcBorders>
              <w:right w:val="single" w:sz="8" w:color="DDDDDD"/>
            </w:tcBorders>
            <w:gridSpan w:val="3"/>
          </w:tcPr>
          <w:p>
            <w:pPr>
              <w:jc w:val="right"/>
              <w:spacing w:after="0" w:line="162" w:lineRule="exact"/>
              <w:rPr>
                <w:sz w:val="20"/>
                <w:szCs w:val="20"/>
                <w:color w:val="auto"/>
              </w:rPr>
            </w:pPr>
            <w:r>
              <w:rPr>
                <w:rFonts w:ascii="Arial" w:cs="Arial" w:eastAsia="Arial" w:hAnsi="Arial"/>
                <w:sz w:val="18"/>
                <w:szCs w:val="18"/>
                <w:color w:val="FF0000"/>
                <w:strike w:val="1"/>
                <w:w w:val="79"/>
              </w:rPr>
              <w:t>76</w:t>
            </w:r>
          </w:p>
        </w:tc>
        <w:tc>
          <w:tcPr>
            <w:tcW w:w="160" w:type="dxa"/>
            <w:vAlign w:val="bottom"/>
            <w:tcBorders>
              <w:top w:val="single" w:sz="8" w:color="DDDDDD"/>
              <w:bottom w:val="single" w:sz="8" w:color="0000FF"/>
              <w:right w:val="single" w:sz="8" w:color="DDDDDD"/>
            </w:tcBorders>
            <w:gridSpan w:val="4"/>
            <w:shd w:val="clear" w:color="auto" w:fill="DDDDDD"/>
          </w:tcPr>
          <w:p>
            <w:pPr>
              <w:jc w:val="right"/>
              <w:spacing w:after="0" w:line="162" w:lineRule="exact"/>
              <w:rPr>
                <w:sz w:val="20"/>
                <w:szCs w:val="20"/>
                <w:color w:val="auto"/>
              </w:rPr>
            </w:pPr>
            <w:r>
              <w:rPr>
                <w:rFonts w:ascii="Arial" w:cs="Arial" w:eastAsia="Arial" w:hAnsi="Arial"/>
                <w:sz w:val="15"/>
                <w:szCs w:val="15"/>
                <w:color w:val="0000FF"/>
                <w:highlight w:val="lightGray"/>
                <w:w w:val="71"/>
              </w:rPr>
              <w:t>91</w:t>
            </w:r>
          </w:p>
        </w:tc>
        <w:tc>
          <w:tcPr>
            <w:tcW w:w="160" w:type="dxa"/>
            <w:vAlign w:val="bottom"/>
            <w:tcBorders>
              <w:bottom w:val="single" w:sz="8" w:color="DDDDDD"/>
            </w:tcBorders>
            <w:gridSpan w:val="4"/>
          </w:tcPr>
          <w:p>
            <w:pPr>
              <w:spacing w:after="0"/>
              <w:rPr>
                <w:sz w:val="14"/>
                <w:szCs w:val="14"/>
                <w:color w:val="auto"/>
              </w:rPr>
            </w:pPr>
          </w:p>
        </w:tc>
        <w:tc>
          <w:tcPr>
            <w:tcW w:w="220" w:type="dxa"/>
            <w:vAlign w:val="bottom"/>
            <w:gridSpan w:val="7"/>
          </w:tcPr>
          <w:p>
            <w:pPr>
              <w:spacing w:after="0"/>
              <w:rPr>
                <w:sz w:val="14"/>
                <w:szCs w:val="14"/>
                <w:color w:val="auto"/>
              </w:rPr>
            </w:pPr>
          </w:p>
        </w:tc>
        <w:tc>
          <w:tcPr>
            <w:tcW w:w="160" w:type="dxa"/>
            <w:vAlign w:val="bottom"/>
            <w:tcBorders>
              <w:top w:val="single" w:sz="8" w:color="0000FF"/>
            </w:tcBorders>
            <w:gridSpan w:val="3"/>
          </w:tcPr>
          <w:p>
            <w:pPr>
              <w:spacing w:after="0"/>
              <w:rPr>
                <w:sz w:val="14"/>
                <w:szCs w:val="14"/>
                <w:color w:val="auto"/>
              </w:rPr>
            </w:pPr>
          </w:p>
        </w:tc>
        <w:tc>
          <w:tcPr>
            <w:tcW w:w="2820" w:type="dxa"/>
            <w:vAlign w:val="bottom"/>
            <w:gridSpan w:val="4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6.14</w:t>
            </w:r>
          </w:p>
        </w:tc>
        <w:tc>
          <w:tcPr>
            <w:tcW w:w="1720" w:type="dxa"/>
            <w:vAlign w:val="bottom"/>
            <w:gridSpan w:val="20"/>
          </w:tcPr>
          <w:p>
            <w:pPr>
              <w:ind w:left="160"/>
              <w:spacing w:after="0" w:line="162" w:lineRule="exact"/>
              <w:rPr>
                <w:sz w:val="20"/>
                <w:szCs w:val="20"/>
                <w:color w:val="auto"/>
              </w:rPr>
            </w:pPr>
            <w:r>
              <w:rPr>
                <w:rFonts w:ascii="Arial" w:cs="Arial" w:eastAsia="Arial" w:hAnsi="Arial"/>
                <w:sz w:val="18"/>
                <w:szCs w:val="18"/>
                <w:color w:val="auto"/>
                <w:w w:val="88"/>
              </w:rPr>
              <w:t>MGP Transactions</w:t>
            </w:r>
          </w:p>
        </w:tc>
        <w:tc>
          <w:tcPr>
            <w:tcW w:w="160" w:type="dxa"/>
            <w:vAlign w:val="bottom"/>
            <w:tcBorders>
              <w:right w:val="single" w:sz="8" w:color="DDDDDD"/>
            </w:tcBorders>
            <w:gridSpan w:val="4"/>
          </w:tcPr>
          <w:p>
            <w:pPr>
              <w:jc w:val="right"/>
              <w:spacing w:after="0" w:line="162" w:lineRule="exact"/>
              <w:rPr>
                <w:sz w:val="20"/>
                <w:szCs w:val="20"/>
                <w:color w:val="auto"/>
              </w:rPr>
            </w:pPr>
            <w:r>
              <w:rPr>
                <w:rFonts w:ascii="Arial" w:cs="Arial" w:eastAsia="Arial" w:hAnsi="Arial"/>
                <w:sz w:val="15"/>
                <w:szCs w:val="15"/>
                <w:color w:val="FF0000"/>
                <w:strike w:val="1"/>
                <w:w w:val="71"/>
              </w:rPr>
              <w:t>77</w:t>
            </w:r>
          </w:p>
        </w:tc>
        <w:tc>
          <w:tcPr>
            <w:tcW w:w="160" w:type="dxa"/>
            <w:vAlign w:val="bottom"/>
            <w:tcBorders>
              <w:bottom w:val="single" w:sz="8" w:color="0000FF"/>
            </w:tcBorders>
            <w:gridSpan w:val="4"/>
            <w:shd w:val="clear" w:color="auto" w:fill="DDDDDD"/>
          </w:tcPr>
          <w:p>
            <w:pPr>
              <w:jc w:val="right"/>
              <w:spacing w:after="0" w:line="162" w:lineRule="exact"/>
              <w:rPr>
                <w:sz w:val="20"/>
                <w:szCs w:val="20"/>
                <w:color w:val="auto"/>
              </w:rPr>
            </w:pPr>
            <w:r>
              <w:rPr>
                <w:rFonts w:ascii="Arial" w:cs="Arial" w:eastAsia="Arial" w:hAnsi="Arial"/>
                <w:sz w:val="17"/>
                <w:szCs w:val="17"/>
                <w:color w:val="0000FF"/>
                <w:highlight w:val="lightGray"/>
                <w:w w:val="73"/>
              </w:rPr>
              <w:t>91</w:t>
            </w:r>
          </w:p>
        </w:tc>
        <w:tc>
          <w:tcPr>
            <w:tcW w:w="1400" w:type="dxa"/>
            <w:vAlign w:val="bottom"/>
            <w:gridSpan w:val="34"/>
          </w:tcPr>
          <w:p>
            <w:pPr>
              <w:spacing w:after="0"/>
              <w:rPr>
                <w:sz w:val="14"/>
                <w:szCs w:val="14"/>
                <w:color w:val="auto"/>
              </w:rPr>
            </w:pPr>
          </w:p>
        </w:tc>
        <w:tc>
          <w:tcPr>
            <w:tcW w:w="180" w:type="dxa"/>
            <w:vAlign w:val="bottom"/>
            <w:tcBorders>
              <w:bottom w:val="single" w:sz="8" w:color="DDDDDD"/>
            </w:tcBorders>
            <w:gridSpan w:val="4"/>
          </w:tcPr>
          <w:p>
            <w:pPr>
              <w:spacing w:after="0"/>
              <w:rPr>
                <w:sz w:val="14"/>
                <w:szCs w:val="14"/>
                <w:color w:val="auto"/>
              </w:rPr>
            </w:pPr>
          </w:p>
        </w:tc>
        <w:tc>
          <w:tcPr>
            <w:tcW w:w="162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6.15</w:t>
            </w:r>
          </w:p>
        </w:tc>
        <w:tc>
          <w:tcPr>
            <w:tcW w:w="2040" w:type="dxa"/>
            <w:vAlign w:val="bottom"/>
            <w:gridSpan w:val="28"/>
          </w:tcPr>
          <w:p>
            <w:pPr>
              <w:ind w:left="160"/>
              <w:spacing w:after="0" w:line="162" w:lineRule="exact"/>
              <w:rPr>
                <w:sz w:val="20"/>
                <w:szCs w:val="20"/>
                <w:color w:val="auto"/>
              </w:rPr>
            </w:pPr>
            <w:r>
              <w:rPr>
                <w:rFonts w:ascii="Arial" w:cs="Arial" w:eastAsia="Arial" w:hAnsi="Arial"/>
                <w:sz w:val="18"/>
                <w:szCs w:val="18"/>
                <w:color w:val="auto"/>
                <w:w w:val="85"/>
              </w:rPr>
              <w:t>Designation of Unrestricted</w:t>
            </w:r>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1100" w:type="dxa"/>
            <w:vAlign w:val="bottom"/>
            <w:gridSpan w:val="27"/>
          </w:tcPr>
          <w:p>
            <w:pPr>
              <w:ind w:left="40"/>
              <w:spacing w:after="0" w:line="162" w:lineRule="exact"/>
              <w:rPr>
                <w:sz w:val="20"/>
                <w:szCs w:val="20"/>
                <w:color w:val="auto"/>
              </w:rPr>
            </w:pPr>
            <w:r>
              <w:rPr>
                <w:rFonts w:ascii="Arial" w:cs="Arial" w:eastAsia="Arial" w:hAnsi="Arial"/>
                <w:sz w:val="18"/>
                <w:szCs w:val="18"/>
                <w:color w:val="auto"/>
              </w:rPr>
              <w:t>Subsidiaries</w:t>
            </w:r>
          </w:p>
        </w:tc>
        <w:tc>
          <w:tcPr>
            <w:tcW w:w="180" w:type="dxa"/>
            <w:vAlign w:val="bottom"/>
            <w:gridSpan w:val="3"/>
          </w:tcPr>
          <w:p>
            <w:pPr>
              <w:spacing w:after="0" w:line="162" w:lineRule="exact"/>
              <w:rPr>
                <w:sz w:val="20"/>
                <w:szCs w:val="20"/>
                <w:color w:val="auto"/>
              </w:rPr>
            </w:pPr>
            <w:r>
              <w:rPr>
                <w:rFonts w:ascii="Arial" w:cs="Arial" w:eastAsia="Arial" w:hAnsi="Arial"/>
                <w:sz w:val="18"/>
                <w:szCs w:val="18"/>
                <w:color w:val="FF0000"/>
                <w:strike w:val="1"/>
                <w:w w:val="79"/>
              </w:rPr>
              <w:t>77</w:t>
            </w:r>
          </w:p>
        </w:tc>
        <w:tc>
          <w:tcPr>
            <w:tcW w:w="180" w:type="dxa"/>
            <w:vAlign w:val="bottom"/>
            <w:tcBorders>
              <w:bottom w:val="single" w:sz="8" w:color="0000FF"/>
            </w:tcBorders>
            <w:gridSpan w:val="4"/>
            <w:shd w:val="clear" w:color="auto" w:fill="DDDDDD"/>
          </w:tcPr>
          <w:p>
            <w:pPr>
              <w:jc w:val="right"/>
              <w:spacing w:after="0" w:line="162" w:lineRule="exact"/>
              <w:rPr>
                <w:sz w:val="20"/>
                <w:szCs w:val="20"/>
                <w:color w:val="auto"/>
              </w:rPr>
            </w:pPr>
            <w:r>
              <w:rPr>
                <w:rFonts w:ascii="Arial" w:cs="Arial" w:eastAsia="Arial" w:hAnsi="Arial"/>
                <w:sz w:val="18"/>
                <w:szCs w:val="18"/>
                <w:color w:val="0000FF"/>
                <w:highlight w:val="lightGray"/>
                <w:w w:val="79"/>
              </w:rPr>
              <w:t>91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ind w:left="200"/>
              <w:spacing w:after="0" w:line="149" w:lineRule="exact"/>
              <w:rPr>
                <w:sz w:val="20"/>
                <w:szCs w:val="20"/>
                <w:color w:val="auto"/>
              </w:rPr>
            </w:pPr>
            <w:r>
              <w:rPr>
                <w:rFonts w:ascii="Arial" w:cs="Arial" w:eastAsia="Arial" w:hAnsi="Arial"/>
                <w:sz w:val="17"/>
                <w:szCs w:val="17"/>
                <w:color w:val="auto"/>
              </w:rPr>
              <w:t>6.16</w:t>
            </w:r>
          </w:p>
        </w:tc>
        <w:tc>
          <w:tcPr>
            <w:tcW w:w="1800" w:type="dxa"/>
            <w:vAlign w:val="bottom"/>
            <w:gridSpan w:val="23"/>
          </w:tcPr>
          <w:p>
            <w:pPr>
              <w:ind w:left="160"/>
              <w:spacing w:after="0" w:line="149" w:lineRule="exact"/>
              <w:rPr>
                <w:sz w:val="20"/>
                <w:szCs w:val="20"/>
                <w:color w:val="auto"/>
              </w:rPr>
            </w:pPr>
            <w:r>
              <w:rPr>
                <w:rFonts w:ascii="Arial" w:cs="Arial" w:eastAsia="Arial" w:hAnsi="Arial"/>
                <w:sz w:val="17"/>
                <w:szCs w:val="17"/>
                <w:color w:val="auto"/>
              </w:rPr>
              <w:t>Springing Collateral</w:t>
            </w:r>
          </w:p>
        </w:tc>
        <w:tc>
          <w:tcPr>
            <w:tcW w:w="180" w:type="dxa"/>
            <w:vAlign w:val="bottom"/>
            <w:gridSpan w:val="4"/>
          </w:tcPr>
          <w:p>
            <w:pPr>
              <w:jc w:val="right"/>
              <w:spacing w:after="0" w:line="149" w:lineRule="exact"/>
              <w:rPr>
                <w:sz w:val="20"/>
                <w:szCs w:val="20"/>
                <w:color w:val="auto"/>
              </w:rPr>
            </w:pPr>
            <w:r>
              <w:rPr>
                <w:rFonts w:ascii="Arial" w:cs="Arial" w:eastAsia="Arial" w:hAnsi="Arial"/>
                <w:sz w:val="17"/>
                <w:szCs w:val="17"/>
                <w:color w:val="FF0000"/>
                <w:strike w:val="1"/>
                <w:w w:val="84"/>
              </w:rPr>
              <w:t>77</w:t>
            </w:r>
          </w:p>
        </w:tc>
        <w:tc>
          <w:tcPr>
            <w:tcW w:w="180" w:type="dxa"/>
            <w:vAlign w:val="bottom"/>
            <w:tcBorders>
              <w:top w:val="single" w:sz="8" w:color="DDDDDD"/>
              <w:bottom w:val="single" w:sz="8" w:color="0000FF"/>
            </w:tcBorders>
            <w:gridSpan w:val="5"/>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84"/>
              </w:rPr>
              <w:t>91</w:t>
            </w:r>
          </w:p>
        </w:tc>
        <w:tc>
          <w:tcPr>
            <w:tcW w:w="20" w:type="dxa"/>
            <w:vAlign w:val="bottom"/>
            <w:tcBorders>
              <w:bottom w:val="single" w:sz="8" w:color="0000FF"/>
            </w:tcBorders>
          </w:tcPr>
          <w:p>
            <w:pPr>
              <w:spacing w:after="0"/>
              <w:rPr>
                <w:sz w:val="13"/>
                <w:szCs w:val="13"/>
                <w:color w:val="auto"/>
              </w:rPr>
            </w:pPr>
          </w:p>
        </w:tc>
        <w:tc>
          <w:tcPr>
            <w:tcW w:w="1260" w:type="dxa"/>
            <w:vAlign w:val="bottom"/>
            <w:gridSpan w:val="29"/>
          </w:tcPr>
          <w:p>
            <w:pPr>
              <w:spacing w:after="0"/>
              <w:rPr>
                <w:sz w:val="13"/>
                <w:szCs w:val="13"/>
                <w:color w:val="auto"/>
              </w:rPr>
            </w:pPr>
          </w:p>
        </w:tc>
        <w:tc>
          <w:tcPr>
            <w:tcW w:w="180" w:type="dxa"/>
            <w:vAlign w:val="bottom"/>
            <w:tcBorders>
              <w:top w:val="single" w:sz="8" w:color="DDDDDD"/>
            </w:tcBorders>
            <w:gridSpan w:val="4"/>
          </w:tcPr>
          <w:p>
            <w:pPr>
              <w:spacing w:after="0"/>
              <w:rPr>
                <w:sz w:val="13"/>
                <w:szCs w:val="13"/>
                <w:color w:val="auto"/>
              </w:rPr>
            </w:pPr>
          </w:p>
        </w:tc>
        <w:tc>
          <w:tcPr>
            <w:tcW w:w="162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gridSpan w:val="2"/>
            <w:vMerge w:val="restart"/>
          </w:tcPr>
          <w:p>
            <w:pPr>
              <w:spacing w:after="0"/>
              <w:rPr>
                <w:sz w:val="20"/>
                <w:szCs w:val="20"/>
                <w:color w:val="auto"/>
              </w:rPr>
            </w:pPr>
            <w:r>
              <w:rPr>
                <w:rFonts w:ascii="Arial" w:cs="Arial" w:eastAsia="Arial" w:hAnsi="Arial"/>
                <w:sz w:val="18"/>
                <w:szCs w:val="18"/>
                <w:color w:val="auto"/>
              </w:rPr>
              <w:t>SECTION 7.</w:t>
            </w:r>
          </w:p>
        </w:tc>
        <w:tc>
          <w:tcPr>
            <w:tcW w:w="2220" w:type="dxa"/>
            <w:vAlign w:val="bottom"/>
            <w:gridSpan w:val="46"/>
            <w:vMerge w:val="restart"/>
          </w:tcPr>
          <w:p>
            <w:pPr>
              <w:spacing w:after="0"/>
              <w:rPr>
                <w:sz w:val="20"/>
                <w:szCs w:val="20"/>
                <w:color w:val="auto"/>
              </w:rPr>
            </w:pPr>
            <w:r>
              <w:rPr>
                <w:rFonts w:ascii="Arial" w:cs="Arial" w:eastAsia="Arial" w:hAnsi="Arial"/>
                <w:sz w:val="18"/>
                <w:szCs w:val="18"/>
                <w:color w:val="auto"/>
              </w:rPr>
              <w:t>NEGATIVE COVENANTS</w:t>
            </w:r>
          </w:p>
        </w:tc>
        <w:tc>
          <w:tcPr>
            <w:tcW w:w="160" w:type="dxa"/>
            <w:vAlign w:val="bottom"/>
            <w:gridSpan w:val="5"/>
            <w:vMerge w:val="restart"/>
          </w:tcPr>
          <w:p>
            <w:pPr>
              <w:jc w:val="right"/>
              <w:spacing w:after="0"/>
              <w:rPr>
                <w:sz w:val="20"/>
                <w:szCs w:val="20"/>
                <w:color w:val="auto"/>
              </w:rPr>
            </w:pPr>
            <w:r>
              <w:rPr>
                <w:rFonts w:ascii="Arial" w:cs="Arial" w:eastAsia="Arial" w:hAnsi="Arial"/>
                <w:sz w:val="17"/>
                <w:szCs w:val="17"/>
                <w:color w:val="FF0000"/>
                <w:strike w:val="1"/>
                <w:w w:val="73"/>
              </w:rPr>
              <w:t>78</w:t>
            </w:r>
          </w:p>
        </w:tc>
        <w:tc>
          <w:tcPr>
            <w:tcW w:w="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2220" w:type="dxa"/>
            <w:vAlign w:val="bottom"/>
            <w:gridSpan w:val="46"/>
            <w:vMerge w:val="continue"/>
          </w:tcPr>
          <w:p>
            <w:pPr>
              <w:spacing w:after="0"/>
              <w:rPr>
                <w:sz w:val="17"/>
                <w:szCs w:val="17"/>
                <w:color w:val="auto"/>
              </w:rPr>
            </w:pPr>
          </w:p>
        </w:tc>
        <w:tc>
          <w:tcPr>
            <w:tcW w:w="160" w:type="dxa"/>
            <w:vAlign w:val="bottom"/>
            <w:gridSpan w:val="5"/>
            <w:vMerge w:val="continue"/>
          </w:tcPr>
          <w:p>
            <w:pPr>
              <w:spacing w:after="0"/>
              <w:rPr>
                <w:sz w:val="17"/>
                <w:szCs w:val="17"/>
                <w:color w:val="auto"/>
              </w:rPr>
            </w:pPr>
          </w:p>
        </w:tc>
        <w:tc>
          <w:tcPr>
            <w:tcW w:w="200" w:type="dxa"/>
            <w:vAlign w:val="bottom"/>
            <w:gridSpan w:val="5"/>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89"/>
              </w:rPr>
              <w:t>92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80" w:type="dxa"/>
            <w:vAlign w:val="bottom"/>
          </w:tcPr>
          <w:p>
            <w:pPr>
              <w:ind w:left="200"/>
              <w:spacing w:after="0" w:line="149" w:lineRule="exact"/>
              <w:rPr>
                <w:sz w:val="20"/>
                <w:szCs w:val="20"/>
                <w:color w:val="auto"/>
              </w:rPr>
            </w:pPr>
            <w:r>
              <w:rPr>
                <w:rFonts w:ascii="Arial" w:cs="Arial" w:eastAsia="Arial" w:hAnsi="Arial"/>
                <w:sz w:val="17"/>
                <w:szCs w:val="17"/>
                <w:color w:val="auto"/>
              </w:rPr>
              <w:t>7.1</w:t>
            </w:r>
          </w:p>
        </w:tc>
        <w:tc>
          <w:tcPr>
            <w:tcW w:w="2360" w:type="dxa"/>
            <w:vAlign w:val="bottom"/>
            <w:gridSpan w:val="37"/>
          </w:tcPr>
          <w:p>
            <w:pPr>
              <w:ind w:left="60"/>
              <w:spacing w:after="0" w:line="149" w:lineRule="exact"/>
              <w:rPr>
                <w:sz w:val="20"/>
                <w:szCs w:val="20"/>
                <w:color w:val="auto"/>
              </w:rPr>
            </w:pPr>
            <w:r>
              <w:rPr>
                <w:rFonts w:ascii="Arial" w:cs="Arial" w:eastAsia="Arial" w:hAnsi="Arial"/>
                <w:sz w:val="17"/>
                <w:szCs w:val="17"/>
                <w:color w:val="auto"/>
                <w:w w:val="98"/>
              </w:rPr>
              <w:t>Financial Condition Covenants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3"/>
          </w:tcPr>
          <w:p>
            <w:pPr>
              <w:jc w:val="right"/>
              <w:spacing w:after="0" w:line="149" w:lineRule="exact"/>
              <w:rPr>
                <w:sz w:val="20"/>
                <w:szCs w:val="20"/>
                <w:color w:val="auto"/>
              </w:rPr>
            </w:pPr>
            <w:r>
              <w:rPr>
                <w:rFonts w:ascii="Arial" w:cs="Arial" w:eastAsia="Arial" w:hAnsi="Arial"/>
                <w:sz w:val="17"/>
                <w:szCs w:val="17"/>
                <w:color w:val="FF0000"/>
                <w:strike w:val="1"/>
                <w:w w:val="94"/>
              </w:rPr>
              <w:t>78</w:t>
            </w:r>
          </w:p>
        </w:tc>
        <w:tc>
          <w:tcPr>
            <w:tcW w:w="180" w:type="dxa"/>
            <w:vAlign w:val="bottom"/>
            <w:tcBorders>
              <w:top w:val="single" w:sz="8" w:color="DDDDDD"/>
              <w:bottom w:val="single" w:sz="8" w:color="0000FF"/>
            </w:tcBorders>
            <w:gridSpan w:val="6"/>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84"/>
              </w:rPr>
              <w:t>92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DDDDDD"/>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DDDDDD"/>
            </w:tcBorders>
          </w:tcPr>
          <w:p>
            <w:pPr>
              <w:spacing w:after="0"/>
              <w:rPr>
                <w:sz w:val="13"/>
                <w:szCs w:val="13"/>
                <w:color w:val="auto"/>
              </w:rPr>
            </w:pPr>
          </w:p>
        </w:tc>
        <w:tc>
          <w:tcPr>
            <w:tcW w:w="20" w:type="dxa"/>
            <w:vAlign w:val="bottom"/>
            <w:tcBorders>
              <w:bottom w:val="single" w:sz="8" w:color="DDDDDD"/>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7.2</w:t>
            </w:r>
          </w:p>
        </w:tc>
        <w:tc>
          <w:tcPr>
            <w:tcW w:w="2840" w:type="dxa"/>
            <w:vAlign w:val="bottom"/>
            <w:gridSpan w:val="48"/>
          </w:tcPr>
          <w:p>
            <w:pPr>
              <w:ind w:left="60"/>
              <w:spacing w:after="0" w:line="162" w:lineRule="exact"/>
              <w:rPr>
                <w:sz w:val="20"/>
                <w:szCs w:val="20"/>
                <w:color w:val="auto"/>
              </w:rPr>
            </w:pPr>
            <w:r>
              <w:rPr>
                <w:rFonts w:ascii="Arial" w:cs="Arial" w:eastAsia="Arial" w:hAnsi="Arial"/>
                <w:sz w:val="18"/>
                <w:szCs w:val="18"/>
                <w:color w:val="auto"/>
                <w:w w:val="87"/>
              </w:rPr>
              <w:t>Restrictions on Intercompany Transfers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180" w:type="dxa"/>
            <w:vAlign w:val="bottom"/>
            <w:gridSpan w:val="5"/>
          </w:tcPr>
          <w:p>
            <w:pPr>
              <w:jc w:val="right"/>
              <w:spacing w:after="0" w:line="162" w:lineRule="exact"/>
              <w:rPr>
                <w:sz w:val="20"/>
                <w:szCs w:val="20"/>
                <w:color w:val="auto"/>
              </w:rPr>
            </w:pPr>
            <w:r>
              <w:rPr>
                <w:rFonts w:ascii="Arial" w:cs="Arial" w:eastAsia="Arial" w:hAnsi="Arial"/>
                <w:sz w:val="18"/>
                <w:szCs w:val="18"/>
                <w:color w:val="FF0000"/>
                <w:strike w:val="1"/>
                <w:w w:val="79"/>
              </w:rPr>
              <w:t>79</w:t>
            </w:r>
          </w:p>
        </w:tc>
        <w:tc>
          <w:tcPr>
            <w:tcW w:w="20" w:type="dxa"/>
            <w:vAlign w:val="bottom"/>
            <w:tcBorders>
              <w:bottom w:val="single" w:sz="8" w:color="0000FF"/>
            </w:tcBorders>
          </w:tcPr>
          <w:p>
            <w:pPr>
              <w:spacing w:after="0"/>
              <w:rPr>
                <w:sz w:val="14"/>
                <w:szCs w:val="14"/>
                <w:color w:val="auto"/>
              </w:rPr>
            </w:pPr>
          </w:p>
        </w:tc>
        <w:tc>
          <w:tcPr>
            <w:tcW w:w="160" w:type="dxa"/>
            <w:vAlign w:val="bottom"/>
            <w:tcBorders>
              <w:left w:val="single" w:sz="8" w:color="DDDDDD"/>
              <w:bottom w:val="single" w:sz="8" w:color="0000FF"/>
            </w:tcBorders>
            <w:gridSpan w:val="2"/>
            <w:shd w:val="clear" w:color="auto" w:fill="DDDDDD"/>
          </w:tcPr>
          <w:p>
            <w:pPr>
              <w:spacing w:after="0" w:line="162" w:lineRule="exact"/>
              <w:rPr>
                <w:sz w:val="20"/>
                <w:szCs w:val="20"/>
                <w:color w:val="auto"/>
              </w:rPr>
            </w:pPr>
            <w:r>
              <w:rPr>
                <w:rFonts w:ascii="Arial" w:cs="Arial" w:eastAsia="Arial" w:hAnsi="Arial"/>
                <w:sz w:val="17"/>
                <w:szCs w:val="17"/>
                <w:color w:val="0000FF"/>
                <w:highlight w:val="lightGray"/>
                <w:w w:val="73"/>
              </w:rPr>
              <w:t>93</w:t>
            </w: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ind w:left="200"/>
              <w:spacing w:after="0" w:line="169" w:lineRule="exact"/>
              <w:rPr>
                <w:sz w:val="20"/>
                <w:szCs w:val="20"/>
                <w:color w:val="auto"/>
              </w:rPr>
            </w:pPr>
            <w:r>
              <w:rPr>
                <w:rFonts w:ascii="Arial" w:cs="Arial" w:eastAsia="Arial" w:hAnsi="Arial"/>
                <w:sz w:val="18"/>
                <w:szCs w:val="18"/>
                <w:color w:val="auto"/>
              </w:rPr>
              <w:t>7.3</w:t>
            </w:r>
          </w:p>
        </w:tc>
        <w:tc>
          <w:tcPr>
            <w:tcW w:w="3280" w:type="dxa"/>
            <w:vAlign w:val="bottom"/>
            <w:gridSpan w:val="60"/>
            <w:vMerge w:val="restart"/>
          </w:tcPr>
          <w:p>
            <w:pPr>
              <w:ind w:left="60"/>
              <w:spacing w:after="0" w:line="169" w:lineRule="exact"/>
              <w:rPr>
                <w:sz w:val="20"/>
                <w:szCs w:val="20"/>
                <w:color w:val="auto"/>
              </w:rPr>
            </w:pPr>
            <w:r>
              <w:rPr>
                <w:rFonts w:ascii="Arial" w:cs="Arial" w:eastAsia="Arial" w:hAnsi="Arial"/>
                <w:sz w:val="18"/>
                <w:szCs w:val="18"/>
                <w:color w:val="auto"/>
                <w:w w:val="92"/>
              </w:rPr>
              <w:t>Merger, Consolidation, Sales of Assets and</w:t>
            </w:r>
          </w:p>
        </w:tc>
        <w:tc>
          <w:tcPr>
            <w:tcW w:w="20" w:type="dxa"/>
            <w:vAlign w:val="bottom"/>
          </w:tcPr>
          <w:p>
            <w:pPr>
              <w:spacing w:after="0" w:line="20" w:lineRule="exact"/>
              <w:rPr>
                <w:sz w:val="1"/>
                <w:szCs w:val="1"/>
                <w:color w:val="auto"/>
              </w:rPr>
            </w:pPr>
          </w:p>
        </w:tc>
        <w:tc>
          <w:tcPr>
            <w:tcW w:w="140" w:type="dxa"/>
            <w:vAlign w:val="bottom"/>
            <w:tcBorders>
              <w:left w:val="single" w:sz="8" w:color="DDDDDD"/>
            </w:tcBorders>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vMerge w:val="restart"/>
          </w:tcPr>
          <w:p>
            <w:pPr>
              <w:jc w:val="right"/>
              <w:spacing w:after="0" w:line="169" w:lineRule="exact"/>
              <w:rPr>
                <w:sz w:val="20"/>
                <w:szCs w:val="20"/>
                <w:color w:val="auto"/>
              </w:rPr>
            </w:pPr>
            <w:r>
              <w:rPr>
                <w:rFonts w:ascii="Arial" w:cs="Arial" w:eastAsia="Arial" w:hAnsi="Arial"/>
                <w:sz w:val="18"/>
                <w:szCs w:val="18"/>
                <w:color w:val="FF0000"/>
                <w:strike w:val="1"/>
              </w:rPr>
              <w:t>79</w:t>
            </w:r>
          </w:p>
        </w:tc>
        <w:tc>
          <w:tcPr>
            <w:tcW w:w="200" w:type="dxa"/>
            <w:vAlign w:val="bottom"/>
            <w:gridSpan w:val="3"/>
            <w:vMerge w:val="restart"/>
            <w:shd w:val="clear" w:color="auto" w:fill="DDDDDD"/>
          </w:tcPr>
          <w:p>
            <w:pPr>
              <w:jc w:val="right"/>
              <w:ind w:right="20"/>
              <w:spacing w:after="0" w:line="169" w:lineRule="exact"/>
              <w:rPr>
                <w:sz w:val="20"/>
                <w:szCs w:val="20"/>
                <w:color w:val="auto"/>
              </w:rPr>
            </w:pPr>
            <w:r>
              <w:rPr>
                <w:rFonts w:ascii="Arial" w:cs="Arial" w:eastAsia="Arial" w:hAnsi="Arial"/>
                <w:sz w:val="18"/>
                <w:szCs w:val="18"/>
                <w:color w:val="0000FF"/>
                <w:highlight w:val="lightGray"/>
                <w:w w:val="79"/>
              </w:rPr>
              <w:t>93</w:t>
            </w:r>
          </w:p>
        </w:tc>
        <w:tc>
          <w:tcPr>
            <w:tcW w:w="0" w:type="dxa"/>
            <w:vAlign w:val="bottom"/>
          </w:tcPr>
          <w:p>
            <w:pPr>
              <w:spacing w:after="0" w:line="20" w:lineRule="exact"/>
              <w:rPr>
                <w:sz w:val="1"/>
                <w:szCs w:val="1"/>
                <w:color w:val="auto"/>
              </w:rPr>
            </w:pPr>
          </w:p>
        </w:tc>
      </w:tr>
      <w:tr>
        <w:trPr>
          <w:trHeight w:val="169"/>
        </w:trPr>
        <w:tc>
          <w:tcPr>
            <w:tcW w:w="580" w:type="dxa"/>
            <w:vAlign w:val="bottom"/>
            <w:vMerge w:val="continue"/>
          </w:tcPr>
          <w:p>
            <w:pPr>
              <w:spacing w:after="0"/>
              <w:rPr>
                <w:sz w:val="14"/>
                <w:szCs w:val="14"/>
                <w:color w:val="auto"/>
              </w:rPr>
            </w:pPr>
          </w:p>
        </w:tc>
        <w:tc>
          <w:tcPr>
            <w:tcW w:w="3280" w:type="dxa"/>
            <w:vAlign w:val="bottom"/>
            <w:gridSpan w:val="60"/>
            <w:vMerge w:val="continue"/>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15"/>
          </w:tcPr>
          <w:p>
            <w:pPr>
              <w:spacing w:after="0" w:line="149" w:lineRule="exact"/>
              <w:rPr>
                <w:sz w:val="20"/>
                <w:szCs w:val="20"/>
                <w:color w:val="auto"/>
              </w:rPr>
            </w:pPr>
            <w:r>
              <w:rPr>
                <w:rFonts w:ascii="Arial" w:cs="Arial" w:eastAsia="Arial" w:hAnsi="Arial"/>
                <w:sz w:val="17"/>
                <w:szCs w:val="17"/>
                <w:color w:val="auto"/>
                <w:w w:val="92"/>
              </w:rPr>
              <w:t>Other Arrangements</w:t>
            </w:r>
          </w:p>
        </w:tc>
        <w:tc>
          <w:tcPr>
            <w:tcW w:w="300" w:type="dxa"/>
            <w:vAlign w:val="bottom"/>
            <w:gridSpan w:val="3"/>
            <w:vMerge w:val="continue"/>
          </w:tcPr>
          <w:p>
            <w:pPr>
              <w:spacing w:after="0"/>
              <w:rPr>
                <w:sz w:val="14"/>
                <w:szCs w:val="14"/>
                <w:color w:val="auto"/>
              </w:rPr>
            </w:pPr>
          </w:p>
        </w:tc>
        <w:tc>
          <w:tcPr>
            <w:tcW w:w="200" w:type="dxa"/>
            <w:vAlign w:val="bottom"/>
            <w:gridSpan w:val="3"/>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ind w:left="200"/>
              <w:spacing w:after="0" w:line="149" w:lineRule="exact"/>
              <w:rPr>
                <w:sz w:val="20"/>
                <w:szCs w:val="20"/>
                <w:color w:val="auto"/>
              </w:rPr>
            </w:pPr>
            <w:r>
              <w:rPr>
                <w:rFonts w:ascii="Arial" w:cs="Arial" w:eastAsia="Arial" w:hAnsi="Arial"/>
                <w:sz w:val="17"/>
                <w:szCs w:val="17"/>
                <w:color w:val="auto"/>
              </w:rPr>
              <w:t>7.4</w:t>
            </w:r>
          </w:p>
        </w:tc>
        <w:tc>
          <w:tcPr>
            <w:tcW w:w="1720" w:type="dxa"/>
            <w:vAlign w:val="bottom"/>
            <w:gridSpan w:val="20"/>
          </w:tcPr>
          <w:p>
            <w:pPr>
              <w:ind w:left="60"/>
              <w:spacing w:after="0" w:line="149" w:lineRule="exact"/>
              <w:rPr>
                <w:sz w:val="20"/>
                <w:szCs w:val="20"/>
                <w:color w:val="auto"/>
              </w:rPr>
            </w:pPr>
            <w:r>
              <w:rPr>
                <w:rFonts w:ascii="Arial" w:cs="Arial" w:eastAsia="Arial" w:hAnsi="Arial"/>
                <w:sz w:val="17"/>
                <w:szCs w:val="17"/>
                <w:color w:val="auto"/>
              </w:rPr>
              <w:t>Restricted Payments</w:t>
            </w:r>
          </w:p>
        </w:tc>
        <w:tc>
          <w:tcPr>
            <w:tcW w:w="180" w:type="dxa"/>
            <w:vAlign w:val="bottom"/>
            <w:gridSpan w:val="5"/>
          </w:tcPr>
          <w:p>
            <w:pPr>
              <w:jc w:val="right"/>
              <w:spacing w:after="0" w:line="149" w:lineRule="exact"/>
              <w:rPr>
                <w:sz w:val="20"/>
                <w:szCs w:val="20"/>
                <w:color w:val="auto"/>
              </w:rPr>
            </w:pPr>
            <w:r>
              <w:rPr>
                <w:rFonts w:ascii="Arial" w:cs="Arial" w:eastAsia="Arial" w:hAnsi="Arial"/>
                <w:sz w:val="17"/>
                <w:szCs w:val="17"/>
                <w:color w:val="FF0000"/>
                <w:strike w:val="1"/>
                <w:w w:val="84"/>
              </w:rPr>
              <w:t>80</w:t>
            </w:r>
          </w:p>
        </w:tc>
        <w:tc>
          <w:tcPr>
            <w:tcW w:w="200" w:type="dxa"/>
            <w:vAlign w:val="bottom"/>
            <w:tcBorders>
              <w:top w:val="single" w:sz="8" w:color="DDDDDD"/>
              <w:bottom w:val="single" w:sz="8" w:color="0000FF"/>
            </w:tcBorders>
            <w:gridSpan w:val="5"/>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84"/>
              </w:rPr>
              <w:t>94</w:t>
            </w:r>
          </w:p>
        </w:tc>
        <w:tc>
          <w:tcPr>
            <w:tcW w:w="1400" w:type="dxa"/>
            <w:vAlign w:val="bottom"/>
            <w:gridSpan w:val="35"/>
          </w:tcPr>
          <w:p>
            <w:pPr>
              <w:spacing w:after="0"/>
              <w:rPr>
                <w:sz w:val="13"/>
                <w:szCs w:val="13"/>
                <w:color w:val="auto"/>
              </w:rPr>
            </w:pPr>
          </w:p>
        </w:tc>
        <w:tc>
          <w:tcPr>
            <w:tcW w:w="160" w:type="dxa"/>
            <w:vAlign w:val="bottom"/>
            <w:tcBorders>
              <w:bottom w:val="single" w:sz="8" w:color="DDDDDD"/>
            </w:tcBorders>
            <w:gridSpan w:val="2"/>
          </w:tcPr>
          <w:p>
            <w:pPr>
              <w:spacing w:after="0"/>
              <w:rPr>
                <w:sz w:val="13"/>
                <w:szCs w:val="13"/>
                <w:color w:val="auto"/>
              </w:rPr>
            </w:pPr>
          </w:p>
        </w:tc>
        <w:tc>
          <w:tcPr>
            <w:tcW w:w="1380" w:type="dxa"/>
            <w:vAlign w:val="bottom"/>
            <w:gridSpan w:val="12"/>
          </w:tcPr>
          <w:p>
            <w:pPr>
              <w:spacing w:after="0"/>
              <w:rPr>
                <w:sz w:val="13"/>
                <w:szCs w:val="13"/>
                <w:color w:val="auto"/>
              </w:rPr>
            </w:pPr>
          </w:p>
        </w:tc>
        <w:tc>
          <w:tcPr>
            <w:tcW w:w="18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DDDDDD"/>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7.5</w:t>
            </w:r>
          </w:p>
        </w:tc>
        <w:tc>
          <w:tcPr>
            <w:tcW w:w="1900" w:type="dxa"/>
            <w:vAlign w:val="bottom"/>
            <w:gridSpan w:val="25"/>
          </w:tcPr>
          <w:p>
            <w:pPr>
              <w:ind w:left="60"/>
              <w:spacing w:after="0" w:line="162" w:lineRule="exact"/>
              <w:rPr>
                <w:sz w:val="20"/>
                <w:szCs w:val="20"/>
                <w:color w:val="auto"/>
              </w:rPr>
            </w:pPr>
            <w:r>
              <w:rPr>
                <w:rFonts w:ascii="Arial" w:cs="Arial" w:eastAsia="Arial" w:hAnsi="Arial"/>
                <w:sz w:val="18"/>
                <w:szCs w:val="18"/>
                <w:color w:val="auto"/>
                <w:w w:val="84"/>
              </w:rPr>
              <w:t>Amendments to Significant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9"/>
          </w:tcPr>
          <w:p>
            <w:pPr>
              <w:jc w:val="right"/>
              <w:ind w:right="56"/>
              <w:spacing w:after="0" w:line="162" w:lineRule="exact"/>
              <w:rPr>
                <w:sz w:val="20"/>
                <w:szCs w:val="20"/>
                <w:color w:val="auto"/>
              </w:rPr>
            </w:pPr>
            <w:r>
              <w:rPr>
                <w:rFonts w:ascii="Arial" w:cs="Arial" w:eastAsia="Arial" w:hAnsi="Arial"/>
                <w:sz w:val="18"/>
                <w:szCs w:val="18"/>
                <w:color w:val="auto"/>
                <w:w w:val="84"/>
              </w:rPr>
              <w:t>Master Leases</w:t>
            </w:r>
          </w:p>
        </w:tc>
        <w:tc>
          <w:tcPr>
            <w:tcW w:w="40" w:type="dxa"/>
            <w:vAlign w:val="bottom"/>
            <w:gridSpan w:val="2"/>
          </w:tcPr>
          <w:p>
            <w:pPr>
              <w:spacing w:after="0"/>
              <w:rPr>
                <w:sz w:val="15"/>
                <w:szCs w:val="15"/>
                <w:color w:val="auto"/>
              </w:rPr>
            </w:pPr>
          </w:p>
        </w:tc>
        <w:tc>
          <w:tcPr>
            <w:tcW w:w="180" w:type="dxa"/>
            <w:vAlign w:val="bottom"/>
            <w:gridSpan w:val="3"/>
          </w:tcPr>
          <w:p>
            <w:pPr>
              <w:jc w:val="right"/>
              <w:spacing w:after="0" w:line="162" w:lineRule="exact"/>
              <w:rPr>
                <w:sz w:val="20"/>
                <w:szCs w:val="20"/>
                <w:color w:val="auto"/>
              </w:rPr>
            </w:pPr>
            <w:r>
              <w:rPr>
                <w:rFonts w:ascii="Arial" w:cs="Arial" w:eastAsia="Arial" w:hAnsi="Arial"/>
                <w:sz w:val="18"/>
                <w:szCs w:val="18"/>
                <w:color w:val="FF0000"/>
                <w:strike w:val="1"/>
                <w:w w:val="79"/>
              </w:rPr>
              <w:t>81</w:t>
            </w:r>
          </w:p>
        </w:tc>
        <w:tc>
          <w:tcPr>
            <w:tcW w:w="20" w:type="dxa"/>
            <w:vAlign w:val="bottom"/>
            <w:tcBorders>
              <w:bottom w:val="single" w:sz="8" w:color="0000FF"/>
            </w:tcBorders>
          </w:tcPr>
          <w:p>
            <w:pPr>
              <w:spacing w:after="0"/>
              <w:rPr>
                <w:sz w:val="15"/>
                <w:szCs w:val="15"/>
                <w:color w:val="auto"/>
              </w:rPr>
            </w:pPr>
          </w:p>
        </w:tc>
        <w:tc>
          <w:tcPr>
            <w:tcW w:w="160" w:type="dxa"/>
            <w:vAlign w:val="bottom"/>
            <w:tcBorders>
              <w:bottom w:val="single" w:sz="8" w:color="0000FF"/>
            </w:tcBorders>
            <w:gridSpan w:val="2"/>
            <w:shd w:val="clear" w:color="auto" w:fill="DDDDDD"/>
          </w:tcPr>
          <w:p>
            <w:pPr>
              <w:jc w:val="right"/>
              <w:spacing w:after="0" w:line="162" w:lineRule="exact"/>
              <w:rPr>
                <w:sz w:val="20"/>
                <w:szCs w:val="20"/>
                <w:color w:val="auto"/>
              </w:rPr>
            </w:pPr>
            <w:r>
              <w:rPr>
                <w:rFonts w:ascii="Arial" w:cs="Arial" w:eastAsia="Arial" w:hAnsi="Arial"/>
                <w:sz w:val="17"/>
                <w:szCs w:val="17"/>
                <w:color w:val="0000FF"/>
                <w:highlight w:val="lightGray"/>
                <w:w w:val="73"/>
              </w:rPr>
              <w:t>95</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ind w:left="200"/>
              <w:spacing w:after="0" w:line="149" w:lineRule="exact"/>
              <w:rPr>
                <w:sz w:val="20"/>
                <w:szCs w:val="20"/>
                <w:color w:val="auto"/>
              </w:rPr>
            </w:pPr>
            <w:r>
              <w:rPr>
                <w:rFonts w:ascii="Arial" w:cs="Arial" w:eastAsia="Arial" w:hAnsi="Arial"/>
                <w:sz w:val="17"/>
                <w:szCs w:val="17"/>
                <w:color w:val="auto"/>
              </w:rPr>
              <w:t>7.6</w:t>
            </w:r>
          </w:p>
        </w:tc>
        <w:tc>
          <w:tcPr>
            <w:tcW w:w="2100" w:type="dxa"/>
            <w:vAlign w:val="bottom"/>
            <w:gridSpan w:val="30"/>
          </w:tcPr>
          <w:p>
            <w:pPr>
              <w:ind w:left="60"/>
              <w:spacing w:after="0" w:line="149" w:lineRule="exact"/>
              <w:rPr>
                <w:sz w:val="20"/>
                <w:szCs w:val="20"/>
                <w:color w:val="auto"/>
              </w:rPr>
            </w:pPr>
            <w:r>
              <w:rPr>
                <w:rFonts w:ascii="Arial" w:cs="Arial" w:eastAsia="Arial" w:hAnsi="Arial"/>
                <w:sz w:val="17"/>
                <w:szCs w:val="17"/>
                <w:color w:val="auto"/>
                <w:w w:val="99"/>
              </w:rPr>
              <w:t>Transactions with Affiliates</w:t>
            </w:r>
          </w:p>
        </w:tc>
        <w:tc>
          <w:tcPr>
            <w:tcW w:w="10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3"/>
          </w:tcPr>
          <w:p>
            <w:pPr>
              <w:jc w:val="right"/>
              <w:spacing w:after="0" w:line="149" w:lineRule="exact"/>
              <w:rPr>
                <w:sz w:val="20"/>
                <w:szCs w:val="20"/>
                <w:color w:val="auto"/>
              </w:rPr>
            </w:pPr>
            <w:r>
              <w:rPr>
                <w:rFonts w:ascii="Arial" w:cs="Arial" w:eastAsia="Arial" w:hAnsi="Arial"/>
                <w:sz w:val="17"/>
                <w:szCs w:val="17"/>
                <w:color w:val="FF0000"/>
                <w:strike w:val="1"/>
                <w:w w:val="73"/>
              </w:rPr>
              <w:t>81</w:t>
            </w:r>
          </w:p>
        </w:tc>
        <w:tc>
          <w:tcPr>
            <w:tcW w:w="180" w:type="dxa"/>
            <w:vAlign w:val="bottom"/>
            <w:tcBorders>
              <w:top w:val="single" w:sz="8" w:color="DDDDDD"/>
            </w:tcBorders>
            <w:gridSpan w:val="3"/>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84"/>
              </w:rPr>
              <w:t>95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DDDDDD"/>
            </w:tcBorders>
          </w:tcPr>
          <w:p>
            <w:pPr>
              <w:spacing w:after="0"/>
              <w:rPr>
                <w:sz w:val="13"/>
                <w:szCs w:val="13"/>
                <w:color w:val="auto"/>
              </w:rPr>
            </w:pPr>
          </w:p>
        </w:tc>
        <w:tc>
          <w:tcPr>
            <w:tcW w:w="40" w:type="dxa"/>
            <w:vAlign w:val="bottom"/>
            <w:tcBorders>
              <w:top w:val="single" w:sz="8" w:color="DDDDDD"/>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7.7</w:t>
            </w:r>
          </w:p>
        </w:tc>
        <w:tc>
          <w:tcPr>
            <w:tcW w:w="1600" w:type="dxa"/>
            <w:vAlign w:val="bottom"/>
            <w:gridSpan w:val="19"/>
          </w:tcPr>
          <w:p>
            <w:pPr>
              <w:ind w:left="60"/>
              <w:spacing w:after="0" w:line="162" w:lineRule="exact"/>
              <w:rPr>
                <w:sz w:val="20"/>
                <w:szCs w:val="20"/>
                <w:color w:val="auto"/>
              </w:rPr>
            </w:pPr>
            <w:r>
              <w:rPr>
                <w:rFonts w:ascii="Arial" w:cs="Arial" w:eastAsia="Arial" w:hAnsi="Arial"/>
                <w:sz w:val="18"/>
                <w:szCs w:val="18"/>
                <w:color w:val="auto"/>
                <w:w w:val="96"/>
              </w:rPr>
              <w:t>Swap Agreements</w:t>
            </w:r>
          </w:p>
        </w:tc>
        <w:tc>
          <w:tcPr>
            <w:tcW w:w="160" w:type="dxa"/>
            <w:vAlign w:val="bottom"/>
            <w:tcBorders>
              <w:right w:val="single" w:sz="8" w:color="DDDDDD"/>
            </w:tcBorders>
            <w:gridSpan w:val="2"/>
          </w:tcPr>
          <w:p>
            <w:pPr>
              <w:spacing w:after="0" w:line="162" w:lineRule="exact"/>
              <w:rPr>
                <w:sz w:val="20"/>
                <w:szCs w:val="20"/>
                <w:color w:val="auto"/>
              </w:rPr>
            </w:pPr>
            <w:r>
              <w:rPr>
                <w:rFonts w:ascii="Arial" w:cs="Arial" w:eastAsia="Arial" w:hAnsi="Arial"/>
                <w:sz w:val="15"/>
                <w:szCs w:val="15"/>
                <w:color w:val="FF0000"/>
                <w:strike w:val="1"/>
                <w:w w:val="71"/>
              </w:rPr>
              <w:t>81</w:t>
            </w:r>
          </w:p>
        </w:tc>
        <w:tc>
          <w:tcPr>
            <w:tcW w:w="160" w:type="dxa"/>
            <w:vAlign w:val="bottom"/>
            <w:tcBorders>
              <w:top w:val="single" w:sz="8" w:color="DDDDDD"/>
              <w:bottom w:val="single" w:sz="8" w:color="0000FF"/>
            </w:tcBorders>
            <w:gridSpan w:val="5"/>
            <w:shd w:val="clear" w:color="auto" w:fill="DDDDDD"/>
          </w:tcPr>
          <w:p>
            <w:pPr>
              <w:jc w:val="right"/>
              <w:spacing w:after="0" w:line="162" w:lineRule="exact"/>
              <w:rPr>
                <w:sz w:val="20"/>
                <w:szCs w:val="20"/>
                <w:color w:val="auto"/>
              </w:rPr>
            </w:pPr>
            <w:r>
              <w:rPr>
                <w:rFonts w:ascii="Arial" w:cs="Arial" w:eastAsia="Arial" w:hAnsi="Arial"/>
                <w:sz w:val="17"/>
                <w:szCs w:val="17"/>
                <w:color w:val="0000FF"/>
                <w:highlight w:val="lightGray"/>
                <w:w w:val="73"/>
              </w:rPr>
              <w:t>95</w:t>
            </w:r>
          </w:p>
        </w:tc>
        <w:tc>
          <w:tcPr>
            <w:tcW w:w="360" w:type="dxa"/>
            <w:vAlign w:val="bottom"/>
            <w:gridSpan w:val="10"/>
          </w:tcPr>
          <w:p>
            <w:pPr>
              <w:spacing w:after="0"/>
              <w:rPr>
                <w:sz w:val="14"/>
                <w:szCs w:val="14"/>
                <w:color w:val="auto"/>
              </w:rPr>
            </w:pPr>
          </w:p>
        </w:tc>
        <w:tc>
          <w:tcPr>
            <w:tcW w:w="140" w:type="dxa"/>
            <w:vAlign w:val="bottom"/>
            <w:tcBorders>
              <w:bottom w:val="single" w:sz="8" w:color="DDDDDD"/>
            </w:tcBorders>
            <w:gridSpan w:val="2"/>
          </w:tcPr>
          <w:p>
            <w:pPr>
              <w:spacing w:after="0"/>
              <w:rPr>
                <w:sz w:val="14"/>
                <w:szCs w:val="14"/>
                <w:color w:val="auto"/>
              </w:rPr>
            </w:pPr>
          </w:p>
        </w:tc>
        <w:tc>
          <w:tcPr>
            <w:tcW w:w="40" w:type="dxa"/>
            <w:vAlign w:val="bottom"/>
            <w:tcBorders>
              <w:top w:val="single" w:sz="8" w:color="0000FF"/>
              <w:bottom w:val="single" w:sz="8" w:color="DDDDDD"/>
            </w:tcBorders>
          </w:tcPr>
          <w:p>
            <w:pPr>
              <w:spacing w:after="0"/>
              <w:rPr>
                <w:sz w:val="14"/>
                <w:szCs w:val="14"/>
                <w:color w:val="auto"/>
              </w:rPr>
            </w:pPr>
          </w:p>
        </w:tc>
        <w:tc>
          <w:tcPr>
            <w:tcW w:w="140" w:type="dxa"/>
            <w:vAlign w:val="bottom"/>
            <w:tcBorders>
              <w:top w:val="single" w:sz="8" w:color="0000FF"/>
            </w:tcBorders>
            <w:gridSpan w:val="2"/>
          </w:tcPr>
          <w:p>
            <w:pPr>
              <w:spacing w:after="0"/>
              <w:rPr>
                <w:sz w:val="14"/>
                <w:szCs w:val="14"/>
                <w:color w:val="auto"/>
              </w:rPr>
            </w:pPr>
          </w:p>
        </w:tc>
        <w:tc>
          <w:tcPr>
            <w:tcW w:w="2640" w:type="dxa"/>
            <w:vAlign w:val="bottom"/>
            <w:gridSpan w:val="4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ind w:left="200"/>
              <w:spacing w:after="0" w:line="162" w:lineRule="exact"/>
              <w:rPr>
                <w:sz w:val="20"/>
                <w:szCs w:val="20"/>
                <w:color w:val="auto"/>
              </w:rPr>
            </w:pPr>
            <w:r>
              <w:rPr>
                <w:rFonts w:ascii="Arial" w:cs="Arial" w:eastAsia="Arial" w:hAnsi="Arial"/>
                <w:sz w:val="18"/>
                <w:szCs w:val="18"/>
                <w:color w:val="auto"/>
              </w:rPr>
              <w:t>7.8</w:t>
            </w:r>
          </w:p>
        </w:tc>
        <w:tc>
          <w:tcPr>
            <w:tcW w:w="1920" w:type="dxa"/>
            <w:vAlign w:val="bottom"/>
            <w:gridSpan w:val="26"/>
          </w:tcPr>
          <w:p>
            <w:pPr>
              <w:ind w:left="60"/>
              <w:spacing w:after="0" w:line="162" w:lineRule="exact"/>
              <w:rPr>
                <w:sz w:val="20"/>
                <w:szCs w:val="20"/>
                <w:color w:val="auto"/>
              </w:rPr>
            </w:pPr>
            <w:r>
              <w:rPr>
                <w:rFonts w:ascii="Arial" w:cs="Arial" w:eastAsia="Arial" w:hAnsi="Arial"/>
                <w:sz w:val="18"/>
                <w:szCs w:val="18"/>
                <w:color w:val="auto"/>
                <w:w w:val="87"/>
              </w:rPr>
              <w:t>Changes in Fiscal Periods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6"/>
          </w:tcPr>
          <w:p>
            <w:pPr>
              <w:ind w:left="20"/>
              <w:spacing w:after="0" w:line="162" w:lineRule="exact"/>
              <w:rPr>
                <w:sz w:val="20"/>
                <w:szCs w:val="20"/>
                <w:color w:val="auto"/>
              </w:rPr>
            </w:pPr>
            <w:r>
              <w:rPr>
                <w:rFonts w:ascii="Arial" w:cs="Arial" w:eastAsia="Arial" w:hAnsi="Arial"/>
                <w:sz w:val="15"/>
                <w:szCs w:val="15"/>
                <w:color w:val="FF0000"/>
                <w:strike w:val="1"/>
                <w:w w:val="71"/>
              </w:rPr>
              <w:t>81</w:t>
            </w:r>
          </w:p>
        </w:tc>
        <w:tc>
          <w:tcPr>
            <w:tcW w:w="180" w:type="dxa"/>
            <w:vAlign w:val="bottom"/>
            <w:tcBorders>
              <w:left w:val="single" w:sz="8" w:color="DDDDDD"/>
            </w:tcBorders>
            <w:gridSpan w:val="3"/>
            <w:shd w:val="clear" w:color="auto" w:fill="DDDDDD"/>
          </w:tcPr>
          <w:p>
            <w:pPr>
              <w:jc w:val="right"/>
              <w:spacing w:after="0" w:line="162" w:lineRule="exact"/>
              <w:rPr>
                <w:sz w:val="20"/>
                <w:szCs w:val="20"/>
                <w:color w:val="auto"/>
              </w:rPr>
            </w:pPr>
            <w:r>
              <w:rPr>
                <w:rFonts w:ascii="Arial" w:cs="Arial" w:eastAsia="Arial" w:hAnsi="Arial"/>
                <w:sz w:val="18"/>
                <w:szCs w:val="18"/>
                <w:color w:val="0000FF"/>
                <w:highlight w:val="lightGray"/>
                <w:w w:val="79"/>
              </w:rPr>
              <w:t>95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ind w:left="200"/>
              <w:spacing w:after="0" w:line="189" w:lineRule="exact"/>
              <w:rPr>
                <w:sz w:val="20"/>
                <w:szCs w:val="20"/>
                <w:color w:val="auto"/>
              </w:rPr>
            </w:pPr>
            <w:r>
              <w:rPr>
                <w:rFonts w:ascii="Arial" w:cs="Arial" w:eastAsia="Arial" w:hAnsi="Arial"/>
                <w:sz w:val="18"/>
                <w:szCs w:val="18"/>
                <w:color w:val="auto"/>
              </w:rPr>
              <w:t>7.9</w:t>
            </w:r>
          </w:p>
        </w:tc>
        <w:tc>
          <w:tcPr>
            <w:tcW w:w="1900" w:type="dxa"/>
            <w:vAlign w:val="bottom"/>
            <w:gridSpan w:val="25"/>
            <w:vMerge w:val="restart"/>
          </w:tcPr>
          <w:p>
            <w:pPr>
              <w:ind w:left="60"/>
              <w:spacing w:after="0" w:line="189" w:lineRule="exact"/>
              <w:rPr>
                <w:sz w:val="20"/>
                <w:szCs w:val="20"/>
                <w:color w:val="auto"/>
              </w:rPr>
            </w:pPr>
            <w:r>
              <w:rPr>
                <w:rFonts w:ascii="Arial" w:cs="Arial" w:eastAsia="Arial" w:hAnsi="Arial"/>
                <w:sz w:val="18"/>
                <w:szCs w:val="18"/>
                <w:color w:val="auto"/>
                <w:w w:val="90"/>
              </w:rPr>
              <w:t>Negative Pledge Clauses</w:t>
            </w:r>
          </w:p>
        </w:tc>
        <w:tc>
          <w:tcPr>
            <w:tcW w:w="300" w:type="dxa"/>
            <w:vAlign w:val="bottom"/>
            <w:gridSpan w:val="9"/>
          </w:tcPr>
          <w:p>
            <w:pPr>
              <w:spacing w:after="0" w:line="20" w:lineRule="exact"/>
              <w:rPr>
                <w:sz w:val="1"/>
                <w:szCs w:val="1"/>
                <w:color w:val="auto"/>
              </w:rPr>
            </w:pPr>
          </w:p>
        </w:tc>
        <w:tc>
          <w:tcPr>
            <w:tcW w:w="80" w:type="dxa"/>
            <w:vAlign w:val="bottom"/>
            <w:tcBorders>
              <w:bottom w:val="single" w:sz="8" w:color="DDDDDD"/>
            </w:tcBorders>
            <w:gridSpan w:val="2"/>
          </w:tcPr>
          <w:p>
            <w:pPr>
              <w:spacing w:after="0" w:line="20" w:lineRule="exact"/>
              <w:rPr>
                <w:sz w:val="1"/>
                <w:szCs w:val="1"/>
                <w:color w:val="auto"/>
              </w:rPr>
            </w:pPr>
          </w:p>
        </w:tc>
        <w:tc>
          <w:tcPr>
            <w:tcW w:w="80" w:type="dxa"/>
            <w:vAlign w:val="bottom"/>
            <w:tcBorders>
              <w:left w:val="single" w:sz="8" w:color="0000FF"/>
              <w:bottom w:val="single" w:sz="8" w:color="DDDDDD"/>
            </w:tcBorders>
            <w:shd w:val="clear" w:color="auto" w:fill="0000FF"/>
          </w:tcPr>
          <w:p>
            <w:pPr>
              <w:spacing w:after="0" w:line="20" w:lineRule="exact"/>
              <w:rPr>
                <w:sz w:val="1"/>
                <w:szCs w:val="1"/>
                <w:color w:val="auto"/>
              </w:rPr>
            </w:pPr>
          </w:p>
        </w:tc>
        <w:tc>
          <w:tcPr>
            <w:tcW w:w="100" w:type="dxa"/>
            <w:vAlign w:val="bottom"/>
            <w:tcBorders>
              <w:left w:val="single" w:sz="8" w:color="0000FF"/>
              <w:bottom w:val="single" w:sz="8" w:color="DDDDDD"/>
            </w:tcBorders>
            <w:gridSpan w:val="2"/>
            <w:shd w:val="clear" w:color="auto" w:fill="0000FF"/>
          </w:tcPr>
          <w:p>
            <w:pPr>
              <w:spacing w:after="0" w:line="20" w:lineRule="exact"/>
              <w:rPr>
                <w:sz w:val="1"/>
                <w:szCs w:val="1"/>
                <w:color w:val="auto"/>
              </w:rPr>
            </w:pPr>
          </w:p>
        </w:tc>
        <w:tc>
          <w:tcPr>
            <w:tcW w:w="2780" w:type="dxa"/>
            <w:vAlign w:val="bottom"/>
            <w:tcBorders>
              <w:left w:val="single" w:sz="8" w:color="0000FF"/>
            </w:tcBorders>
            <w:gridSpan w:val="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80" w:type="dxa"/>
            <w:vAlign w:val="bottom"/>
            <w:vMerge w:val="continue"/>
          </w:tcPr>
          <w:p>
            <w:pPr>
              <w:spacing w:after="0"/>
              <w:rPr>
                <w:sz w:val="12"/>
                <w:szCs w:val="12"/>
                <w:color w:val="auto"/>
              </w:rPr>
            </w:pPr>
          </w:p>
        </w:tc>
        <w:tc>
          <w:tcPr>
            <w:tcW w:w="1900" w:type="dxa"/>
            <w:vAlign w:val="bottom"/>
            <w:gridSpan w:val="25"/>
            <w:vMerge w:val="continue"/>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6"/>
          </w:tcPr>
          <w:p>
            <w:pPr>
              <w:jc w:val="right"/>
              <w:spacing w:after="0" w:line="149" w:lineRule="exact"/>
              <w:rPr>
                <w:sz w:val="20"/>
                <w:szCs w:val="20"/>
                <w:color w:val="auto"/>
              </w:rPr>
            </w:pPr>
            <w:r>
              <w:rPr>
                <w:rFonts w:ascii="Arial" w:cs="Arial" w:eastAsia="Arial" w:hAnsi="Arial"/>
                <w:sz w:val="17"/>
                <w:szCs w:val="17"/>
                <w:color w:val="FF0000"/>
                <w:strike w:val="1"/>
                <w:w w:val="73"/>
              </w:rPr>
              <w:t>81</w:t>
            </w:r>
          </w:p>
        </w:tc>
        <w:tc>
          <w:tcPr>
            <w:tcW w:w="160" w:type="dxa"/>
            <w:vAlign w:val="bottom"/>
            <w:tcBorders>
              <w:left w:val="single" w:sz="8" w:color="DDDDDD"/>
            </w:tcBorders>
            <w:gridSpan w:val="3"/>
            <w:shd w:val="clear" w:color="auto" w:fill="DDDDDD"/>
          </w:tcPr>
          <w:p>
            <w:pPr>
              <w:ind w:left="20"/>
              <w:spacing w:after="0"/>
              <w:rPr>
                <w:sz w:val="20"/>
                <w:szCs w:val="20"/>
                <w:color w:val="auto"/>
              </w:rPr>
            </w:pPr>
            <w:r>
              <w:rPr>
                <w:rFonts w:ascii="Arial" w:cs="Arial" w:eastAsia="Arial" w:hAnsi="Arial"/>
                <w:sz w:val="12"/>
                <w:szCs w:val="12"/>
                <w:color w:val="0000FF"/>
                <w:highlight w:val="lightGray"/>
                <w:w w:val="74"/>
              </w:rPr>
              <w:t>95</w:t>
            </w:r>
          </w:p>
        </w:tc>
        <w:tc>
          <w:tcPr>
            <w:tcW w:w="60" w:type="dxa"/>
            <w:vAlign w:val="bottom"/>
            <w:tcBorders>
              <w:left w:val="single" w:sz="8" w:color="DDDDDD"/>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ind w:left="200"/>
              <w:spacing w:after="0" w:line="189" w:lineRule="exact"/>
              <w:rPr>
                <w:sz w:val="20"/>
                <w:szCs w:val="20"/>
                <w:color w:val="auto"/>
              </w:rPr>
            </w:pPr>
            <w:r>
              <w:rPr>
                <w:rFonts w:ascii="Arial" w:cs="Arial" w:eastAsia="Arial" w:hAnsi="Arial"/>
                <w:sz w:val="18"/>
                <w:szCs w:val="18"/>
                <w:color w:val="auto"/>
              </w:rPr>
              <w:t>7.10</w:t>
            </w:r>
          </w:p>
        </w:tc>
        <w:tc>
          <w:tcPr>
            <w:tcW w:w="2200" w:type="dxa"/>
            <w:vAlign w:val="bottom"/>
            <w:gridSpan w:val="34"/>
            <w:vMerge w:val="restart"/>
          </w:tcPr>
          <w:p>
            <w:pPr>
              <w:ind w:left="160"/>
              <w:spacing w:after="0" w:line="189" w:lineRule="exact"/>
              <w:rPr>
                <w:sz w:val="20"/>
                <w:szCs w:val="20"/>
                <w:color w:val="auto"/>
              </w:rPr>
            </w:pPr>
            <w:r>
              <w:rPr>
                <w:rFonts w:ascii="Arial" w:cs="Arial" w:eastAsia="Arial" w:hAnsi="Arial"/>
                <w:sz w:val="18"/>
                <w:szCs w:val="18"/>
                <w:color w:val="auto"/>
                <w:w w:val="92"/>
              </w:rPr>
              <w:t>Sanctions, Anti-Corruption,</w:t>
            </w:r>
          </w:p>
        </w:tc>
        <w:tc>
          <w:tcPr>
            <w:tcW w:w="60" w:type="dxa"/>
            <w:vAlign w:val="bottom"/>
            <w:tcBorders>
              <w:left w:val="single" w:sz="8" w:color="DDDDDD"/>
              <w:right w:val="single" w:sz="8" w:color="0000FF"/>
            </w:tcBorders>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60" w:type="dxa"/>
            <w:vAlign w:val="bottom"/>
            <w:tcBorders>
              <w:left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vMerge w:val="restart"/>
          </w:tcPr>
          <w:p>
            <w:pPr>
              <w:jc w:val="right"/>
              <w:spacing w:after="0" w:line="189" w:lineRule="exact"/>
              <w:rPr>
                <w:sz w:val="20"/>
                <w:szCs w:val="20"/>
                <w:color w:val="auto"/>
              </w:rPr>
            </w:pPr>
            <w:r>
              <w:rPr>
                <w:rFonts w:ascii="Arial" w:cs="Arial" w:eastAsia="Arial" w:hAnsi="Arial"/>
                <w:sz w:val="18"/>
                <w:szCs w:val="18"/>
                <w:color w:val="FF0000"/>
                <w:strike w:val="1"/>
                <w:w w:val="79"/>
              </w:rPr>
              <w:t>81</w:t>
            </w:r>
          </w:p>
        </w:tc>
        <w:tc>
          <w:tcPr>
            <w:tcW w:w="180" w:type="dxa"/>
            <w:vAlign w:val="bottom"/>
            <w:tcBorders>
              <w:right w:val="single" w:sz="8" w:color="DDDDDD"/>
            </w:tcBorders>
            <w:vMerge w:val="restart"/>
            <w:shd w:val="clear" w:color="auto" w:fill="DDDDDD"/>
          </w:tcPr>
          <w:p>
            <w:pPr>
              <w:jc w:val="right"/>
              <w:spacing w:after="0" w:line="189" w:lineRule="exact"/>
              <w:rPr>
                <w:sz w:val="20"/>
                <w:szCs w:val="20"/>
                <w:color w:val="auto"/>
              </w:rPr>
            </w:pPr>
            <w:r>
              <w:rPr>
                <w:rFonts w:ascii="Arial" w:cs="Arial" w:eastAsia="Arial" w:hAnsi="Arial"/>
                <w:sz w:val="18"/>
                <w:szCs w:val="18"/>
                <w:color w:val="0000FF"/>
                <w:highlight w:val="lightGray"/>
                <w:w w:val="79"/>
              </w:rPr>
              <w:t>96</w:t>
            </w:r>
          </w:p>
        </w:tc>
        <w:tc>
          <w:tcPr>
            <w:tcW w:w="16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580" w:type="dxa"/>
            <w:vAlign w:val="bottom"/>
            <w:vMerge w:val="continue"/>
          </w:tcPr>
          <w:p>
            <w:pPr>
              <w:spacing w:after="0"/>
              <w:rPr>
                <w:sz w:val="15"/>
                <w:szCs w:val="15"/>
                <w:color w:val="auto"/>
              </w:rPr>
            </w:pPr>
          </w:p>
        </w:tc>
        <w:tc>
          <w:tcPr>
            <w:tcW w:w="2200" w:type="dxa"/>
            <w:vAlign w:val="bottom"/>
            <w:gridSpan w:val="34"/>
            <w:vMerge w:val="continue"/>
          </w:tcPr>
          <w:p>
            <w:pPr>
              <w:spacing w:after="0"/>
              <w:rPr>
                <w:sz w:val="15"/>
                <w:szCs w:val="15"/>
                <w:color w:val="auto"/>
              </w:rPr>
            </w:pPr>
          </w:p>
        </w:tc>
        <w:tc>
          <w:tcPr>
            <w:tcW w:w="1940" w:type="dxa"/>
            <w:vAlign w:val="bottom"/>
            <w:gridSpan w:val="38"/>
          </w:tcPr>
          <w:p>
            <w:pPr>
              <w:spacing w:after="0" w:line="162" w:lineRule="exact"/>
              <w:rPr>
                <w:sz w:val="20"/>
                <w:szCs w:val="20"/>
                <w:color w:val="auto"/>
              </w:rPr>
            </w:pPr>
            <w:r>
              <w:rPr>
                <w:rFonts w:ascii="Arial" w:cs="Arial" w:eastAsia="Arial" w:hAnsi="Arial"/>
                <w:sz w:val="18"/>
                <w:szCs w:val="18"/>
                <w:color w:val="auto"/>
              </w:rPr>
              <w:t>Anti-Money Laundering</w:t>
            </w:r>
          </w:p>
        </w:tc>
        <w:tc>
          <w:tcPr>
            <w:tcW w:w="180" w:type="dxa"/>
            <w:vAlign w:val="bottom"/>
            <w:vMerge w:val="continue"/>
          </w:tcPr>
          <w:p>
            <w:pPr>
              <w:spacing w:after="0"/>
              <w:rPr>
                <w:sz w:val="15"/>
                <w:szCs w:val="15"/>
                <w:color w:val="auto"/>
              </w:rPr>
            </w:pPr>
          </w:p>
        </w:tc>
        <w:tc>
          <w:tcPr>
            <w:tcW w:w="180" w:type="dxa"/>
            <w:vAlign w:val="bottom"/>
            <w:tcBorders>
              <w:right w:val="single" w:sz="8" w:color="DDDDDD"/>
            </w:tcBorders>
            <w:vMerge w:val="continue"/>
            <w:shd w:val="clear" w:color="auto" w:fill="DDDDDD"/>
          </w:tcPr>
          <w:p>
            <w:pPr>
              <w:spacing w:after="0"/>
              <w:rPr>
                <w:sz w:val="15"/>
                <w:szCs w:val="15"/>
                <w:color w:val="auto"/>
              </w:rPr>
            </w:pPr>
          </w:p>
        </w:tc>
        <w:tc>
          <w:tcPr>
            <w:tcW w:w="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ind w:left="200"/>
              <w:spacing w:after="0" w:line="149" w:lineRule="exact"/>
              <w:rPr>
                <w:sz w:val="20"/>
                <w:szCs w:val="20"/>
                <w:color w:val="auto"/>
              </w:rPr>
            </w:pPr>
            <w:r>
              <w:rPr>
                <w:rFonts w:ascii="Arial" w:cs="Arial" w:eastAsia="Arial" w:hAnsi="Arial"/>
                <w:sz w:val="17"/>
                <w:szCs w:val="17"/>
                <w:color w:val="auto"/>
              </w:rPr>
              <w:t>7.11</w:t>
            </w:r>
          </w:p>
        </w:tc>
        <w:tc>
          <w:tcPr>
            <w:tcW w:w="1600" w:type="dxa"/>
            <w:vAlign w:val="bottom"/>
            <w:gridSpan w:val="19"/>
          </w:tcPr>
          <w:p>
            <w:pPr>
              <w:ind w:left="160"/>
              <w:spacing w:after="0" w:line="149" w:lineRule="exact"/>
              <w:rPr>
                <w:sz w:val="20"/>
                <w:szCs w:val="20"/>
                <w:color w:val="auto"/>
              </w:rPr>
            </w:pPr>
            <w:r>
              <w:rPr>
                <w:rFonts w:ascii="Arial" w:cs="Arial" w:eastAsia="Arial" w:hAnsi="Arial"/>
                <w:sz w:val="17"/>
                <w:szCs w:val="17"/>
                <w:color w:val="auto"/>
                <w:w w:val="99"/>
              </w:rPr>
              <w:t>Lines of Business</w:t>
            </w:r>
          </w:p>
        </w:tc>
        <w:tc>
          <w:tcPr>
            <w:tcW w:w="180" w:type="dxa"/>
            <w:vAlign w:val="bottom"/>
            <w:gridSpan w:val="3"/>
          </w:tcPr>
          <w:p>
            <w:pPr>
              <w:jc w:val="right"/>
              <w:spacing w:after="0" w:line="149" w:lineRule="exact"/>
              <w:rPr>
                <w:sz w:val="20"/>
                <w:szCs w:val="20"/>
                <w:color w:val="auto"/>
              </w:rPr>
            </w:pPr>
            <w:r>
              <w:rPr>
                <w:rFonts w:ascii="Arial" w:cs="Arial" w:eastAsia="Arial" w:hAnsi="Arial"/>
                <w:sz w:val="17"/>
                <w:szCs w:val="17"/>
                <w:color w:val="FF0000"/>
                <w:strike w:val="1"/>
                <w:w w:val="84"/>
              </w:rPr>
              <w:t>82</w:t>
            </w:r>
          </w:p>
        </w:tc>
        <w:tc>
          <w:tcPr>
            <w:tcW w:w="20" w:type="dxa"/>
            <w:vAlign w:val="bottom"/>
            <w:tcBorders>
              <w:bottom w:val="single" w:sz="8" w:color="0000FF"/>
            </w:tcBorders>
          </w:tcPr>
          <w:p>
            <w:pPr>
              <w:spacing w:after="0"/>
              <w:rPr>
                <w:sz w:val="13"/>
                <w:szCs w:val="13"/>
                <w:color w:val="auto"/>
              </w:rPr>
            </w:pPr>
          </w:p>
        </w:tc>
        <w:tc>
          <w:tcPr>
            <w:tcW w:w="180" w:type="dxa"/>
            <w:vAlign w:val="bottom"/>
            <w:tcBorders>
              <w:top w:val="single" w:sz="8" w:color="DDDDDD"/>
              <w:bottom w:val="single" w:sz="8" w:color="0000FF"/>
              <w:right w:val="single" w:sz="8" w:color="DDDDDD"/>
            </w:tcBorders>
            <w:gridSpan w:val="4"/>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73"/>
              </w:rPr>
              <w:t>96</w:t>
            </w:r>
          </w:p>
        </w:tc>
        <w:tc>
          <w:tcPr>
            <w:tcW w:w="2340" w:type="dxa"/>
            <w:vAlign w:val="bottom"/>
            <w:gridSpan w:val="46"/>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4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139"/>
          </w:cols>
          <w:pgMar w:left="320" w:top="1404" w:right="1440" w:bottom="1440" w:gutter="0" w:footer="0" w:header="0"/>
          <w:type w:val="continuous"/>
        </w:sectPr>
      </w:pPr>
    </w:p>
    <w:bookmarkStart w:id="100" w:name="page101"/>
    <w:bookmarkEnd w:id="100"/>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40" w:type="dxa"/>
            <w:vAlign w:val="bottom"/>
            <w:gridSpan w:val="29"/>
          </w:tcPr>
          <w:p>
            <w:pPr>
              <w:jc w:val="right"/>
              <w:spacing w:after="0"/>
              <w:rPr>
                <w:sz w:val="20"/>
                <w:szCs w:val="20"/>
                <w:color w:val="auto"/>
              </w:rPr>
            </w:pPr>
            <w:r>
              <w:rPr>
                <w:rFonts w:ascii="Arial" w:cs="Arial" w:eastAsia="Arial" w:hAnsi="Arial"/>
                <w:sz w:val="18"/>
                <w:szCs w:val="18"/>
                <w:color w:val="auto"/>
                <w:w w:val="96"/>
              </w:rPr>
              <w:t>SECTION 8.   EVENTS OF DEFAULT</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FF0000"/>
                <w:strike w:val="1"/>
                <w:w w:val="89"/>
              </w:rPr>
              <w:t>82</w:t>
            </w:r>
          </w:p>
        </w:tc>
        <w:tc>
          <w:tcPr>
            <w:tcW w:w="20" w:type="dxa"/>
            <w:vAlign w:val="bottom"/>
            <w:tcBorders>
              <w:bottom w:val="single" w:sz="8" w:color="0000FF"/>
            </w:tcBorders>
          </w:tcPr>
          <w:p>
            <w:pPr>
              <w:spacing w:after="0"/>
              <w:rPr>
                <w:sz w:val="18"/>
                <w:szCs w:val="18"/>
                <w:color w:val="auto"/>
              </w:rPr>
            </w:pPr>
          </w:p>
        </w:tc>
        <w:tc>
          <w:tcPr>
            <w:tcW w:w="160" w:type="dxa"/>
            <w:vAlign w:val="bottom"/>
            <w:tcBorders>
              <w:bottom w:val="single" w:sz="8" w:color="0000FF"/>
            </w:tcBorders>
            <w:gridSpan w:val="3"/>
            <w:shd w:val="clear" w:color="auto" w:fill="DDDDDD"/>
          </w:tcPr>
          <w:p>
            <w:pPr>
              <w:spacing w:after="0"/>
              <w:rPr>
                <w:sz w:val="20"/>
                <w:szCs w:val="20"/>
                <w:color w:val="auto"/>
              </w:rPr>
            </w:pPr>
            <w:r>
              <w:rPr>
                <w:rFonts w:ascii="Arial" w:cs="Arial" w:eastAsia="Arial" w:hAnsi="Arial"/>
                <w:sz w:val="17"/>
                <w:szCs w:val="17"/>
                <w:color w:val="0000FF"/>
                <w:highlight w:val="lightGray"/>
                <w:w w:val="73"/>
              </w:rPr>
              <w:t>96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00" w:type="dxa"/>
            <w:vAlign w:val="bottom"/>
            <w:gridSpan w:val="3"/>
            <w:vMerge w:val="restart"/>
          </w:tcPr>
          <w:p>
            <w:pPr>
              <w:spacing w:after="0"/>
              <w:rPr>
                <w:sz w:val="20"/>
                <w:szCs w:val="20"/>
                <w:color w:val="auto"/>
              </w:rPr>
            </w:pPr>
            <w:r>
              <w:rPr>
                <w:rFonts w:ascii="Arial" w:cs="Arial" w:eastAsia="Arial" w:hAnsi="Arial"/>
                <w:sz w:val="18"/>
                <w:szCs w:val="18"/>
                <w:color w:val="auto"/>
              </w:rPr>
              <w:t>SECTION 9.</w:t>
            </w:r>
          </w:p>
        </w:tc>
        <w:tc>
          <w:tcPr>
            <w:tcW w:w="2820" w:type="dxa"/>
            <w:vAlign w:val="bottom"/>
            <w:gridSpan w:val="44"/>
            <w:vMerge w:val="restart"/>
          </w:tcPr>
          <w:p>
            <w:pPr>
              <w:jc w:val="center"/>
              <w:ind w:right="120"/>
              <w:spacing w:after="0"/>
              <w:rPr>
                <w:sz w:val="20"/>
                <w:szCs w:val="20"/>
                <w:color w:val="auto"/>
              </w:rPr>
            </w:pPr>
            <w:r>
              <w:rPr>
                <w:rFonts w:ascii="Arial" w:cs="Arial" w:eastAsia="Arial" w:hAnsi="Arial"/>
                <w:sz w:val="18"/>
                <w:szCs w:val="18"/>
                <w:color w:val="auto"/>
                <w:w w:val="99"/>
              </w:rPr>
              <w:t>THE ADMINISTRATIVE AGENT</w:t>
            </w:r>
          </w:p>
        </w:tc>
        <w:tc>
          <w:tcPr>
            <w:tcW w:w="180" w:type="dxa"/>
            <w:vAlign w:val="bottom"/>
            <w:gridSpan w:val="2"/>
            <w:vMerge w:val="restart"/>
          </w:tcPr>
          <w:p>
            <w:pPr>
              <w:spacing w:after="0"/>
              <w:rPr>
                <w:sz w:val="20"/>
                <w:szCs w:val="20"/>
                <w:color w:val="auto"/>
              </w:rPr>
            </w:pPr>
            <w:r>
              <w:rPr>
                <w:rFonts w:ascii="Arial" w:cs="Arial" w:eastAsia="Arial" w:hAnsi="Arial"/>
                <w:sz w:val="18"/>
                <w:szCs w:val="18"/>
                <w:color w:val="FF0000"/>
                <w:strike w:val="1"/>
                <w:w w:val="79"/>
              </w:rPr>
              <w:t>85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3"/>
            <w:vMerge w:val="continue"/>
          </w:tcPr>
          <w:p>
            <w:pPr>
              <w:spacing w:after="0"/>
              <w:rPr>
                <w:sz w:val="17"/>
                <w:szCs w:val="17"/>
                <w:color w:val="auto"/>
              </w:rPr>
            </w:pPr>
          </w:p>
        </w:tc>
        <w:tc>
          <w:tcPr>
            <w:tcW w:w="2820" w:type="dxa"/>
            <w:vAlign w:val="bottom"/>
            <w:gridSpan w:val="44"/>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180" w:type="dxa"/>
            <w:vAlign w:val="bottom"/>
            <w:gridSpan w:val="2"/>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79"/>
              </w:rPr>
              <w:t>99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40" w:type="dxa"/>
            <w:vAlign w:val="bottom"/>
          </w:tcPr>
          <w:p>
            <w:pPr>
              <w:ind w:left="200"/>
              <w:spacing w:after="0" w:line="149" w:lineRule="exact"/>
              <w:rPr>
                <w:sz w:val="20"/>
                <w:szCs w:val="20"/>
                <w:color w:val="auto"/>
              </w:rPr>
            </w:pPr>
            <w:r>
              <w:rPr>
                <w:rFonts w:ascii="Arial" w:cs="Arial" w:eastAsia="Arial" w:hAnsi="Arial"/>
                <w:sz w:val="17"/>
                <w:szCs w:val="17"/>
                <w:color w:val="auto"/>
              </w:rPr>
              <w:t>9.1</w:t>
            </w:r>
          </w:p>
        </w:tc>
        <w:tc>
          <w:tcPr>
            <w:tcW w:w="80" w:type="dxa"/>
            <w:vAlign w:val="bottom"/>
          </w:tcPr>
          <w:p>
            <w:pPr>
              <w:spacing w:after="0"/>
              <w:rPr>
                <w:sz w:val="13"/>
                <w:szCs w:val="13"/>
                <w:color w:val="auto"/>
              </w:rPr>
            </w:pPr>
          </w:p>
        </w:tc>
        <w:tc>
          <w:tcPr>
            <w:tcW w:w="2040" w:type="dxa"/>
            <w:vAlign w:val="bottom"/>
            <w:gridSpan w:val="17"/>
          </w:tcPr>
          <w:p>
            <w:pPr>
              <w:ind w:left="20"/>
              <w:spacing w:after="0" w:line="149" w:lineRule="exact"/>
              <w:rPr>
                <w:sz w:val="20"/>
                <w:szCs w:val="20"/>
                <w:color w:val="auto"/>
              </w:rPr>
            </w:pPr>
            <w:r>
              <w:rPr>
                <w:rFonts w:ascii="Arial" w:cs="Arial" w:eastAsia="Arial" w:hAnsi="Arial"/>
                <w:sz w:val="17"/>
                <w:szCs w:val="17"/>
                <w:color w:val="auto"/>
              </w:rPr>
              <w:t>Authorization and Action</w:t>
            </w:r>
          </w:p>
        </w:tc>
        <w:tc>
          <w:tcPr>
            <w:tcW w:w="180" w:type="dxa"/>
            <w:vAlign w:val="bottom"/>
            <w:gridSpan w:val="4"/>
          </w:tcPr>
          <w:p>
            <w:pPr>
              <w:jc w:val="center"/>
              <w:spacing w:after="0" w:line="149" w:lineRule="exact"/>
              <w:rPr>
                <w:sz w:val="20"/>
                <w:szCs w:val="20"/>
                <w:color w:val="auto"/>
              </w:rPr>
            </w:pPr>
            <w:r>
              <w:rPr>
                <w:rFonts w:ascii="Arial" w:cs="Arial" w:eastAsia="Arial" w:hAnsi="Arial"/>
                <w:sz w:val="17"/>
                <w:szCs w:val="17"/>
                <w:color w:val="FF0000"/>
                <w:strike w:val="1"/>
                <w:w w:val="94"/>
              </w:rPr>
              <w:t>85</w:t>
            </w:r>
          </w:p>
        </w:tc>
        <w:tc>
          <w:tcPr>
            <w:tcW w:w="200" w:type="dxa"/>
            <w:vAlign w:val="bottom"/>
            <w:tcBorders>
              <w:top w:val="single" w:sz="8" w:color="DDDDDD"/>
              <w:bottom w:val="single" w:sz="8" w:color="0000FF"/>
              <w:right w:val="single" w:sz="8" w:color="DDDDDD"/>
            </w:tcBorders>
            <w:gridSpan w:val="6"/>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84"/>
              </w:rPr>
              <w:t>99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DDDDDD"/>
            </w:tcBorders>
          </w:tcPr>
          <w:p>
            <w:pPr>
              <w:spacing w:after="0"/>
              <w:rPr>
                <w:sz w:val="13"/>
                <w:szCs w:val="13"/>
                <w:color w:val="auto"/>
              </w:rPr>
            </w:pPr>
          </w:p>
        </w:tc>
        <w:tc>
          <w:tcPr>
            <w:tcW w:w="40" w:type="dxa"/>
            <w:vAlign w:val="bottom"/>
            <w:tcBorders>
              <w:bottom w:val="single" w:sz="8" w:color="DDDDDD"/>
            </w:tcBorders>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40" w:type="dxa"/>
            <w:vAlign w:val="bottom"/>
          </w:tcPr>
          <w:p>
            <w:pPr>
              <w:ind w:left="200"/>
              <w:spacing w:after="0" w:line="162" w:lineRule="exact"/>
              <w:rPr>
                <w:sz w:val="20"/>
                <w:szCs w:val="20"/>
                <w:color w:val="auto"/>
              </w:rPr>
            </w:pPr>
            <w:r>
              <w:rPr>
                <w:rFonts w:ascii="Arial" w:cs="Arial" w:eastAsia="Arial" w:hAnsi="Arial"/>
                <w:sz w:val="18"/>
                <w:szCs w:val="18"/>
                <w:color w:val="auto"/>
              </w:rPr>
              <w:t>9.2</w:t>
            </w:r>
          </w:p>
        </w:tc>
        <w:tc>
          <w:tcPr>
            <w:tcW w:w="2500" w:type="dxa"/>
            <w:vAlign w:val="bottom"/>
            <w:gridSpan w:val="28"/>
          </w:tcPr>
          <w:p>
            <w:pPr>
              <w:ind w:left="100"/>
              <w:spacing w:after="0" w:line="162" w:lineRule="exact"/>
              <w:rPr>
                <w:sz w:val="20"/>
                <w:szCs w:val="20"/>
                <w:color w:val="auto"/>
              </w:rPr>
            </w:pPr>
            <w:r>
              <w:rPr>
                <w:rFonts w:ascii="Arial" w:cs="Arial" w:eastAsia="Arial" w:hAnsi="Arial"/>
                <w:sz w:val="18"/>
                <w:szCs w:val="18"/>
                <w:color w:val="auto"/>
                <w:w w:val="91"/>
              </w:rPr>
              <w:t>Administrative Agent’s Reliance,</w:t>
            </w:r>
          </w:p>
        </w:tc>
        <w:tc>
          <w:tcPr>
            <w:tcW w:w="2220" w:type="dxa"/>
            <w:vAlign w:val="bottom"/>
            <w:gridSpan w:val="32"/>
          </w:tcPr>
          <w:p>
            <w:pPr>
              <w:ind w:left="60"/>
              <w:spacing w:after="0" w:line="162" w:lineRule="exact"/>
              <w:rPr>
                <w:sz w:val="20"/>
                <w:szCs w:val="20"/>
                <w:color w:val="auto"/>
              </w:rPr>
            </w:pPr>
            <w:r>
              <w:rPr>
                <w:rFonts w:ascii="Arial" w:cs="Arial" w:eastAsia="Arial" w:hAnsi="Arial"/>
                <w:sz w:val="18"/>
                <w:szCs w:val="18"/>
                <w:color w:val="auto"/>
              </w:rPr>
              <w:t>Limitation of Liability, Etc.</w:t>
            </w:r>
          </w:p>
        </w:tc>
        <w:tc>
          <w:tcPr>
            <w:tcW w:w="180" w:type="dxa"/>
            <w:vAlign w:val="bottom"/>
            <w:gridSpan w:val="4"/>
          </w:tcPr>
          <w:p>
            <w:pPr>
              <w:jc w:val="right"/>
              <w:spacing w:after="0" w:line="162" w:lineRule="exact"/>
              <w:rPr>
                <w:sz w:val="20"/>
                <w:szCs w:val="20"/>
                <w:color w:val="auto"/>
              </w:rPr>
            </w:pPr>
            <w:r>
              <w:rPr>
                <w:rFonts w:ascii="Arial" w:cs="Arial" w:eastAsia="Arial" w:hAnsi="Arial"/>
                <w:sz w:val="18"/>
                <w:szCs w:val="18"/>
                <w:color w:val="FF0000"/>
                <w:strike w:val="1"/>
                <w:w w:val="79"/>
              </w:rPr>
              <w:t>87</w:t>
            </w:r>
          </w:p>
        </w:tc>
        <w:tc>
          <w:tcPr>
            <w:tcW w:w="260" w:type="dxa"/>
            <w:vAlign w:val="bottom"/>
            <w:tcBorders>
              <w:bottom w:val="single" w:sz="8" w:color="0000FF"/>
            </w:tcBorders>
            <w:gridSpan w:val="2"/>
            <w:shd w:val="clear" w:color="auto" w:fill="DDDDDD"/>
          </w:tcPr>
          <w:p>
            <w:pPr>
              <w:jc w:val="right"/>
              <w:spacing w:after="0" w:line="162" w:lineRule="exact"/>
              <w:rPr>
                <w:sz w:val="20"/>
                <w:szCs w:val="20"/>
                <w:color w:val="auto"/>
              </w:rPr>
            </w:pPr>
            <w:r>
              <w:rPr>
                <w:rFonts w:ascii="Arial" w:cs="Arial" w:eastAsia="Arial" w:hAnsi="Arial"/>
                <w:sz w:val="18"/>
                <w:szCs w:val="18"/>
                <w:color w:val="0000FF"/>
                <w:highlight w:val="lightGray"/>
                <w:w w:val="79"/>
              </w:rPr>
              <w:t>101</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40" w:type="dxa"/>
            <w:vAlign w:val="bottom"/>
          </w:tcPr>
          <w:p>
            <w:pPr>
              <w:ind w:left="200"/>
              <w:spacing w:after="0" w:line="149" w:lineRule="exact"/>
              <w:rPr>
                <w:sz w:val="20"/>
                <w:szCs w:val="20"/>
                <w:color w:val="auto"/>
              </w:rPr>
            </w:pPr>
            <w:r>
              <w:rPr>
                <w:rFonts w:ascii="Arial" w:cs="Arial" w:eastAsia="Arial" w:hAnsi="Arial"/>
                <w:sz w:val="17"/>
                <w:szCs w:val="17"/>
                <w:color w:val="auto"/>
              </w:rPr>
              <w:t>9.3</w:t>
            </w:r>
          </w:p>
        </w:tc>
        <w:tc>
          <w:tcPr>
            <w:tcW w:w="80" w:type="dxa"/>
            <w:vAlign w:val="bottom"/>
          </w:tcPr>
          <w:p>
            <w:pPr>
              <w:spacing w:after="0"/>
              <w:rPr>
                <w:sz w:val="12"/>
                <w:szCs w:val="12"/>
                <w:color w:val="auto"/>
              </w:rPr>
            </w:pPr>
          </w:p>
        </w:tc>
        <w:tc>
          <w:tcPr>
            <w:tcW w:w="2040" w:type="dxa"/>
            <w:vAlign w:val="bottom"/>
            <w:gridSpan w:val="17"/>
          </w:tcPr>
          <w:p>
            <w:pPr>
              <w:ind w:left="20"/>
              <w:spacing w:after="0" w:line="149" w:lineRule="exact"/>
              <w:rPr>
                <w:sz w:val="20"/>
                <w:szCs w:val="20"/>
                <w:color w:val="auto"/>
              </w:rPr>
            </w:pPr>
            <w:r>
              <w:rPr>
                <w:rFonts w:ascii="Arial" w:cs="Arial" w:eastAsia="Arial" w:hAnsi="Arial"/>
                <w:sz w:val="17"/>
                <w:szCs w:val="17"/>
                <w:color w:val="auto"/>
                <w:w w:val="95"/>
              </w:rPr>
              <w:t>Posting of Communications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right w:val="single" w:sz="8" w:color="DDDDDD"/>
            </w:tcBorders>
            <w:gridSpan w:val="7"/>
          </w:tcPr>
          <w:p>
            <w:pPr>
              <w:jc w:val="right"/>
              <w:spacing w:after="0" w:line="149" w:lineRule="exact"/>
              <w:rPr>
                <w:sz w:val="20"/>
                <w:szCs w:val="20"/>
                <w:color w:val="auto"/>
              </w:rPr>
            </w:pPr>
            <w:r>
              <w:rPr>
                <w:rFonts w:ascii="Arial" w:cs="Arial" w:eastAsia="Arial" w:hAnsi="Arial"/>
                <w:sz w:val="17"/>
                <w:szCs w:val="17"/>
                <w:color w:val="FF0000"/>
                <w:strike w:val="1"/>
                <w:w w:val="94"/>
              </w:rPr>
              <w:t>88</w:t>
            </w:r>
          </w:p>
        </w:tc>
        <w:tc>
          <w:tcPr>
            <w:tcW w:w="220" w:type="dxa"/>
            <w:vAlign w:val="bottom"/>
            <w:tcBorders>
              <w:top w:val="single" w:sz="8" w:color="DDDDDD"/>
              <w:bottom w:val="single" w:sz="8" w:color="0000FF"/>
            </w:tcBorders>
            <w:gridSpan w:val="3"/>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77"/>
              </w:rPr>
              <w:t>102</w:t>
            </w:r>
          </w:p>
        </w:tc>
        <w:tc>
          <w:tcPr>
            <w:tcW w:w="60" w:type="dxa"/>
            <w:vAlign w:val="bottom"/>
            <w:tcBorders>
              <w:left w:val="single" w:sz="8" w:color="DDDDDD"/>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DDDDDD"/>
            </w:tcBorders>
          </w:tcPr>
          <w:p>
            <w:pPr>
              <w:spacing w:after="0"/>
              <w:rPr>
                <w:sz w:val="12"/>
                <w:szCs w:val="12"/>
                <w:color w:val="auto"/>
              </w:rPr>
            </w:pPr>
          </w:p>
        </w:tc>
        <w:tc>
          <w:tcPr>
            <w:tcW w:w="40" w:type="dxa"/>
            <w:vAlign w:val="bottom"/>
            <w:tcBorders>
              <w:top w:val="single" w:sz="8" w:color="DDDDDD"/>
            </w:tcBorders>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ind w:left="200"/>
              <w:spacing w:after="0" w:line="169" w:lineRule="exact"/>
              <w:rPr>
                <w:sz w:val="20"/>
                <w:szCs w:val="20"/>
                <w:color w:val="auto"/>
              </w:rPr>
            </w:pPr>
            <w:r>
              <w:rPr>
                <w:rFonts w:ascii="Arial" w:cs="Arial" w:eastAsia="Arial" w:hAnsi="Arial"/>
                <w:sz w:val="18"/>
                <w:szCs w:val="18"/>
                <w:color w:val="auto"/>
              </w:rPr>
              <w:t>9.4</w:t>
            </w:r>
          </w:p>
        </w:tc>
        <w:tc>
          <w:tcPr>
            <w:tcW w:w="2500" w:type="dxa"/>
            <w:vAlign w:val="bottom"/>
            <w:tcBorders>
              <w:right w:val="single" w:sz="8" w:color="DDDDDD"/>
            </w:tcBorders>
            <w:gridSpan w:val="28"/>
          </w:tcPr>
          <w:p>
            <w:pPr>
              <w:spacing w:after="0" w:line="20" w:lineRule="exact"/>
              <w:rPr>
                <w:sz w:val="1"/>
                <w:szCs w:val="1"/>
                <w:color w:val="auto"/>
              </w:rPr>
            </w:pPr>
          </w:p>
        </w:tc>
        <w:tc>
          <w:tcPr>
            <w:tcW w:w="220" w:type="dxa"/>
            <w:vAlign w:val="bottom"/>
            <w:gridSpan w:val="3"/>
            <w:shd w:val="clear" w:color="auto" w:fill="DDDDDD"/>
          </w:tcPr>
          <w:p>
            <w:pPr>
              <w:spacing w:after="0" w:line="20" w:lineRule="exact"/>
              <w:rPr>
                <w:sz w:val="1"/>
                <w:szCs w:val="1"/>
                <w:color w:val="auto"/>
              </w:rPr>
            </w:pPr>
          </w:p>
        </w:tc>
        <w:tc>
          <w:tcPr>
            <w:tcW w:w="380" w:type="dxa"/>
            <w:vAlign w:val="bottom"/>
            <w:tcBorders>
              <w:left w:val="single" w:sz="8" w:color="DDDDDD"/>
            </w:tcBorders>
            <w:gridSpan w:val="9"/>
          </w:tcPr>
          <w:p>
            <w:pPr>
              <w:spacing w:after="0" w:line="20" w:lineRule="exact"/>
              <w:rPr>
                <w:sz w:val="1"/>
                <w:szCs w:val="1"/>
                <w:color w:val="auto"/>
              </w:rPr>
            </w:pPr>
          </w:p>
        </w:tc>
        <w:tc>
          <w:tcPr>
            <w:tcW w:w="180" w:type="dxa"/>
            <w:vAlign w:val="bottom"/>
            <w:gridSpan w:val="4"/>
            <w:vMerge w:val="restart"/>
          </w:tcPr>
          <w:p>
            <w:pPr>
              <w:jc w:val="right"/>
              <w:spacing w:after="0" w:line="169" w:lineRule="exact"/>
              <w:rPr>
                <w:sz w:val="20"/>
                <w:szCs w:val="20"/>
                <w:color w:val="auto"/>
              </w:rPr>
            </w:pPr>
            <w:r>
              <w:rPr>
                <w:rFonts w:ascii="Arial" w:cs="Arial" w:eastAsia="Arial" w:hAnsi="Arial"/>
                <w:sz w:val="18"/>
                <w:szCs w:val="18"/>
                <w:color w:val="FF0000"/>
                <w:strike w:val="1"/>
                <w:w w:val="79"/>
              </w:rPr>
              <w:t>89</w:t>
            </w:r>
          </w:p>
        </w:tc>
        <w:tc>
          <w:tcPr>
            <w:tcW w:w="260" w:type="dxa"/>
            <w:vAlign w:val="bottom"/>
            <w:gridSpan w:val="3"/>
            <w:vMerge w:val="restart"/>
            <w:shd w:val="clear" w:color="auto" w:fill="DDDDDD"/>
          </w:tcPr>
          <w:p>
            <w:pPr>
              <w:jc w:val="right"/>
              <w:spacing w:after="0" w:line="169" w:lineRule="exact"/>
              <w:rPr>
                <w:sz w:val="20"/>
                <w:szCs w:val="20"/>
                <w:color w:val="auto"/>
              </w:rPr>
            </w:pPr>
            <w:r>
              <w:rPr>
                <w:rFonts w:ascii="Arial" w:cs="Arial" w:eastAsia="Arial" w:hAnsi="Arial"/>
                <w:sz w:val="18"/>
                <w:szCs w:val="18"/>
                <w:color w:val="0000FF"/>
                <w:highlight w:val="lightGray"/>
                <w:w w:val="79"/>
              </w:rPr>
              <w:t>103</w:t>
            </w:r>
          </w:p>
        </w:tc>
        <w:tc>
          <w:tcPr>
            <w:tcW w:w="20" w:type="dxa"/>
            <w:vAlign w:val="bottom"/>
            <w:vMerge w:val="restart"/>
          </w:tcPr>
          <w:p>
            <w:pPr>
              <w:spacing w:after="0" w:line="20" w:lineRule="exact"/>
              <w:rPr>
                <w:sz w:val="1"/>
                <w:szCs w:val="1"/>
                <w:color w:val="auto"/>
              </w:rPr>
            </w:pPr>
          </w:p>
        </w:tc>
        <w:tc>
          <w:tcPr>
            <w:tcW w:w="292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30"/>
          </w:tcPr>
          <w:p>
            <w:pPr>
              <w:ind w:left="20"/>
              <w:spacing w:after="0" w:line="149" w:lineRule="exact"/>
              <w:rPr>
                <w:sz w:val="20"/>
                <w:szCs w:val="20"/>
                <w:color w:val="auto"/>
              </w:rPr>
            </w:pPr>
            <w:r>
              <w:rPr>
                <w:rFonts w:ascii="Arial" w:cs="Arial" w:eastAsia="Arial" w:hAnsi="Arial"/>
                <w:sz w:val="17"/>
                <w:szCs w:val="17"/>
                <w:color w:val="auto"/>
                <w:w w:val="92"/>
              </w:rPr>
              <w:t>The Administrative Agent Individually</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4"/>
            <w:vMerge w:val="continue"/>
          </w:tcPr>
          <w:p>
            <w:pPr>
              <w:spacing w:after="0"/>
              <w:rPr>
                <w:sz w:val="14"/>
                <w:szCs w:val="14"/>
                <w:color w:val="auto"/>
              </w:rPr>
            </w:pPr>
          </w:p>
        </w:tc>
        <w:tc>
          <w:tcPr>
            <w:tcW w:w="260" w:type="dxa"/>
            <w:vAlign w:val="bottom"/>
            <w:tcBorders>
              <w:bottom w:val="single" w:sz="8" w:color="0000FF"/>
            </w:tcBorders>
            <w:gridSpan w:val="3"/>
            <w:vMerge w:val="continue"/>
            <w:shd w:val="clear" w:color="auto" w:fill="DDDDDD"/>
          </w:tcPr>
          <w:p>
            <w:pPr>
              <w:spacing w:after="0"/>
              <w:rPr>
                <w:sz w:val="14"/>
                <w:szCs w:val="14"/>
                <w:color w:val="auto"/>
              </w:rPr>
            </w:pPr>
          </w:p>
        </w:tc>
        <w:tc>
          <w:tcPr>
            <w:tcW w:w="2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0" w:type="dxa"/>
            <w:vAlign w:val="bottom"/>
          </w:tcPr>
          <w:p>
            <w:pPr>
              <w:ind w:left="200"/>
              <w:spacing w:after="0" w:line="149" w:lineRule="exact"/>
              <w:rPr>
                <w:sz w:val="20"/>
                <w:szCs w:val="20"/>
                <w:color w:val="auto"/>
              </w:rPr>
            </w:pPr>
            <w:r>
              <w:rPr>
                <w:rFonts w:ascii="Arial" w:cs="Arial" w:eastAsia="Arial" w:hAnsi="Arial"/>
                <w:sz w:val="17"/>
                <w:szCs w:val="17"/>
                <w:color w:val="auto"/>
              </w:rPr>
              <w:t>9.5</w:t>
            </w:r>
          </w:p>
        </w:tc>
        <w:tc>
          <w:tcPr>
            <w:tcW w:w="80" w:type="dxa"/>
            <w:vAlign w:val="bottom"/>
          </w:tcPr>
          <w:p>
            <w:pPr>
              <w:spacing w:after="0"/>
              <w:rPr>
                <w:sz w:val="13"/>
                <w:szCs w:val="13"/>
                <w:color w:val="auto"/>
              </w:rPr>
            </w:pPr>
          </w:p>
        </w:tc>
        <w:tc>
          <w:tcPr>
            <w:tcW w:w="2420" w:type="dxa"/>
            <w:vAlign w:val="bottom"/>
            <w:gridSpan w:val="27"/>
          </w:tcPr>
          <w:p>
            <w:pPr>
              <w:ind w:left="20"/>
              <w:spacing w:after="0" w:line="149" w:lineRule="exact"/>
              <w:rPr>
                <w:sz w:val="20"/>
                <w:szCs w:val="20"/>
                <w:color w:val="auto"/>
              </w:rPr>
            </w:pPr>
            <w:r>
              <w:rPr>
                <w:rFonts w:ascii="Arial" w:cs="Arial" w:eastAsia="Arial" w:hAnsi="Arial"/>
                <w:sz w:val="17"/>
                <w:szCs w:val="17"/>
                <w:color w:val="auto"/>
                <w:w w:val="98"/>
              </w:rPr>
              <w:t>Successor Administrative Agent</w:t>
            </w:r>
          </w:p>
        </w:tc>
        <w:tc>
          <w:tcPr>
            <w:tcW w:w="80" w:type="dxa"/>
            <w:vAlign w:val="bottom"/>
          </w:tcPr>
          <w:p>
            <w:pPr>
              <w:spacing w:after="0"/>
              <w:rPr>
                <w:sz w:val="13"/>
                <w:szCs w:val="13"/>
                <w:color w:val="auto"/>
              </w:rPr>
            </w:pPr>
          </w:p>
        </w:tc>
        <w:tc>
          <w:tcPr>
            <w:tcW w:w="220" w:type="dxa"/>
            <w:vAlign w:val="bottom"/>
            <w:gridSpan w:val="4"/>
          </w:tcPr>
          <w:p>
            <w:pPr>
              <w:jc w:val="right"/>
              <w:ind w:right="20"/>
              <w:spacing w:after="0" w:line="149" w:lineRule="exact"/>
              <w:rPr>
                <w:sz w:val="20"/>
                <w:szCs w:val="20"/>
                <w:color w:val="auto"/>
              </w:rPr>
            </w:pPr>
            <w:r>
              <w:rPr>
                <w:rFonts w:ascii="Arial" w:cs="Arial" w:eastAsia="Arial" w:hAnsi="Arial"/>
                <w:sz w:val="17"/>
                <w:szCs w:val="17"/>
                <w:color w:val="FF0000"/>
                <w:strike w:val="1"/>
                <w:w w:val="94"/>
              </w:rPr>
              <w:t>89</w:t>
            </w:r>
          </w:p>
        </w:tc>
        <w:tc>
          <w:tcPr>
            <w:tcW w:w="260" w:type="dxa"/>
            <w:vAlign w:val="bottom"/>
            <w:tcBorders>
              <w:top w:val="single" w:sz="8" w:color="DDDDDD"/>
              <w:bottom w:val="single" w:sz="8" w:color="0000FF"/>
            </w:tcBorders>
            <w:gridSpan w:val="6"/>
            <w:shd w:val="clear" w:color="auto" w:fill="DDDDDD"/>
          </w:tcPr>
          <w:p>
            <w:pPr>
              <w:spacing w:after="0" w:line="149" w:lineRule="exact"/>
              <w:rPr>
                <w:sz w:val="20"/>
                <w:szCs w:val="20"/>
                <w:color w:val="auto"/>
              </w:rPr>
            </w:pPr>
            <w:r>
              <w:rPr>
                <w:rFonts w:ascii="Arial" w:cs="Arial" w:eastAsia="Arial" w:hAnsi="Arial"/>
                <w:sz w:val="17"/>
                <w:szCs w:val="17"/>
                <w:color w:val="0000FF"/>
                <w:highlight w:val="lightGray"/>
                <w:w w:val="84"/>
              </w:rPr>
              <w:t>103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DDDDDD"/>
            </w:tcBorders>
          </w:tcPr>
          <w:p>
            <w:pPr>
              <w:spacing w:after="0"/>
              <w:rPr>
                <w:sz w:val="13"/>
                <w:szCs w:val="13"/>
                <w:color w:val="auto"/>
              </w:rPr>
            </w:pPr>
          </w:p>
        </w:tc>
        <w:tc>
          <w:tcPr>
            <w:tcW w:w="80" w:type="dxa"/>
            <w:vAlign w:val="bottom"/>
            <w:tcBorders>
              <w:top w:val="single" w:sz="8" w:color="DDDDDD"/>
            </w:tcBorders>
          </w:tcPr>
          <w:p>
            <w:pPr>
              <w:spacing w:after="0"/>
              <w:rPr>
                <w:sz w:val="13"/>
                <w:szCs w:val="13"/>
                <w:color w:val="auto"/>
              </w:rPr>
            </w:pPr>
          </w:p>
        </w:tc>
        <w:tc>
          <w:tcPr>
            <w:tcW w:w="160" w:type="dxa"/>
            <w:vAlign w:val="bottom"/>
            <w:tcBorders>
              <w:top w:val="single" w:sz="8" w:color="DDDDDD"/>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Borders>
              <w:bottom w:val="single" w:sz="8" w:color="DDDDDD"/>
            </w:tcBorders>
          </w:tcPr>
          <w:p>
            <w:pPr>
              <w:spacing w:after="0"/>
              <w:rPr>
                <w:sz w:val="13"/>
                <w:szCs w:val="13"/>
                <w:color w:val="auto"/>
              </w:rPr>
            </w:pPr>
          </w:p>
        </w:tc>
        <w:tc>
          <w:tcPr>
            <w:tcW w:w="80" w:type="dxa"/>
            <w:vAlign w:val="bottom"/>
            <w:tcBorders>
              <w:bottom w:val="single" w:sz="8" w:color="DDDDDD"/>
            </w:tcBorders>
          </w:tcPr>
          <w:p>
            <w:pPr>
              <w:spacing w:after="0"/>
              <w:rPr>
                <w:sz w:val="13"/>
                <w:szCs w:val="13"/>
                <w:color w:val="auto"/>
              </w:rPr>
            </w:pPr>
          </w:p>
        </w:tc>
        <w:tc>
          <w:tcPr>
            <w:tcW w:w="180" w:type="dxa"/>
            <w:vAlign w:val="bottom"/>
            <w:tcBorders>
              <w:bottom w:val="single" w:sz="8" w:color="DDDDDD"/>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40" w:type="dxa"/>
            <w:vAlign w:val="bottom"/>
          </w:tcPr>
          <w:p>
            <w:pPr>
              <w:ind w:left="200"/>
              <w:spacing w:after="0" w:line="162" w:lineRule="exact"/>
              <w:rPr>
                <w:sz w:val="20"/>
                <w:szCs w:val="20"/>
                <w:color w:val="auto"/>
              </w:rPr>
            </w:pPr>
            <w:r>
              <w:rPr>
                <w:rFonts w:ascii="Arial" w:cs="Arial" w:eastAsia="Arial" w:hAnsi="Arial"/>
                <w:sz w:val="18"/>
                <w:szCs w:val="18"/>
                <w:color w:val="auto"/>
              </w:rPr>
              <w:t>9.6</w:t>
            </w:r>
          </w:p>
        </w:tc>
        <w:tc>
          <w:tcPr>
            <w:tcW w:w="80" w:type="dxa"/>
            <w:vAlign w:val="bottom"/>
          </w:tcPr>
          <w:p>
            <w:pPr>
              <w:spacing w:after="0"/>
              <w:rPr>
                <w:sz w:val="15"/>
                <w:szCs w:val="15"/>
                <w:color w:val="auto"/>
              </w:rPr>
            </w:pPr>
          </w:p>
        </w:tc>
        <w:tc>
          <w:tcPr>
            <w:tcW w:w="2980" w:type="dxa"/>
            <w:vAlign w:val="bottom"/>
            <w:gridSpan w:val="38"/>
          </w:tcPr>
          <w:p>
            <w:pPr>
              <w:ind w:left="20"/>
              <w:spacing w:after="0" w:line="162" w:lineRule="exact"/>
              <w:rPr>
                <w:sz w:val="20"/>
                <w:szCs w:val="20"/>
                <w:color w:val="auto"/>
              </w:rPr>
            </w:pPr>
            <w:r>
              <w:rPr>
                <w:rFonts w:ascii="Arial" w:cs="Arial" w:eastAsia="Arial" w:hAnsi="Arial"/>
                <w:sz w:val="18"/>
                <w:szCs w:val="18"/>
                <w:color w:val="auto"/>
                <w:w w:val="88"/>
              </w:rPr>
              <w:t>Acknowledgments of Lenders and Issuing</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8"/>
          </w:tcPr>
          <w:p>
            <w:pPr>
              <w:ind w:left="40"/>
              <w:spacing w:after="0" w:line="162" w:lineRule="exact"/>
              <w:rPr>
                <w:sz w:val="20"/>
                <w:szCs w:val="20"/>
                <w:color w:val="auto"/>
              </w:rPr>
            </w:pPr>
            <w:r>
              <w:rPr>
                <w:rFonts w:ascii="Arial" w:cs="Arial" w:eastAsia="Arial" w:hAnsi="Arial"/>
                <w:sz w:val="18"/>
                <w:szCs w:val="18"/>
                <w:color w:val="auto"/>
              </w:rPr>
              <w:t>Lenders</w:t>
            </w:r>
          </w:p>
        </w:tc>
        <w:tc>
          <w:tcPr>
            <w:tcW w:w="180" w:type="dxa"/>
            <w:vAlign w:val="bottom"/>
            <w:gridSpan w:val="2"/>
          </w:tcPr>
          <w:p>
            <w:pPr>
              <w:jc w:val="right"/>
              <w:spacing w:after="0" w:line="162" w:lineRule="exact"/>
              <w:rPr>
                <w:sz w:val="20"/>
                <w:szCs w:val="20"/>
                <w:color w:val="auto"/>
              </w:rPr>
            </w:pPr>
            <w:r>
              <w:rPr>
                <w:rFonts w:ascii="Arial" w:cs="Arial" w:eastAsia="Arial" w:hAnsi="Arial"/>
                <w:sz w:val="18"/>
                <w:szCs w:val="18"/>
                <w:color w:val="FF0000"/>
                <w:strike w:val="1"/>
                <w:w w:val="79"/>
              </w:rPr>
              <w:t>89</w:t>
            </w:r>
          </w:p>
        </w:tc>
        <w:tc>
          <w:tcPr>
            <w:tcW w:w="280" w:type="dxa"/>
            <w:vAlign w:val="bottom"/>
            <w:tcBorders>
              <w:bottom w:val="single" w:sz="8" w:color="0000FF"/>
            </w:tcBorders>
            <w:gridSpan w:val="3"/>
            <w:shd w:val="clear" w:color="auto" w:fill="DDDDDD"/>
          </w:tcPr>
          <w:p>
            <w:pPr>
              <w:jc w:val="right"/>
              <w:spacing w:after="0" w:line="162" w:lineRule="exact"/>
              <w:rPr>
                <w:sz w:val="20"/>
                <w:szCs w:val="20"/>
                <w:color w:val="auto"/>
              </w:rPr>
            </w:pPr>
            <w:r>
              <w:rPr>
                <w:rFonts w:ascii="Arial" w:cs="Arial" w:eastAsia="Arial" w:hAnsi="Arial"/>
                <w:sz w:val="18"/>
                <w:szCs w:val="18"/>
                <w:color w:val="0000FF"/>
                <w:highlight w:val="lightGray"/>
                <w:w w:val="86"/>
              </w:rPr>
              <w:t>104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28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0" w:type="dxa"/>
            <w:vAlign w:val="bottom"/>
          </w:tcPr>
          <w:p>
            <w:pPr>
              <w:ind w:left="200"/>
              <w:spacing w:after="0" w:line="149" w:lineRule="exact"/>
              <w:rPr>
                <w:sz w:val="20"/>
                <w:szCs w:val="20"/>
                <w:color w:val="auto"/>
              </w:rPr>
            </w:pPr>
            <w:r>
              <w:rPr>
                <w:rFonts w:ascii="Arial" w:cs="Arial" w:eastAsia="Arial" w:hAnsi="Arial"/>
                <w:sz w:val="17"/>
                <w:szCs w:val="17"/>
                <w:color w:val="auto"/>
              </w:rPr>
              <w:t>9.7</w:t>
            </w:r>
          </w:p>
        </w:tc>
        <w:tc>
          <w:tcPr>
            <w:tcW w:w="80" w:type="dxa"/>
            <w:vAlign w:val="bottom"/>
          </w:tcPr>
          <w:p>
            <w:pPr>
              <w:spacing w:after="0"/>
              <w:rPr>
                <w:sz w:val="14"/>
                <w:szCs w:val="14"/>
                <w:color w:val="auto"/>
              </w:rPr>
            </w:pPr>
          </w:p>
        </w:tc>
        <w:tc>
          <w:tcPr>
            <w:tcW w:w="1720" w:type="dxa"/>
            <w:vAlign w:val="bottom"/>
            <w:gridSpan w:val="12"/>
          </w:tcPr>
          <w:p>
            <w:pPr>
              <w:ind w:left="20"/>
              <w:spacing w:after="0" w:line="149" w:lineRule="exact"/>
              <w:rPr>
                <w:sz w:val="20"/>
                <w:szCs w:val="20"/>
                <w:color w:val="auto"/>
              </w:rPr>
            </w:pPr>
            <w:r>
              <w:rPr>
                <w:rFonts w:ascii="Arial" w:cs="Arial" w:eastAsia="Arial" w:hAnsi="Arial"/>
                <w:sz w:val="17"/>
                <w:szCs w:val="17"/>
                <w:color w:val="auto"/>
                <w:w w:val="96"/>
              </w:rPr>
              <w:t>Certain ERISA Matters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right w:val="single" w:sz="8" w:color="DDDDDD"/>
            </w:tcBorders>
            <w:gridSpan w:val="4"/>
          </w:tcPr>
          <w:p>
            <w:pPr>
              <w:jc w:val="right"/>
              <w:ind w:right="20"/>
              <w:spacing w:after="0"/>
              <w:rPr>
                <w:sz w:val="20"/>
                <w:szCs w:val="20"/>
                <w:color w:val="auto"/>
              </w:rPr>
            </w:pPr>
            <w:r>
              <w:rPr>
                <w:rFonts w:ascii="Arial" w:cs="Arial" w:eastAsia="Arial" w:hAnsi="Arial"/>
                <w:sz w:val="12"/>
                <w:szCs w:val="12"/>
                <w:color w:val="FF0000"/>
                <w:strike w:val="1"/>
                <w:w w:val="74"/>
              </w:rPr>
              <w:t>91</w:t>
            </w:r>
          </w:p>
        </w:tc>
        <w:tc>
          <w:tcPr>
            <w:tcW w:w="240" w:type="dxa"/>
            <w:vAlign w:val="bottom"/>
            <w:tcBorders>
              <w:top w:val="single" w:sz="8" w:color="DDDDDD"/>
              <w:bottom w:val="single" w:sz="8" w:color="0000FF"/>
            </w:tcBorders>
            <w:gridSpan w:val="6"/>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77"/>
              </w:rPr>
              <w:t>105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top w:val="single" w:sz="8" w:color="DDDDDD"/>
            </w:tcBorders>
          </w:tcPr>
          <w:p>
            <w:pPr>
              <w:spacing w:after="0"/>
              <w:rPr>
                <w:sz w:val="14"/>
                <w:szCs w:val="14"/>
                <w:color w:val="auto"/>
              </w:rPr>
            </w:pPr>
          </w:p>
        </w:tc>
        <w:tc>
          <w:tcPr>
            <w:tcW w:w="80" w:type="dxa"/>
            <w:vAlign w:val="bottom"/>
            <w:tcBorders>
              <w:top w:val="single" w:sz="8" w:color="DDDDDD"/>
            </w:tcBorders>
          </w:tcPr>
          <w:p>
            <w:pPr>
              <w:spacing w:after="0"/>
              <w:rPr>
                <w:sz w:val="14"/>
                <w:szCs w:val="14"/>
                <w:color w:val="auto"/>
              </w:rPr>
            </w:pPr>
          </w:p>
        </w:tc>
        <w:tc>
          <w:tcPr>
            <w:tcW w:w="180" w:type="dxa"/>
            <w:vAlign w:val="bottom"/>
            <w:tcBorders>
              <w:top w:val="single" w:sz="8" w:color="DDDDDD"/>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9.8</w:t>
            </w:r>
          </w:p>
        </w:tc>
        <w:tc>
          <w:tcPr>
            <w:tcW w:w="1320" w:type="dxa"/>
            <w:vAlign w:val="bottom"/>
            <w:gridSpan w:val="7"/>
          </w:tcPr>
          <w:p>
            <w:pPr>
              <w:ind w:left="20"/>
              <w:spacing w:after="0" w:line="149" w:lineRule="exact"/>
              <w:rPr>
                <w:sz w:val="20"/>
                <w:szCs w:val="20"/>
                <w:color w:val="auto"/>
              </w:rPr>
            </w:pPr>
            <w:r>
              <w:rPr>
                <w:rFonts w:ascii="Arial" w:cs="Arial" w:eastAsia="Arial" w:hAnsi="Arial"/>
                <w:sz w:val="17"/>
                <w:szCs w:val="17"/>
                <w:color w:val="auto"/>
                <w:w w:val="92"/>
              </w:rPr>
              <w:t>Secured Parties</w:t>
            </w:r>
          </w:p>
        </w:tc>
        <w:tc>
          <w:tcPr>
            <w:tcW w:w="180" w:type="dxa"/>
            <w:vAlign w:val="bottom"/>
            <w:gridSpan w:val="3"/>
          </w:tcPr>
          <w:p>
            <w:pPr>
              <w:spacing w:after="0" w:line="149" w:lineRule="exact"/>
              <w:rPr>
                <w:sz w:val="20"/>
                <w:szCs w:val="20"/>
                <w:color w:val="auto"/>
              </w:rPr>
            </w:pPr>
            <w:r>
              <w:rPr>
                <w:rFonts w:ascii="Arial" w:cs="Arial" w:eastAsia="Arial" w:hAnsi="Arial"/>
                <w:sz w:val="17"/>
                <w:szCs w:val="17"/>
                <w:color w:val="FF0000"/>
                <w:strike w:val="1"/>
                <w:w w:val="73"/>
              </w:rPr>
              <w:t>92</w:t>
            </w:r>
          </w:p>
        </w:tc>
        <w:tc>
          <w:tcPr>
            <w:tcW w:w="280" w:type="dxa"/>
            <w:vAlign w:val="bottom"/>
            <w:tcBorders>
              <w:top w:val="single" w:sz="8" w:color="DDDDDD"/>
              <w:bottom w:val="single" w:sz="8" w:color="0000FF"/>
              <w:right w:val="single" w:sz="8" w:color="DDDDDD"/>
            </w:tcBorders>
            <w:gridSpan w:val="3"/>
            <w:shd w:val="clear" w:color="auto" w:fill="DDDDDD"/>
          </w:tcPr>
          <w:p>
            <w:pPr>
              <w:jc w:val="center"/>
              <w:spacing w:after="0" w:line="149" w:lineRule="exact"/>
              <w:rPr>
                <w:sz w:val="20"/>
                <w:szCs w:val="20"/>
                <w:color w:val="auto"/>
              </w:rPr>
            </w:pPr>
            <w:r>
              <w:rPr>
                <w:rFonts w:ascii="Arial" w:cs="Arial" w:eastAsia="Arial" w:hAnsi="Arial"/>
                <w:sz w:val="17"/>
                <w:szCs w:val="17"/>
                <w:color w:val="0000FF"/>
                <w:highlight w:val="lightGray"/>
                <w:w w:val="98"/>
              </w:rPr>
              <w:t>106</w:t>
            </w:r>
          </w:p>
        </w:tc>
        <w:tc>
          <w:tcPr>
            <w:tcW w:w="320" w:type="dxa"/>
            <w:vAlign w:val="bottom"/>
            <w:gridSpan w:val="6"/>
          </w:tcPr>
          <w:p>
            <w:pPr>
              <w:spacing w:after="0"/>
              <w:rPr>
                <w:sz w:val="13"/>
                <w:szCs w:val="13"/>
                <w:color w:val="auto"/>
              </w:rPr>
            </w:pPr>
          </w:p>
        </w:tc>
        <w:tc>
          <w:tcPr>
            <w:tcW w:w="240" w:type="dxa"/>
            <w:vAlign w:val="bottom"/>
            <w:tcBorders>
              <w:top w:val="single" w:sz="8" w:color="DDDDDD"/>
            </w:tcBorders>
            <w:gridSpan w:val="6"/>
          </w:tcPr>
          <w:p>
            <w:pPr>
              <w:spacing w:after="0"/>
              <w:rPr>
                <w:sz w:val="13"/>
                <w:szCs w:val="13"/>
                <w:color w:val="auto"/>
              </w:rPr>
            </w:pPr>
          </w:p>
        </w:tc>
        <w:tc>
          <w:tcPr>
            <w:tcW w:w="4060" w:type="dxa"/>
            <w:vAlign w:val="bottom"/>
            <w:gridSpan w:val="44"/>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00" w:type="dxa"/>
            <w:vAlign w:val="bottom"/>
            <w:gridSpan w:val="3"/>
            <w:vMerge w:val="restart"/>
          </w:tcPr>
          <w:p>
            <w:pPr>
              <w:spacing w:after="0"/>
              <w:rPr>
                <w:sz w:val="20"/>
                <w:szCs w:val="20"/>
                <w:color w:val="auto"/>
              </w:rPr>
            </w:pPr>
            <w:r>
              <w:rPr>
                <w:rFonts w:ascii="Arial" w:cs="Arial" w:eastAsia="Arial" w:hAnsi="Arial"/>
                <w:sz w:val="18"/>
                <w:szCs w:val="18"/>
                <w:color w:val="auto"/>
                <w:w w:val="98"/>
              </w:rPr>
              <w:t>SECTION 10.</w:t>
            </w:r>
          </w:p>
        </w:tc>
        <w:tc>
          <w:tcPr>
            <w:tcW w:w="1840" w:type="dxa"/>
            <w:vAlign w:val="bottom"/>
            <w:gridSpan w:val="23"/>
            <w:vMerge w:val="restart"/>
          </w:tcPr>
          <w:p>
            <w:pPr>
              <w:ind w:left="160"/>
              <w:spacing w:after="0"/>
              <w:rPr>
                <w:sz w:val="20"/>
                <w:szCs w:val="20"/>
                <w:color w:val="auto"/>
              </w:rPr>
            </w:pPr>
            <w:r>
              <w:rPr>
                <w:rFonts w:ascii="Arial" w:cs="Arial" w:eastAsia="Arial" w:hAnsi="Arial"/>
                <w:sz w:val="18"/>
                <w:szCs w:val="18"/>
                <w:color w:val="auto"/>
              </w:rPr>
              <w:t>MISCELLANEOUS</w:t>
            </w:r>
          </w:p>
        </w:tc>
        <w:tc>
          <w:tcPr>
            <w:tcW w:w="180" w:type="dxa"/>
            <w:vAlign w:val="bottom"/>
            <w:gridSpan w:val="4"/>
            <w:vMerge w:val="restart"/>
          </w:tcPr>
          <w:p>
            <w:pPr>
              <w:spacing w:after="0"/>
              <w:rPr>
                <w:sz w:val="20"/>
                <w:szCs w:val="20"/>
                <w:color w:val="auto"/>
              </w:rPr>
            </w:pPr>
            <w:r>
              <w:rPr>
                <w:rFonts w:ascii="Arial" w:cs="Arial" w:eastAsia="Arial" w:hAnsi="Arial"/>
                <w:sz w:val="18"/>
                <w:szCs w:val="18"/>
                <w:color w:val="FF0000"/>
                <w:strike w:val="1"/>
                <w:w w:val="79"/>
              </w:rPr>
              <w:t>92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00" w:type="dxa"/>
            <w:vAlign w:val="bottom"/>
            <w:gridSpan w:val="3"/>
            <w:vMerge w:val="continue"/>
          </w:tcPr>
          <w:p>
            <w:pPr>
              <w:spacing w:after="0"/>
              <w:rPr>
                <w:sz w:val="17"/>
                <w:szCs w:val="17"/>
                <w:color w:val="auto"/>
              </w:rPr>
            </w:pPr>
          </w:p>
        </w:tc>
        <w:tc>
          <w:tcPr>
            <w:tcW w:w="1840" w:type="dxa"/>
            <w:vAlign w:val="bottom"/>
            <w:gridSpan w:val="23"/>
            <w:vMerge w:val="continue"/>
          </w:tcPr>
          <w:p>
            <w:pPr>
              <w:spacing w:after="0"/>
              <w:rPr>
                <w:sz w:val="17"/>
                <w:szCs w:val="17"/>
                <w:color w:val="auto"/>
              </w:rPr>
            </w:pPr>
          </w:p>
        </w:tc>
        <w:tc>
          <w:tcPr>
            <w:tcW w:w="180" w:type="dxa"/>
            <w:vAlign w:val="bottom"/>
            <w:gridSpan w:val="4"/>
            <w:vMerge w:val="continue"/>
          </w:tcPr>
          <w:p>
            <w:pPr>
              <w:spacing w:after="0"/>
              <w:rPr>
                <w:sz w:val="17"/>
                <w:szCs w:val="17"/>
                <w:color w:val="auto"/>
              </w:rPr>
            </w:pPr>
          </w:p>
        </w:tc>
        <w:tc>
          <w:tcPr>
            <w:tcW w:w="260" w:type="dxa"/>
            <w:vAlign w:val="bottom"/>
            <w:tcBorders>
              <w:bottom w:val="single" w:sz="8" w:color="0000FF"/>
            </w:tcBorders>
            <w:gridSpan w:val="5"/>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79"/>
              </w:rPr>
              <w:t>106</w:t>
            </w:r>
          </w:p>
        </w:tc>
        <w:tc>
          <w:tcPr>
            <w:tcW w:w="20" w:type="dxa"/>
            <w:vAlign w:val="bottom"/>
            <w:tcBorders>
              <w:bottom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10.1</w:t>
            </w:r>
          </w:p>
        </w:tc>
        <w:tc>
          <w:tcPr>
            <w:tcW w:w="2040" w:type="dxa"/>
            <w:vAlign w:val="bottom"/>
            <w:gridSpan w:val="17"/>
          </w:tcPr>
          <w:p>
            <w:pPr>
              <w:ind w:left="120"/>
              <w:spacing w:after="0" w:line="149" w:lineRule="exact"/>
              <w:rPr>
                <w:sz w:val="20"/>
                <w:szCs w:val="20"/>
                <w:color w:val="auto"/>
              </w:rPr>
            </w:pPr>
            <w:r>
              <w:rPr>
                <w:rFonts w:ascii="Arial" w:cs="Arial" w:eastAsia="Arial" w:hAnsi="Arial"/>
                <w:sz w:val="17"/>
                <w:szCs w:val="17"/>
                <w:color w:val="auto"/>
                <w:w w:val="94"/>
              </w:rPr>
              <w:t>Amendments and Waivers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gridSpan w:val="6"/>
          </w:tcPr>
          <w:p>
            <w:pPr>
              <w:jc w:val="right"/>
              <w:spacing w:after="0" w:line="149" w:lineRule="exact"/>
              <w:rPr>
                <w:sz w:val="20"/>
                <w:szCs w:val="20"/>
                <w:color w:val="auto"/>
              </w:rPr>
            </w:pPr>
            <w:r>
              <w:rPr>
                <w:rFonts w:ascii="Arial" w:cs="Arial" w:eastAsia="Arial" w:hAnsi="Arial"/>
                <w:sz w:val="17"/>
                <w:szCs w:val="17"/>
                <w:color w:val="FF0000"/>
                <w:strike w:val="1"/>
                <w:w w:val="84"/>
              </w:rPr>
              <w:t>92</w:t>
            </w:r>
          </w:p>
        </w:tc>
        <w:tc>
          <w:tcPr>
            <w:tcW w:w="260" w:type="dxa"/>
            <w:vAlign w:val="bottom"/>
            <w:tcBorders>
              <w:top w:val="single" w:sz="8" w:color="DDDDDD"/>
            </w:tcBorders>
            <w:gridSpan w:val="4"/>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84"/>
              </w:rPr>
              <w:t>106</w:t>
            </w:r>
          </w:p>
        </w:tc>
        <w:tc>
          <w:tcPr>
            <w:tcW w:w="60" w:type="dxa"/>
            <w:vAlign w:val="bottom"/>
            <w:tcBorders>
              <w:top w:val="single" w:sz="8" w:color="DDDDDD"/>
            </w:tcBorders>
          </w:tcPr>
          <w:p>
            <w:pPr>
              <w:spacing w:after="0"/>
              <w:rPr>
                <w:sz w:val="14"/>
                <w:szCs w:val="14"/>
                <w:color w:val="auto"/>
              </w:rPr>
            </w:pPr>
          </w:p>
        </w:tc>
        <w:tc>
          <w:tcPr>
            <w:tcW w:w="20" w:type="dxa"/>
            <w:vAlign w:val="bottom"/>
            <w:tcBorders>
              <w:top w:val="single" w:sz="8" w:color="DDDDDD"/>
            </w:tcBorders>
          </w:tcPr>
          <w:p>
            <w:pPr>
              <w:spacing w:after="0"/>
              <w:rPr>
                <w:sz w:val="14"/>
                <w:szCs w:val="14"/>
                <w:color w:val="auto"/>
              </w:rPr>
            </w:pPr>
          </w:p>
        </w:tc>
        <w:tc>
          <w:tcPr>
            <w:tcW w:w="40" w:type="dxa"/>
            <w:vAlign w:val="bottom"/>
            <w:tcBorders>
              <w:top w:val="single" w:sz="8" w:color="DDDDDD"/>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10.2</w:t>
            </w:r>
          </w:p>
        </w:tc>
        <w:tc>
          <w:tcPr>
            <w:tcW w:w="810" w:type="dxa"/>
            <w:vAlign w:val="bottom"/>
            <w:gridSpan w:val="2"/>
          </w:tcPr>
          <w:p>
            <w:pPr>
              <w:ind w:left="120"/>
              <w:spacing w:after="0" w:line="149" w:lineRule="exact"/>
              <w:rPr>
                <w:sz w:val="20"/>
                <w:szCs w:val="20"/>
                <w:color w:val="auto"/>
              </w:rPr>
            </w:pPr>
            <w:r>
              <w:rPr>
                <w:rFonts w:ascii="Arial" w:cs="Arial" w:eastAsia="Arial" w:hAnsi="Arial"/>
                <w:sz w:val="17"/>
                <w:szCs w:val="17"/>
                <w:color w:val="auto"/>
              </w:rPr>
              <w:t>Notices</w:t>
            </w:r>
          </w:p>
        </w:tc>
        <w:tc>
          <w:tcPr>
            <w:tcW w:w="210" w:type="dxa"/>
            <w:vAlign w:val="bottom"/>
          </w:tcPr>
          <w:p>
            <w:pPr>
              <w:jc w:val="right"/>
              <w:spacing w:after="0" w:line="149" w:lineRule="exact"/>
              <w:rPr>
                <w:sz w:val="20"/>
                <w:szCs w:val="20"/>
                <w:color w:val="auto"/>
              </w:rPr>
            </w:pPr>
            <w:r>
              <w:rPr>
                <w:rFonts w:ascii="Arial" w:cs="Arial" w:eastAsia="Arial" w:hAnsi="Arial"/>
                <w:sz w:val="17"/>
                <w:szCs w:val="17"/>
                <w:color w:val="FF0000"/>
                <w:strike w:val="1"/>
                <w:w w:val="94"/>
              </w:rPr>
              <w:t>93</w:t>
            </w:r>
          </w:p>
        </w:tc>
        <w:tc>
          <w:tcPr>
            <w:tcW w:w="280" w:type="dxa"/>
            <w:vAlign w:val="bottom"/>
            <w:tcBorders>
              <w:top w:val="single" w:sz="8" w:color="DDDDDD"/>
              <w:left w:val="single" w:sz="8" w:color="DDDDDD"/>
              <w:bottom w:val="single" w:sz="8" w:color="0000FF"/>
            </w:tcBorders>
            <w:gridSpan w:val="3"/>
            <w:shd w:val="clear" w:color="auto" w:fill="DDDDDD"/>
          </w:tcPr>
          <w:p>
            <w:pPr>
              <w:spacing w:after="0" w:line="149" w:lineRule="exact"/>
              <w:rPr>
                <w:sz w:val="20"/>
                <w:szCs w:val="20"/>
                <w:color w:val="auto"/>
              </w:rPr>
            </w:pPr>
            <w:r>
              <w:rPr>
                <w:rFonts w:ascii="Arial" w:cs="Arial" w:eastAsia="Arial" w:hAnsi="Arial"/>
                <w:sz w:val="17"/>
                <w:szCs w:val="17"/>
                <w:color w:val="0000FF"/>
                <w:highlight w:val="lightGray"/>
                <w:w w:val="91"/>
              </w:rPr>
              <w:t>108</w:t>
            </w:r>
          </w:p>
        </w:tc>
        <w:tc>
          <w:tcPr>
            <w:tcW w:w="20" w:type="dxa"/>
            <w:vAlign w:val="bottom"/>
            <w:tcBorders>
              <w:bottom w:val="single" w:sz="8" w:color="0000FF"/>
            </w:tcBorders>
          </w:tcPr>
          <w:p>
            <w:pPr>
              <w:spacing w:after="0"/>
              <w:rPr>
                <w:sz w:val="12"/>
                <w:szCs w:val="12"/>
                <w:color w:val="auto"/>
              </w:rPr>
            </w:pPr>
          </w:p>
        </w:tc>
        <w:tc>
          <w:tcPr>
            <w:tcW w:w="1020" w:type="dxa"/>
            <w:vAlign w:val="bottom"/>
            <w:gridSpan w:val="18"/>
          </w:tcPr>
          <w:p>
            <w:pPr>
              <w:spacing w:after="0"/>
              <w:rPr>
                <w:sz w:val="12"/>
                <w:szCs w:val="12"/>
                <w:color w:val="auto"/>
              </w:rPr>
            </w:pPr>
          </w:p>
        </w:tc>
        <w:tc>
          <w:tcPr>
            <w:tcW w:w="300" w:type="dxa"/>
            <w:vAlign w:val="bottom"/>
            <w:tcBorders>
              <w:top w:val="single" w:sz="8" w:color="0000FF"/>
            </w:tcBorders>
            <w:gridSpan w:val="5"/>
          </w:tcPr>
          <w:p>
            <w:pPr>
              <w:spacing w:after="0"/>
              <w:rPr>
                <w:sz w:val="12"/>
                <w:szCs w:val="12"/>
                <w:color w:val="auto"/>
              </w:rPr>
            </w:pPr>
          </w:p>
        </w:tc>
        <w:tc>
          <w:tcPr>
            <w:tcW w:w="3760" w:type="dxa"/>
            <w:vAlign w:val="bottom"/>
            <w:gridSpan w:val="39"/>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gridSpan w:val="2"/>
            <w:vMerge w:val="restart"/>
          </w:tcPr>
          <w:p>
            <w:pPr>
              <w:ind w:left="200"/>
              <w:spacing w:after="0" w:line="169" w:lineRule="exact"/>
              <w:rPr>
                <w:sz w:val="20"/>
                <w:szCs w:val="20"/>
                <w:color w:val="auto"/>
              </w:rPr>
            </w:pPr>
            <w:r>
              <w:rPr>
                <w:rFonts w:ascii="Arial" w:cs="Arial" w:eastAsia="Arial" w:hAnsi="Arial"/>
                <w:sz w:val="18"/>
                <w:szCs w:val="18"/>
                <w:color w:val="auto"/>
              </w:rPr>
              <w:t>10.3</w:t>
            </w:r>
          </w:p>
        </w:tc>
        <w:tc>
          <w:tcPr>
            <w:tcW w:w="1020" w:type="dxa"/>
            <w:vAlign w:val="bottom"/>
            <w:gridSpan w:val="3"/>
            <w:vMerge w:val="restart"/>
          </w:tcPr>
          <w:p>
            <w:pPr>
              <w:ind w:left="120"/>
              <w:spacing w:after="0" w:line="169" w:lineRule="exact"/>
              <w:rPr>
                <w:sz w:val="20"/>
                <w:szCs w:val="20"/>
                <w:color w:val="auto"/>
              </w:rPr>
            </w:pPr>
            <w:r>
              <w:rPr>
                <w:rFonts w:ascii="Arial" w:cs="Arial" w:eastAsia="Arial" w:hAnsi="Arial"/>
                <w:sz w:val="18"/>
                <w:szCs w:val="18"/>
                <w:color w:val="auto"/>
                <w:w w:val="96"/>
              </w:rPr>
              <w:t>No Waiver;</w:t>
            </w:r>
          </w:p>
        </w:tc>
        <w:tc>
          <w:tcPr>
            <w:tcW w:w="1740" w:type="dxa"/>
            <w:vAlign w:val="bottom"/>
            <w:tcBorders>
              <w:left w:val="single" w:sz="8" w:color="DDDDDD"/>
            </w:tcBorders>
            <w:gridSpan w:val="30"/>
            <w:shd w:val="clear" w:color="auto" w:fill="DDDDDD"/>
          </w:tcPr>
          <w:p>
            <w:pPr>
              <w:spacing w:after="0" w:line="20" w:lineRule="exact"/>
              <w:rPr>
                <w:sz w:val="1"/>
                <w:szCs w:val="1"/>
                <w:color w:val="auto"/>
              </w:rPr>
            </w:pPr>
          </w:p>
        </w:tc>
        <w:tc>
          <w:tcPr>
            <w:tcW w:w="180" w:type="dxa"/>
            <w:vAlign w:val="bottom"/>
            <w:gridSpan w:val="3"/>
            <w:vMerge w:val="restart"/>
          </w:tcPr>
          <w:p>
            <w:pPr>
              <w:spacing w:after="0" w:line="169" w:lineRule="exact"/>
              <w:rPr>
                <w:sz w:val="20"/>
                <w:szCs w:val="20"/>
                <w:color w:val="auto"/>
              </w:rPr>
            </w:pPr>
            <w:r>
              <w:rPr>
                <w:rFonts w:ascii="Arial" w:cs="Arial" w:eastAsia="Arial" w:hAnsi="Arial"/>
                <w:sz w:val="18"/>
                <w:szCs w:val="18"/>
                <w:color w:val="FF0000"/>
                <w:strike w:val="1"/>
                <w:w w:val="79"/>
              </w:rPr>
              <w:t>94</w:t>
            </w:r>
          </w:p>
        </w:tc>
        <w:tc>
          <w:tcPr>
            <w:tcW w:w="20" w:type="dxa"/>
            <w:vAlign w:val="bottom"/>
            <w:vMerge w:val="restart"/>
          </w:tcPr>
          <w:p>
            <w:pPr>
              <w:spacing w:after="0" w:line="20" w:lineRule="exact"/>
              <w:rPr>
                <w:sz w:val="1"/>
                <w:szCs w:val="1"/>
                <w:color w:val="auto"/>
              </w:rPr>
            </w:pPr>
          </w:p>
        </w:tc>
        <w:tc>
          <w:tcPr>
            <w:tcW w:w="260" w:type="dxa"/>
            <w:vAlign w:val="bottom"/>
            <w:gridSpan w:val="7"/>
            <w:vMerge w:val="restart"/>
            <w:shd w:val="clear" w:color="auto" w:fill="DDDDDD"/>
          </w:tcPr>
          <w:p>
            <w:pPr>
              <w:jc w:val="right"/>
              <w:spacing w:after="0" w:line="169" w:lineRule="exact"/>
              <w:rPr>
                <w:sz w:val="20"/>
                <w:szCs w:val="20"/>
                <w:color w:val="auto"/>
              </w:rPr>
            </w:pPr>
            <w:r>
              <w:rPr>
                <w:rFonts w:ascii="Arial" w:cs="Arial" w:eastAsia="Arial" w:hAnsi="Arial"/>
                <w:sz w:val="18"/>
                <w:szCs w:val="18"/>
                <w:color w:val="0000FF"/>
                <w:highlight w:val="lightGray"/>
                <w:w w:val="79"/>
              </w:rPr>
              <w:t>109</w:t>
            </w:r>
          </w:p>
        </w:tc>
        <w:tc>
          <w:tcPr>
            <w:tcW w:w="80" w:type="dxa"/>
            <w:vAlign w:val="bottom"/>
            <w:vMerge w:val="restart"/>
          </w:tcPr>
          <w:p>
            <w:pPr>
              <w:spacing w:after="0" w:line="20" w:lineRule="exact"/>
              <w:rPr>
                <w:sz w:val="1"/>
                <w:szCs w:val="1"/>
                <w:color w:val="auto"/>
              </w:rPr>
            </w:pPr>
          </w:p>
        </w:tc>
        <w:tc>
          <w:tcPr>
            <w:tcW w:w="310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740" w:type="dxa"/>
            <w:vAlign w:val="bottom"/>
            <w:gridSpan w:val="30"/>
          </w:tcPr>
          <w:p>
            <w:pPr>
              <w:spacing w:after="0" w:line="149" w:lineRule="exact"/>
              <w:rPr>
                <w:sz w:val="20"/>
                <w:szCs w:val="20"/>
                <w:color w:val="auto"/>
              </w:rPr>
            </w:pPr>
            <w:r>
              <w:rPr>
                <w:rFonts w:ascii="Arial" w:cs="Arial" w:eastAsia="Arial" w:hAnsi="Arial"/>
                <w:sz w:val="17"/>
                <w:szCs w:val="17"/>
                <w:color w:val="auto"/>
              </w:rPr>
              <w:t>Cumulative Remedies</w:t>
            </w:r>
          </w:p>
        </w:tc>
        <w:tc>
          <w:tcPr>
            <w:tcW w:w="180" w:type="dxa"/>
            <w:vAlign w:val="bottom"/>
            <w:gridSpan w:val="3"/>
            <w:vMerge w:val="continue"/>
          </w:tcPr>
          <w:p>
            <w:pPr>
              <w:spacing w:after="0"/>
              <w:rPr>
                <w:sz w:val="14"/>
                <w:szCs w:val="14"/>
                <w:color w:val="auto"/>
              </w:rPr>
            </w:pPr>
          </w:p>
        </w:tc>
        <w:tc>
          <w:tcPr>
            <w:tcW w:w="20" w:type="dxa"/>
            <w:vAlign w:val="bottom"/>
            <w:tcBorders>
              <w:bottom w:val="single" w:sz="8" w:color="0000FF"/>
            </w:tcBorders>
            <w:vMerge w:val="continue"/>
          </w:tcPr>
          <w:p>
            <w:pPr>
              <w:spacing w:after="0"/>
              <w:rPr>
                <w:sz w:val="14"/>
                <w:szCs w:val="14"/>
                <w:color w:val="auto"/>
              </w:rPr>
            </w:pPr>
          </w:p>
        </w:tc>
        <w:tc>
          <w:tcPr>
            <w:tcW w:w="260" w:type="dxa"/>
            <w:vAlign w:val="bottom"/>
            <w:tcBorders>
              <w:bottom w:val="single" w:sz="8" w:color="0000FF"/>
            </w:tcBorders>
            <w:gridSpan w:val="7"/>
            <w:vMerge w:val="continue"/>
            <w:shd w:val="clear" w:color="auto" w:fill="DDDDDD"/>
          </w:tcPr>
          <w:p>
            <w:pPr>
              <w:spacing w:after="0"/>
              <w:rPr>
                <w:sz w:val="14"/>
                <w:szCs w:val="14"/>
                <w:color w:val="auto"/>
              </w:rPr>
            </w:pPr>
          </w:p>
        </w:tc>
        <w:tc>
          <w:tcPr>
            <w:tcW w:w="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10.4</w:t>
            </w:r>
          </w:p>
        </w:tc>
        <w:tc>
          <w:tcPr>
            <w:tcW w:w="810" w:type="dxa"/>
            <w:vAlign w:val="bottom"/>
            <w:gridSpan w:val="2"/>
          </w:tcPr>
          <w:p>
            <w:pPr>
              <w:ind w:left="120"/>
              <w:spacing w:after="0" w:line="149" w:lineRule="exact"/>
              <w:rPr>
                <w:sz w:val="20"/>
                <w:szCs w:val="20"/>
                <w:color w:val="auto"/>
              </w:rPr>
            </w:pPr>
            <w:r>
              <w:rPr>
                <w:rFonts w:ascii="Arial" w:cs="Arial" w:eastAsia="Arial" w:hAnsi="Arial"/>
                <w:sz w:val="17"/>
                <w:szCs w:val="17"/>
                <w:color w:val="auto"/>
              </w:rPr>
              <w:t>Survival</w:t>
            </w:r>
          </w:p>
        </w:tc>
        <w:tc>
          <w:tcPr>
            <w:tcW w:w="270" w:type="dxa"/>
            <w:vAlign w:val="bottom"/>
            <w:gridSpan w:val="2"/>
          </w:tcPr>
          <w:p>
            <w:pPr>
              <w:jc w:val="right"/>
              <w:spacing w:after="0" w:line="149" w:lineRule="exact"/>
              <w:rPr>
                <w:sz w:val="20"/>
                <w:szCs w:val="20"/>
                <w:color w:val="auto"/>
              </w:rPr>
            </w:pPr>
            <w:r>
              <w:rPr>
                <w:rFonts w:ascii="Arial" w:cs="Arial" w:eastAsia="Arial" w:hAnsi="Arial"/>
                <w:sz w:val="17"/>
                <w:szCs w:val="17"/>
                <w:color w:val="FF0000"/>
                <w:strike w:val="1"/>
              </w:rPr>
              <w:t>95</w:t>
            </w:r>
          </w:p>
        </w:tc>
        <w:tc>
          <w:tcPr>
            <w:tcW w:w="260" w:type="dxa"/>
            <w:vAlign w:val="bottom"/>
            <w:tcBorders>
              <w:top w:val="single" w:sz="8" w:color="DDDDDD"/>
              <w:bottom w:val="single" w:sz="8" w:color="0000FF"/>
            </w:tcBorders>
            <w:gridSpan w:val="4"/>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91"/>
              </w:rPr>
              <w:t>109</w:t>
            </w:r>
          </w:p>
        </w:tc>
        <w:tc>
          <w:tcPr>
            <w:tcW w:w="1620" w:type="dxa"/>
            <w:vAlign w:val="bottom"/>
            <w:tcBorders>
              <w:left w:val="single" w:sz="8" w:color="DDDDDD"/>
            </w:tcBorders>
            <w:gridSpan w:val="29"/>
          </w:tcPr>
          <w:p>
            <w:pPr>
              <w:spacing w:after="0"/>
              <w:rPr>
                <w:sz w:val="12"/>
                <w:szCs w:val="12"/>
                <w:color w:val="auto"/>
              </w:rPr>
            </w:pPr>
          </w:p>
        </w:tc>
        <w:tc>
          <w:tcPr>
            <w:tcW w:w="260" w:type="dxa"/>
            <w:vAlign w:val="bottom"/>
            <w:tcBorders>
              <w:top w:val="single" w:sz="8" w:color="DDDDDD"/>
            </w:tcBorders>
            <w:gridSpan w:val="7"/>
          </w:tcPr>
          <w:p>
            <w:pPr>
              <w:spacing w:after="0"/>
              <w:rPr>
                <w:sz w:val="12"/>
                <w:szCs w:val="12"/>
                <w:color w:val="auto"/>
              </w:rPr>
            </w:pPr>
          </w:p>
        </w:tc>
        <w:tc>
          <w:tcPr>
            <w:tcW w:w="3180" w:type="dxa"/>
            <w:vAlign w:val="bottom"/>
            <w:gridSpan w:val="2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gridSpan w:val="2"/>
            <w:vMerge w:val="restart"/>
          </w:tcPr>
          <w:p>
            <w:pPr>
              <w:ind w:left="200"/>
              <w:spacing w:after="0" w:line="169" w:lineRule="exact"/>
              <w:rPr>
                <w:sz w:val="20"/>
                <w:szCs w:val="20"/>
                <w:color w:val="auto"/>
              </w:rPr>
            </w:pPr>
            <w:r>
              <w:rPr>
                <w:rFonts w:ascii="Arial" w:cs="Arial" w:eastAsia="Arial" w:hAnsi="Arial"/>
                <w:sz w:val="18"/>
                <w:szCs w:val="18"/>
                <w:color w:val="auto"/>
              </w:rPr>
              <w:t>10.5</w:t>
            </w:r>
          </w:p>
        </w:tc>
        <w:tc>
          <w:tcPr>
            <w:tcW w:w="1340" w:type="dxa"/>
            <w:vAlign w:val="bottom"/>
            <w:gridSpan w:val="8"/>
          </w:tcPr>
          <w:p>
            <w:pPr>
              <w:spacing w:after="0" w:line="20" w:lineRule="exact"/>
              <w:rPr>
                <w:sz w:val="1"/>
                <w:szCs w:val="1"/>
                <w:color w:val="auto"/>
              </w:rPr>
            </w:pPr>
          </w:p>
        </w:tc>
        <w:tc>
          <w:tcPr>
            <w:tcW w:w="2800" w:type="dxa"/>
            <w:vAlign w:val="bottom"/>
            <w:tcBorders>
              <w:left w:val="single" w:sz="8" w:color="DDDDDD"/>
              <w:right w:val="single" w:sz="8" w:color="DDDDDD"/>
            </w:tcBorders>
            <w:gridSpan w:val="46"/>
          </w:tcPr>
          <w:p>
            <w:pPr>
              <w:spacing w:after="0" w:line="20" w:lineRule="exact"/>
              <w:rPr>
                <w:sz w:val="1"/>
                <w:szCs w:val="1"/>
                <w:color w:val="auto"/>
              </w:rPr>
            </w:pPr>
          </w:p>
        </w:tc>
        <w:tc>
          <w:tcPr>
            <w:tcW w:w="180" w:type="dxa"/>
            <w:vAlign w:val="bottom"/>
            <w:shd w:val="clear" w:color="auto" w:fill="DDDDDD"/>
          </w:tcPr>
          <w:p>
            <w:pPr>
              <w:spacing w:after="0" w:line="20" w:lineRule="exact"/>
              <w:rPr>
                <w:sz w:val="1"/>
                <w:szCs w:val="1"/>
                <w:color w:val="auto"/>
              </w:rPr>
            </w:pPr>
          </w:p>
        </w:tc>
        <w:tc>
          <w:tcPr>
            <w:tcW w:w="2080" w:type="dxa"/>
            <w:vAlign w:val="bottom"/>
            <w:tcBorders>
              <w:left w:val="single" w:sz="8" w:color="DDDDDD"/>
            </w:tcBorders>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 w:type="dxa"/>
            <w:vAlign w:val="bottom"/>
            <w:gridSpan w:val="2"/>
            <w:vMerge w:val="continue"/>
          </w:tcPr>
          <w:p>
            <w:pPr>
              <w:spacing w:after="0"/>
              <w:rPr>
                <w:sz w:val="14"/>
                <w:szCs w:val="14"/>
                <w:color w:val="auto"/>
              </w:rPr>
            </w:pPr>
          </w:p>
        </w:tc>
        <w:tc>
          <w:tcPr>
            <w:tcW w:w="3880" w:type="dxa"/>
            <w:vAlign w:val="bottom"/>
            <w:gridSpan w:val="51"/>
          </w:tcPr>
          <w:p>
            <w:pPr>
              <w:ind w:left="120"/>
              <w:spacing w:after="0" w:line="149" w:lineRule="exact"/>
              <w:rPr>
                <w:sz w:val="20"/>
                <w:szCs w:val="20"/>
                <w:color w:val="auto"/>
              </w:rPr>
            </w:pPr>
            <w:r>
              <w:rPr>
                <w:rFonts w:ascii="Arial" w:cs="Arial" w:eastAsia="Arial" w:hAnsi="Arial"/>
                <w:sz w:val="17"/>
                <w:szCs w:val="17"/>
                <w:color w:val="auto"/>
              </w:rPr>
              <w:t>Expenses; Limitation of Liability; Indemnity, Etc.</w:t>
            </w:r>
          </w:p>
        </w:tc>
        <w:tc>
          <w:tcPr>
            <w:tcW w:w="180" w:type="dxa"/>
            <w:vAlign w:val="bottom"/>
            <w:gridSpan w:val="2"/>
          </w:tcPr>
          <w:p>
            <w:pPr>
              <w:jc w:val="right"/>
              <w:spacing w:after="0" w:line="149" w:lineRule="exact"/>
              <w:rPr>
                <w:sz w:val="20"/>
                <w:szCs w:val="20"/>
                <w:color w:val="auto"/>
              </w:rPr>
            </w:pPr>
            <w:r>
              <w:rPr>
                <w:rFonts w:ascii="Arial" w:cs="Arial" w:eastAsia="Arial" w:hAnsi="Arial"/>
                <w:sz w:val="17"/>
                <w:szCs w:val="17"/>
                <w:color w:val="FF0000"/>
                <w:strike w:val="1"/>
                <w:w w:val="84"/>
              </w:rPr>
              <w:t>95</w:t>
            </w:r>
          </w:p>
        </w:tc>
        <w:tc>
          <w:tcPr>
            <w:tcW w:w="80" w:type="dxa"/>
            <w:vAlign w:val="bottom"/>
            <w:tcBorders>
              <w:bottom w:val="single" w:sz="8" w:color="0000FF"/>
              <w:right w:val="single" w:sz="8" w:color="DDDDDD"/>
            </w:tcBorders>
          </w:tcPr>
          <w:p>
            <w:pPr>
              <w:spacing w:after="0"/>
              <w:rPr>
                <w:sz w:val="14"/>
                <w:szCs w:val="14"/>
                <w:color w:val="auto"/>
              </w:rPr>
            </w:pPr>
          </w:p>
        </w:tc>
        <w:tc>
          <w:tcPr>
            <w:tcW w:w="180" w:type="dxa"/>
            <w:vAlign w:val="bottom"/>
            <w:tcBorders>
              <w:bottom w:val="single" w:sz="8" w:color="0000FF"/>
            </w:tcBorders>
            <w:shd w:val="clear" w:color="auto" w:fill="DDDDDD"/>
          </w:tcPr>
          <w:p>
            <w:pPr>
              <w:jc w:val="right"/>
              <w:spacing w:after="0" w:line="149" w:lineRule="exact"/>
              <w:rPr>
                <w:sz w:val="20"/>
                <w:szCs w:val="20"/>
                <w:color w:val="auto"/>
              </w:rPr>
            </w:pPr>
            <w:r>
              <w:rPr>
                <w:rFonts w:ascii="Arial" w:cs="Arial" w:eastAsia="Arial" w:hAnsi="Arial"/>
                <w:sz w:val="15"/>
                <w:szCs w:val="15"/>
                <w:color w:val="0000FF"/>
                <w:highlight w:val="lightGray"/>
                <w:w w:val="71"/>
              </w:rPr>
              <w:t>109</w:t>
            </w:r>
          </w:p>
        </w:tc>
        <w:tc>
          <w:tcPr>
            <w:tcW w:w="80" w:type="dxa"/>
            <w:vAlign w:val="bottom"/>
            <w:tcBorders>
              <w:left w:val="single" w:sz="8" w:color="DDDDDD"/>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28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10.6</w:t>
            </w:r>
          </w:p>
        </w:tc>
        <w:tc>
          <w:tcPr>
            <w:tcW w:w="4060" w:type="dxa"/>
            <w:vAlign w:val="bottom"/>
            <w:gridSpan w:val="53"/>
          </w:tcPr>
          <w:p>
            <w:pPr>
              <w:ind w:left="120"/>
              <w:spacing w:after="0" w:line="149" w:lineRule="exact"/>
              <w:rPr>
                <w:sz w:val="20"/>
                <w:szCs w:val="20"/>
                <w:color w:val="auto"/>
              </w:rPr>
            </w:pPr>
            <w:r>
              <w:rPr>
                <w:rFonts w:ascii="Arial" w:cs="Arial" w:eastAsia="Arial" w:hAnsi="Arial"/>
                <w:sz w:val="17"/>
                <w:szCs w:val="17"/>
                <w:color w:val="auto"/>
                <w:w w:val="90"/>
              </w:rPr>
              <w:t>Successors and Assigns; Participations and Assignments</w:t>
            </w:r>
          </w:p>
        </w:tc>
        <w:tc>
          <w:tcPr>
            <w:tcW w:w="80" w:type="dxa"/>
            <w:vAlign w:val="bottom"/>
          </w:tcPr>
          <w:p>
            <w:pPr>
              <w:spacing w:after="0"/>
              <w:rPr>
                <w:sz w:val="14"/>
                <w:szCs w:val="14"/>
                <w:color w:val="auto"/>
              </w:rPr>
            </w:pPr>
          </w:p>
        </w:tc>
        <w:tc>
          <w:tcPr>
            <w:tcW w:w="180" w:type="dxa"/>
            <w:vAlign w:val="bottom"/>
            <w:tcBorders>
              <w:top w:val="single" w:sz="8" w:color="DDDDDD"/>
            </w:tcBorders>
          </w:tcPr>
          <w:p>
            <w:pPr>
              <w:spacing w:after="0"/>
              <w:rPr>
                <w:sz w:val="14"/>
                <w:szCs w:val="14"/>
                <w:color w:val="auto"/>
              </w:rPr>
            </w:pPr>
          </w:p>
        </w:tc>
        <w:tc>
          <w:tcPr>
            <w:tcW w:w="220" w:type="dxa"/>
            <w:vAlign w:val="bottom"/>
            <w:gridSpan w:val="3"/>
          </w:tcPr>
          <w:p>
            <w:pPr>
              <w:jc w:val="right"/>
              <w:spacing w:after="0" w:line="149" w:lineRule="exact"/>
              <w:rPr>
                <w:sz w:val="20"/>
                <w:szCs w:val="20"/>
                <w:color w:val="auto"/>
              </w:rPr>
            </w:pPr>
            <w:r>
              <w:rPr>
                <w:rFonts w:ascii="Arial" w:cs="Arial" w:eastAsia="Arial" w:hAnsi="Arial"/>
                <w:sz w:val="17"/>
                <w:szCs w:val="17"/>
                <w:color w:val="FF0000"/>
                <w:strike w:val="1"/>
              </w:rPr>
              <w:t>97</w:t>
            </w:r>
          </w:p>
        </w:tc>
        <w:tc>
          <w:tcPr>
            <w:tcW w:w="260" w:type="dxa"/>
            <w:vAlign w:val="bottom"/>
            <w:tcBorders>
              <w:top w:val="single" w:sz="8" w:color="DDDDDD"/>
            </w:tcBorders>
            <w:gridSpan w:val="4"/>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84"/>
              </w:rPr>
              <w:t>111</w:t>
            </w:r>
          </w:p>
        </w:tc>
        <w:tc>
          <w:tcPr>
            <w:tcW w:w="240" w:type="dxa"/>
            <w:vAlign w:val="bottom"/>
            <w:gridSpan w:val="2"/>
          </w:tcPr>
          <w:p>
            <w:pPr>
              <w:spacing w:after="0"/>
              <w:rPr>
                <w:sz w:val="14"/>
                <w:szCs w:val="14"/>
                <w:color w:val="auto"/>
              </w:rPr>
            </w:pPr>
          </w:p>
        </w:tc>
        <w:tc>
          <w:tcPr>
            <w:tcW w:w="28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10.7</w:t>
            </w:r>
          </w:p>
        </w:tc>
        <w:tc>
          <w:tcPr>
            <w:tcW w:w="1720" w:type="dxa"/>
            <w:vAlign w:val="bottom"/>
            <w:gridSpan w:val="12"/>
          </w:tcPr>
          <w:p>
            <w:pPr>
              <w:ind w:left="120"/>
              <w:spacing w:after="0" w:line="149" w:lineRule="exact"/>
              <w:rPr>
                <w:sz w:val="20"/>
                <w:szCs w:val="20"/>
                <w:color w:val="auto"/>
              </w:rPr>
            </w:pPr>
            <w:r>
              <w:rPr>
                <w:rFonts w:ascii="Arial" w:cs="Arial" w:eastAsia="Arial" w:hAnsi="Arial"/>
                <w:sz w:val="17"/>
                <w:szCs w:val="17"/>
                <w:color w:val="auto"/>
              </w:rPr>
              <w:t>Adjustments; Setoff</w:t>
            </w:r>
          </w:p>
        </w:tc>
        <w:tc>
          <w:tcPr>
            <w:tcW w:w="280" w:type="dxa"/>
            <w:vAlign w:val="bottom"/>
            <w:gridSpan w:val="4"/>
          </w:tcPr>
          <w:p>
            <w:pPr>
              <w:jc w:val="right"/>
              <w:spacing w:after="0" w:line="149" w:lineRule="exact"/>
              <w:rPr>
                <w:sz w:val="20"/>
                <w:szCs w:val="20"/>
                <w:color w:val="auto"/>
              </w:rPr>
            </w:pPr>
            <w:r>
              <w:rPr>
                <w:rFonts w:ascii="Arial" w:cs="Arial" w:eastAsia="Arial" w:hAnsi="Arial"/>
                <w:sz w:val="17"/>
                <w:szCs w:val="17"/>
                <w:color w:val="FF0000"/>
                <w:strike w:val="1"/>
                <w:w w:val="91"/>
              </w:rPr>
              <w:t>100</w:t>
            </w:r>
          </w:p>
        </w:tc>
        <w:tc>
          <w:tcPr>
            <w:tcW w:w="280" w:type="dxa"/>
            <w:vAlign w:val="bottom"/>
            <w:tcBorders>
              <w:top w:val="single" w:sz="8" w:color="DDDDDD"/>
              <w:bottom w:val="single" w:sz="8" w:color="0000FF"/>
            </w:tcBorders>
            <w:gridSpan w:val="6"/>
            <w:shd w:val="clear" w:color="auto" w:fill="DDDDDD"/>
          </w:tcPr>
          <w:p>
            <w:pPr>
              <w:jc w:val="center"/>
              <w:spacing w:after="0" w:line="149" w:lineRule="exact"/>
              <w:rPr>
                <w:sz w:val="20"/>
                <w:szCs w:val="20"/>
                <w:color w:val="auto"/>
              </w:rPr>
            </w:pPr>
            <w:r>
              <w:rPr>
                <w:rFonts w:ascii="Arial" w:cs="Arial" w:eastAsia="Arial" w:hAnsi="Arial"/>
                <w:sz w:val="17"/>
                <w:szCs w:val="17"/>
                <w:color w:val="0000FF"/>
                <w:highlight w:val="lightGray"/>
                <w:w w:val="98"/>
              </w:rPr>
              <w:t>114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10.8</w:t>
            </w:r>
          </w:p>
        </w:tc>
        <w:tc>
          <w:tcPr>
            <w:tcW w:w="2000" w:type="dxa"/>
            <w:vAlign w:val="bottom"/>
            <w:gridSpan w:val="16"/>
          </w:tcPr>
          <w:p>
            <w:pPr>
              <w:ind w:left="120"/>
              <w:spacing w:after="0" w:line="149" w:lineRule="exact"/>
              <w:rPr>
                <w:sz w:val="20"/>
                <w:szCs w:val="20"/>
                <w:color w:val="auto"/>
              </w:rPr>
            </w:pPr>
            <w:r>
              <w:rPr>
                <w:rFonts w:ascii="Arial" w:cs="Arial" w:eastAsia="Arial" w:hAnsi="Arial"/>
                <w:sz w:val="17"/>
                <w:szCs w:val="17"/>
                <w:color w:val="auto"/>
                <w:w w:val="96"/>
              </w:rPr>
              <w:t>Counterparts; Integration;</w:t>
            </w:r>
          </w:p>
        </w:tc>
        <w:tc>
          <w:tcPr>
            <w:tcW w:w="40" w:type="dxa"/>
            <w:vAlign w:val="bottom"/>
            <w:tcBorders>
              <w:top w:val="single" w:sz="8" w:color="DDDDDD"/>
            </w:tcBorders>
          </w:tcPr>
          <w:p>
            <w:pPr>
              <w:spacing w:after="0"/>
              <w:rPr>
                <w:sz w:val="14"/>
                <w:szCs w:val="14"/>
                <w:color w:val="auto"/>
              </w:rPr>
            </w:pPr>
          </w:p>
        </w:tc>
        <w:tc>
          <w:tcPr>
            <w:tcW w:w="20" w:type="dxa"/>
            <w:vAlign w:val="bottom"/>
            <w:tcBorders>
              <w:top w:val="single" w:sz="8" w:color="DDDDDD"/>
            </w:tcBorders>
          </w:tcPr>
          <w:p>
            <w:pPr>
              <w:spacing w:after="0"/>
              <w:rPr>
                <w:sz w:val="14"/>
                <w:szCs w:val="14"/>
                <w:color w:val="auto"/>
              </w:rPr>
            </w:pPr>
          </w:p>
        </w:tc>
        <w:tc>
          <w:tcPr>
            <w:tcW w:w="40" w:type="dxa"/>
            <w:vAlign w:val="bottom"/>
            <w:tcBorders>
              <w:top w:val="single" w:sz="8" w:color="DDDDDD"/>
            </w:tcBorders>
          </w:tcPr>
          <w:p>
            <w:pPr>
              <w:spacing w:after="0"/>
              <w:rPr>
                <w:sz w:val="14"/>
                <w:szCs w:val="14"/>
                <w:color w:val="auto"/>
              </w:rPr>
            </w:pPr>
          </w:p>
        </w:tc>
        <w:tc>
          <w:tcPr>
            <w:tcW w:w="100" w:type="dxa"/>
            <w:vAlign w:val="bottom"/>
            <w:tcBorders>
              <w:top w:val="single" w:sz="8" w:color="DDDDDD"/>
            </w:tcBorders>
          </w:tcPr>
          <w:p>
            <w:pPr>
              <w:spacing w:after="0"/>
              <w:rPr>
                <w:sz w:val="14"/>
                <w:szCs w:val="14"/>
                <w:color w:val="auto"/>
              </w:rPr>
            </w:pPr>
          </w:p>
        </w:tc>
        <w:tc>
          <w:tcPr>
            <w:tcW w:w="20" w:type="dxa"/>
            <w:vAlign w:val="bottom"/>
            <w:tcBorders>
              <w:top w:val="single" w:sz="8" w:color="DDDDDD"/>
            </w:tcBorders>
          </w:tcPr>
          <w:p>
            <w:pPr>
              <w:spacing w:after="0"/>
              <w:rPr>
                <w:sz w:val="14"/>
                <w:szCs w:val="14"/>
                <w:color w:val="auto"/>
              </w:rPr>
            </w:pPr>
          </w:p>
        </w:tc>
        <w:tc>
          <w:tcPr>
            <w:tcW w:w="60" w:type="dxa"/>
            <w:vAlign w:val="bottom"/>
            <w:tcBorders>
              <w:top w:val="single" w:sz="8" w:color="DDDDDD"/>
            </w:tcBorders>
          </w:tcPr>
          <w:p>
            <w:pPr>
              <w:spacing w:after="0"/>
              <w:rPr>
                <w:sz w:val="14"/>
                <w:szCs w:val="14"/>
                <w:color w:val="auto"/>
              </w:rPr>
            </w:pPr>
          </w:p>
        </w:tc>
        <w:tc>
          <w:tcPr>
            <w:tcW w:w="2500" w:type="dxa"/>
            <w:vAlign w:val="bottom"/>
            <w:gridSpan w:val="39"/>
          </w:tcPr>
          <w:p>
            <w:pPr>
              <w:spacing w:after="0" w:line="149" w:lineRule="exact"/>
              <w:rPr>
                <w:sz w:val="20"/>
                <w:szCs w:val="20"/>
                <w:color w:val="auto"/>
              </w:rPr>
            </w:pPr>
            <w:r>
              <w:rPr>
                <w:rFonts w:ascii="Arial" w:cs="Arial" w:eastAsia="Arial" w:hAnsi="Arial"/>
                <w:sz w:val="17"/>
                <w:szCs w:val="17"/>
                <w:color w:val="auto"/>
                <w:w w:val="93"/>
              </w:rPr>
              <w:t>Effectiveness; Electronic Execution</w:t>
            </w:r>
          </w:p>
        </w:tc>
        <w:tc>
          <w:tcPr>
            <w:tcW w:w="260" w:type="dxa"/>
            <w:vAlign w:val="bottom"/>
            <w:gridSpan w:val="3"/>
          </w:tcPr>
          <w:p>
            <w:pPr>
              <w:jc w:val="right"/>
              <w:spacing w:after="0" w:line="149" w:lineRule="exact"/>
              <w:rPr>
                <w:sz w:val="20"/>
                <w:szCs w:val="20"/>
                <w:color w:val="auto"/>
              </w:rPr>
            </w:pPr>
            <w:r>
              <w:rPr>
                <w:rFonts w:ascii="Arial" w:cs="Arial" w:eastAsia="Arial" w:hAnsi="Arial"/>
                <w:sz w:val="17"/>
                <w:szCs w:val="17"/>
                <w:color w:val="FF0000"/>
                <w:strike w:val="1"/>
                <w:w w:val="84"/>
              </w:rPr>
              <w:t>101</w:t>
            </w:r>
          </w:p>
        </w:tc>
        <w:tc>
          <w:tcPr>
            <w:tcW w:w="280" w:type="dxa"/>
            <w:vAlign w:val="bottom"/>
            <w:tcBorders>
              <w:top w:val="single" w:sz="8" w:color="DDDDDD"/>
            </w:tcBorders>
            <w:gridSpan w:val="2"/>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91"/>
              </w:rPr>
              <w:t>115</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10.9</w:t>
            </w:r>
          </w:p>
        </w:tc>
        <w:tc>
          <w:tcPr>
            <w:tcW w:w="1160" w:type="dxa"/>
            <w:vAlign w:val="bottom"/>
            <w:gridSpan w:val="5"/>
          </w:tcPr>
          <w:p>
            <w:pPr>
              <w:ind w:left="120"/>
              <w:spacing w:after="0" w:line="149" w:lineRule="exact"/>
              <w:rPr>
                <w:sz w:val="20"/>
                <w:szCs w:val="20"/>
                <w:color w:val="auto"/>
              </w:rPr>
            </w:pPr>
            <w:r>
              <w:rPr>
                <w:rFonts w:ascii="Arial" w:cs="Arial" w:eastAsia="Arial" w:hAnsi="Arial"/>
                <w:sz w:val="17"/>
                <w:szCs w:val="17"/>
                <w:color w:val="auto"/>
              </w:rPr>
              <w:t>Severability</w:t>
            </w:r>
          </w:p>
        </w:tc>
        <w:tc>
          <w:tcPr>
            <w:tcW w:w="340" w:type="dxa"/>
            <w:vAlign w:val="bottom"/>
            <w:tcBorders>
              <w:right w:val="single" w:sz="8" w:color="DDDDDD"/>
            </w:tcBorders>
            <w:gridSpan w:val="5"/>
          </w:tcPr>
          <w:p>
            <w:pPr>
              <w:jc w:val="right"/>
              <w:spacing w:after="0" w:line="149" w:lineRule="exact"/>
              <w:rPr>
                <w:sz w:val="20"/>
                <w:szCs w:val="20"/>
                <w:color w:val="auto"/>
              </w:rPr>
            </w:pPr>
            <w:r>
              <w:rPr>
                <w:rFonts w:ascii="Arial" w:cs="Arial" w:eastAsia="Arial" w:hAnsi="Arial"/>
                <w:sz w:val="17"/>
                <w:szCs w:val="17"/>
                <w:color w:val="FF0000"/>
                <w:strike w:val="1"/>
                <w:w w:val="91"/>
              </w:rPr>
              <w:t>102</w:t>
            </w:r>
          </w:p>
        </w:tc>
        <w:tc>
          <w:tcPr>
            <w:tcW w:w="220" w:type="dxa"/>
            <w:vAlign w:val="bottom"/>
            <w:tcBorders>
              <w:top w:val="single" w:sz="8" w:color="DDDDDD"/>
              <w:bottom w:val="single" w:sz="8" w:color="0000FF"/>
              <w:right w:val="single" w:sz="8" w:color="DDDDDD"/>
            </w:tcBorders>
            <w:gridSpan w:val="2"/>
            <w:shd w:val="clear" w:color="auto" w:fill="DDDDDD"/>
          </w:tcPr>
          <w:p>
            <w:pPr>
              <w:jc w:val="right"/>
              <w:ind w:right="20"/>
              <w:spacing w:after="0" w:line="149" w:lineRule="exact"/>
              <w:rPr>
                <w:sz w:val="20"/>
                <w:szCs w:val="20"/>
                <w:color w:val="auto"/>
              </w:rPr>
            </w:pPr>
            <w:r>
              <w:rPr>
                <w:rFonts w:ascii="Arial" w:cs="Arial" w:eastAsia="Arial" w:hAnsi="Arial"/>
                <w:sz w:val="15"/>
                <w:szCs w:val="15"/>
                <w:color w:val="0000FF"/>
                <w:highlight w:val="lightGray"/>
                <w:w w:val="71"/>
              </w:rPr>
              <w:t>116</w:t>
            </w:r>
          </w:p>
        </w:tc>
        <w:tc>
          <w:tcPr>
            <w:tcW w:w="3320" w:type="dxa"/>
            <w:vAlign w:val="bottom"/>
            <w:gridSpan w:val="52"/>
          </w:tcPr>
          <w:p>
            <w:pPr>
              <w:spacing w:after="0"/>
              <w:rPr>
                <w:sz w:val="12"/>
                <w:szCs w:val="12"/>
                <w:color w:val="auto"/>
              </w:rPr>
            </w:pPr>
          </w:p>
        </w:tc>
        <w:tc>
          <w:tcPr>
            <w:tcW w:w="280" w:type="dxa"/>
            <w:vAlign w:val="bottom"/>
            <w:tcBorders>
              <w:top w:val="single" w:sz="8" w:color="0000FF"/>
            </w:tcBorders>
            <w:gridSpan w:val="2"/>
          </w:tcPr>
          <w:p>
            <w:pPr>
              <w:spacing w:after="0"/>
              <w:rPr>
                <w:sz w:val="12"/>
                <w:szCs w:val="12"/>
                <w:color w:val="auto"/>
              </w:rPr>
            </w:pPr>
          </w:p>
        </w:tc>
        <w:tc>
          <w:tcPr>
            <w:tcW w:w="10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gridSpan w:val="2"/>
            <w:vMerge w:val="restart"/>
          </w:tcPr>
          <w:p>
            <w:pPr>
              <w:ind w:left="200"/>
              <w:spacing w:after="0" w:line="169" w:lineRule="exact"/>
              <w:rPr>
                <w:sz w:val="20"/>
                <w:szCs w:val="20"/>
                <w:color w:val="auto"/>
              </w:rPr>
            </w:pPr>
            <w:r>
              <w:rPr>
                <w:rFonts w:ascii="Arial" w:cs="Arial" w:eastAsia="Arial" w:hAnsi="Arial"/>
                <w:sz w:val="18"/>
                <w:szCs w:val="18"/>
                <w:color w:val="auto"/>
                <w:w w:val="88"/>
              </w:rPr>
              <w:t>10.10</w:t>
            </w:r>
          </w:p>
        </w:tc>
        <w:tc>
          <w:tcPr>
            <w:tcW w:w="1500" w:type="dxa"/>
            <w:vAlign w:val="bottom"/>
            <w:tcBorders>
              <w:right w:val="single" w:sz="8" w:color="DDDDDD"/>
            </w:tcBorders>
            <w:gridSpan w:val="10"/>
          </w:tcPr>
          <w:p>
            <w:pPr>
              <w:spacing w:after="0" w:line="20" w:lineRule="exact"/>
              <w:rPr>
                <w:sz w:val="1"/>
                <w:szCs w:val="1"/>
                <w:color w:val="auto"/>
              </w:rPr>
            </w:pPr>
          </w:p>
        </w:tc>
        <w:tc>
          <w:tcPr>
            <w:tcW w:w="220" w:type="dxa"/>
            <w:vAlign w:val="bottom"/>
            <w:tcBorders>
              <w:right w:val="single" w:sz="8" w:color="DDDDDD"/>
            </w:tcBorders>
            <w:gridSpan w:val="2"/>
            <w:shd w:val="clear" w:color="auto" w:fill="DDDDDD"/>
          </w:tcPr>
          <w:p>
            <w:pPr>
              <w:spacing w:after="0" w:line="20" w:lineRule="exact"/>
              <w:rPr>
                <w:sz w:val="1"/>
                <w:szCs w:val="1"/>
                <w:color w:val="auto"/>
              </w:rPr>
            </w:pPr>
          </w:p>
        </w:tc>
        <w:tc>
          <w:tcPr>
            <w:tcW w:w="320" w:type="dxa"/>
            <w:vAlign w:val="bottom"/>
            <w:gridSpan w:val="5"/>
            <w:vMerge w:val="restart"/>
          </w:tcPr>
          <w:p>
            <w:pPr>
              <w:jc w:val="center"/>
              <w:ind w:right="36"/>
              <w:spacing w:after="0" w:line="169" w:lineRule="exact"/>
              <w:rPr>
                <w:sz w:val="20"/>
                <w:szCs w:val="20"/>
                <w:color w:val="auto"/>
              </w:rPr>
            </w:pPr>
            <w:r>
              <w:rPr>
                <w:rFonts w:ascii="Arial" w:cs="Arial" w:eastAsia="Arial" w:hAnsi="Arial"/>
                <w:sz w:val="16"/>
                <w:szCs w:val="16"/>
                <w:color w:val="auto"/>
                <w:w w:val="72"/>
              </w:rPr>
              <w:t>Etc.</w:t>
            </w: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gridSpan w:val="7"/>
            <w:vMerge w:val="restart"/>
          </w:tcPr>
          <w:p>
            <w:pPr>
              <w:jc w:val="right"/>
              <w:spacing w:after="0" w:line="169" w:lineRule="exact"/>
              <w:rPr>
                <w:sz w:val="20"/>
                <w:szCs w:val="20"/>
                <w:color w:val="auto"/>
              </w:rPr>
            </w:pPr>
            <w:r>
              <w:rPr>
                <w:rFonts w:ascii="Arial" w:cs="Arial" w:eastAsia="Arial" w:hAnsi="Arial"/>
                <w:sz w:val="18"/>
                <w:szCs w:val="18"/>
                <w:color w:val="FF0000"/>
                <w:strike w:val="1"/>
                <w:w w:val="86"/>
              </w:rPr>
              <w:t>102</w:t>
            </w:r>
          </w:p>
        </w:tc>
        <w:tc>
          <w:tcPr>
            <w:tcW w:w="260" w:type="dxa"/>
            <w:vAlign w:val="bottom"/>
            <w:gridSpan w:val="4"/>
            <w:vMerge w:val="restart"/>
            <w:shd w:val="clear" w:color="auto" w:fill="DDDDDD"/>
          </w:tcPr>
          <w:p>
            <w:pPr>
              <w:jc w:val="right"/>
              <w:spacing w:after="0" w:line="169" w:lineRule="exact"/>
              <w:rPr>
                <w:sz w:val="20"/>
                <w:szCs w:val="20"/>
                <w:color w:val="auto"/>
              </w:rPr>
            </w:pPr>
            <w:r>
              <w:rPr>
                <w:rFonts w:ascii="Arial" w:cs="Arial" w:eastAsia="Arial" w:hAnsi="Arial"/>
                <w:sz w:val="18"/>
                <w:szCs w:val="18"/>
                <w:color w:val="0000FF"/>
                <w:highlight w:val="lightGray"/>
                <w:w w:val="79"/>
              </w:rPr>
              <w:t>116</w:t>
            </w:r>
          </w:p>
        </w:tc>
        <w:tc>
          <w:tcPr>
            <w:tcW w:w="3760" w:type="dxa"/>
            <w:vAlign w:val="bottom"/>
            <w:gridSpan w:val="3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 w:type="dxa"/>
            <w:vAlign w:val="bottom"/>
            <w:gridSpan w:val="2"/>
            <w:vMerge w:val="continue"/>
          </w:tcPr>
          <w:p>
            <w:pPr>
              <w:spacing w:after="0"/>
              <w:rPr>
                <w:sz w:val="14"/>
                <w:szCs w:val="14"/>
                <w:color w:val="auto"/>
              </w:rPr>
            </w:pPr>
          </w:p>
        </w:tc>
        <w:tc>
          <w:tcPr>
            <w:tcW w:w="1720" w:type="dxa"/>
            <w:vAlign w:val="bottom"/>
            <w:gridSpan w:val="12"/>
          </w:tcPr>
          <w:p>
            <w:pPr>
              <w:ind w:left="200"/>
              <w:spacing w:after="0" w:line="149" w:lineRule="exact"/>
              <w:rPr>
                <w:sz w:val="20"/>
                <w:szCs w:val="20"/>
                <w:color w:val="auto"/>
              </w:rPr>
            </w:pPr>
            <w:r>
              <w:rPr>
                <w:rFonts w:ascii="Arial" w:cs="Arial" w:eastAsia="Arial" w:hAnsi="Arial"/>
                <w:sz w:val="17"/>
                <w:szCs w:val="17"/>
                <w:color w:val="auto"/>
              </w:rPr>
              <w:t>No Fiduciary Duty,</w:t>
            </w:r>
          </w:p>
        </w:tc>
        <w:tc>
          <w:tcPr>
            <w:tcW w:w="320" w:type="dxa"/>
            <w:vAlign w:val="bottom"/>
            <w:gridSpan w:val="5"/>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80" w:type="dxa"/>
            <w:vAlign w:val="bottom"/>
            <w:gridSpan w:val="7"/>
            <w:vMerge w:val="continue"/>
          </w:tcPr>
          <w:p>
            <w:pPr>
              <w:spacing w:after="0"/>
              <w:rPr>
                <w:sz w:val="14"/>
                <w:szCs w:val="14"/>
                <w:color w:val="auto"/>
              </w:rPr>
            </w:pPr>
          </w:p>
        </w:tc>
        <w:tc>
          <w:tcPr>
            <w:tcW w:w="260" w:type="dxa"/>
            <w:vAlign w:val="bottom"/>
            <w:tcBorders>
              <w:bottom w:val="single" w:sz="8" w:color="0000FF"/>
            </w:tcBorders>
            <w:gridSpan w:val="4"/>
            <w:vMerge w:val="continue"/>
            <w:shd w:val="clear" w:color="auto" w:fill="DDDDDD"/>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gridSpan w:val="2"/>
          </w:tcPr>
          <w:p>
            <w:pPr>
              <w:ind w:left="200"/>
              <w:spacing w:after="0" w:line="149" w:lineRule="exact"/>
              <w:rPr>
                <w:sz w:val="20"/>
                <w:szCs w:val="20"/>
                <w:color w:val="auto"/>
              </w:rPr>
            </w:pPr>
            <w:r>
              <w:rPr>
                <w:rFonts w:ascii="Arial" w:cs="Arial" w:eastAsia="Arial" w:hAnsi="Arial"/>
                <w:sz w:val="17"/>
                <w:szCs w:val="17"/>
                <w:color w:val="auto"/>
                <w:w w:val="93"/>
              </w:rPr>
              <w:t>10.12</w:t>
            </w:r>
          </w:p>
        </w:tc>
        <w:tc>
          <w:tcPr>
            <w:tcW w:w="1500" w:type="dxa"/>
            <w:vAlign w:val="bottom"/>
            <w:gridSpan w:val="10"/>
          </w:tcPr>
          <w:p>
            <w:pPr>
              <w:ind w:left="200"/>
              <w:spacing w:after="0" w:line="149" w:lineRule="exact"/>
              <w:rPr>
                <w:sz w:val="20"/>
                <w:szCs w:val="20"/>
                <w:color w:val="auto"/>
              </w:rPr>
            </w:pPr>
            <w:r>
              <w:rPr>
                <w:rFonts w:ascii="Arial" w:cs="Arial" w:eastAsia="Arial" w:hAnsi="Arial"/>
                <w:sz w:val="17"/>
                <w:szCs w:val="17"/>
                <w:color w:val="auto"/>
                <w:w w:val="96"/>
              </w:rPr>
              <w:t>Governing Law</w:t>
            </w:r>
          </w:p>
        </w:tc>
        <w:tc>
          <w:tcPr>
            <w:tcW w:w="300" w:type="dxa"/>
            <w:vAlign w:val="bottom"/>
            <w:gridSpan w:val="4"/>
          </w:tcPr>
          <w:p>
            <w:pPr>
              <w:jc w:val="center"/>
              <w:spacing w:after="0" w:line="149" w:lineRule="exact"/>
              <w:rPr>
                <w:sz w:val="20"/>
                <w:szCs w:val="20"/>
                <w:color w:val="auto"/>
              </w:rPr>
            </w:pPr>
            <w:r>
              <w:rPr>
                <w:rFonts w:ascii="Arial" w:cs="Arial" w:eastAsia="Arial" w:hAnsi="Arial"/>
                <w:sz w:val="17"/>
                <w:szCs w:val="17"/>
                <w:color w:val="FF0000"/>
                <w:strike w:val="1"/>
                <w:w w:val="98"/>
              </w:rPr>
              <w:t>102</w:t>
            </w:r>
          </w:p>
        </w:tc>
        <w:tc>
          <w:tcPr>
            <w:tcW w:w="240" w:type="dxa"/>
            <w:vAlign w:val="bottom"/>
            <w:tcBorders>
              <w:top w:val="single" w:sz="8" w:color="DDDDDD"/>
              <w:bottom w:val="single" w:sz="8" w:color="0000FF"/>
              <w:right w:val="single" w:sz="8" w:color="DDDDDD"/>
            </w:tcBorders>
            <w:gridSpan w:val="3"/>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77"/>
              </w:rPr>
              <w:t>117</w:t>
            </w:r>
          </w:p>
        </w:tc>
        <w:tc>
          <w:tcPr>
            <w:tcW w:w="20" w:type="dxa"/>
            <w:vAlign w:val="bottom"/>
            <w:tcBorders>
              <w:bottom w:val="single" w:sz="8" w:color="0000FF"/>
            </w:tcBorders>
          </w:tcPr>
          <w:p>
            <w:pPr>
              <w:spacing w:after="0"/>
              <w:rPr>
                <w:sz w:val="12"/>
                <w:szCs w:val="12"/>
                <w:color w:val="auto"/>
              </w:rPr>
            </w:pPr>
          </w:p>
        </w:tc>
        <w:tc>
          <w:tcPr>
            <w:tcW w:w="320" w:type="dxa"/>
            <w:vAlign w:val="bottom"/>
            <w:gridSpan w:val="8"/>
          </w:tcPr>
          <w:p>
            <w:pPr>
              <w:spacing w:after="0"/>
              <w:rPr>
                <w:sz w:val="12"/>
                <w:szCs w:val="12"/>
                <w:color w:val="auto"/>
              </w:rPr>
            </w:pPr>
          </w:p>
        </w:tc>
        <w:tc>
          <w:tcPr>
            <w:tcW w:w="260" w:type="dxa"/>
            <w:vAlign w:val="bottom"/>
            <w:tcBorders>
              <w:top w:val="single" w:sz="8" w:color="DDDDDD"/>
            </w:tcBorders>
            <w:gridSpan w:val="4"/>
          </w:tcPr>
          <w:p>
            <w:pPr>
              <w:spacing w:after="0"/>
              <w:rPr>
                <w:sz w:val="12"/>
                <w:szCs w:val="12"/>
                <w:color w:val="auto"/>
              </w:rPr>
            </w:pPr>
          </w:p>
        </w:tc>
        <w:tc>
          <w:tcPr>
            <w:tcW w:w="3760" w:type="dxa"/>
            <w:vAlign w:val="bottom"/>
            <w:gridSpan w:val="39"/>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gridSpan w:val="2"/>
            <w:vMerge w:val="restart"/>
          </w:tcPr>
          <w:p>
            <w:pPr>
              <w:ind w:left="200"/>
              <w:spacing w:after="0" w:line="169" w:lineRule="exact"/>
              <w:rPr>
                <w:sz w:val="20"/>
                <w:szCs w:val="20"/>
                <w:color w:val="auto"/>
              </w:rPr>
            </w:pPr>
            <w:r>
              <w:rPr>
                <w:rFonts w:ascii="Arial" w:cs="Arial" w:eastAsia="Arial" w:hAnsi="Arial"/>
                <w:sz w:val="18"/>
                <w:szCs w:val="18"/>
                <w:color w:val="auto"/>
                <w:w w:val="88"/>
              </w:rPr>
              <w:t>10.13</w:t>
            </w:r>
          </w:p>
        </w:tc>
        <w:tc>
          <w:tcPr>
            <w:tcW w:w="480" w:type="dxa"/>
            <w:vAlign w:val="bottom"/>
          </w:tcPr>
          <w:p>
            <w:pPr>
              <w:spacing w:after="0" w:line="20" w:lineRule="exact"/>
              <w:rPr>
                <w:sz w:val="1"/>
                <w:szCs w:val="1"/>
                <w:color w:val="auto"/>
              </w:rPr>
            </w:pPr>
          </w:p>
        </w:tc>
        <w:tc>
          <w:tcPr>
            <w:tcW w:w="33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DDDDDD"/>
            </w:tcBorders>
            <w:shd w:val="clear" w:color="auto" w:fill="DDDDDD"/>
          </w:tcPr>
          <w:p>
            <w:pPr>
              <w:spacing w:after="0" w:line="20" w:lineRule="exact"/>
              <w:rPr>
                <w:sz w:val="1"/>
                <w:szCs w:val="1"/>
                <w:color w:val="auto"/>
              </w:rPr>
            </w:pPr>
          </w:p>
        </w:tc>
        <w:tc>
          <w:tcPr>
            <w:tcW w:w="40" w:type="dxa"/>
            <w:vAlign w:val="bottom"/>
            <w:shd w:val="clear" w:color="auto" w:fill="DDDDDD"/>
          </w:tcPr>
          <w:p>
            <w:pPr>
              <w:spacing w:after="0" w:line="20" w:lineRule="exact"/>
              <w:rPr>
                <w:sz w:val="1"/>
                <w:szCs w:val="1"/>
                <w:color w:val="auto"/>
              </w:rPr>
            </w:pPr>
          </w:p>
        </w:tc>
        <w:tc>
          <w:tcPr>
            <w:tcW w:w="40" w:type="dxa"/>
            <w:vAlign w:val="bottom"/>
            <w:tcBorders>
              <w:right w:val="single" w:sz="8" w:color="DDDDDD"/>
            </w:tcBorders>
            <w:shd w:val="clear" w:color="auto" w:fill="DDDD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920" w:type="dxa"/>
            <w:vAlign w:val="bottom"/>
            <w:gridSpan w:val="20"/>
            <w:vMerge w:val="restart"/>
          </w:tcPr>
          <w:p>
            <w:pPr>
              <w:ind w:left="160"/>
              <w:spacing w:after="0" w:line="169" w:lineRule="exact"/>
              <w:rPr>
                <w:sz w:val="20"/>
                <w:szCs w:val="20"/>
                <w:color w:val="auto"/>
              </w:rPr>
            </w:pPr>
            <w:r>
              <w:rPr>
                <w:rFonts w:ascii="Arial" w:cs="Arial" w:eastAsia="Arial" w:hAnsi="Arial"/>
                <w:sz w:val="18"/>
                <w:szCs w:val="18"/>
                <w:color w:val="auto"/>
              </w:rPr>
              <w:t>Waivers</w:t>
            </w:r>
          </w:p>
        </w:tc>
        <w:tc>
          <w:tcPr>
            <w:tcW w:w="280" w:type="dxa"/>
            <w:vAlign w:val="bottom"/>
            <w:tcBorders>
              <w:right w:val="single" w:sz="8" w:color="DDDDDD"/>
            </w:tcBorders>
            <w:gridSpan w:val="6"/>
            <w:vMerge w:val="restart"/>
          </w:tcPr>
          <w:p>
            <w:pPr>
              <w:jc w:val="right"/>
              <w:ind w:right="20"/>
              <w:spacing w:after="0" w:line="169" w:lineRule="exact"/>
              <w:rPr>
                <w:sz w:val="20"/>
                <w:szCs w:val="20"/>
                <w:color w:val="auto"/>
              </w:rPr>
            </w:pPr>
            <w:r>
              <w:rPr>
                <w:rFonts w:ascii="Arial" w:cs="Arial" w:eastAsia="Arial" w:hAnsi="Arial"/>
                <w:sz w:val="18"/>
                <w:szCs w:val="18"/>
                <w:color w:val="FF0000"/>
                <w:strike w:val="1"/>
                <w:w w:val="79"/>
              </w:rPr>
              <w:t>102</w:t>
            </w:r>
          </w:p>
        </w:tc>
        <w:tc>
          <w:tcPr>
            <w:tcW w:w="260" w:type="dxa"/>
            <w:vAlign w:val="bottom"/>
            <w:tcBorders>
              <w:left w:val="single" w:sz="8" w:color="DDDDDD"/>
            </w:tcBorders>
            <w:gridSpan w:val="3"/>
            <w:vMerge w:val="restart"/>
            <w:shd w:val="clear" w:color="auto" w:fill="DDDDDD"/>
          </w:tcPr>
          <w:p>
            <w:pPr>
              <w:spacing w:after="0" w:line="169" w:lineRule="exact"/>
              <w:rPr>
                <w:sz w:val="20"/>
                <w:szCs w:val="20"/>
                <w:color w:val="auto"/>
              </w:rPr>
            </w:pPr>
            <w:r>
              <w:rPr>
                <w:rFonts w:ascii="Arial" w:cs="Arial" w:eastAsia="Arial" w:hAnsi="Arial"/>
                <w:sz w:val="18"/>
                <w:szCs w:val="18"/>
                <w:color w:val="0000FF"/>
                <w:highlight w:val="lightGray"/>
                <w:w w:val="79"/>
              </w:rPr>
              <w:t>117</w:t>
            </w:r>
          </w:p>
        </w:tc>
        <w:tc>
          <w:tcPr>
            <w:tcW w:w="10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 w:type="dxa"/>
            <w:vAlign w:val="bottom"/>
            <w:gridSpan w:val="2"/>
            <w:vMerge w:val="continue"/>
          </w:tcPr>
          <w:p>
            <w:pPr>
              <w:spacing w:after="0"/>
              <w:rPr>
                <w:sz w:val="14"/>
                <w:szCs w:val="14"/>
                <w:color w:val="auto"/>
              </w:rPr>
            </w:pPr>
          </w:p>
        </w:tc>
        <w:tc>
          <w:tcPr>
            <w:tcW w:w="2040" w:type="dxa"/>
            <w:vAlign w:val="bottom"/>
            <w:gridSpan w:val="17"/>
          </w:tcPr>
          <w:p>
            <w:pPr>
              <w:ind w:left="200"/>
              <w:spacing w:after="0" w:line="149" w:lineRule="exact"/>
              <w:rPr>
                <w:sz w:val="20"/>
                <w:szCs w:val="20"/>
                <w:color w:val="auto"/>
              </w:rPr>
            </w:pPr>
            <w:r>
              <w:rPr>
                <w:rFonts w:ascii="Arial" w:cs="Arial" w:eastAsia="Arial" w:hAnsi="Arial"/>
                <w:sz w:val="17"/>
                <w:szCs w:val="17"/>
                <w:color w:val="auto"/>
                <w:w w:val="86"/>
              </w:rPr>
              <w:t>Submission To Jurisdiction;</w:t>
            </w:r>
          </w:p>
        </w:tc>
        <w:tc>
          <w:tcPr>
            <w:tcW w:w="2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920" w:type="dxa"/>
            <w:vAlign w:val="bottom"/>
            <w:gridSpan w:val="20"/>
            <w:vMerge w:val="continue"/>
          </w:tcPr>
          <w:p>
            <w:pPr>
              <w:spacing w:after="0"/>
              <w:rPr>
                <w:sz w:val="14"/>
                <w:szCs w:val="14"/>
                <w:color w:val="auto"/>
              </w:rPr>
            </w:pPr>
          </w:p>
        </w:tc>
        <w:tc>
          <w:tcPr>
            <w:tcW w:w="280" w:type="dxa"/>
            <w:vAlign w:val="bottom"/>
            <w:tcBorders>
              <w:right w:val="single" w:sz="8" w:color="DDDDDD"/>
            </w:tcBorders>
            <w:gridSpan w:val="6"/>
            <w:vMerge w:val="continue"/>
          </w:tcPr>
          <w:p>
            <w:pPr>
              <w:spacing w:after="0"/>
              <w:rPr>
                <w:sz w:val="14"/>
                <w:szCs w:val="14"/>
                <w:color w:val="auto"/>
              </w:rPr>
            </w:pPr>
          </w:p>
        </w:tc>
        <w:tc>
          <w:tcPr>
            <w:tcW w:w="260" w:type="dxa"/>
            <w:vAlign w:val="bottom"/>
            <w:tcBorders>
              <w:left w:val="single" w:sz="8" w:color="DDDDDD"/>
              <w:bottom w:val="single" w:sz="8" w:color="0000FF"/>
            </w:tcBorders>
            <w:gridSpan w:val="3"/>
            <w:vMerge w:val="continue"/>
            <w:shd w:val="clear" w:color="auto" w:fill="DDDDDD"/>
          </w:tcPr>
          <w:p>
            <w:pPr>
              <w:spacing w:after="0"/>
              <w:rPr>
                <w:sz w:val="14"/>
                <w:szCs w:val="14"/>
                <w:color w:val="auto"/>
              </w:rPr>
            </w:pPr>
          </w:p>
        </w:tc>
        <w:tc>
          <w:tcPr>
            <w:tcW w:w="1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20" w:type="dxa"/>
            <w:vAlign w:val="bottom"/>
            <w:gridSpan w:val="2"/>
          </w:tcPr>
          <w:p>
            <w:pPr>
              <w:ind w:left="200"/>
              <w:spacing w:after="0" w:line="149" w:lineRule="exact"/>
              <w:rPr>
                <w:sz w:val="20"/>
                <w:szCs w:val="20"/>
                <w:color w:val="auto"/>
              </w:rPr>
            </w:pPr>
            <w:r>
              <w:rPr>
                <w:rFonts w:ascii="Arial" w:cs="Arial" w:eastAsia="Arial" w:hAnsi="Arial"/>
                <w:sz w:val="17"/>
                <w:szCs w:val="17"/>
                <w:color w:val="auto"/>
                <w:w w:val="93"/>
              </w:rPr>
              <w:t>10.14</w:t>
            </w:r>
          </w:p>
        </w:tc>
        <w:tc>
          <w:tcPr>
            <w:tcW w:w="2760" w:type="dxa"/>
            <w:vAlign w:val="bottom"/>
            <w:gridSpan w:val="33"/>
          </w:tcPr>
          <w:p>
            <w:pPr>
              <w:ind w:left="200"/>
              <w:spacing w:after="0" w:line="149" w:lineRule="exact"/>
              <w:rPr>
                <w:sz w:val="20"/>
                <w:szCs w:val="20"/>
                <w:color w:val="auto"/>
              </w:rPr>
            </w:pPr>
            <w:r>
              <w:rPr>
                <w:rFonts w:ascii="Arial" w:cs="Arial" w:eastAsia="Arial" w:hAnsi="Arial"/>
                <w:sz w:val="17"/>
                <w:szCs w:val="17"/>
                <w:color w:val="auto"/>
              </w:rPr>
              <w:t>Material Non-Public Information</w:t>
            </w:r>
          </w:p>
        </w:tc>
        <w:tc>
          <w:tcPr>
            <w:tcW w:w="20" w:type="dxa"/>
            <w:vAlign w:val="bottom"/>
          </w:tcPr>
          <w:p>
            <w:pPr>
              <w:spacing w:after="0"/>
              <w:rPr>
                <w:sz w:val="14"/>
                <w:szCs w:val="14"/>
                <w:color w:val="auto"/>
              </w:rPr>
            </w:pPr>
          </w:p>
        </w:tc>
        <w:tc>
          <w:tcPr>
            <w:tcW w:w="260" w:type="dxa"/>
            <w:vAlign w:val="bottom"/>
            <w:gridSpan w:val="6"/>
          </w:tcPr>
          <w:p>
            <w:pPr>
              <w:jc w:val="right"/>
              <w:spacing w:after="0" w:line="149" w:lineRule="exact"/>
              <w:rPr>
                <w:sz w:val="20"/>
                <w:szCs w:val="20"/>
                <w:color w:val="auto"/>
              </w:rPr>
            </w:pPr>
            <w:r>
              <w:rPr>
                <w:rFonts w:ascii="Arial" w:cs="Arial" w:eastAsia="Arial" w:hAnsi="Arial"/>
                <w:sz w:val="17"/>
                <w:szCs w:val="17"/>
                <w:color w:val="FF0000"/>
                <w:strike w:val="1"/>
                <w:w w:val="84"/>
              </w:rPr>
              <w:t>103</w:t>
            </w:r>
          </w:p>
        </w:tc>
        <w:tc>
          <w:tcPr>
            <w:tcW w:w="260" w:type="dxa"/>
            <w:vAlign w:val="bottom"/>
            <w:tcBorders>
              <w:top w:val="single" w:sz="8" w:color="DDDDDD"/>
              <w:bottom w:val="single" w:sz="8" w:color="0000FF"/>
              <w:right w:val="single" w:sz="8" w:color="DDDDDD"/>
            </w:tcBorders>
            <w:gridSpan w:val="5"/>
            <w:shd w:val="clear" w:color="auto" w:fill="DDDDDD"/>
          </w:tcPr>
          <w:p>
            <w:pPr>
              <w:jc w:val="right"/>
              <w:ind w:right="20"/>
              <w:spacing w:after="0" w:line="149" w:lineRule="exact"/>
              <w:rPr>
                <w:sz w:val="20"/>
                <w:szCs w:val="20"/>
                <w:color w:val="auto"/>
              </w:rPr>
            </w:pPr>
            <w:r>
              <w:rPr>
                <w:rFonts w:ascii="Arial" w:cs="Arial" w:eastAsia="Arial" w:hAnsi="Arial"/>
                <w:sz w:val="17"/>
                <w:szCs w:val="17"/>
                <w:color w:val="0000FF"/>
                <w:highlight w:val="lightGray"/>
                <w:w w:val="77"/>
              </w:rPr>
              <w:t>117</w:t>
            </w:r>
          </w:p>
        </w:tc>
        <w:tc>
          <w:tcPr>
            <w:tcW w:w="160" w:type="dxa"/>
            <w:vAlign w:val="bottom"/>
            <w:tcBorders>
              <w:top w:val="single" w:sz="8" w:color="DDDDDD"/>
            </w:tcBorders>
          </w:tcPr>
          <w:p>
            <w:pPr>
              <w:spacing w:after="0"/>
              <w:rPr>
                <w:sz w:val="14"/>
                <w:szCs w:val="14"/>
                <w:color w:val="auto"/>
              </w:rPr>
            </w:pPr>
          </w:p>
        </w:tc>
        <w:tc>
          <w:tcPr>
            <w:tcW w:w="20" w:type="dxa"/>
            <w:vAlign w:val="bottom"/>
            <w:tcBorders>
              <w:top w:val="single" w:sz="8" w:color="DDDDDD"/>
            </w:tcBorders>
          </w:tcPr>
          <w:p>
            <w:pPr>
              <w:spacing w:after="0"/>
              <w:rPr>
                <w:sz w:val="14"/>
                <w:szCs w:val="14"/>
                <w:color w:val="auto"/>
              </w:rPr>
            </w:pPr>
          </w:p>
        </w:tc>
        <w:tc>
          <w:tcPr>
            <w:tcW w:w="80" w:type="dxa"/>
            <w:vAlign w:val="bottom"/>
            <w:tcBorders>
              <w:top w:val="single" w:sz="8" w:color="DDDDDD"/>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gridSpan w:val="2"/>
          </w:tcPr>
          <w:p>
            <w:pPr>
              <w:ind w:left="200"/>
              <w:spacing w:after="0" w:line="149" w:lineRule="exact"/>
              <w:rPr>
                <w:sz w:val="20"/>
                <w:szCs w:val="20"/>
                <w:color w:val="auto"/>
              </w:rPr>
            </w:pPr>
            <w:r>
              <w:rPr>
                <w:rFonts w:ascii="Arial" w:cs="Arial" w:eastAsia="Arial" w:hAnsi="Arial"/>
                <w:sz w:val="17"/>
                <w:szCs w:val="17"/>
                <w:color w:val="auto"/>
                <w:w w:val="93"/>
              </w:rPr>
              <w:t>10.15</w:t>
            </w:r>
          </w:p>
        </w:tc>
        <w:tc>
          <w:tcPr>
            <w:tcW w:w="2760" w:type="dxa"/>
            <w:vAlign w:val="bottom"/>
            <w:gridSpan w:val="33"/>
          </w:tcPr>
          <w:p>
            <w:pPr>
              <w:ind w:left="200"/>
              <w:spacing w:after="0" w:line="149" w:lineRule="exact"/>
              <w:rPr>
                <w:sz w:val="20"/>
                <w:szCs w:val="20"/>
                <w:color w:val="auto"/>
              </w:rPr>
            </w:pPr>
            <w:r>
              <w:rPr>
                <w:rFonts w:ascii="Arial" w:cs="Arial" w:eastAsia="Arial" w:hAnsi="Arial"/>
                <w:sz w:val="17"/>
                <w:szCs w:val="17"/>
                <w:color w:val="auto"/>
                <w:w w:val="97"/>
              </w:rPr>
              <w:t>Releases of Guarantees and Liens</w:t>
            </w:r>
          </w:p>
        </w:tc>
        <w:tc>
          <w:tcPr>
            <w:tcW w:w="20" w:type="dxa"/>
            <w:vAlign w:val="bottom"/>
          </w:tcPr>
          <w:p>
            <w:pPr>
              <w:spacing w:after="0"/>
              <w:rPr>
                <w:sz w:val="14"/>
                <w:szCs w:val="14"/>
                <w:color w:val="auto"/>
              </w:rPr>
            </w:pPr>
          </w:p>
        </w:tc>
        <w:tc>
          <w:tcPr>
            <w:tcW w:w="260" w:type="dxa"/>
            <w:vAlign w:val="bottom"/>
            <w:gridSpan w:val="6"/>
          </w:tcPr>
          <w:p>
            <w:pPr>
              <w:jc w:val="right"/>
              <w:spacing w:after="0" w:line="149" w:lineRule="exact"/>
              <w:rPr>
                <w:sz w:val="20"/>
                <w:szCs w:val="20"/>
                <w:color w:val="auto"/>
              </w:rPr>
            </w:pPr>
            <w:r>
              <w:rPr>
                <w:rFonts w:ascii="Arial" w:cs="Arial" w:eastAsia="Arial" w:hAnsi="Arial"/>
                <w:sz w:val="17"/>
                <w:szCs w:val="17"/>
                <w:color w:val="FF0000"/>
                <w:strike w:val="1"/>
                <w:w w:val="84"/>
              </w:rPr>
              <w:t>103</w:t>
            </w:r>
          </w:p>
        </w:tc>
        <w:tc>
          <w:tcPr>
            <w:tcW w:w="20" w:type="dxa"/>
            <w:vAlign w:val="bottom"/>
            <w:tcBorders>
              <w:top w:val="single" w:sz="8" w:color="DDDDDD"/>
            </w:tcBorders>
          </w:tcPr>
          <w:p>
            <w:pPr>
              <w:spacing w:after="0"/>
              <w:rPr>
                <w:sz w:val="14"/>
                <w:szCs w:val="14"/>
                <w:color w:val="auto"/>
              </w:rPr>
            </w:pPr>
          </w:p>
        </w:tc>
        <w:tc>
          <w:tcPr>
            <w:tcW w:w="20" w:type="dxa"/>
            <w:vAlign w:val="bottom"/>
            <w:tcBorders>
              <w:top w:val="single" w:sz="8" w:color="DDDDDD"/>
            </w:tcBorders>
          </w:tcPr>
          <w:p>
            <w:pPr>
              <w:spacing w:after="0"/>
              <w:rPr>
                <w:sz w:val="14"/>
                <w:szCs w:val="14"/>
                <w:color w:val="auto"/>
              </w:rPr>
            </w:pPr>
          </w:p>
        </w:tc>
        <w:tc>
          <w:tcPr>
            <w:tcW w:w="220" w:type="dxa"/>
            <w:vAlign w:val="bottom"/>
            <w:tcBorders>
              <w:top w:val="single" w:sz="8" w:color="DDDDDD"/>
              <w:bottom w:val="single" w:sz="8" w:color="0000FF"/>
              <w:right w:val="single" w:sz="8" w:color="DDDDDD"/>
            </w:tcBorders>
            <w:gridSpan w:val="3"/>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70"/>
              </w:rPr>
              <w:t>118</w:t>
            </w:r>
          </w:p>
        </w:tc>
        <w:tc>
          <w:tcPr>
            <w:tcW w:w="160" w:type="dxa"/>
            <w:vAlign w:val="bottom"/>
            <w:tcBorders>
              <w:left w:val="single" w:sz="8" w:color="DDDDDD"/>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gridSpan w:val="2"/>
          </w:tcPr>
          <w:p>
            <w:pPr>
              <w:ind w:left="200"/>
              <w:spacing w:after="0" w:line="149" w:lineRule="exact"/>
              <w:rPr>
                <w:sz w:val="20"/>
                <w:szCs w:val="20"/>
                <w:color w:val="auto"/>
              </w:rPr>
            </w:pPr>
            <w:r>
              <w:rPr>
                <w:rFonts w:ascii="Arial" w:cs="Arial" w:eastAsia="Arial" w:hAnsi="Arial"/>
                <w:sz w:val="17"/>
                <w:szCs w:val="17"/>
                <w:color w:val="auto"/>
                <w:w w:val="93"/>
              </w:rPr>
              <w:t>10.16</w:t>
            </w:r>
          </w:p>
        </w:tc>
        <w:tc>
          <w:tcPr>
            <w:tcW w:w="1500" w:type="dxa"/>
            <w:vAlign w:val="bottom"/>
            <w:gridSpan w:val="10"/>
          </w:tcPr>
          <w:p>
            <w:pPr>
              <w:ind w:left="200"/>
              <w:spacing w:after="0" w:line="149" w:lineRule="exact"/>
              <w:rPr>
                <w:sz w:val="20"/>
                <w:szCs w:val="20"/>
                <w:color w:val="auto"/>
              </w:rPr>
            </w:pPr>
            <w:r>
              <w:rPr>
                <w:rFonts w:ascii="Arial" w:cs="Arial" w:eastAsia="Arial" w:hAnsi="Arial"/>
                <w:sz w:val="17"/>
                <w:szCs w:val="17"/>
                <w:color w:val="auto"/>
              </w:rPr>
              <w:t>Confidentiality</w:t>
            </w:r>
          </w:p>
        </w:tc>
        <w:tc>
          <w:tcPr>
            <w:tcW w:w="220" w:type="dxa"/>
            <w:vAlign w:val="bottom"/>
            <w:gridSpan w:val="2"/>
          </w:tcPr>
          <w:p>
            <w:pPr>
              <w:jc w:val="center"/>
              <w:spacing w:after="0" w:line="149" w:lineRule="exact"/>
              <w:rPr>
                <w:sz w:val="20"/>
                <w:szCs w:val="20"/>
                <w:color w:val="auto"/>
              </w:rPr>
            </w:pPr>
            <w:r>
              <w:rPr>
                <w:rFonts w:ascii="Arial" w:cs="Arial" w:eastAsia="Arial" w:hAnsi="Arial"/>
                <w:sz w:val="17"/>
                <w:szCs w:val="17"/>
                <w:color w:val="FF0000"/>
                <w:strike w:val="1"/>
                <w:w w:val="84"/>
              </w:rPr>
              <w:t>105</w:t>
            </w:r>
          </w:p>
        </w:tc>
        <w:tc>
          <w:tcPr>
            <w:tcW w:w="60" w:type="dxa"/>
            <w:vAlign w:val="bottom"/>
            <w:tcBorders>
              <w:bottom w:val="single" w:sz="8" w:color="0000FF"/>
              <w:right w:val="single" w:sz="8" w:color="DDDDDD"/>
            </w:tcBorders>
          </w:tcPr>
          <w:p>
            <w:pPr>
              <w:spacing w:after="0"/>
              <w:rPr>
                <w:sz w:val="12"/>
                <w:szCs w:val="12"/>
                <w:color w:val="auto"/>
              </w:rPr>
            </w:pPr>
          </w:p>
        </w:tc>
        <w:tc>
          <w:tcPr>
            <w:tcW w:w="220" w:type="dxa"/>
            <w:vAlign w:val="bottom"/>
            <w:tcBorders>
              <w:top w:val="single" w:sz="8" w:color="DDDDDD"/>
              <w:bottom w:val="single" w:sz="8" w:color="0000FF"/>
            </w:tcBorders>
            <w:gridSpan w:val="3"/>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70"/>
              </w:rPr>
              <w:t>119</w:t>
            </w:r>
          </w:p>
        </w:tc>
        <w:tc>
          <w:tcPr>
            <w:tcW w:w="40" w:type="dxa"/>
            <w:vAlign w:val="bottom"/>
            <w:tcBorders>
              <w:bottom w:val="single" w:sz="8" w:color="0000FF"/>
            </w:tcBorders>
          </w:tcPr>
          <w:p>
            <w:pPr>
              <w:spacing w:after="0"/>
              <w:rPr>
                <w:sz w:val="12"/>
                <w:szCs w:val="12"/>
                <w:color w:val="auto"/>
              </w:rPr>
            </w:pPr>
          </w:p>
        </w:tc>
        <w:tc>
          <w:tcPr>
            <w:tcW w:w="1040" w:type="dxa"/>
            <w:vAlign w:val="bottom"/>
            <w:gridSpan w:val="25"/>
          </w:tcPr>
          <w:p>
            <w:pPr>
              <w:spacing w:after="0"/>
              <w:rPr>
                <w:sz w:val="12"/>
                <w:szCs w:val="12"/>
                <w:color w:val="auto"/>
              </w:rPr>
            </w:pPr>
          </w:p>
        </w:tc>
        <w:tc>
          <w:tcPr>
            <w:tcW w:w="220" w:type="dxa"/>
            <w:vAlign w:val="bottom"/>
            <w:tcBorders>
              <w:top w:val="single" w:sz="8" w:color="DDDDDD"/>
            </w:tcBorders>
            <w:gridSpan w:val="3"/>
          </w:tcPr>
          <w:p>
            <w:pPr>
              <w:spacing w:after="0"/>
              <w:rPr>
                <w:sz w:val="12"/>
                <w:szCs w:val="12"/>
                <w:color w:val="auto"/>
              </w:rPr>
            </w:pPr>
          </w:p>
        </w:tc>
        <w:tc>
          <w:tcPr>
            <w:tcW w:w="3100" w:type="dxa"/>
            <w:vAlign w:val="bottom"/>
            <w:gridSpan w:val="2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gridSpan w:val="2"/>
            <w:vMerge w:val="restart"/>
          </w:tcPr>
          <w:p>
            <w:pPr>
              <w:ind w:left="200"/>
              <w:spacing w:after="0" w:line="169" w:lineRule="exact"/>
              <w:rPr>
                <w:sz w:val="20"/>
                <w:szCs w:val="20"/>
                <w:color w:val="auto"/>
              </w:rPr>
            </w:pPr>
            <w:r>
              <w:rPr>
                <w:rFonts w:ascii="Arial" w:cs="Arial" w:eastAsia="Arial" w:hAnsi="Arial"/>
                <w:sz w:val="18"/>
                <w:szCs w:val="18"/>
                <w:color w:val="auto"/>
                <w:w w:val="88"/>
              </w:rPr>
              <w:t>10.17</w:t>
            </w:r>
          </w:p>
        </w:tc>
        <w:tc>
          <w:tcPr>
            <w:tcW w:w="1720" w:type="dxa"/>
            <w:vAlign w:val="bottom"/>
            <w:gridSpan w:val="12"/>
            <w:vMerge w:val="restart"/>
          </w:tcPr>
          <w:p>
            <w:pPr>
              <w:ind w:left="200"/>
              <w:spacing w:after="0" w:line="169" w:lineRule="exact"/>
              <w:rPr>
                <w:sz w:val="20"/>
                <w:szCs w:val="20"/>
                <w:color w:val="auto"/>
              </w:rPr>
            </w:pPr>
            <w:r>
              <w:rPr>
                <w:rFonts w:ascii="Arial" w:cs="Arial" w:eastAsia="Arial" w:hAnsi="Arial"/>
                <w:sz w:val="18"/>
                <w:szCs w:val="18"/>
                <w:color w:val="auto"/>
                <w:w w:val="89"/>
              </w:rPr>
              <w:t>WAIVERS OF JURY</w:t>
            </w:r>
          </w:p>
        </w:tc>
        <w:tc>
          <w:tcPr>
            <w:tcW w:w="60" w:type="dxa"/>
            <w:vAlign w:val="bottom"/>
            <w:tcBorders>
              <w:right w:val="single" w:sz="8" w:color="DDDDDD"/>
            </w:tcBorders>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160" w:type="dxa"/>
            <w:vAlign w:val="bottom"/>
            <w:tcBorders>
              <w:right w:val="single" w:sz="8" w:color="DDDDDD"/>
            </w:tcBorders>
            <w:shd w:val="clear" w:color="auto" w:fill="DDDDDD"/>
          </w:tcPr>
          <w:p>
            <w:pPr>
              <w:spacing w:after="0" w:line="20" w:lineRule="exact"/>
              <w:rPr>
                <w:sz w:val="1"/>
                <w:szCs w:val="1"/>
                <w:color w:val="auto"/>
              </w:rPr>
            </w:pPr>
          </w:p>
        </w:tc>
        <w:tc>
          <w:tcPr>
            <w:tcW w:w="40" w:type="dxa"/>
            <w:vAlign w:val="bottom"/>
            <w:shd w:val="clear" w:color="auto" w:fill="DDDDD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gridSpan w:val="6"/>
            <w:vMerge w:val="restart"/>
          </w:tcPr>
          <w:p>
            <w:pPr>
              <w:jc w:val="right"/>
              <w:spacing w:after="0" w:line="169" w:lineRule="exact"/>
              <w:rPr>
                <w:sz w:val="20"/>
                <w:szCs w:val="20"/>
                <w:color w:val="auto"/>
              </w:rPr>
            </w:pPr>
            <w:r>
              <w:rPr>
                <w:rFonts w:ascii="Arial" w:cs="Arial" w:eastAsia="Arial" w:hAnsi="Arial"/>
                <w:sz w:val="18"/>
                <w:szCs w:val="18"/>
                <w:color w:val="FF0000"/>
                <w:strike w:val="1"/>
                <w:w w:val="86"/>
              </w:rPr>
              <w:t>105</w:t>
            </w:r>
          </w:p>
        </w:tc>
        <w:tc>
          <w:tcPr>
            <w:tcW w:w="280" w:type="dxa"/>
            <w:vAlign w:val="bottom"/>
            <w:gridSpan w:val="7"/>
            <w:vMerge w:val="restart"/>
            <w:shd w:val="clear" w:color="auto" w:fill="DDDDDD"/>
          </w:tcPr>
          <w:p>
            <w:pPr>
              <w:spacing w:after="0" w:line="169" w:lineRule="exact"/>
              <w:rPr>
                <w:sz w:val="20"/>
                <w:szCs w:val="20"/>
                <w:color w:val="auto"/>
              </w:rPr>
            </w:pPr>
            <w:r>
              <w:rPr>
                <w:rFonts w:ascii="Arial" w:cs="Arial" w:eastAsia="Arial" w:hAnsi="Arial"/>
                <w:sz w:val="18"/>
                <w:szCs w:val="18"/>
                <w:color w:val="0000FF"/>
                <w:highlight w:val="lightGray"/>
                <w:w w:val="86"/>
              </w:rPr>
              <w:t>120</w:t>
            </w: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0" w:type="dxa"/>
            <w:vAlign w:val="bottom"/>
            <w:gridSpan w:val="2"/>
            <w:vMerge w:val="continue"/>
          </w:tcPr>
          <w:p>
            <w:pPr>
              <w:spacing w:after="0"/>
              <w:rPr>
                <w:sz w:val="13"/>
                <w:szCs w:val="13"/>
                <w:color w:val="auto"/>
              </w:rPr>
            </w:pPr>
          </w:p>
        </w:tc>
        <w:tc>
          <w:tcPr>
            <w:tcW w:w="1720" w:type="dxa"/>
            <w:vAlign w:val="bottom"/>
            <w:gridSpan w:val="12"/>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13"/>
          </w:tcPr>
          <w:p>
            <w:pPr>
              <w:jc w:val="right"/>
              <w:spacing w:after="0" w:line="149" w:lineRule="exact"/>
              <w:rPr>
                <w:sz w:val="20"/>
                <w:szCs w:val="20"/>
                <w:color w:val="auto"/>
              </w:rPr>
            </w:pPr>
            <w:r>
              <w:rPr>
                <w:rFonts w:ascii="Arial" w:cs="Arial" w:eastAsia="Arial" w:hAnsi="Arial"/>
                <w:sz w:val="17"/>
                <w:szCs w:val="17"/>
                <w:color w:val="auto"/>
              </w:rPr>
              <w:t>TRIAL</w:t>
            </w:r>
          </w:p>
        </w:tc>
        <w:tc>
          <w:tcPr>
            <w:tcW w:w="80" w:type="dxa"/>
            <w:vAlign w:val="bottom"/>
            <w:vMerge w:val="continue"/>
          </w:tcPr>
          <w:p>
            <w:pPr>
              <w:spacing w:after="0"/>
              <w:rPr>
                <w:sz w:val="13"/>
                <w:szCs w:val="13"/>
                <w:color w:val="auto"/>
              </w:rPr>
            </w:pPr>
          </w:p>
        </w:tc>
        <w:tc>
          <w:tcPr>
            <w:tcW w:w="280" w:type="dxa"/>
            <w:vAlign w:val="bottom"/>
            <w:gridSpan w:val="6"/>
            <w:vMerge w:val="continue"/>
          </w:tcPr>
          <w:p>
            <w:pPr>
              <w:spacing w:after="0"/>
              <w:rPr>
                <w:sz w:val="13"/>
                <w:szCs w:val="13"/>
                <w:color w:val="auto"/>
              </w:rPr>
            </w:pPr>
          </w:p>
        </w:tc>
        <w:tc>
          <w:tcPr>
            <w:tcW w:w="280" w:type="dxa"/>
            <w:vAlign w:val="bottom"/>
            <w:gridSpan w:val="7"/>
            <w:vMerge w:val="continue"/>
            <w:shd w:val="clear" w:color="auto" w:fill="DDDDDD"/>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20" w:type="dxa"/>
            <w:vAlign w:val="bottom"/>
            <w:gridSpan w:val="2"/>
          </w:tcPr>
          <w:p>
            <w:pPr>
              <w:ind w:left="200"/>
              <w:spacing w:after="0" w:line="162" w:lineRule="exact"/>
              <w:rPr>
                <w:sz w:val="20"/>
                <w:szCs w:val="20"/>
                <w:color w:val="auto"/>
              </w:rPr>
            </w:pPr>
            <w:r>
              <w:rPr>
                <w:rFonts w:ascii="Arial" w:cs="Arial" w:eastAsia="Arial" w:hAnsi="Arial"/>
                <w:sz w:val="18"/>
                <w:szCs w:val="18"/>
                <w:color w:val="auto"/>
                <w:w w:val="88"/>
              </w:rPr>
              <w:t>10.18</w:t>
            </w:r>
          </w:p>
        </w:tc>
        <w:tc>
          <w:tcPr>
            <w:tcW w:w="1720" w:type="dxa"/>
            <w:vAlign w:val="bottom"/>
            <w:gridSpan w:val="12"/>
          </w:tcPr>
          <w:p>
            <w:pPr>
              <w:ind w:left="200"/>
              <w:spacing w:after="0" w:line="162" w:lineRule="exact"/>
              <w:rPr>
                <w:sz w:val="20"/>
                <w:szCs w:val="20"/>
                <w:color w:val="auto"/>
              </w:rPr>
            </w:pPr>
            <w:r>
              <w:rPr>
                <w:rFonts w:ascii="Arial" w:cs="Arial" w:eastAsia="Arial" w:hAnsi="Arial"/>
                <w:sz w:val="18"/>
                <w:szCs w:val="18"/>
                <w:color w:val="auto"/>
                <w:w w:val="97"/>
              </w:rPr>
              <w:t>USA PATRIOT Act</w:t>
            </w:r>
          </w:p>
        </w:tc>
        <w:tc>
          <w:tcPr>
            <w:tcW w:w="80" w:type="dxa"/>
            <w:vAlign w:val="bottom"/>
            <w:gridSpan w:val="2"/>
          </w:tcPr>
          <w:p>
            <w:pPr>
              <w:spacing w:after="0"/>
              <w:rPr>
                <w:sz w:val="15"/>
                <w:szCs w:val="15"/>
                <w:color w:val="auto"/>
              </w:rPr>
            </w:pPr>
          </w:p>
        </w:tc>
        <w:tc>
          <w:tcPr>
            <w:tcW w:w="300" w:type="dxa"/>
            <w:vAlign w:val="bottom"/>
            <w:gridSpan w:val="5"/>
          </w:tcPr>
          <w:p>
            <w:pPr>
              <w:jc w:val="right"/>
              <w:ind w:right="20"/>
              <w:spacing w:after="0" w:line="162" w:lineRule="exact"/>
              <w:rPr>
                <w:sz w:val="20"/>
                <w:szCs w:val="20"/>
                <w:color w:val="auto"/>
              </w:rPr>
            </w:pPr>
            <w:r>
              <w:rPr>
                <w:rFonts w:ascii="Arial" w:cs="Arial" w:eastAsia="Arial" w:hAnsi="Arial"/>
                <w:sz w:val="18"/>
                <w:szCs w:val="18"/>
                <w:color w:val="FF0000"/>
                <w:strike w:val="1"/>
                <w:w w:val="86"/>
              </w:rPr>
              <w:t>105</w:t>
            </w:r>
          </w:p>
        </w:tc>
        <w:tc>
          <w:tcPr>
            <w:tcW w:w="240" w:type="dxa"/>
            <w:vAlign w:val="bottom"/>
            <w:tcBorders>
              <w:top w:val="single" w:sz="8" w:color="DDDDDD"/>
              <w:bottom w:val="single" w:sz="8" w:color="0000FF"/>
            </w:tcBorders>
            <w:gridSpan w:val="6"/>
            <w:shd w:val="clear" w:color="auto" w:fill="DDDDDD"/>
          </w:tcPr>
          <w:p>
            <w:pPr>
              <w:jc w:val="right"/>
              <w:spacing w:after="0" w:line="162" w:lineRule="exact"/>
              <w:rPr>
                <w:sz w:val="20"/>
                <w:szCs w:val="20"/>
                <w:color w:val="auto"/>
              </w:rPr>
            </w:pPr>
            <w:r>
              <w:rPr>
                <w:rFonts w:ascii="Arial" w:cs="Arial" w:eastAsia="Arial" w:hAnsi="Arial"/>
                <w:sz w:val="18"/>
                <w:szCs w:val="18"/>
                <w:color w:val="0000FF"/>
                <w:highlight w:val="lightGray"/>
                <w:w w:val="79"/>
              </w:rPr>
              <w:t>120</w:t>
            </w:r>
          </w:p>
        </w:tc>
        <w:tc>
          <w:tcPr>
            <w:tcW w:w="40" w:type="dxa"/>
            <w:vAlign w:val="bottom"/>
            <w:tcBorders>
              <w:left w:val="single" w:sz="8" w:color="DDDDDD"/>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0" w:type="dxa"/>
            <w:vAlign w:val="bottom"/>
            <w:gridSpan w:val="2"/>
          </w:tcPr>
          <w:p>
            <w:pPr>
              <w:ind w:left="200"/>
              <w:spacing w:after="0" w:line="149" w:lineRule="exact"/>
              <w:rPr>
                <w:sz w:val="20"/>
                <w:szCs w:val="20"/>
                <w:color w:val="auto"/>
              </w:rPr>
            </w:pPr>
            <w:r>
              <w:rPr>
                <w:rFonts w:ascii="Arial" w:cs="Arial" w:eastAsia="Arial" w:hAnsi="Arial"/>
                <w:sz w:val="17"/>
                <w:szCs w:val="17"/>
                <w:color w:val="auto"/>
                <w:w w:val="93"/>
              </w:rPr>
              <w:t>10.19</w:t>
            </w:r>
          </w:p>
        </w:tc>
        <w:tc>
          <w:tcPr>
            <w:tcW w:w="1720" w:type="dxa"/>
            <w:vAlign w:val="bottom"/>
            <w:gridSpan w:val="12"/>
          </w:tcPr>
          <w:p>
            <w:pPr>
              <w:ind w:left="200"/>
              <w:spacing w:after="0" w:line="149" w:lineRule="exact"/>
              <w:rPr>
                <w:sz w:val="20"/>
                <w:szCs w:val="20"/>
                <w:color w:val="auto"/>
              </w:rPr>
            </w:pPr>
            <w:r>
              <w:rPr>
                <w:rFonts w:ascii="Arial" w:cs="Arial" w:eastAsia="Arial" w:hAnsi="Arial"/>
                <w:sz w:val="17"/>
                <w:szCs w:val="17"/>
                <w:color w:val="auto"/>
                <w:w w:val="99"/>
              </w:rPr>
              <w:t>Judgment Currency</w:t>
            </w:r>
          </w:p>
        </w:tc>
        <w:tc>
          <w:tcPr>
            <w:tcW w:w="80" w:type="dxa"/>
            <w:vAlign w:val="bottom"/>
            <w:gridSpan w:val="2"/>
          </w:tcPr>
          <w:p>
            <w:pPr>
              <w:spacing w:after="0"/>
              <w:rPr>
                <w:sz w:val="14"/>
                <w:szCs w:val="14"/>
                <w:color w:val="auto"/>
              </w:rPr>
            </w:pPr>
          </w:p>
        </w:tc>
        <w:tc>
          <w:tcPr>
            <w:tcW w:w="300" w:type="dxa"/>
            <w:vAlign w:val="bottom"/>
            <w:tcBorders>
              <w:right w:val="single" w:sz="8" w:color="DDDDDD"/>
            </w:tcBorders>
            <w:gridSpan w:val="5"/>
          </w:tcPr>
          <w:p>
            <w:pPr>
              <w:jc w:val="right"/>
              <w:ind w:right="20"/>
              <w:spacing w:after="0" w:line="149" w:lineRule="exact"/>
              <w:rPr>
                <w:sz w:val="20"/>
                <w:szCs w:val="20"/>
                <w:color w:val="auto"/>
              </w:rPr>
            </w:pPr>
            <w:r>
              <w:rPr>
                <w:rFonts w:ascii="Arial" w:cs="Arial" w:eastAsia="Arial" w:hAnsi="Arial"/>
                <w:sz w:val="17"/>
                <w:szCs w:val="17"/>
                <w:color w:val="FF0000"/>
                <w:strike w:val="1"/>
                <w:w w:val="91"/>
              </w:rPr>
              <w:t>106</w:t>
            </w:r>
          </w:p>
        </w:tc>
        <w:tc>
          <w:tcPr>
            <w:tcW w:w="240" w:type="dxa"/>
            <w:vAlign w:val="bottom"/>
            <w:tcBorders>
              <w:top w:val="single" w:sz="8" w:color="DDDDDD"/>
            </w:tcBorders>
            <w:gridSpan w:val="6"/>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77"/>
              </w:rPr>
              <w:t>120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gridSpan w:val="2"/>
          </w:tcPr>
          <w:p>
            <w:pPr>
              <w:ind w:left="200"/>
              <w:spacing w:after="0" w:line="149" w:lineRule="exact"/>
              <w:rPr>
                <w:sz w:val="20"/>
                <w:szCs w:val="20"/>
                <w:color w:val="auto"/>
              </w:rPr>
            </w:pPr>
            <w:r>
              <w:rPr>
                <w:rFonts w:ascii="Arial" w:cs="Arial" w:eastAsia="Arial" w:hAnsi="Arial"/>
                <w:sz w:val="17"/>
                <w:szCs w:val="17"/>
                <w:color w:val="auto"/>
                <w:w w:val="93"/>
              </w:rPr>
              <w:t>10.20</w:t>
            </w:r>
          </w:p>
        </w:tc>
        <w:tc>
          <w:tcPr>
            <w:tcW w:w="1020" w:type="dxa"/>
            <w:vAlign w:val="bottom"/>
            <w:gridSpan w:val="3"/>
          </w:tcPr>
          <w:p>
            <w:pPr>
              <w:ind w:left="200"/>
              <w:spacing w:after="0" w:line="149" w:lineRule="exact"/>
              <w:rPr>
                <w:sz w:val="20"/>
                <w:szCs w:val="20"/>
                <w:color w:val="auto"/>
              </w:rPr>
            </w:pPr>
            <w:r>
              <w:rPr>
                <w:rFonts w:ascii="Arial" w:cs="Arial" w:eastAsia="Arial" w:hAnsi="Arial"/>
                <w:sz w:val="17"/>
                <w:szCs w:val="17"/>
                <w:color w:val="auto"/>
              </w:rPr>
              <w:t>Headings</w:t>
            </w:r>
          </w:p>
        </w:tc>
        <w:tc>
          <w:tcPr>
            <w:tcW w:w="320" w:type="dxa"/>
            <w:vAlign w:val="bottom"/>
            <w:gridSpan w:val="5"/>
          </w:tcPr>
          <w:p>
            <w:pPr>
              <w:jc w:val="right"/>
              <w:spacing w:after="0" w:line="149" w:lineRule="exact"/>
              <w:rPr>
                <w:sz w:val="20"/>
                <w:szCs w:val="20"/>
                <w:color w:val="auto"/>
              </w:rPr>
            </w:pPr>
            <w:r>
              <w:rPr>
                <w:rFonts w:ascii="Arial" w:cs="Arial" w:eastAsia="Arial" w:hAnsi="Arial"/>
                <w:sz w:val="17"/>
                <w:szCs w:val="17"/>
                <w:color w:val="FF0000"/>
                <w:strike w:val="1"/>
              </w:rPr>
              <w:t>106</w:t>
            </w:r>
          </w:p>
        </w:tc>
        <w:tc>
          <w:tcPr>
            <w:tcW w:w="260" w:type="dxa"/>
            <w:vAlign w:val="bottom"/>
            <w:tcBorders>
              <w:top w:val="single" w:sz="8" w:color="DDDDDD"/>
              <w:left w:val="single" w:sz="8" w:color="DDDDDD"/>
              <w:bottom w:val="single" w:sz="8" w:color="0000FF"/>
            </w:tcBorders>
            <w:gridSpan w:val="3"/>
            <w:shd w:val="clear" w:color="auto" w:fill="DDDDDD"/>
          </w:tcPr>
          <w:p>
            <w:pPr>
              <w:spacing w:after="0" w:line="149" w:lineRule="exact"/>
              <w:rPr>
                <w:sz w:val="20"/>
                <w:szCs w:val="20"/>
                <w:color w:val="auto"/>
              </w:rPr>
            </w:pPr>
            <w:r>
              <w:rPr>
                <w:rFonts w:ascii="Arial" w:cs="Arial" w:eastAsia="Arial" w:hAnsi="Arial"/>
                <w:sz w:val="17"/>
                <w:szCs w:val="17"/>
                <w:color w:val="0000FF"/>
                <w:highlight w:val="lightGray"/>
                <w:w w:val="84"/>
              </w:rPr>
              <w:t>120</w:t>
            </w:r>
          </w:p>
        </w:tc>
        <w:tc>
          <w:tcPr>
            <w:tcW w:w="460" w:type="dxa"/>
            <w:vAlign w:val="bottom"/>
            <w:gridSpan w:val="7"/>
          </w:tcPr>
          <w:p>
            <w:pPr>
              <w:spacing w:after="0"/>
              <w:rPr>
                <w:sz w:val="12"/>
                <w:szCs w:val="12"/>
                <w:color w:val="auto"/>
              </w:rPr>
            </w:pPr>
          </w:p>
        </w:tc>
        <w:tc>
          <w:tcPr>
            <w:tcW w:w="280" w:type="dxa"/>
            <w:vAlign w:val="bottom"/>
            <w:tcBorders>
              <w:top w:val="single" w:sz="8" w:color="0000FF"/>
            </w:tcBorders>
            <w:gridSpan w:val="7"/>
          </w:tcPr>
          <w:p>
            <w:pPr>
              <w:spacing w:after="0"/>
              <w:rPr>
                <w:sz w:val="12"/>
                <w:szCs w:val="12"/>
                <w:color w:val="auto"/>
              </w:rPr>
            </w:pPr>
          </w:p>
        </w:tc>
        <w:tc>
          <w:tcPr>
            <w:tcW w:w="4060" w:type="dxa"/>
            <w:vAlign w:val="bottom"/>
            <w:gridSpan w:val="4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gridSpan w:val="2"/>
            <w:vMerge w:val="restart"/>
          </w:tcPr>
          <w:p>
            <w:pPr>
              <w:ind w:left="200"/>
              <w:spacing w:after="0" w:line="169" w:lineRule="exact"/>
              <w:rPr>
                <w:sz w:val="20"/>
                <w:szCs w:val="20"/>
                <w:color w:val="auto"/>
              </w:rPr>
            </w:pPr>
            <w:r>
              <w:rPr>
                <w:rFonts w:ascii="Arial" w:cs="Arial" w:eastAsia="Arial" w:hAnsi="Arial"/>
                <w:sz w:val="18"/>
                <w:szCs w:val="18"/>
                <w:color w:val="auto"/>
                <w:w w:val="88"/>
              </w:rPr>
              <w:t>10.21</w:t>
            </w:r>
          </w:p>
        </w:tc>
        <w:tc>
          <w:tcPr>
            <w:tcW w:w="1340" w:type="dxa"/>
            <w:vAlign w:val="bottom"/>
            <w:gridSpan w:val="8"/>
            <w:vMerge w:val="restart"/>
          </w:tcPr>
          <w:p>
            <w:pPr>
              <w:ind w:left="200"/>
              <w:spacing w:after="0" w:line="169" w:lineRule="exact"/>
              <w:rPr>
                <w:sz w:val="20"/>
                <w:szCs w:val="20"/>
                <w:color w:val="auto"/>
              </w:rPr>
            </w:pPr>
            <w:r>
              <w:rPr>
                <w:rFonts w:ascii="Arial" w:cs="Arial" w:eastAsia="Arial" w:hAnsi="Arial"/>
                <w:sz w:val="18"/>
                <w:szCs w:val="18"/>
                <w:color w:val="auto"/>
              </w:rPr>
              <w:t>Interest Rate</w:t>
            </w:r>
          </w:p>
        </w:tc>
        <w:tc>
          <w:tcPr>
            <w:tcW w:w="80" w:type="dxa"/>
            <w:vAlign w:val="bottom"/>
            <w:tcBorders>
              <w:left w:val="single" w:sz="8" w:color="DDDDDD"/>
            </w:tcBorders>
            <w:shd w:val="clear" w:color="auto" w:fill="DDDDDD"/>
          </w:tcPr>
          <w:p>
            <w:pPr>
              <w:spacing w:after="0" w:line="20" w:lineRule="exact"/>
              <w:rPr>
                <w:sz w:val="1"/>
                <w:szCs w:val="1"/>
                <w:color w:val="auto"/>
              </w:rPr>
            </w:pPr>
          </w:p>
        </w:tc>
        <w:tc>
          <w:tcPr>
            <w:tcW w:w="80" w:type="dxa"/>
            <w:vAlign w:val="bottom"/>
            <w:tcBorders>
              <w:right w:val="single" w:sz="8" w:color="DDDDDD"/>
            </w:tcBorders>
            <w:shd w:val="clear" w:color="auto" w:fill="DDDDDD"/>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80" w:type="dxa"/>
            <w:vAlign w:val="bottom"/>
            <w:gridSpan w:val="7"/>
            <w:vMerge w:val="restart"/>
          </w:tcPr>
          <w:p>
            <w:pPr>
              <w:jc w:val="right"/>
              <w:spacing w:after="0" w:line="169" w:lineRule="exact"/>
              <w:rPr>
                <w:sz w:val="20"/>
                <w:szCs w:val="20"/>
                <w:color w:val="auto"/>
              </w:rPr>
            </w:pPr>
            <w:r>
              <w:rPr>
                <w:rFonts w:ascii="Arial" w:cs="Arial" w:eastAsia="Arial" w:hAnsi="Arial"/>
                <w:sz w:val="18"/>
                <w:szCs w:val="18"/>
                <w:color w:val="FF0000"/>
                <w:strike w:val="1"/>
                <w:w w:val="86"/>
              </w:rPr>
              <w:t>106</w:t>
            </w:r>
          </w:p>
        </w:tc>
        <w:tc>
          <w:tcPr>
            <w:tcW w:w="260" w:type="dxa"/>
            <w:vAlign w:val="bottom"/>
            <w:gridSpan w:val="4"/>
            <w:vMerge w:val="restart"/>
            <w:shd w:val="clear" w:color="auto" w:fill="DDDDDD"/>
          </w:tcPr>
          <w:p>
            <w:pPr>
              <w:jc w:val="right"/>
              <w:spacing w:after="0" w:line="169" w:lineRule="exact"/>
              <w:rPr>
                <w:sz w:val="20"/>
                <w:szCs w:val="20"/>
                <w:color w:val="auto"/>
              </w:rPr>
            </w:pPr>
            <w:r>
              <w:rPr>
                <w:rFonts w:ascii="Arial" w:cs="Arial" w:eastAsia="Arial" w:hAnsi="Arial"/>
                <w:sz w:val="18"/>
                <w:szCs w:val="18"/>
                <w:color w:val="0000FF"/>
                <w:highlight w:val="lightGray"/>
                <w:w w:val="79"/>
              </w:rPr>
              <w:t>120</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20" w:type="dxa"/>
            <w:vAlign w:val="bottom"/>
            <w:gridSpan w:val="2"/>
            <w:vMerge w:val="continue"/>
          </w:tcPr>
          <w:p>
            <w:pPr>
              <w:spacing w:after="0"/>
              <w:rPr>
                <w:sz w:val="12"/>
                <w:szCs w:val="12"/>
                <w:color w:val="auto"/>
              </w:rPr>
            </w:pPr>
          </w:p>
        </w:tc>
        <w:tc>
          <w:tcPr>
            <w:tcW w:w="1340" w:type="dxa"/>
            <w:vAlign w:val="bottom"/>
            <w:gridSpan w:val="8"/>
            <w:vMerge w:val="continue"/>
          </w:tcPr>
          <w:p>
            <w:pPr>
              <w:spacing w:after="0"/>
              <w:rPr>
                <w:sz w:val="12"/>
                <w:szCs w:val="12"/>
                <w:color w:val="auto"/>
              </w:rPr>
            </w:pPr>
          </w:p>
        </w:tc>
        <w:tc>
          <w:tcPr>
            <w:tcW w:w="700" w:type="dxa"/>
            <w:vAlign w:val="bottom"/>
            <w:gridSpan w:val="9"/>
          </w:tcPr>
          <w:p>
            <w:pPr>
              <w:jc w:val="center"/>
              <w:ind w:right="36"/>
              <w:spacing w:after="0" w:line="149" w:lineRule="exact"/>
              <w:rPr>
                <w:sz w:val="20"/>
                <w:szCs w:val="20"/>
                <w:color w:val="auto"/>
              </w:rPr>
            </w:pPr>
            <w:r>
              <w:rPr>
                <w:rFonts w:ascii="Arial" w:cs="Arial" w:eastAsia="Arial" w:hAnsi="Arial"/>
                <w:sz w:val="17"/>
                <w:szCs w:val="17"/>
                <w:color w:val="auto"/>
                <w:w w:val="79"/>
              </w:rPr>
              <w:t>Limitation</w:t>
            </w:r>
          </w:p>
        </w:tc>
        <w:tc>
          <w:tcPr>
            <w:tcW w:w="60" w:type="dxa"/>
            <w:vAlign w:val="bottom"/>
            <w:gridSpan w:val="2"/>
            <w:vMerge w:val="continue"/>
          </w:tcPr>
          <w:p>
            <w:pPr>
              <w:spacing w:after="0"/>
              <w:rPr>
                <w:sz w:val="12"/>
                <w:szCs w:val="12"/>
                <w:color w:val="auto"/>
              </w:rPr>
            </w:pPr>
          </w:p>
        </w:tc>
        <w:tc>
          <w:tcPr>
            <w:tcW w:w="280" w:type="dxa"/>
            <w:vAlign w:val="bottom"/>
            <w:gridSpan w:val="7"/>
            <w:vMerge w:val="continue"/>
          </w:tcPr>
          <w:p>
            <w:pPr>
              <w:spacing w:after="0"/>
              <w:rPr>
                <w:sz w:val="12"/>
                <w:szCs w:val="12"/>
                <w:color w:val="auto"/>
              </w:rPr>
            </w:pPr>
          </w:p>
        </w:tc>
        <w:tc>
          <w:tcPr>
            <w:tcW w:w="260" w:type="dxa"/>
            <w:vAlign w:val="bottom"/>
            <w:tcBorders>
              <w:bottom w:val="single" w:sz="8" w:color="0000FF"/>
            </w:tcBorders>
            <w:gridSpan w:val="4"/>
            <w:vMerge w:val="continue"/>
            <w:shd w:val="clear" w:color="auto" w:fill="DDDDDD"/>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gridSpan w:val="2"/>
            <w:vMerge w:val="restart"/>
          </w:tcPr>
          <w:p>
            <w:pPr>
              <w:ind w:left="200"/>
              <w:spacing w:after="0" w:line="169" w:lineRule="exact"/>
              <w:rPr>
                <w:sz w:val="20"/>
                <w:szCs w:val="20"/>
                <w:color w:val="auto"/>
              </w:rPr>
            </w:pPr>
            <w:r>
              <w:rPr>
                <w:rFonts w:ascii="Arial" w:cs="Arial" w:eastAsia="Arial" w:hAnsi="Arial"/>
                <w:sz w:val="18"/>
                <w:szCs w:val="18"/>
                <w:color w:val="auto"/>
                <w:w w:val="88"/>
              </w:rPr>
              <w:t>10.22</w:t>
            </w:r>
          </w:p>
        </w:tc>
        <w:tc>
          <w:tcPr>
            <w:tcW w:w="2380" w:type="dxa"/>
            <w:vAlign w:val="bottom"/>
            <w:gridSpan w:val="26"/>
            <w:vMerge w:val="restart"/>
          </w:tcPr>
          <w:p>
            <w:pPr>
              <w:ind w:left="200"/>
              <w:spacing w:after="0" w:line="169" w:lineRule="exact"/>
              <w:rPr>
                <w:sz w:val="20"/>
                <w:szCs w:val="20"/>
                <w:color w:val="auto"/>
              </w:rPr>
            </w:pPr>
            <w:r>
              <w:rPr>
                <w:rFonts w:ascii="Arial" w:cs="Arial" w:eastAsia="Arial" w:hAnsi="Arial"/>
                <w:sz w:val="18"/>
                <w:szCs w:val="18"/>
                <w:color w:val="auto"/>
                <w:w w:val="84"/>
              </w:rPr>
              <w:t>Acknowledgement and Consent</w:t>
            </w:r>
          </w:p>
        </w:tc>
        <w:tc>
          <w:tcPr>
            <w:tcW w:w="40" w:type="dxa"/>
            <w:vAlign w:val="bottom"/>
            <w:tcBorders>
              <w:right w:val="single" w:sz="8" w:color="DDDDDD"/>
            </w:tcBorders>
            <w:shd w:val="clear" w:color="auto" w:fill="DDDDDD"/>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60" w:type="dxa"/>
            <w:vAlign w:val="bottom"/>
            <w:shd w:val="clear" w:color="auto" w:fill="DDDDDD"/>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 w:type="dxa"/>
            <w:vAlign w:val="bottom"/>
            <w:gridSpan w:val="2"/>
            <w:vMerge w:val="continue"/>
          </w:tcPr>
          <w:p>
            <w:pPr>
              <w:spacing w:after="0"/>
              <w:rPr>
                <w:sz w:val="14"/>
                <w:szCs w:val="14"/>
                <w:color w:val="auto"/>
              </w:rPr>
            </w:pPr>
          </w:p>
        </w:tc>
        <w:tc>
          <w:tcPr>
            <w:tcW w:w="2380" w:type="dxa"/>
            <w:vAlign w:val="bottom"/>
            <w:gridSpan w:val="26"/>
            <w:vMerge w:val="continue"/>
          </w:tcPr>
          <w:p>
            <w:pPr>
              <w:spacing w:after="0"/>
              <w:rPr>
                <w:sz w:val="14"/>
                <w:szCs w:val="14"/>
                <w:color w:val="auto"/>
              </w:rPr>
            </w:pPr>
          </w:p>
        </w:tc>
        <w:tc>
          <w:tcPr>
            <w:tcW w:w="3480" w:type="dxa"/>
            <w:vAlign w:val="bottom"/>
            <w:gridSpan w:val="41"/>
          </w:tcPr>
          <w:p>
            <w:pPr>
              <w:ind w:left="180"/>
              <w:spacing w:after="0" w:line="149" w:lineRule="exact"/>
              <w:rPr>
                <w:sz w:val="20"/>
                <w:szCs w:val="20"/>
                <w:color w:val="auto"/>
              </w:rPr>
            </w:pPr>
            <w:r>
              <w:rPr>
                <w:rFonts w:ascii="Arial" w:cs="Arial" w:eastAsia="Arial" w:hAnsi="Arial"/>
                <w:sz w:val="17"/>
                <w:szCs w:val="17"/>
                <w:color w:val="auto"/>
              </w:rPr>
              <w:t>to Bail-In of Affected Financial Institutions</w:t>
            </w:r>
          </w:p>
        </w:tc>
        <w:tc>
          <w:tcPr>
            <w:tcW w:w="260" w:type="dxa"/>
            <w:vAlign w:val="bottom"/>
          </w:tcPr>
          <w:p>
            <w:pPr>
              <w:jc w:val="right"/>
              <w:spacing w:after="0" w:line="149" w:lineRule="exact"/>
              <w:rPr>
                <w:sz w:val="20"/>
                <w:szCs w:val="20"/>
                <w:color w:val="auto"/>
              </w:rPr>
            </w:pPr>
            <w:r>
              <w:rPr>
                <w:rFonts w:ascii="Arial" w:cs="Arial" w:eastAsia="Arial" w:hAnsi="Arial"/>
                <w:sz w:val="17"/>
                <w:szCs w:val="17"/>
                <w:color w:val="FF0000"/>
                <w:strike w:val="1"/>
                <w:w w:val="84"/>
              </w:rPr>
              <w:t>106</w:t>
            </w:r>
          </w:p>
        </w:tc>
        <w:tc>
          <w:tcPr>
            <w:tcW w:w="280" w:type="dxa"/>
            <w:vAlign w:val="bottom"/>
            <w:tcBorders>
              <w:bottom w:val="single" w:sz="8" w:color="0000FF"/>
            </w:tcBorders>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91"/>
              </w:rPr>
              <w:t>120</w:t>
            </w:r>
          </w:p>
        </w:tc>
        <w:tc>
          <w:tcPr>
            <w:tcW w:w="0" w:type="dxa"/>
            <w:vAlign w:val="bottom"/>
          </w:tcPr>
          <w:p>
            <w:pPr>
              <w:spacing w:after="0"/>
              <w:rPr>
                <w:sz w:val="1"/>
                <w:szCs w:val="1"/>
                <w:color w:val="auto"/>
              </w:rPr>
            </w:pPr>
          </w:p>
        </w:tc>
      </w:tr>
      <w:tr>
        <w:trPr>
          <w:trHeight w:val="169"/>
        </w:trPr>
        <w:tc>
          <w:tcPr>
            <w:tcW w:w="620" w:type="dxa"/>
            <w:vAlign w:val="bottom"/>
            <w:gridSpan w:val="2"/>
          </w:tcPr>
          <w:p>
            <w:pPr>
              <w:ind w:left="200"/>
              <w:spacing w:after="0" w:line="149" w:lineRule="exact"/>
              <w:rPr>
                <w:sz w:val="20"/>
                <w:szCs w:val="20"/>
                <w:color w:val="auto"/>
              </w:rPr>
            </w:pPr>
            <w:r>
              <w:rPr>
                <w:rFonts w:ascii="Arial" w:cs="Arial" w:eastAsia="Arial" w:hAnsi="Arial"/>
                <w:sz w:val="17"/>
                <w:szCs w:val="17"/>
                <w:color w:val="auto"/>
                <w:w w:val="93"/>
              </w:rPr>
              <w:t>10.23</w:t>
            </w:r>
          </w:p>
        </w:tc>
        <w:tc>
          <w:tcPr>
            <w:tcW w:w="4140" w:type="dxa"/>
            <w:vAlign w:val="bottom"/>
            <w:gridSpan w:val="54"/>
          </w:tcPr>
          <w:p>
            <w:pPr>
              <w:ind w:left="200"/>
              <w:spacing w:after="0" w:line="149" w:lineRule="exact"/>
              <w:rPr>
                <w:sz w:val="20"/>
                <w:szCs w:val="20"/>
                <w:color w:val="auto"/>
              </w:rPr>
            </w:pPr>
            <w:r>
              <w:rPr>
                <w:rFonts w:ascii="Arial" w:cs="Arial" w:eastAsia="Arial" w:hAnsi="Arial"/>
                <w:sz w:val="17"/>
                <w:szCs w:val="17"/>
                <w:color w:val="auto"/>
              </w:rPr>
              <w:t>Acknowledgement Regarding Any Supported QFCs</w:t>
            </w:r>
          </w:p>
        </w:tc>
        <w:tc>
          <w:tcPr>
            <w:tcW w:w="260" w:type="dxa"/>
            <w:vAlign w:val="bottom"/>
            <w:gridSpan w:val="2"/>
          </w:tcPr>
          <w:p>
            <w:pPr>
              <w:jc w:val="right"/>
              <w:spacing w:after="0" w:line="149" w:lineRule="exact"/>
              <w:rPr>
                <w:sz w:val="20"/>
                <w:szCs w:val="20"/>
                <w:color w:val="auto"/>
              </w:rPr>
            </w:pPr>
            <w:r>
              <w:rPr>
                <w:rFonts w:ascii="Arial" w:cs="Arial" w:eastAsia="Arial" w:hAnsi="Arial"/>
                <w:sz w:val="17"/>
                <w:szCs w:val="17"/>
                <w:color w:val="FF0000"/>
                <w:strike w:val="1"/>
                <w:w w:val="84"/>
              </w:rPr>
              <w:t>107</w:t>
            </w:r>
          </w:p>
        </w:tc>
        <w:tc>
          <w:tcPr>
            <w:tcW w:w="280" w:type="dxa"/>
            <w:vAlign w:val="bottom"/>
            <w:tcBorders>
              <w:top w:val="single" w:sz="8" w:color="DDDDDD"/>
            </w:tcBorders>
            <w:gridSpan w:val="4"/>
            <w:shd w:val="clear" w:color="auto" w:fill="DDDDDD"/>
          </w:tcPr>
          <w:p>
            <w:pPr>
              <w:jc w:val="right"/>
              <w:spacing w:after="0" w:line="149" w:lineRule="exact"/>
              <w:rPr>
                <w:sz w:val="20"/>
                <w:szCs w:val="20"/>
                <w:color w:val="auto"/>
              </w:rPr>
            </w:pPr>
            <w:r>
              <w:rPr>
                <w:rFonts w:ascii="Arial" w:cs="Arial" w:eastAsia="Arial" w:hAnsi="Arial"/>
                <w:sz w:val="17"/>
                <w:szCs w:val="17"/>
                <w:color w:val="0000FF"/>
                <w:highlight w:val="lightGray"/>
                <w:w w:val="91"/>
              </w:rPr>
              <w:t>121</w:t>
            </w:r>
          </w:p>
        </w:tc>
        <w:tc>
          <w:tcPr>
            <w:tcW w:w="1440" w:type="dxa"/>
            <w:vAlign w:val="bottom"/>
            <w:gridSpan w:val="8"/>
          </w:tcPr>
          <w:p>
            <w:pPr>
              <w:spacing w:after="0"/>
              <w:rPr>
                <w:sz w:val="14"/>
                <w:szCs w:val="14"/>
                <w:color w:val="auto"/>
              </w:rPr>
            </w:pPr>
          </w:p>
        </w:tc>
        <w:tc>
          <w:tcPr>
            <w:tcW w:w="280" w:type="dxa"/>
            <w:vAlign w:val="bottom"/>
            <w:tcBorders>
              <w:top w:val="single" w:sz="8" w:color="DDDDDD"/>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gridSpan w:val="2"/>
          </w:tcPr>
          <w:p>
            <w:pPr>
              <w:ind w:left="200"/>
              <w:spacing w:after="0" w:line="149" w:lineRule="exact"/>
              <w:rPr>
                <w:sz w:val="20"/>
                <w:szCs w:val="20"/>
                <w:color w:val="auto"/>
              </w:rPr>
            </w:pPr>
            <w:r>
              <w:rPr>
                <w:rFonts w:ascii="Arial" w:cs="Arial" w:eastAsia="Arial" w:hAnsi="Arial"/>
                <w:sz w:val="17"/>
                <w:szCs w:val="17"/>
                <w:color w:val="auto"/>
                <w:w w:val="93"/>
              </w:rPr>
              <w:t>10.24</w:t>
            </w:r>
          </w:p>
        </w:tc>
        <w:tc>
          <w:tcPr>
            <w:tcW w:w="1420" w:type="dxa"/>
            <w:vAlign w:val="bottom"/>
            <w:gridSpan w:val="9"/>
          </w:tcPr>
          <w:p>
            <w:pPr>
              <w:ind w:left="200"/>
              <w:spacing w:after="0" w:line="149" w:lineRule="exact"/>
              <w:rPr>
                <w:sz w:val="20"/>
                <w:szCs w:val="20"/>
                <w:color w:val="auto"/>
              </w:rPr>
            </w:pPr>
            <w:r>
              <w:rPr>
                <w:rFonts w:ascii="Arial" w:cs="Arial" w:eastAsia="Arial" w:hAnsi="Arial"/>
                <w:sz w:val="17"/>
                <w:szCs w:val="17"/>
                <w:color w:val="auto"/>
              </w:rPr>
              <w:t>Non-Recourse</w:t>
            </w:r>
          </w:p>
        </w:tc>
        <w:tc>
          <w:tcPr>
            <w:tcW w:w="300" w:type="dxa"/>
            <w:vAlign w:val="bottom"/>
            <w:tcBorders>
              <w:right w:val="single" w:sz="8" w:color="DDDDDD"/>
            </w:tcBorders>
            <w:gridSpan w:val="3"/>
          </w:tcPr>
          <w:p>
            <w:pPr>
              <w:jc w:val="right"/>
              <w:ind w:right="20"/>
              <w:spacing w:after="0" w:line="149" w:lineRule="exact"/>
              <w:rPr>
                <w:sz w:val="20"/>
                <w:szCs w:val="20"/>
                <w:color w:val="auto"/>
              </w:rPr>
            </w:pPr>
            <w:r>
              <w:rPr>
                <w:rFonts w:ascii="Arial" w:cs="Arial" w:eastAsia="Arial" w:hAnsi="Arial"/>
                <w:sz w:val="17"/>
                <w:szCs w:val="17"/>
                <w:color w:val="FF0000"/>
                <w:strike w:val="1"/>
                <w:w w:val="91"/>
              </w:rPr>
              <w:t>107</w:t>
            </w:r>
          </w:p>
        </w:tc>
        <w:tc>
          <w:tcPr>
            <w:tcW w:w="240" w:type="dxa"/>
            <w:vAlign w:val="bottom"/>
            <w:tcBorders>
              <w:top w:val="single" w:sz="8" w:color="DDDDDD"/>
              <w:left w:val="single" w:sz="8" w:color="DDDDDD"/>
              <w:bottom w:val="single" w:sz="8" w:color="0000FF"/>
              <w:right w:val="single" w:sz="8" w:color="DDDDDD"/>
            </w:tcBorders>
            <w:gridSpan w:val="3"/>
            <w:shd w:val="clear" w:color="auto" w:fill="DDDDDD"/>
          </w:tcPr>
          <w:p>
            <w:pPr>
              <w:jc w:val="center"/>
              <w:spacing w:after="0" w:line="149" w:lineRule="exact"/>
              <w:rPr>
                <w:sz w:val="20"/>
                <w:szCs w:val="20"/>
                <w:color w:val="auto"/>
              </w:rPr>
            </w:pPr>
            <w:r>
              <w:rPr>
                <w:rFonts w:ascii="Arial" w:cs="Arial" w:eastAsia="Arial" w:hAnsi="Arial"/>
                <w:sz w:val="17"/>
                <w:szCs w:val="17"/>
                <w:color w:val="0000FF"/>
                <w:highlight w:val="lightGray"/>
                <w:w w:val="84"/>
              </w:rPr>
              <w:t>121</w:t>
            </w:r>
          </w:p>
        </w:tc>
        <w:tc>
          <w:tcPr>
            <w:tcW w:w="2440" w:type="dxa"/>
            <w:vAlign w:val="bottom"/>
            <w:gridSpan w:val="41"/>
          </w:tcPr>
          <w:p>
            <w:pPr>
              <w:spacing w:after="0"/>
              <w:rPr>
                <w:sz w:val="12"/>
                <w:szCs w:val="12"/>
                <w:color w:val="auto"/>
              </w:rPr>
            </w:pPr>
          </w:p>
        </w:tc>
        <w:tc>
          <w:tcPr>
            <w:tcW w:w="20" w:type="dxa"/>
            <w:vAlign w:val="bottom"/>
            <w:tcBorders>
              <w:top w:val="single" w:sz="8" w:color="DDDDDD"/>
            </w:tcBorders>
          </w:tcPr>
          <w:p>
            <w:pPr>
              <w:spacing w:after="0"/>
              <w:rPr>
                <w:sz w:val="12"/>
                <w:szCs w:val="12"/>
                <w:color w:val="auto"/>
              </w:rPr>
            </w:pPr>
          </w:p>
        </w:tc>
        <w:tc>
          <w:tcPr>
            <w:tcW w:w="260" w:type="dxa"/>
            <w:vAlign w:val="bottom"/>
            <w:tcBorders>
              <w:top w:val="single" w:sz="8" w:color="0000FF"/>
            </w:tcBorders>
            <w:gridSpan w:val="3"/>
          </w:tcPr>
          <w:p>
            <w:pPr>
              <w:spacing w:after="0"/>
              <w:rPr>
                <w:sz w:val="12"/>
                <w:szCs w:val="12"/>
                <w:color w:val="auto"/>
              </w:rPr>
            </w:pPr>
          </w:p>
        </w:tc>
        <w:tc>
          <w:tcPr>
            <w:tcW w:w="172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gridSpan w:val="2"/>
            <w:vMerge w:val="restart"/>
          </w:tcPr>
          <w:p>
            <w:pPr>
              <w:ind w:left="200"/>
              <w:spacing w:after="0" w:line="169" w:lineRule="exact"/>
              <w:rPr>
                <w:sz w:val="20"/>
                <w:szCs w:val="20"/>
                <w:color w:val="auto"/>
              </w:rPr>
            </w:pPr>
            <w:r>
              <w:rPr>
                <w:rFonts w:ascii="Arial" w:cs="Arial" w:eastAsia="Arial" w:hAnsi="Arial"/>
                <w:sz w:val="18"/>
                <w:szCs w:val="18"/>
                <w:color w:val="auto"/>
                <w:w w:val="88"/>
              </w:rPr>
              <w:t>10.25</w:t>
            </w:r>
          </w:p>
        </w:tc>
        <w:tc>
          <w:tcPr>
            <w:tcW w:w="1720" w:type="dxa"/>
            <w:vAlign w:val="bottom"/>
            <w:tcBorders>
              <w:right w:val="single" w:sz="8" w:color="DDDDDD"/>
            </w:tcBorders>
            <w:gridSpan w:val="12"/>
          </w:tcPr>
          <w:p>
            <w:pPr>
              <w:spacing w:after="0" w:line="20" w:lineRule="exact"/>
              <w:rPr>
                <w:sz w:val="1"/>
                <w:szCs w:val="1"/>
                <w:color w:val="auto"/>
              </w:rPr>
            </w:pPr>
          </w:p>
        </w:tc>
        <w:tc>
          <w:tcPr>
            <w:tcW w:w="60" w:type="dxa"/>
            <w:vAlign w:val="bottom"/>
            <w:tcBorders>
              <w:left w:val="single" w:sz="8" w:color="DDDDDD"/>
              <w:right w:val="single" w:sz="8" w:color="DDDDDD"/>
            </w:tcBorders>
            <w:shd w:val="clear" w:color="auto" w:fill="DDDDDD"/>
          </w:tcPr>
          <w:p>
            <w:pPr>
              <w:spacing w:after="0" w:line="20" w:lineRule="exact"/>
              <w:rPr>
                <w:sz w:val="1"/>
                <w:szCs w:val="1"/>
                <w:color w:val="auto"/>
              </w:rPr>
            </w:pPr>
          </w:p>
        </w:tc>
        <w:tc>
          <w:tcPr>
            <w:tcW w:w="180" w:type="dxa"/>
            <w:vAlign w:val="bottom"/>
            <w:tcBorders>
              <w:right w:val="single" w:sz="8" w:color="DDDDDD"/>
            </w:tcBorders>
            <w:gridSpan w:val="2"/>
            <w:shd w:val="clear" w:color="auto" w:fill="DDDDDD"/>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240" w:type="dxa"/>
            <w:vAlign w:val="bottom"/>
            <w:gridSpan w:val="5"/>
            <w:vMerge w:val="restart"/>
          </w:tcPr>
          <w:p>
            <w:pPr>
              <w:jc w:val="center"/>
              <w:spacing w:after="0" w:line="169" w:lineRule="exact"/>
              <w:rPr>
                <w:sz w:val="20"/>
                <w:szCs w:val="20"/>
                <w:color w:val="auto"/>
              </w:rPr>
            </w:pPr>
            <w:r>
              <w:rPr>
                <w:rFonts w:ascii="Arial" w:cs="Arial" w:eastAsia="Arial" w:hAnsi="Arial"/>
                <w:sz w:val="18"/>
                <w:szCs w:val="18"/>
                <w:color w:val="FF0000"/>
                <w:strike w:val="1"/>
                <w:w w:val="79"/>
              </w:rPr>
              <w:t>108</w:t>
            </w:r>
          </w:p>
        </w:tc>
        <w:tc>
          <w:tcPr>
            <w:tcW w:w="20" w:type="dxa"/>
            <w:vAlign w:val="bottom"/>
            <w:vMerge w:val="restart"/>
          </w:tcPr>
          <w:p>
            <w:pPr>
              <w:spacing w:after="0" w:line="20" w:lineRule="exact"/>
              <w:rPr>
                <w:sz w:val="1"/>
                <w:szCs w:val="1"/>
                <w:color w:val="auto"/>
              </w:rPr>
            </w:pPr>
          </w:p>
        </w:tc>
        <w:tc>
          <w:tcPr>
            <w:tcW w:w="260" w:type="dxa"/>
            <w:vAlign w:val="bottom"/>
            <w:gridSpan w:val="6"/>
            <w:vMerge w:val="restart"/>
            <w:shd w:val="clear" w:color="auto" w:fill="DDDDDD"/>
          </w:tcPr>
          <w:p>
            <w:pPr>
              <w:spacing w:after="0" w:line="169" w:lineRule="exact"/>
              <w:rPr>
                <w:sz w:val="20"/>
                <w:szCs w:val="20"/>
                <w:color w:val="auto"/>
              </w:rPr>
            </w:pPr>
            <w:r>
              <w:rPr>
                <w:rFonts w:ascii="Arial" w:cs="Arial" w:eastAsia="Arial" w:hAnsi="Arial"/>
                <w:sz w:val="18"/>
                <w:szCs w:val="18"/>
                <w:color w:val="0000FF"/>
                <w:highlight w:val="lightGray"/>
                <w:w w:val="79"/>
              </w:rPr>
              <w:t>122</w:t>
            </w:r>
          </w:p>
        </w:tc>
        <w:tc>
          <w:tcPr>
            <w:tcW w:w="140" w:type="dxa"/>
            <w:vAlign w:val="bottom"/>
            <w:gridSpan w:val="2"/>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3640" w:type="dxa"/>
            <w:vAlign w:val="bottom"/>
            <w:gridSpan w:val="3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 w:type="dxa"/>
            <w:vAlign w:val="bottom"/>
            <w:gridSpan w:val="2"/>
            <w:vMerge w:val="continue"/>
          </w:tcPr>
          <w:p>
            <w:pPr>
              <w:spacing w:after="0"/>
              <w:rPr>
                <w:sz w:val="14"/>
                <w:szCs w:val="14"/>
                <w:color w:val="auto"/>
              </w:rPr>
            </w:pPr>
          </w:p>
        </w:tc>
        <w:tc>
          <w:tcPr>
            <w:tcW w:w="1960" w:type="dxa"/>
            <w:vAlign w:val="bottom"/>
            <w:gridSpan w:val="15"/>
          </w:tcPr>
          <w:p>
            <w:pPr>
              <w:ind w:left="200"/>
              <w:spacing w:after="0" w:line="149" w:lineRule="exact"/>
              <w:rPr>
                <w:sz w:val="20"/>
                <w:szCs w:val="20"/>
                <w:color w:val="auto"/>
              </w:rPr>
            </w:pPr>
            <w:r>
              <w:rPr>
                <w:rFonts w:ascii="Arial" w:cs="Arial" w:eastAsia="Arial" w:hAnsi="Arial"/>
                <w:sz w:val="17"/>
                <w:szCs w:val="17"/>
                <w:color w:val="auto"/>
              </w:rPr>
              <w:t>Limited Equity Pledge</w:t>
            </w:r>
          </w:p>
        </w:tc>
        <w:tc>
          <w:tcPr>
            <w:tcW w:w="80" w:type="dxa"/>
            <w:vAlign w:val="bottom"/>
            <w:gridSpan w:val="2"/>
            <w:vMerge w:val="continue"/>
          </w:tcPr>
          <w:p>
            <w:pPr>
              <w:spacing w:after="0"/>
              <w:rPr>
                <w:sz w:val="14"/>
                <w:szCs w:val="14"/>
                <w:color w:val="auto"/>
              </w:rPr>
            </w:pPr>
          </w:p>
        </w:tc>
        <w:tc>
          <w:tcPr>
            <w:tcW w:w="240" w:type="dxa"/>
            <w:vAlign w:val="bottom"/>
            <w:gridSpan w:val="5"/>
            <w:vMerge w:val="continue"/>
          </w:tcPr>
          <w:p>
            <w:pPr>
              <w:spacing w:after="0"/>
              <w:rPr>
                <w:sz w:val="14"/>
                <w:szCs w:val="14"/>
                <w:color w:val="auto"/>
              </w:rPr>
            </w:pPr>
          </w:p>
        </w:tc>
        <w:tc>
          <w:tcPr>
            <w:tcW w:w="20" w:type="dxa"/>
            <w:vAlign w:val="bottom"/>
            <w:tcBorders>
              <w:bottom w:val="single" w:sz="8" w:color="0000FF"/>
            </w:tcBorders>
            <w:vMerge w:val="continue"/>
          </w:tcPr>
          <w:p>
            <w:pPr>
              <w:spacing w:after="0"/>
              <w:rPr>
                <w:sz w:val="14"/>
                <w:szCs w:val="14"/>
                <w:color w:val="auto"/>
              </w:rPr>
            </w:pPr>
          </w:p>
        </w:tc>
        <w:tc>
          <w:tcPr>
            <w:tcW w:w="260" w:type="dxa"/>
            <w:vAlign w:val="bottom"/>
            <w:tcBorders>
              <w:bottom w:val="single" w:sz="8" w:color="0000FF"/>
            </w:tcBorders>
            <w:gridSpan w:val="6"/>
            <w:vMerge w:val="continue"/>
            <w:shd w:val="clear" w:color="auto" w:fill="DDDDDD"/>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gridSpan w:val="2"/>
          </w:tcPr>
          <w:p>
            <w:pPr>
              <w:ind w:left="200"/>
              <w:spacing w:after="0" w:line="149" w:lineRule="exact"/>
              <w:rPr>
                <w:sz w:val="20"/>
                <w:szCs w:val="20"/>
                <w:color w:val="auto"/>
              </w:rPr>
            </w:pPr>
            <w:r>
              <w:rPr>
                <w:rFonts w:ascii="Arial" w:cs="Arial" w:eastAsia="Arial" w:hAnsi="Arial"/>
                <w:sz w:val="17"/>
                <w:szCs w:val="17"/>
                <w:color w:val="auto"/>
                <w:w w:val="93"/>
              </w:rPr>
              <w:t>10.26</w:t>
            </w:r>
          </w:p>
        </w:tc>
        <w:tc>
          <w:tcPr>
            <w:tcW w:w="1720" w:type="dxa"/>
            <w:vAlign w:val="bottom"/>
            <w:gridSpan w:val="12"/>
          </w:tcPr>
          <w:p>
            <w:pPr>
              <w:ind w:left="200"/>
              <w:spacing w:after="0" w:line="149" w:lineRule="exact"/>
              <w:rPr>
                <w:sz w:val="20"/>
                <w:szCs w:val="20"/>
                <w:color w:val="auto"/>
              </w:rPr>
            </w:pPr>
            <w:r>
              <w:rPr>
                <w:rFonts w:ascii="Arial" w:cs="Arial" w:eastAsia="Arial" w:hAnsi="Arial"/>
                <w:sz w:val="17"/>
                <w:szCs w:val="17"/>
                <w:color w:val="auto"/>
                <w:w w:val="96"/>
              </w:rPr>
              <w:t>Payments Set Aside</w:t>
            </w:r>
          </w:p>
        </w:tc>
        <w:tc>
          <w:tcPr>
            <w:tcW w:w="80" w:type="dxa"/>
            <w:vAlign w:val="bottom"/>
            <w:gridSpan w:val="2"/>
          </w:tcPr>
          <w:p>
            <w:pPr>
              <w:spacing w:after="0"/>
              <w:rPr>
                <w:sz w:val="12"/>
                <w:szCs w:val="12"/>
                <w:color w:val="auto"/>
              </w:rPr>
            </w:pPr>
          </w:p>
        </w:tc>
        <w:tc>
          <w:tcPr>
            <w:tcW w:w="300" w:type="dxa"/>
            <w:vAlign w:val="bottom"/>
            <w:gridSpan w:val="5"/>
          </w:tcPr>
          <w:p>
            <w:pPr>
              <w:jc w:val="right"/>
              <w:spacing w:after="0" w:line="149" w:lineRule="exact"/>
              <w:rPr>
                <w:sz w:val="20"/>
                <w:szCs w:val="20"/>
                <w:color w:val="auto"/>
              </w:rPr>
            </w:pPr>
            <w:r>
              <w:rPr>
                <w:rFonts w:ascii="Arial" w:cs="Arial" w:eastAsia="Arial" w:hAnsi="Arial"/>
                <w:sz w:val="17"/>
                <w:szCs w:val="17"/>
                <w:color w:val="FF0000"/>
                <w:strike w:val="1"/>
                <w:w w:val="98"/>
              </w:rPr>
              <w:t>108</w:t>
            </w:r>
          </w:p>
        </w:tc>
        <w:tc>
          <w:tcPr>
            <w:tcW w:w="280" w:type="dxa"/>
            <w:vAlign w:val="bottom"/>
            <w:tcBorders>
              <w:top w:val="single" w:sz="8" w:color="DDDDDD"/>
            </w:tcBorders>
            <w:gridSpan w:val="7"/>
            <w:shd w:val="clear" w:color="auto" w:fill="DDDDDD"/>
          </w:tcPr>
          <w:p>
            <w:pPr>
              <w:jc w:val="right"/>
              <w:ind w:right="20"/>
              <w:spacing w:after="0" w:line="149" w:lineRule="exact"/>
              <w:rPr>
                <w:sz w:val="20"/>
                <w:szCs w:val="20"/>
                <w:color w:val="auto"/>
              </w:rPr>
            </w:pPr>
            <w:r>
              <w:rPr>
                <w:rFonts w:ascii="Arial" w:cs="Arial" w:eastAsia="Arial" w:hAnsi="Arial"/>
                <w:sz w:val="17"/>
                <w:szCs w:val="17"/>
                <w:color w:val="0000FF"/>
                <w:highlight w:val="lightGray"/>
                <w:w w:val="84"/>
              </w:rPr>
              <w:t>122</w:t>
            </w:r>
          </w:p>
        </w:tc>
        <w:tc>
          <w:tcPr>
            <w:tcW w:w="40" w:type="dxa"/>
            <w:vAlign w:val="bottom"/>
            <w:tcBorders>
              <w:top w:val="single" w:sz="8" w:color="DDDDDD"/>
            </w:tcBorders>
          </w:tcPr>
          <w:p>
            <w:pPr>
              <w:spacing w:after="0"/>
              <w:rPr>
                <w:sz w:val="12"/>
                <w:szCs w:val="12"/>
                <w:color w:val="auto"/>
              </w:rPr>
            </w:pPr>
          </w:p>
        </w:tc>
        <w:tc>
          <w:tcPr>
            <w:tcW w:w="80" w:type="dxa"/>
            <w:vAlign w:val="bottom"/>
            <w:tcBorders>
              <w:top w:val="single" w:sz="8" w:color="DDDDDD"/>
            </w:tcBorders>
          </w:tcPr>
          <w:p>
            <w:pPr>
              <w:spacing w:after="0"/>
              <w:rPr>
                <w:sz w:val="12"/>
                <w:szCs w:val="12"/>
                <w:color w:val="auto"/>
              </w:rPr>
            </w:pPr>
          </w:p>
        </w:tc>
        <w:tc>
          <w:tcPr>
            <w:tcW w:w="60" w:type="dxa"/>
            <w:vAlign w:val="bottom"/>
            <w:tcBorders>
              <w:top w:val="single" w:sz="8" w:color="DDDDDD"/>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60" w:type="dxa"/>
            <w:vAlign w:val="bottom"/>
            <w:gridSpan w:val="27"/>
          </w:tcPr>
          <w:p>
            <w:pPr>
              <w:spacing w:after="0"/>
              <w:rPr>
                <w:sz w:val="2"/>
                <w:szCs w:val="2"/>
                <w:color w:val="auto"/>
              </w:rPr>
            </w:pPr>
          </w:p>
        </w:tc>
        <w:tc>
          <w:tcPr>
            <w:tcW w:w="4060" w:type="dxa"/>
            <w:vAlign w:val="bottom"/>
            <w:tcBorders>
              <w:left w:val="single" w:sz="8" w:color="0000FF"/>
            </w:tcBorders>
            <w:gridSpan w:val="44"/>
            <w:shd w:val="clear" w:color="auto" w:fill="DDDDD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139"/>
          </w:cols>
          <w:pgMar w:left="320" w:top="1440" w:right="1440"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SCHEDULES:</w:t>
      </w:r>
    </w:p>
    <w:p>
      <w:pPr>
        <w:spacing w:after="0" w:line="1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SG</w:t>
      </w:r>
      <w:r>
        <w:rPr>
          <w:sz w:val="20"/>
          <w:szCs w:val="20"/>
          <w:color w:val="auto"/>
        </w:rPr>
        <w:tab/>
      </w:r>
      <w:r>
        <w:rPr>
          <w:rFonts w:ascii="Arial" w:cs="Arial" w:eastAsia="Arial" w:hAnsi="Arial"/>
          <w:sz w:val="16"/>
          <w:szCs w:val="16"/>
          <w:color w:val="auto"/>
        </w:rPr>
        <w:t>Subsidiary Guarantors</w:t>
      </w:r>
    </w:p>
    <w:p>
      <w:pPr>
        <w:spacing w:after="0" w:line="228" w:lineRule="auto"/>
        <w:tabs>
          <w:tab w:leader="none" w:pos="520" w:val="left"/>
        </w:tabs>
        <w:rPr>
          <w:sz w:val="20"/>
          <w:szCs w:val="20"/>
          <w:color w:val="auto"/>
        </w:rPr>
      </w:pPr>
      <w:r>
        <w:rPr>
          <w:rFonts w:ascii="Arial" w:cs="Arial" w:eastAsia="Arial" w:hAnsi="Arial"/>
          <w:sz w:val="18"/>
          <w:szCs w:val="18"/>
          <w:color w:val="auto"/>
        </w:rPr>
        <w:t>1.1A</w:t>
      </w:r>
      <w:r>
        <w:rPr>
          <w:sz w:val="20"/>
          <w:szCs w:val="20"/>
          <w:color w:val="auto"/>
        </w:rPr>
        <w:tab/>
      </w:r>
      <w:r>
        <w:rPr>
          <w:rFonts w:ascii="Arial" w:cs="Arial" w:eastAsia="Arial" w:hAnsi="Arial"/>
          <w:sz w:val="16"/>
          <w:szCs w:val="16"/>
          <w:color w:val="auto"/>
        </w:rPr>
        <w:t>Loan Commitments</w:t>
      </w:r>
    </w:p>
    <w:p>
      <w:pPr>
        <w:spacing w:after="0" w:line="229" w:lineRule="auto"/>
        <w:tabs>
          <w:tab w:leader="none" w:pos="520" w:val="left"/>
        </w:tabs>
        <w:rPr>
          <w:sz w:val="20"/>
          <w:szCs w:val="20"/>
          <w:color w:val="auto"/>
        </w:rPr>
      </w:pPr>
      <w:r>
        <w:rPr>
          <w:rFonts w:ascii="Arial" w:cs="Arial" w:eastAsia="Arial" w:hAnsi="Arial"/>
          <w:sz w:val="18"/>
          <w:szCs w:val="18"/>
          <w:color w:val="auto"/>
        </w:rPr>
        <w:t>1.1B</w:t>
      </w:r>
      <w:r>
        <w:rPr>
          <w:sz w:val="20"/>
          <w:szCs w:val="20"/>
          <w:color w:val="auto"/>
        </w:rPr>
        <w:tab/>
      </w:r>
      <w:r>
        <w:rPr>
          <w:rFonts w:ascii="Arial" w:cs="Arial" w:eastAsia="Arial" w:hAnsi="Arial"/>
          <w:sz w:val="16"/>
          <w:szCs w:val="16"/>
          <w:color w:val="auto"/>
        </w:rPr>
        <w:t>Closing Date Liens</w:t>
      </w:r>
    </w:p>
    <w:p>
      <w:pPr>
        <w:spacing w:after="0" w:line="229" w:lineRule="auto"/>
        <w:tabs>
          <w:tab w:leader="none" w:pos="48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color w:val="auto"/>
        </w:rPr>
        <w:t>Subsidiaries</w:t>
      </w:r>
    </w:p>
    <w:p>
      <w:pPr>
        <w:spacing w:after="0" w:line="229" w:lineRule="auto"/>
        <w:tabs>
          <w:tab w:leader="none" w:pos="680" w:val="left"/>
        </w:tabs>
        <w:rPr>
          <w:sz w:val="20"/>
          <w:szCs w:val="20"/>
          <w:color w:val="auto"/>
        </w:rPr>
      </w:pPr>
      <w:r>
        <w:rPr>
          <w:rFonts w:ascii="Arial" w:cs="Arial" w:eastAsia="Arial" w:hAnsi="Arial"/>
          <w:sz w:val="18"/>
          <w:szCs w:val="18"/>
          <w:color w:val="auto"/>
        </w:rPr>
        <w:t>4.23(a)</w:t>
      </w:r>
      <w:r>
        <w:rPr>
          <w:sz w:val="20"/>
          <w:szCs w:val="20"/>
          <w:color w:val="auto"/>
        </w:rPr>
        <w:tab/>
      </w:r>
      <w:r>
        <w:rPr>
          <w:rFonts w:ascii="Arial" w:cs="Arial" w:eastAsia="Arial" w:hAnsi="Arial"/>
          <w:sz w:val="16"/>
          <w:szCs w:val="16"/>
          <w:color w:val="auto"/>
        </w:rPr>
        <w:t>Properties</w:t>
      </w:r>
    </w:p>
    <w:p>
      <w:pPr>
        <w:spacing w:after="0"/>
        <w:tabs>
          <w:tab w:leader="none" w:pos="700" w:val="left"/>
        </w:tabs>
        <w:rPr>
          <w:sz w:val="20"/>
          <w:szCs w:val="20"/>
          <w:color w:val="auto"/>
        </w:rPr>
      </w:pPr>
      <w:r>
        <w:rPr>
          <w:rFonts w:ascii="Arial" w:cs="Arial" w:eastAsia="Arial" w:hAnsi="Arial"/>
          <w:sz w:val="18"/>
          <w:szCs w:val="18"/>
          <w:color w:val="auto"/>
        </w:rPr>
        <w:t>4.23(b)</w:t>
      </w:r>
      <w:r>
        <w:rPr>
          <w:sz w:val="20"/>
          <w:szCs w:val="20"/>
          <w:color w:val="auto"/>
        </w:rPr>
        <w:tab/>
      </w:r>
      <w:r>
        <w:rPr>
          <w:rFonts w:ascii="Arial" w:cs="Arial" w:eastAsia="Arial" w:hAnsi="Arial"/>
          <w:sz w:val="15"/>
          <w:szCs w:val="15"/>
          <w:color w:val="auto"/>
        </w:rPr>
        <w:t>Unencumbered Properties</w:t>
      </w:r>
    </w:p>
    <w:p>
      <w:pPr>
        <w:spacing w:after="0" w:line="229" w:lineRule="auto"/>
        <w:tabs>
          <w:tab w:leader="none" w:pos="48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6"/>
          <w:szCs w:val="16"/>
          <w:color w:val="auto"/>
        </w:rPr>
        <w:t>Unrestricted Subsidiaries</w:t>
      </w:r>
    </w:p>
    <w:p>
      <w:pPr>
        <w:spacing w:after="0"/>
        <w:tabs>
          <w:tab w:leader="none" w:pos="3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Affiliate Transactions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85" w:lineRule="exact"/>
        <w:rPr>
          <w:sz w:val="20"/>
          <w:szCs w:val="20"/>
          <w:color w:val="auto"/>
        </w:rPr>
      </w:pPr>
    </w:p>
    <w:p>
      <w:pPr>
        <w:ind w:right="7519" w:firstLine="8"/>
        <w:spacing w:after="0" w:line="222" w:lineRule="auto"/>
        <w:tabs>
          <w:tab w:leader="none" w:pos="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Form of Guarantee Agreement B Form of Compliance Certificate C Form of Closing Certificate</w:t>
      </w:r>
    </w:p>
    <w:p>
      <w:pPr>
        <w:ind w:right="7119"/>
        <w:spacing w:after="0" w:line="215" w:lineRule="auto"/>
        <w:rPr>
          <w:rFonts w:ascii="Arial" w:cs="Arial" w:eastAsia="Arial" w:hAnsi="Arial"/>
          <w:sz w:val="17"/>
          <w:szCs w:val="17"/>
          <w:color w:val="auto"/>
        </w:rPr>
      </w:pPr>
      <w:r>
        <w:rPr>
          <w:rFonts w:ascii="Arial" w:cs="Arial" w:eastAsia="Arial" w:hAnsi="Arial"/>
          <w:sz w:val="17"/>
          <w:szCs w:val="17"/>
          <w:color w:val="auto"/>
        </w:rPr>
        <w:t>D Form of Assignment and Assumption E Form of Borrowing Request</w:t>
      </w:r>
    </w:p>
    <w:p>
      <w:pPr>
        <w:ind w:right="6799"/>
        <w:spacing w:after="0" w:line="226" w:lineRule="auto"/>
        <w:rPr>
          <w:rFonts w:ascii="Arial" w:cs="Arial" w:eastAsia="Arial" w:hAnsi="Arial"/>
          <w:sz w:val="17"/>
          <w:szCs w:val="17"/>
          <w:color w:val="auto"/>
        </w:rPr>
      </w:pPr>
      <w:r>
        <w:rPr>
          <w:rFonts w:ascii="Arial" w:cs="Arial" w:eastAsia="Arial" w:hAnsi="Arial"/>
          <w:sz w:val="18"/>
          <w:szCs w:val="18"/>
          <w:color w:val="auto"/>
        </w:rPr>
        <w:t>F Form of U.S. Tax Compliance Certificates G Interest Election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139"/>
          </w:cols>
          <w:pgMar w:left="320" w:top="1408" w:right="1440" w:bottom="1440" w:gutter="0" w:footer="0" w:header="0"/>
        </w:sectPr>
      </w:pPr>
    </w:p>
    <w:bookmarkStart w:id="102" w:name="page103"/>
    <w:bookmarkEnd w:id="102"/>
    <w:p>
      <w:pPr>
        <w:jc w:val="both"/>
        <w:ind w:firstLine="648"/>
        <w:spacing w:after="0" w:line="248" w:lineRule="auto"/>
        <w:rPr>
          <w:sz w:val="20"/>
          <w:szCs w:val="20"/>
          <w:color w:val="auto"/>
        </w:rPr>
      </w:pPr>
      <w:r>
        <w:rPr>
          <w:rFonts w:ascii="Arial" w:cs="Arial" w:eastAsia="Arial" w:hAnsi="Arial"/>
          <w:sz w:val="18"/>
          <w:szCs w:val="18"/>
          <w:color w:val="auto"/>
        </w:rPr>
        <w:t>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February 8, 2022, among VICI PROPERTIES L.P., a Delaware limited partnership (the “</w:t>
      </w:r>
      <w:r>
        <w:rPr>
          <w:rFonts w:ascii="Arial" w:cs="Arial" w:eastAsia="Arial" w:hAnsi="Arial"/>
          <w:sz w:val="18"/>
          <w:szCs w:val="18"/>
          <w:u w:val="single" w:color="auto"/>
          <w:color w:val="auto"/>
        </w:rPr>
        <w:t>Borrower</w:t>
      </w:r>
      <w:r>
        <w:rPr>
          <w:rFonts w:ascii="Arial" w:cs="Arial" w:eastAsia="Arial" w:hAnsi="Arial"/>
          <w:sz w:val="18"/>
          <w:szCs w:val="18"/>
          <w:color w:val="auto"/>
        </w:rPr>
        <w:t>”), the several banks and other financial institutions or entities from time to time parties to this Agreement (the “</w:t>
      </w:r>
      <w:r>
        <w:rPr>
          <w:rFonts w:ascii="Arial" w:cs="Arial" w:eastAsia="Arial" w:hAnsi="Arial"/>
          <w:sz w:val="18"/>
          <w:szCs w:val="18"/>
          <w:u w:val="single" w:color="auto"/>
          <w:color w:val="auto"/>
        </w:rPr>
        <w:t>Lenders</w:t>
      </w:r>
      <w:r>
        <w:rPr>
          <w:rFonts w:ascii="Arial" w:cs="Arial" w:eastAsia="Arial" w:hAnsi="Arial"/>
          <w:sz w:val="18"/>
          <w:szCs w:val="18"/>
          <w:color w:val="auto"/>
        </w:rPr>
        <w:t>”) and JPMORGAN CHASE BANK, N.A.,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as hereinafter defined).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hereto agree as follows:</w:t>
      </w:r>
    </w:p>
    <w:p>
      <w:pPr>
        <w:spacing w:after="0" w:line="21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DEFINITIONS</w:t>
      </w:r>
    </w:p>
    <w:p>
      <w:pPr>
        <w:spacing w:after="0" w:line="21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terms listed in this Section 1.1 shall have the respective meanings set forth in this</w:t>
      </w:r>
      <w:r>
        <w:rPr>
          <w:rFonts w:ascii="Arial" w:cs="Arial" w:eastAsia="Arial" w:hAnsi="Arial"/>
          <w:sz w:val="16"/>
          <w:szCs w:val="16"/>
          <w:u w:val="single" w:color="auto"/>
          <w:color w:val="auto"/>
        </w:rPr>
        <w:t xml:space="preserve"> Section 1.1</w:t>
      </w:r>
      <w:r>
        <w:rPr>
          <w:rFonts w:ascii="Arial" w:cs="Arial" w:eastAsia="Arial" w:hAnsi="Arial"/>
          <w:sz w:val="16"/>
          <w:szCs w:val="16"/>
          <w:color w:val="auto"/>
        </w:rPr>
        <w:t>.</w:t>
      </w:r>
    </w:p>
    <w:p>
      <w:pPr>
        <w:spacing w:after="0" w:line="212"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2025 Senior Unsecured Note Indenture</w:t>
      </w:r>
      <w:r>
        <w:rPr>
          <w:rFonts w:ascii="Arial" w:cs="Arial" w:eastAsia="Arial" w:hAnsi="Arial"/>
          <w:sz w:val="16"/>
          <w:szCs w:val="16"/>
          <w:color w:val="auto"/>
        </w:rPr>
        <w:t>”: the Indenture dated as of February 5, 2020 entered into by the Borrower and VICI Note Co. Inc. with UMB Bank, National Association in connection with the issuance of the 2025 Senior Unsecured Notes in the principal amount of $750,000,000, together with all instruments, supplements and other agreements entered into by the Borrower and VICI Note Co. Inc. in connection therewith.</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2025 Senior Unsecured Notes</w:t>
      </w:r>
      <w:r>
        <w:rPr>
          <w:rFonts w:ascii="Arial" w:cs="Arial" w:eastAsia="Arial" w:hAnsi="Arial"/>
          <w:sz w:val="16"/>
          <w:szCs w:val="16"/>
          <w:color w:val="auto"/>
        </w:rPr>
        <w:t>”: the 3.500% Senior Notes due 2025 issued by the Borrower pursuant to the 2025 Senior Unsecured Note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196"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2026 Senior Unsecured Note Indenture</w:t>
      </w:r>
      <w:r>
        <w:rPr>
          <w:rFonts w:ascii="Arial" w:cs="Arial" w:eastAsia="Arial" w:hAnsi="Arial"/>
          <w:sz w:val="16"/>
          <w:szCs w:val="16"/>
          <w:color w:val="auto"/>
        </w:rPr>
        <w:t>”: the Indenture dated as of November 26, 2019 entered into by the Borrower and VICI Note Co. Inc. with UMB Bank, National Association in connection with the issuance of the 2026 Senior Unsecured Notes in the principal amount of $1,250,000,000, together with all instruments, supplements and other agreements entered into by the Borrower and VICI Note Co. Inc. in connection therewith.</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2026 Senior Unsecured Notes</w:t>
      </w:r>
      <w:r>
        <w:rPr>
          <w:rFonts w:ascii="Arial" w:cs="Arial" w:eastAsia="Arial" w:hAnsi="Arial"/>
          <w:sz w:val="16"/>
          <w:szCs w:val="16"/>
          <w:color w:val="auto"/>
        </w:rPr>
        <w:t>”: the 4.250% Senior Notes due 2026 issued by the Borrower pursuant to the 2026 Senior Unsecured Note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196"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2027 Senior Unsecured Note Indenture</w:t>
      </w:r>
      <w:r>
        <w:rPr>
          <w:rFonts w:ascii="Arial" w:cs="Arial" w:eastAsia="Arial" w:hAnsi="Arial"/>
          <w:sz w:val="16"/>
          <w:szCs w:val="16"/>
          <w:color w:val="auto"/>
        </w:rPr>
        <w:t>”: the Indenture dated as of February 5, 2020 entered into by the Borrower and VICI Note Co. Inc. with UMB Bank, National Association in connection with the issuance of the 2027 Senior Unsecured Notes in the principal amount of $750,000,000, together with all instruments, supplements and other agreements entered into by the Borrower and VICI Note Co. Inc. in connection therewith.</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2027 Senior Unsecured Notes</w:t>
      </w:r>
      <w:r>
        <w:rPr>
          <w:rFonts w:ascii="Arial" w:cs="Arial" w:eastAsia="Arial" w:hAnsi="Arial"/>
          <w:sz w:val="16"/>
          <w:szCs w:val="16"/>
          <w:color w:val="auto"/>
        </w:rPr>
        <w:t>”: the 3.750% Senior Notes due 2027 issued by the Borrower pursuant to the 2027 Senior Unsecured Note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196"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2029 Senior Unsecured Note Indenture</w:t>
      </w:r>
      <w:r>
        <w:rPr>
          <w:rFonts w:ascii="Arial" w:cs="Arial" w:eastAsia="Arial" w:hAnsi="Arial"/>
          <w:sz w:val="16"/>
          <w:szCs w:val="16"/>
          <w:color w:val="auto"/>
        </w:rPr>
        <w:t>”: the Indenture dated as of November 26, 2019 entered into by the Borrower and VICI Note Co. Inc. with UMB Bank, National Association in connection with the issuance of the 2029 Senior Unsecured Notes in the principal amount of $1,000,000,000, together with all instruments, supplements and other agreements entered into by the Borrower and VICI Note Co. Inc. in connection therewith.</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2029 Senior Unsecured Notes</w:t>
      </w:r>
      <w:r>
        <w:rPr>
          <w:rFonts w:ascii="Arial" w:cs="Arial" w:eastAsia="Arial" w:hAnsi="Arial"/>
          <w:sz w:val="16"/>
          <w:szCs w:val="16"/>
          <w:color w:val="auto"/>
        </w:rPr>
        <w:t>”: the 4.625% Senior Notes due 2029 issued by the Borrower pursuant to the 2029 Senior Unsecured Note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196"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2030 Senior Unsecured Note Indenture</w:t>
      </w:r>
      <w:r>
        <w:rPr>
          <w:rFonts w:ascii="Arial" w:cs="Arial" w:eastAsia="Arial" w:hAnsi="Arial"/>
          <w:sz w:val="16"/>
          <w:szCs w:val="16"/>
          <w:color w:val="auto"/>
        </w:rPr>
        <w:t>”: the Indenture dated as of February 5, 2020 entered into by the Borrower and VICI Note Co. Inc. with UMB Bank, National Association in connection with the issuance of the 2030 Senior Unsecured Notes in the principal amount of $1,000,000,000, together with all instruments, supplements and other agreements entered into by the Borrower and VICI Note Co. Inc. in connection therewith.</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2030 Senior Unsecured Notes</w:t>
      </w:r>
      <w:r>
        <w:rPr>
          <w:rFonts w:ascii="Arial" w:cs="Arial" w:eastAsia="Arial" w:hAnsi="Arial"/>
          <w:sz w:val="16"/>
          <w:szCs w:val="16"/>
          <w:color w:val="auto"/>
        </w:rPr>
        <w:t>”: the 4.125% Senior Notes due 2030 issued by the Borrower pursuant to the 2030 Senior Unsecured Note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19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bear interest at a rate determined by reference to the Alternate Base Rate.</w:t>
      </w:r>
    </w:p>
    <w:p>
      <w:pPr>
        <w:sectPr>
          <w:pgSz w:w="11900" w:h="16838" w:orient="portrait"/>
          <w:cols w:equalWidth="0" w:num="1">
            <w:col w:w="11240"/>
          </w:cols>
          <w:pgMar w:left="320" w:top="1421" w:right="339" w:bottom="1440" w:gutter="0" w:footer="0" w:header="0"/>
        </w:sectPr>
      </w:pPr>
    </w:p>
    <w:bookmarkStart w:id="103" w:name="page104"/>
    <w:bookmarkEnd w:id="103"/>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Credit Extension Amendment</w:t>
      </w:r>
      <w:r>
        <w:rPr>
          <w:rFonts w:ascii="Arial" w:cs="Arial" w:eastAsia="Arial" w:hAnsi="Arial"/>
          <w:sz w:val="18"/>
          <w:szCs w:val="18"/>
          <w:color w:val="auto"/>
        </w:rPr>
        <w:t>”: an amendment to this Agreement providing for any Incremental Commitments which shall be consistent with the applicable provisions of this Agreement relating to such Incremental Commitments and otherwise reasonably satisfactory to the Administrative Agent and the Borrower.</w:t>
      </w:r>
    </w:p>
    <w:p>
      <w:pPr>
        <w:spacing w:after="0" w:line="18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Senior Unsecured Notes</w:t>
      </w:r>
      <w:r>
        <w:rPr>
          <w:rFonts w:ascii="Arial" w:cs="Arial" w:eastAsia="Arial" w:hAnsi="Arial"/>
          <w:sz w:val="18"/>
          <w:szCs w:val="18"/>
          <w:color w:val="auto"/>
        </w:rPr>
        <w:t xml:space="preserve">”: any senior unsecured notes (other than the Existing Senior Unsecured Notes) issued by the Borrower that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Obligations and that are in an amount that would not cause a violation of any covenant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or any other provision of this Agreement after giving pro forma effect to the incurrence of the Indebtedness under such notes.</w:t>
      </w:r>
    </w:p>
    <w:p>
      <w:pPr>
        <w:spacing w:after="0" w:line="182"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u w:val="single" w:color="auto"/>
          <w:color w:val="0000FF"/>
          <w:highlight w:val="lightGray"/>
        </w:rPr>
        <w:t>“Adjusted AUD Rate”: with respect to any Term Benchmark Borrowing denominated in Australian Dollars for any Interest Period, an interest rate per annum equal to (a) the AUD Rate for such Interest Period, multiplied by (b) the Statutory Reserve Rate; provided, that if the Adjusted AUD Rate as so determined would be less than the Floor, such rate shall be deemed to be equal to the Floor for the purposes of this Agreement.</w:t>
      </w:r>
    </w:p>
    <w:p>
      <w:pPr>
        <w:spacing w:after="0" w:line="164"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u w:val="single" w:color="auto"/>
          <w:color w:val="0000FF"/>
          <w:highlight w:val="lightGray"/>
        </w:rPr>
        <w:t>“Adjusted CDOR Rate”: with respect to any Term Benchmark Borrowing denominated in Canadian Dollars for any Interest Period, an interest rate per annum equal to (a) the CDOR Rate for such Interest Period, multiplied by (b) the Statutory Reserve Rate; provided, that if the Adjusted CDOR Rate as so determined would be less than the Floor, such rate shall be deemed to be equal to the Floor for the purposes of this Agreement.</w:t>
      </w:r>
    </w:p>
    <w:p>
      <w:pPr>
        <w:spacing w:after="0" w:line="14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Daily Simple</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SO</w:t>
      </w:r>
      <w:r>
        <w:rPr>
          <w:rFonts w:ascii="Arial" w:cs="Arial" w:eastAsia="Arial" w:hAnsi="Arial"/>
          <w:sz w:val="18"/>
          <w:szCs w:val="18"/>
          <w:u w:val="single" w:color="auto"/>
          <w:color w:val="0000FF"/>
          <w:highlight w:val="lightGray"/>
        </w:rPr>
        <w:t>R</w:t>
      </w:r>
      <w:r>
        <w:rPr>
          <w:rFonts w:ascii="Arial" w:cs="Arial" w:eastAsia="Arial" w:hAnsi="Arial"/>
          <w:sz w:val="18"/>
          <w:szCs w:val="18"/>
          <w:u w:val="single" w:color="auto"/>
          <w:color w:val="auto"/>
        </w:rPr>
        <w:t>FR</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(i) with respect to any RFR Borrowing denominated in Sterling,</w:t>
      </w:r>
      <w:r>
        <w:rPr>
          <w:rFonts w:ascii="Arial" w:cs="Arial" w:eastAsia="Arial" w:hAnsi="Arial"/>
          <w:sz w:val="18"/>
          <w:szCs w:val="18"/>
          <w:color w:val="auto"/>
        </w:rPr>
        <w:t xml:space="preserve"> an interest rate per annum equal to </w:t>
      </w:r>
      <w:r>
        <w:rPr>
          <w:rFonts w:ascii="Arial" w:cs="Arial" w:eastAsia="Arial" w:hAnsi="Arial"/>
          <w:sz w:val="18"/>
          <w:szCs w:val="18"/>
          <w:color w:val="FF0000"/>
          <w:strike w:val="1"/>
        </w:rPr>
        <w:t>(a)</w:t>
      </w:r>
      <w:r>
        <w:rPr>
          <w:rFonts w:ascii="Arial" w:cs="Arial" w:eastAsia="Arial" w:hAnsi="Arial"/>
          <w:sz w:val="18"/>
          <w:szCs w:val="18"/>
          <w:color w:val="auto"/>
        </w:rPr>
        <w:t xml:space="preserve"> the Daily Simple </w:t>
      </w:r>
      <w:r>
        <w:rPr>
          <w:rFonts w:ascii="Arial" w:cs="Arial" w:eastAsia="Arial" w:hAnsi="Arial"/>
          <w:sz w:val="18"/>
          <w:szCs w:val="18"/>
          <w:color w:val="FF0000"/>
          <w:strike w:val="1"/>
        </w:rPr>
        <w:t>SO</w:t>
      </w:r>
      <w:r>
        <w:rPr>
          <w:rFonts w:ascii="Arial" w:cs="Arial" w:eastAsia="Arial" w:hAnsi="Arial"/>
          <w:sz w:val="18"/>
          <w:szCs w:val="18"/>
          <w:u w:val="single" w:color="auto"/>
          <w:color w:val="0000FF"/>
          <w:highlight w:val="lightGray"/>
        </w:rPr>
        <w:t>R</w:t>
      </w:r>
      <w:r>
        <w:rPr>
          <w:rFonts w:ascii="Arial" w:cs="Arial" w:eastAsia="Arial" w:hAnsi="Arial"/>
          <w:sz w:val="18"/>
          <w:szCs w:val="18"/>
          <w:color w:val="auto"/>
        </w:rPr>
        <w:t xml:space="preserve">FR </w:t>
      </w:r>
      <w:r>
        <w:rPr>
          <w:rFonts w:ascii="Arial" w:cs="Arial" w:eastAsia="Arial" w:hAnsi="Arial"/>
          <w:sz w:val="18"/>
          <w:szCs w:val="18"/>
          <w:u w:val="single" w:color="auto"/>
          <w:color w:val="0000FF"/>
          <w:highlight w:val="lightGray"/>
        </w:rPr>
        <w:t>for Sterling and (ii) with respect to any RFR Borrowing denominated in Dollars, an interest rate per annum equal to the Daily</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Simple RFR for Dollars</w:t>
      </w:r>
      <w:r>
        <w:rPr>
          <w:rFonts w:ascii="Arial" w:cs="Arial" w:eastAsia="Arial" w:hAnsi="Arial"/>
          <w:sz w:val="18"/>
          <w:szCs w:val="18"/>
          <w:color w:val="000000"/>
        </w:rPr>
        <w:t>,</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00"/>
        </w:rPr>
        <w:t>plus</w:t>
      </w:r>
      <w:r>
        <w:rPr>
          <w:rFonts w:ascii="Arial" w:cs="Arial" w:eastAsia="Arial" w:hAnsi="Arial"/>
          <w:sz w:val="18"/>
          <w:szCs w:val="18"/>
          <w:color w:val="0000FF"/>
          <w:highlight w:val="lightGray"/>
        </w:rPr>
        <w:t xml:space="preserve"> </w:t>
      </w:r>
      <w:r>
        <w:rPr>
          <w:rFonts w:ascii="Arial" w:cs="Arial" w:eastAsia="Arial" w:hAnsi="Arial"/>
          <w:sz w:val="18"/>
          <w:szCs w:val="18"/>
          <w:color w:val="FF0000"/>
          <w:strike w:val="1"/>
        </w:rPr>
        <w:t>(b)</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0.10%;</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that if the Adjusted Daily Simple</w:t>
      </w:r>
      <w:r>
        <w:rPr>
          <w:rFonts w:ascii="Arial" w:cs="Arial" w:eastAsia="Arial" w:hAnsi="Arial"/>
          <w:sz w:val="18"/>
          <w:szCs w:val="18"/>
          <w:color w:val="0000FF"/>
          <w:highlight w:val="lightGray"/>
        </w:rPr>
        <w:t xml:space="preserve"> </w:t>
      </w:r>
      <w:r>
        <w:rPr>
          <w:rFonts w:ascii="Arial" w:cs="Arial" w:eastAsia="Arial" w:hAnsi="Arial"/>
          <w:sz w:val="18"/>
          <w:szCs w:val="18"/>
          <w:color w:val="FF0000"/>
          <w:strike w:val="1"/>
        </w:rPr>
        <w:t>SO</w:t>
      </w:r>
      <w:r>
        <w:rPr>
          <w:rFonts w:ascii="Arial" w:cs="Arial" w:eastAsia="Arial" w:hAnsi="Arial"/>
          <w:sz w:val="18"/>
          <w:szCs w:val="18"/>
          <w:u w:val="single" w:color="auto"/>
          <w:color w:val="0000FF"/>
          <w:highlight w:val="lightGray"/>
        </w:rPr>
        <w:t>R</w:t>
      </w:r>
      <w:r>
        <w:rPr>
          <w:rFonts w:ascii="Arial" w:cs="Arial" w:eastAsia="Arial" w:hAnsi="Arial"/>
          <w:sz w:val="18"/>
          <w:szCs w:val="18"/>
          <w:color w:val="000000"/>
        </w:rPr>
        <w:t>FR</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Rate</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as so determined would be less than the Floor, such rate</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shall be deemed to be equal to the Floor for the purposes of this Agreement.</w:t>
      </w:r>
    </w:p>
    <w:p>
      <w:pPr>
        <w:spacing w:after="0" w:line="188"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u w:val="single" w:color="auto"/>
          <w:color w:val="0000FF"/>
          <w:highlight w:val="lightGray"/>
        </w:rPr>
        <w:t>“Adjusted EURIBOR Rate”: with respect to any Term Benchmark Borrowing denominated in Euros for any Interest Period, an interest rate per annum equal to (a) the EURIBOR Rate for such Interest Period, multiplied by (b) the Statutory Reserve Rate; provided, that if the Adjusted EURIBOR Rate as so determined would be less than the Floor, such rate shall be deemed to be equal to the Floor for the purposes of this Agreement.</w:t>
      </w:r>
    </w:p>
    <w:p>
      <w:pPr>
        <w:spacing w:after="0" w:line="17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Floating Overnight Daily SOFR Rate</w:t>
      </w:r>
      <w:r>
        <w:rPr>
          <w:rFonts w:ascii="Arial" w:cs="Arial" w:eastAsia="Arial" w:hAnsi="Arial"/>
          <w:sz w:val="18"/>
          <w:szCs w:val="18"/>
          <w:color w:val="auto"/>
        </w:rPr>
        <w:t xml:space="preserve">”: for any day, an interest rate equal to the floating overnight Daily Effective SOFR,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0.10%;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Adjusted Floating Overnight Daily SOFR Rate as so determined would be less than the Floor, such rate shall be deemed to be equal to the Floor for purposes of this Agreement.</w:t>
      </w:r>
    </w:p>
    <w:p>
      <w:pPr>
        <w:spacing w:after="0" w:line="20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NOI</w:t>
      </w:r>
      <w:r>
        <w:rPr>
          <w:rFonts w:ascii="Arial" w:cs="Arial" w:eastAsia="Arial" w:hAnsi="Arial"/>
          <w:sz w:val="16"/>
          <w:szCs w:val="16"/>
          <w:color w:val="auto"/>
        </w:rPr>
        <w:t xml:space="preserve">”: for any fiscal period, (a) the NOI (or proportionate share of NOI from any Real Property owned by an unconsolidated Restricted Subsidiary or Restricted Joint Venture of the Borrower) from any group of related properties or any property and adjusted to remove the effect of recognizing rental income on a straight-line basis over the applicable lease term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Capital Expenditure Reserve for such group of related property or property, as applicable, in each case, for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expenses are required to be paid by any Person that is a lessee or operator of any such group of related properties or property, as applicable, such expenses will not be subtracted (except to the extent such payment is included as rent or other revenue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for any property which has not been owned or leased by the Borrower, any of its Restricted Subsidiaries or any of its Restricted Joint Ventures for four consecutive fiscal quarters for which financial results are available, or is operational but has not been operational for four consecutive fiscal quarters for which financial results are available, or was (or any portion thereof was) previously a Development Property or Redevelopment Property that has been designated by the Borrower as an Income Property but has not been in operation for four consecutive fiscal quarters since such designation for which financial results are available, so long as at least one full fiscal quarter of financial results are available, the Adjusted NOI for the period that such property (or portion thereof) has been so owned or leased, or operational, shall be annualized over a full four-quarter period, based on the results of the full fiscal quarters that are available as of the date of determination.</w:t>
      </w:r>
    </w:p>
    <w:p>
      <w:pPr>
        <w:spacing w:after="0" w:line="17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Term SOFR Rate</w:t>
      </w:r>
      <w:r>
        <w:rPr>
          <w:rFonts w:ascii="Arial" w:cs="Arial" w:eastAsia="Arial" w:hAnsi="Arial"/>
          <w:sz w:val="18"/>
          <w:szCs w:val="18"/>
          <w:color w:val="auto"/>
        </w:rPr>
        <w:t xml:space="preserve">”: for any Interest Period, an interest rate per annum equal to (a) the Term SOFR Rate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0.10%;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Adjusted Term SOFR Rate as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determined would be less than the Floor, such rate shall be deemed to be equal to the Floor for the purposes of this Agreement.</w:t>
      </w:r>
    </w:p>
    <w:p>
      <w:pPr>
        <w:spacing w:after="0" w:line="21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JPMorgan Chase Bank, N.A. (or any of its designated branch offices or affiliates), in its capacity as administrative agent for the Lenders hereunder.</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an Administrative Questionnaire in a form supplied by the Administrative Agent.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(a) any EEA Financial Institution or (b) any UK Financial Institution.</w:t>
      </w:r>
    </w:p>
    <w:p>
      <w:pPr>
        <w:spacing w:after="0" w:line="21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with respect to a specified Person, another Person that directly, or indirectly through one or more intermediaries, Controls or is Controlled by or is under common Control with the Person specified.</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Agent-Related Person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10.5(d)</w:t>
      </w:r>
      <w:r>
        <w:rPr>
          <w:rFonts w:ascii="Arial" w:cs="Arial" w:eastAsia="Arial" w:hAnsi="Arial"/>
          <w:sz w:val="18"/>
          <w:szCs w:val="18"/>
          <w:color w:val="auto"/>
        </w:rPr>
        <w:t>.</w:t>
      </w:r>
    </w:p>
    <w:p>
      <w:pPr>
        <w:spacing w:after="0" w:line="212"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Exposure</w:t>
      </w:r>
      <w:r>
        <w:rPr>
          <w:rFonts w:ascii="Arial" w:cs="Arial" w:eastAsia="Arial" w:hAnsi="Arial"/>
          <w:sz w:val="16"/>
          <w:szCs w:val="16"/>
          <w:color w:val="auto"/>
        </w:rPr>
        <w:t xml:space="preserve">”: with respect to any Lender at any time, an amount equal to (a) until the Closing Date, the aggregate amount of such Lender’s Commitments at such time and (b) thereafter, the sum of (i) the aggregate then unpaid principal amount of such Lender’s Delayed Draw Term Loans, (ii) prior to the Delayed Draw Term Commitment Termination Date, the amount of such Lender’s Available Delayed Draw Term Commitments </w:t>
      </w:r>
      <w:r>
        <w:rPr>
          <w:rFonts w:ascii="Arial" w:cs="Arial" w:eastAsia="Arial" w:hAnsi="Arial"/>
          <w:sz w:val="16"/>
          <w:szCs w:val="16"/>
          <w:color w:val="FF0000"/>
        </w:rPr>
        <w:t>and</w:t>
      </w:r>
      <w:r>
        <w:rPr>
          <w:rFonts w:ascii="Arial" w:cs="Arial" w:eastAsia="Arial" w:hAnsi="Arial"/>
          <w:sz w:val="16"/>
          <w:szCs w:val="16"/>
          <w:u w:val="single" w:color="auto"/>
          <w:color w:val="0000FF"/>
          <w:highlight w:val="lightGray"/>
        </w:rPr>
        <w:t>,</w:t>
      </w:r>
      <w:r>
        <w:rPr>
          <w:rFonts w:ascii="Arial" w:cs="Arial" w:eastAsia="Arial" w:hAnsi="Arial"/>
          <w:sz w:val="16"/>
          <w:szCs w:val="16"/>
          <w:color w:val="auto"/>
        </w:rPr>
        <w:t xml:space="preserve"> (iii) the amount of such Lender’s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auto"/>
        </w:rPr>
        <w:t xml:space="preserve"> Revolving Commitment then in effect or, if the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auto"/>
        </w:rPr>
        <w:t xml:space="preserve"> Revolving Commitments have been terminated, the </w:t>
      </w:r>
      <w:r>
        <w:rPr>
          <w:rFonts w:ascii="Arial" w:cs="Arial" w:eastAsia="Arial" w:hAnsi="Arial"/>
          <w:sz w:val="16"/>
          <w:szCs w:val="16"/>
          <w:u w:val="single" w:color="auto"/>
          <w:color w:val="0000FF"/>
          <w:highlight w:val="lightGray"/>
        </w:rPr>
        <w:t>Dollar Equivalent of the aggregate</w:t>
      </w:r>
      <w:r>
        <w:rPr>
          <w:rFonts w:ascii="Arial" w:cs="Arial" w:eastAsia="Arial" w:hAnsi="Arial"/>
          <w:sz w:val="16"/>
          <w:szCs w:val="16"/>
          <w:color w:val="auto"/>
        </w:rPr>
        <w:t xml:space="preserve"> amount of such Lender’s </w:t>
      </w:r>
      <w:r>
        <w:rPr>
          <w:rFonts w:ascii="Arial" w:cs="Arial" w:eastAsia="Arial" w:hAnsi="Arial"/>
          <w:sz w:val="16"/>
          <w:szCs w:val="16"/>
          <w:u w:val="single" w:color="auto"/>
          <w:color w:val="0000FF"/>
          <w:highlight w:val="lightGray"/>
        </w:rPr>
        <w:t>Multicurrency Revolving Extensions of Credit then outstanding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-187960</wp:posOffset>
            </wp:positionV>
            <wp:extent cx="1930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193040" cy="8255"/>
                    </a:xfrm>
                    <a:prstGeom prst="rect">
                      <a:avLst/>
                    </a:prstGeom>
                    <a:noFill/>
                  </pic:spPr>
                </pic:pic>
              </a:graphicData>
            </a:graphic>
          </wp:anchor>
        </w:drawing>
      </w:r>
    </w:p>
    <w:p>
      <w:pPr>
        <w:ind w:right="20" w:firstLine="8"/>
        <w:spacing w:after="0" w:line="243" w:lineRule="auto"/>
        <w:tabs>
          <w:tab w:leader="none" w:pos="310" w:val="left"/>
        </w:tabs>
        <w:numPr>
          <w:ilvl w:val="0"/>
          <w:numId w:val="50"/>
        </w:numPr>
        <w:rPr>
          <w:rFonts w:ascii="Arial" w:cs="Arial" w:eastAsia="Arial" w:hAnsi="Arial"/>
          <w:sz w:val="18"/>
          <w:szCs w:val="18"/>
          <w:u w:val="single" w:color="auto"/>
          <w:color w:val="0000FF"/>
          <w:highlight w:val="lightGray"/>
        </w:rPr>
      </w:pPr>
      <w:r>
        <w:rPr>
          <w:rFonts w:ascii="Arial" w:cs="Arial" w:eastAsia="Arial" w:hAnsi="Arial"/>
          <w:sz w:val="18"/>
          <w:szCs w:val="18"/>
          <w:u w:val="single" w:color="auto"/>
          <w:color w:val="0000FF"/>
          <w:highlight w:val="lightGray"/>
        </w:rPr>
        <w:t>the amount of such Lender’s USD Revolving Commitment then in effect or, if the USD Revolving Commitments have been terminated, the aggregate amount of such Lender’s USD</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Revolving Extensions of Credit then outstanding.</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“Agreed Currencies”: Dollars and each Alternative Currency.</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as defined in the preamble hereto.</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10.19</w:t>
      </w:r>
      <w:r>
        <w:rPr>
          <w:rFonts w:ascii="Arial" w:cs="Arial" w:eastAsia="Arial" w:hAnsi="Arial"/>
          <w:sz w:val="18"/>
          <w:szCs w:val="18"/>
          <w:color w:val="auto"/>
        </w:rPr>
        <w:t>.</w:t>
      </w:r>
    </w:p>
    <w:p>
      <w:pPr>
        <w:spacing w:after="0" w:line="212"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xml:space="preserve">”: for any day, a rate per annum equal to the highest of (a) the Prime Rate in effect on such day, (b) the NYFRB Rate in effect on such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½ of 1% and (c) the Adjusted Term SOFR Rate for a one month Interest Period as published two U.S. Government Securities Business Days prior to such day (or if such day is not a Business Day, the immediately preceding Business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(for the avoidance of doubt, only until the Benchmark Replacement has been determined pursuant to </w:t>
      </w:r>
      <w:r>
        <w:rPr>
          <w:rFonts w:ascii="Arial" w:cs="Arial" w:eastAsia="Arial" w:hAnsi="Arial"/>
          <w:sz w:val="16"/>
          <w:szCs w:val="16"/>
          <w:u w:val="single" w:color="auto"/>
          <w:color w:val="auto"/>
        </w:rPr>
        <w:t>Section 2.14(b)</w:t>
      </w:r>
      <w:r>
        <w:rPr>
          <w:rFonts w:ascii="Arial" w:cs="Arial" w:eastAsia="Arial" w:hAnsi="Arial"/>
          <w:sz w:val="16"/>
          <w:szCs w:val="16"/>
          <w:color w:val="auto"/>
        </w:rPr>
        <w:t xml:space="preserve">), then the Alternate Base Rate shall be the greater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and shall be determined without reference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 For the avoidance of doubt, if the Alternate Base Rate as determined pursuant to the foregoing would be less than 1.00%, such rate shall be deemed to be 1.00% for purposes of this Agreement.</w:t>
      </w:r>
    </w:p>
    <w:p>
      <w:pPr>
        <w:spacing w:after="0" w:line="16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u w:val="single" w:color="auto"/>
          <w:color w:val="0000FF"/>
          <w:highlight w:val="lightGray"/>
        </w:rPr>
        <w:t>“Alternative Currency”: Sterling, Euros, Australian Dollars, Canadian Dollars and any additional currencies (other than Dollars) determined after the First Amendment Effective Date by mutual agreement of the Borrower, Multicurrency Revolving Lenders, Issuing Lenders and Administrative Agent; provided, that each such currency is a lawful currency that is readily available, freely transferable and not restricted and able to be converted into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21" w:right="339" w:bottom="1440" w:gutter="0" w:footer="0" w:header="0"/>
        </w:sectPr>
      </w:pPr>
    </w:p>
    <w:bookmarkStart w:id="105" w:name="page106"/>
    <w:bookmarkEnd w:id="105"/>
    <w:p>
      <w:pPr>
        <w:jc w:val="both"/>
        <w:ind w:firstLine="1296"/>
        <w:spacing w:after="0" w:line="248" w:lineRule="auto"/>
        <w:rPr>
          <w:sz w:val="20"/>
          <w:szCs w:val="20"/>
          <w:color w:val="auto"/>
        </w:rPr>
      </w:pPr>
      <w:r>
        <w:rPr>
          <w:rFonts w:ascii="Arial" w:cs="Arial" w:eastAsia="Arial" w:hAnsi="Arial"/>
          <w:sz w:val="18"/>
          <w:szCs w:val="18"/>
          <w:u w:val="single" w:color="auto"/>
          <w:color w:val="0000FF"/>
          <w:highlight w:val="lightGray"/>
        </w:rPr>
        <w:t>“Alternative Currency Sublimit”: an amount equal to the lesser of (a) $1,250,000,000 (as such amount may be increased pursuant to Section 2.21) and (b) the total amount of the Multicurrency Revolving Commitments. The Alternative Currency Sublimit is part of, and not in addition to, the Multicurrency Revolving Commitments hereunder.</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Document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10.8(b)</w:t>
      </w:r>
      <w:r>
        <w:rPr>
          <w:rFonts w:ascii="Arial" w:cs="Arial" w:eastAsia="Arial" w:hAnsi="Arial"/>
          <w:sz w:val="18"/>
          <w:szCs w:val="18"/>
          <w:color w:val="auto"/>
        </w:rPr>
        <w:t>.</w:t>
      </w:r>
    </w:p>
    <w:p>
      <w:pPr>
        <w:spacing w:after="0" w:line="21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all laws, rules, and regulations of any jurisdiction applicable to the Borrower and its affiliated companies from time to time concerning or relating to bribery, money laundering or corruption, including the United States Foreign Corrupt Practices Act of 1977, and including policies and procedures with respect thereto.</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for each Type of Loan, the rate per annum set forth in the Pricing Grids.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Parties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9.3(c)</w:t>
      </w:r>
      <w:r>
        <w:rPr>
          <w:rFonts w:ascii="Arial" w:cs="Arial" w:eastAsia="Arial" w:hAnsi="Arial"/>
          <w:sz w:val="18"/>
          <w:szCs w:val="18"/>
          <w:color w:val="auto"/>
        </w:rPr>
        <w:t>.</w:t>
      </w:r>
    </w:p>
    <w:p>
      <w:pPr>
        <w:spacing w:after="0" w:line="21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u w:val="single" w:color="auto"/>
          <w:color w:val="0000FF"/>
          <w:highlight w:val="lightGray"/>
        </w:rPr>
        <w:t>“Applicable Time”: with respect to any Borrowings and payments in any Alternative Currency, the local time in the place of settlement for such Alternative Currency as may be determined by the Administrative Agent or the Issuing Bank, as the case may be, to be necessary for timely settlement on the relevant date in accordance with normal banking procedures in the place of payment.</w:t>
      </w:r>
    </w:p>
    <w:p>
      <w:pPr>
        <w:spacing w:after="0" w:line="182"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an application, in such form as the applicable Issuing Lender may specify from time to time, requesting such Issuing Lender to issue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8"/>
          <w:szCs w:val="18"/>
          <w:u w:val="single" w:color="auto"/>
          <w:color w:val="auto"/>
        </w:rPr>
        <w:t>Section 3.1</w:t>
      </w:r>
      <w:r>
        <w:rPr>
          <w:rFonts w:ascii="Arial" w:cs="Arial" w:eastAsia="Arial" w:hAnsi="Arial"/>
          <w:sz w:val="18"/>
          <w:szCs w:val="18"/>
          <w:color w:val="auto"/>
        </w:rPr>
        <w:t>), the amount of such Letter of Credit, the name and address of the beneficiary thereof and such other information as shall be necessary to prepare, amend, renew or extend such Letter of Credit.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9.3(a)</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10.6(b)</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the financial institutions listed as “Joint Lead Arrangers” on the cover page to this Agreement.</w:t>
      </w:r>
    </w:p>
    <w:p>
      <w:pPr>
        <w:spacing w:after="0" w:line="212"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Asset Value</w:t>
      </w:r>
      <w:r>
        <w:rPr>
          <w:rFonts w:ascii="Arial" w:cs="Arial" w:eastAsia="Arial" w:hAnsi="Arial"/>
          <w:sz w:val="17"/>
          <w:szCs w:val="17"/>
          <w:color w:val="auto"/>
        </w:rPr>
        <w:t xml:space="preserve">”: As of any date of determination, the sum of: (a) in the case of any Income Property (or group of Income Properties), the Capitalized Value of such Income Property (or group of Income Properties)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Asset Value of each Income Property (or group of Income Properties) (other than a former Development Property or Redevelopment Property) during the first four complete fiscal quarters of the Borrower following the date of acquisition thereof, shall be the greater of (i) the acquisition price thereof or (ii) the Capitalized Value thereof or, if results of one full fiscal quarter after the acquisition thereof are not available with respect to such Income Property (or group of Income Properties), the acquisition price thereof (and after results of one full fiscal quarter after the acquisition thereof are available, the Capitalized Value thereof) may be determined by annualizing such result as provided in the definition of “Adjusted NOI”;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an adjustment shall be made to the Asset Value of any Income Property (in an amount reasonably determined by the Borrower) as new Tenancy Leases are entered into or existing Tenancy Leases terminate or expire in respect of such Income Property, (b) in the case of any Development Property or Redevelopment Property, 100% of the book value (determined in accordance with GAAP but determined without giving effect to any depreciation) of any such Development Property or Redevelopment Property owned or leased as of such date of determination and (c) 100% of the book value (determined in accordance with GAAP) of any undeveloped land owned or leased pursuant to an Eligible Ground Lease as of such date of determination.</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10.6(b)(i)</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an Assignment and Assumption,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21" w:right="339" w:bottom="1440" w:gutter="0" w:footer="0" w:header="0"/>
        </w:sectPr>
      </w:pPr>
    </w:p>
    <w:bookmarkStart w:id="106" w:name="page107"/>
    <w:bookmarkEnd w:id="106"/>
    <w:p>
      <w:pPr>
        <w:jc w:val="both"/>
        <w:ind w:firstLine="1296"/>
        <w:spacing w:after="0" w:line="261" w:lineRule="auto"/>
        <w:rPr>
          <w:sz w:val="20"/>
          <w:szCs w:val="20"/>
          <w:color w:val="auto"/>
        </w:rPr>
      </w:pPr>
      <w:r>
        <w:rPr>
          <w:rFonts w:ascii="Arial" w:cs="Arial" w:eastAsia="Arial" w:hAnsi="Arial"/>
          <w:sz w:val="18"/>
          <w:szCs w:val="18"/>
          <w:u w:val="single" w:color="auto"/>
          <w:color w:val="0000FF"/>
          <w:highlight w:val="lightGray"/>
        </w:rPr>
        <w:t>“AUD Rate”: with respect to any Term Benchmark Borrowing denominated in Australian Dollars and for any Interest Period, the AUD Screen Rate at approximately 11:00 a.m., Sydney, Australia time, on the first day of such Interest Period.</w:t>
      </w:r>
    </w:p>
    <w:p>
      <w:pPr>
        <w:spacing w:after="0" w:line="171" w:lineRule="exact"/>
        <w:rPr>
          <w:sz w:val="20"/>
          <w:szCs w:val="20"/>
          <w:color w:val="auto"/>
        </w:rPr>
      </w:pPr>
    </w:p>
    <w:p>
      <w:pPr>
        <w:jc w:val="both"/>
        <w:ind w:firstLine="1296"/>
        <w:spacing w:after="0"/>
        <w:rPr>
          <w:sz w:val="20"/>
          <w:szCs w:val="20"/>
          <w:color w:val="auto"/>
        </w:rPr>
      </w:pPr>
      <w:r>
        <w:rPr>
          <w:rFonts w:ascii="Arial" w:cs="Arial" w:eastAsia="Arial" w:hAnsi="Arial"/>
          <w:sz w:val="18"/>
          <w:szCs w:val="18"/>
          <w:u w:val="single" w:color="auto"/>
          <w:color w:val="0000FF"/>
          <w:highlight w:val="lightGray"/>
        </w:rPr>
        <w:t>“AUD Screen Rate”: with respect to any Interest Period, the average bid reference rate administered by ASX Benchmarks Pty Limited (ACN 616 075 417) (or any other Person that takes over the administration of such rate) for Australian dollar bills of exchange with a tenor equal in length to such Interest Period as displayed on page BBSY of the Reuters screen (or, in the event such rate does not appear on such Reuters page, on any successor or substitute page on such screen that displays such rate, or on the appropriate page of such other information service that publishes such rate as shall be selected by the Administrative Agent from time to time in its reasonable discretion) at or about 11:00 a.m. (Sydney, Australia time) on the first day of such Interest Period.</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“Australian Dollar” or “Aus $”: the lawful currency of Australia.</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“Australian Dollar Borrowing”: as to any Borrowing, the Australian Dollar Loans comprising such Borrowing.</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“Australian Dollar Loans”: a Loan denominated in Australian Dollars that bears interest at a rate based on the AUD Rate.</w:t>
      </w:r>
    </w:p>
    <w:p>
      <w:pPr>
        <w:spacing w:after="0" w:line="212" w:lineRule="exact"/>
        <w:rPr>
          <w:sz w:val="20"/>
          <w:szCs w:val="20"/>
          <w:color w:val="auto"/>
        </w:rPr>
      </w:pPr>
    </w:p>
    <w:p>
      <w:pPr>
        <w:jc w:val="both"/>
        <w:ind w:firstLine="1296"/>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Delayed Draw Term Commitment</w:t>
      </w:r>
      <w:r>
        <w:rPr>
          <w:rFonts w:ascii="Arial" w:cs="Arial" w:eastAsia="Arial" w:hAnsi="Arial"/>
          <w:sz w:val="16"/>
          <w:szCs w:val="16"/>
          <w:color w:val="auto"/>
        </w:rPr>
        <w:t>”: as of any date, an amount equal to the excess, if any, of (a) the amount of the Total Delayed Draw Term Commitment over (b) the sum of the aggregate principal amount of all Delayed Draw Term Loans funded hereunder prior to such date.</w:t>
      </w:r>
    </w:p>
    <w:p>
      <w:pPr>
        <w:spacing w:after="0" w:line="12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as to any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Lender at any time, an amount equal to the excess, if any, of (a) such Lender’s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Commitment then in effect over (b) such Lender’s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Extensions of Credit then outstanding.</w:t>
      </w:r>
    </w:p>
    <w:p>
      <w:pPr>
        <w:spacing w:after="0" w:line="182"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7"/>
          <w:szCs w:val="17"/>
          <w:u w:val="single" w:color="auto"/>
          <w:color w:val="0000FF"/>
          <w:highlight w:val="lightGray"/>
        </w:rPr>
        <w:t>“Available USD Revolving Commitment”: as to any USD Revolving Lender at any time, an amount equal to the excess, if any, of (a) such Lender’s USD Revolving Commitment then in effect over (b) such Lender’s USD Revolving Extensions of Credit then outstanding.</w:t>
      </w:r>
    </w:p>
    <w:p>
      <w:pPr>
        <w:spacing w:after="0" w:line="14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Tenor</w:t>
      </w:r>
      <w:r>
        <w:rPr>
          <w:rFonts w:ascii="Arial" w:cs="Arial" w:eastAsia="Arial" w:hAnsi="Arial"/>
          <w:sz w:val="17"/>
          <w:szCs w:val="17"/>
          <w:color w:val="auto"/>
        </w:rPr>
        <w:t xml:space="preserve">”: as of any date of determination and with respect to the then-current Benchmark </w:t>
      </w:r>
      <w:r>
        <w:rPr>
          <w:rFonts w:ascii="Arial" w:cs="Arial" w:eastAsia="Arial" w:hAnsi="Arial"/>
          <w:sz w:val="17"/>
          <w:szCs w:val="17"/>
          <w:color w:val="0000FF"/>
        </w:rPr>
        <w:t>for any Agreed Currency</w:t>
      </w:r>
      <w:r>
        <w:rPr>
          <w:rFonts w:ascii="Arial" w:cs="Arial" w:eastAsia="Arial" w:hAnsi="Arial"/>
          <w:sz w:val="17"/>
          <w:szCs w:val="17"/>
          <w:color w:val="auto"/>
        </w:rPr>
        <w:t xml:space="preserve">,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2.14</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5684520</wp:posOffset>
            </wp:positionH>
            <wp:positionV relativeFrom="paragraph">
              <wp:posOffset>-659765</wp:posOffset>
            </wp:positionV>
            <wp:extent cx="1268095"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1268095" cy="128905"/>
                    </a:xfrm>
                    <a:prstGeom prst="rect">
                      <a:avLst/>
                    </a:prstGeom>
                    <a:noFill/>
                  </pic:spPr>
                </pic:pic>
              </a:graphicData>
            </a:graphic>
          </wp:anchor>
        </w:drawing>
      </w:r>
    </w:p>
    <w:p>
      <w:pPr>
        <w:spacing w:after="0" w:line="15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the exercise of any Write-Down and Conversion Powers by the applicable Resolution Authority in respect of any liability of an Affected Financial Institution.</w:t>
      </w:r>
    </w:p>
    <w:p>
      <w:pPr>
        <w:spacing w:after="0" w:line="171"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Bail-In Legislation</w:t>
      </w:r>
      <w:r>
        <w:rPr>
          <w:rFonts w:ascii="Arial" w:cs="Arial" w:eastAsia="Arial" w:hAnsi="Arial"/>
          <w:sz w:val="16"/>
          <w:szCs w:val="16"/>
          <w:color w:val="auto"/>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9"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Event</w:t>
      </w:r>
      <w:r>
        <w:rPr>
          <w:rFonts w:ascii="Arial" w:cs="Arial" w:eastAsia="Arial" w:hAnsi="Arial"/>
          <w:sz w:val="17"/>
          <w:szCs w:val="17"/>
          <w:color w:val="auto"/>
        </w:rPr>
        <w:t>”: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21" w:right="339" w:bottom="1440" w:gutter="0" w:footer="0" w:header="0"/>
        </w:sectPr>
      </w:pPr>
    </w:p>
    <w:bookmarkStart w:id="107" w:name="page108"/>
    <w:bookmarkEnd w:id="107"/>
    <w:p>
      <w:pPr>
        <w:jc w:val="both"/>
        <w:spacing w:after="0" w:line="241" w:lineRule="auto"/>
        <w:rPr>
          <w:sz w:val="20"/>
          <w:szCs w:val="20"/>
          <w:color w:val="auto"/>
        </w:rPr>
      </w:pPr>
      <w:r>
        <w:rPr>
          <w:rFonts w:ascii="Arial" w:cs="Arial" w:eastAsia="Arial" w:hAnsi="Arial"/>
          <w:sz w:val="18"/>
          <w:szCs w:val="18"/>
          <w:color w:val="auto"/>
        </w:rPr>
        <w:t xml:space="preserve">has had any order for relief in such proceeding entered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18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w:t>
      </w:r>
      <w:r>
        <w:rPr>
          <w:rFonts w:ascii="Arial" w:cs="Arial" w:eastAsia="Arial" w:hAnsi="Arial"/>
          <w:sz w:val="17"/>
          <w:szCs w:val="17"/>
          <w:color w:val="auto"/>
        </w:rPr>
        <w:t>”: initially, with respect to any (i) RFR Loan</w:t>
      </w:r>
      <w:r>
        <w:rPr>
          <w:rFonts w:ascii="Arial" w:cs="Arial" w:eastAsia="Arial" w:hAnsi="Arial"/>
          <w:sz w:val="17"/>
          <w:szCs w:val="17"/>
          <w:color w:val="FF0000"/>
          <w:strike w:val="1"/>
        </w:rPr>
        <w:t>, the Daily Simple SOFR</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in any Agreed Currency, the applicable Relevant Rate</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for such Agreed Currency</w:t>
      </w:r>
      <w:r>
        <w:rPr>
          <w:rFonts w:ascii="Arial" w:cs="Arial" w:eastAsia="Arial" w:hAnsi="Arial"/>
          <w:sz w:val="17"/>
          <w:szCs w:val="17"/>
          <w:color w:val="000000"/>
        </w:rPr>
        <w:t>, (ii) Term Benchmark Loan, the</w:t>
      </w:r>
      <w:r>
        <w:rPr>
          <w:rFonts w:ascii="Arial" w:cs="Arial" w:eastAsia="Arial" w:hAnsi="Arial"/>
          <w:sz w:val="17"/>
          <w:szCs w:val="17"/>
          <w:color w:val="0000FF"/>
          <w:highlight w:val="lightGray"/>
        </w:rPr>
        <w:t xml:space="preserve"> </w:t>
      </w:r>
      <w:r>
        <w:rPr>
          <w:rFonts w:ascii="Arial" w:cs="Arial" w:eastAsia="Arial" w:hAnsi="Arial"/>
          <w:sz w:val="17"/>
          <w:szCs w:val="17"/>
          <w:color w:val="FF0000"/>
          <w:strike w:val="1"/>
        </w:rPr>
        <w:t>Term SOFR</w:t>
      </w:r>
      <w:r>
        <w:rPr>
          <w:rFonts w:ascii="Arial" w:cs="Arial" w:eastAsia="Arial" w:hAnsi="Arial"/>
          <w:sz w:val="17"/>
          <w:szCs w:val="17"/>
          <w:u w:val="single" w:color="auto"/>
          <w:color w:val="0000FF"/>
          <w:highlight w:val="lightGray"/>
        </w:rPr>
        <w:t>Relevant</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Rate</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for such Agreed 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and (iii) Daily SOFR Loan, the Adjusted</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Floating Overnight Daily SOFR Rate;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if a Benchmark Transition Event, and the related Benchmark Replacement Date have occurred with respect to the </w:t>
      </w:r>
      <w:r>
        <w:rPr>
          <w:rFonts w:ascii="Arial" w:cs="Arial" w:eastAsia="Arial" w:hAnsi="Arial"/>
          <w:sz w:val="17"/>
          <w:szCs w:val="17"/>
          <w:color w:val="FF0000"/>
          <w:strike w:val="1"/>
        </w:rPr>
        <w:t>Daily Simple SOFR, Term SOFR</w:t>
      </w:r>
      <w:r>
        <w:rPr>
          <w:rFonts w:ascii="Arial" w:cs="Arial" w:eastAsia="Arial" w:hAnsi="Arial"/>
          <w:sz w:val="17"/>
          <w:szCs w:val="17"/>
          <w:u w:val="single" w:color="auto"/>
          <w:color w:val="0000FF"/>
          <w:highlight w:val="lightGray"/>
        </w:rPr>
        <w:t>applicable Relevant</w:t>
      </w:r>
      <w:r>
        <w:rPr>
          <w:rFonts w:ascii="Arial" w:cs="Arial" w:eastAsia="Arial" w:hAnsi="Arial"/>
          <w:sz w:val="17"/>
          <w:szCs w:val="17"/>
          <w:color w:val="000000"/>
        </w:rPr>
        <w:t xml:space="preserve"> Rate or Adjusted Floating Overnight Daily SOFR Rate, as applicable, </w:t>
      </w:r>
      <w:r>
        <w:rPr>
          <w:rFonts w:ascii="Arial" w:cs="Arial" w:eastAsia="Arial" w:hAnsi="Arial"/>
          <w:sz w:val="17"/>
          <w:szCs w:val="17"/>
          <w:color w:val="FF0000"/>
          <w:strike w:val="1"/>
        </w:rPr>
        <w:t>or</w:t>
      </w:r>
      <w:r>
        <w:rPr>
          <w:rFonts w:ascii="Arial" w:cs="Arial" w:eastAsia="Arial" w:hAnsi="Arial"/>
          <w:sz w:val="17"/>
          <w:szCs w:val="17"/>
          <w:u w:val="single" w:color="auto"/>
          <w:color w:val="0000FF"/>
          <w:highlight w:val="lightGray"/>
        </w:rPr>
        <w:t>for</w:t>
      </w:r>
      <w:r>
        <w:rPr>
          <w:rFonts w:ascii="Arial" w:cs="Arial" w:eastAsia="Arial" w:hAnsi="Arial"/>
          <w:sz w:val="17"/>
          <w:szCs w:val="17"/>
          <w:color w:val="000000"/>
        </w:rPr>
        <w:t xml:space="preserve"> the then-current Benchmark, then “Benchmark” means the applicable Benchmark Replacement to the extent that such Benchmark Replacement has replaced such prior benchmark rate pursuant to </w:t>
      </w:r>
      <w:r>
        <w:rPr>
          <w:rFonts w:ascii="Arial" w:cs="Arial" w:eastAsia="Arial" w:hAnsi="Arial"/>
          <w:sz w:val="17"/>
          <w:szCs w:val="17"/>
          <w:u w:val="single" w:color="auto"/>
          <w:color w:val="000000"/>
        </w:rPr>
        <w:t>clause (b)</w:t>
      </w:r>
      <w:r>
        <w:rPr>
          <w:rFonts w:ascii="Arial" w:cs="Arial" w:eastAsia="Arial" w:hAnsi="Arial"/>
          <w:sz w:val="17"/>
          <w:szCs w:val="17"/>
          <w:color w:val="000000"/>
        </w:rPr>
        <w:t xml:space="preserve"> of </w:t>
      </w:r>
      <w:r>
        <w:rPr>
          <w:rFonts w:ascii="Arial" w:cs="Arial" w:eastAsia="Arial" w:hAnsi="Arial"/>
          <w:sz w:val="17"/>
          <w:szCs w:val="17"/>
          <w:u w:val="single" w:color="auto"/>
          <w:color w:val="000000"/>
        </w:rPr>
        <w:t>Section 2.14</w:t>
      </w:r>
      <w:r>
        <w:rPr>
          <w:rFonts w:ascii="Arial" w:cs="Arial" w:eastAsia="Arial" w:hAnsi="Arial"/>
          <w:sz w:val="17"/>
          <w:szCs w:val="17"/>
          <w:color w:val="000000"/>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for any Available Tenor:</w:t>
      </w:r>
    </w:p>
    <w:p>
      <w:pPr>
        <w:spacing w:after="0" w:line="212"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6"/>
          <w:szCs w:val="16"/>
          <w:color w:val="auto"/>
        </w:rPr>
        <w:t xml:space="preserve">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w:t>
      </w:r>
      <w:r>
        <w:rPr>
          <w:rFonts w:ascii="Arial" w:cs="Arial" w:eastAsia="Arial" w:hAnsi="Arial"/>
          <w:sz w:val="16"/>
          <w:szCs w:val="16"/>
          <w:color w:val="FF0000"/>
          <w:strike w:val="1"/>
        </w:rPr>
        <w:t>dollar-denominated</w:t>
      </w:r>
      <w:r>
        <w:rPr>
          <w:rFonts w:ascii="Arial" w:cs="Arial" w:eastAsia="Arial" w:hAnsi="Arial"/>
          <w:sz w:val="16"/>
          <w:szCs w:val="16"/>
          <w:color w:val="auto"/>
        </w:rPr>
        <w:t xml:space="preserve"> syndicated credit facilities </w:t>
      </w:r>
      <w:r>
        <w:rPr>
          <w:rFonts w:ascii="Arial" w:cs="Arial" w:eastAsia="Arial" w:hAnsi="Arial"/>
          <w:sz w:val="16"/>
          <w:szCs w:val="16"/>
          <w:u w:val="single" w:color="auto"/>
          <w:color w:val="0000FF"/>
          <w:highlight w:val="lightGray"/>
        </w:rPr>
        <w:t>denominated in the applicable Agreed Currency</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at such time in the United States and (b) the related Benchmark Replacement Adjustment;</w:t>
      </w:r>
    </w:p>
    <w:p>
      <w:pPr>
        <w:spacing w:after="0" w:line="15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If the Benchmark Replacement as determined pursuant to the above would be less than the Floor, the Benchmark Replacement will be deemed to be the Floor for the purposes of this Agreement and the other Loan Documents.</w:t>
      </w:r>
    </w:p>
    <w:p>
      <w:pPr>
        <w:spacing w:after="0" w:line="17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Adjustment</w:t>
      </w:r>
      <w:r>
        <w:rPr>
          <w:rFonts w:ascii="Arial" w:cs="Arial" w:eastAsia="Arial" w:hAnsi="Arial"/>
          <w:sz w:val="17"/>
          <w:szCs w:val="17"/>
          <w:color w:val="auto"/>
        </w:rPr>
        <w:t xml:space="preserve">”: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w:t>
      </w:r>
      <w:r>
        <w:rPr>
          <w:rFonts w:ascii="Arial" w:cs="Arial" w:eastAsia="Arial" w:hAnsi="Arial"/>
          <w:sz w:val="17"/>
          <w:szCs w:val="17"/>
          <w:color w:val="FF0000"/>
          <w:strike w:val="1"/>
        </w:rPr>
        <w:t>dollar-denominated</w:t>
      </w:r>
      <w:r>
        <w:rPr>
          <w:rFonts w:ascii="Arial" w:cs="Arial" w:eastAsia="Arial" w:hAnsi="Arial"/>
          <w:sz w:val="17"/>
          <w:szCs w:val="17"/>
          <w:color w:val="auto"/>
        </w:rPr>
        <w:t xml:space="preserve"> syndicated credit facilities </w:t>
      </w:r>
      <w:r>
        <w:rPr>
          <w:rFonts w:ascii="Arial" w:cs="Arial" w:eastAsia="Arial" w:hAnsi="Arial"/>
          <w:sz w:val="17"/>
          <w:szCs w:val="17"/>
          <w:u w:val="single" w:color="auto"/>
          <w:color w:val="0000FF"/>
          <w:highlight w:val="lightGray"/>
        </w:rPr>
        <w:t>denominated</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in the applicable Agreed 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at such time.</w:t>
      </w:r>
    </w:p>
    <w:p>
      <w:pPr>
        <w:spacing w:after="0" w:line="184"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Conforming Changes</w:t>
      </w:r>
      <w:r>
        <w:rPr>
          <w:rFonts w:ascii="Arial" w:cs="Arial" w:eastAsia="Arial" w:hAnsi="Arial"/>
          <w:sz w:val="16"/>
          <w:szCs w:val="16"/>
          <w:color w:val="auto"/>
        </w:rPr>
        <w:t xml:space="preserve">”: with respect to any Benchmark Replacement and/or any Term Benchmark Revolving Loan </w:t>
      </w:r>
      <w:r>
        <w:rPr>
          <w:rFonts w:ascii="Arial" w:cs="Arial" w:eastAsia="Arial" w:hAnsi="Arial"/>
          <w:sz w:val="16"/>
          <w:szCs w:val="16"/>
          <w:u w:val="single" w:color="auto"/>
          <w:color w:val="0000FF"/>
          <w:highlight w:val="lightGray"/>
        </w:rPr>
        <w:t>denominated in Dollars</w:t>
      </w:r>
      <w:r>
        <w:rPr>
          <w:rFonts w:ascii="Arial" w:cs="Arial" w:eastAsia="Arial" w:hAnsi="Arial"/>
          <w:sz w:val="16"/>
          <w:szCs w:val="16"/>
          <w:color w:val="auto"/>
        </w:rPr>
        <w:t>, any technical, administrative or operational changes (including changes to the definition of “Alternate Base Rate,” the definition of “Business Day,” the definition of “U.S. Government Securities Business Day,” the definition of “</w:t>
      </w:r>
      <w:r>
        <w:rPr>
          <w:rFonts w:ascii="Arial" w:cs="Arial" w:eastAsia="Arial" w:hAnsi="Arial"/>
          <w:sz w:val="16"/>
          <w:szCs w:val="16"/>
          <w:u w:val="single" w:color="auto"/>
          <w:color w:val="0000FF"/>
          <w:highlight w:val="lightGray"/>
        </w:rPr>
        <w:t>RFR Business Day,” the definition of</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w:t>
      </w:r>
      <w:r>
        <w:rPr>
          <w:rFonts w:ascii="Arial" w:cs="Arial" w:eastAsia="Arial" w:hAnsi="Arial"/>
          <w:sz w:val="16"/>
          <w:szCs w:val="16"/>
          <w:color w:val="000000"/>
        </w:rPr>
        <w:t>Interest Period,” timing and frequency of determining rates and making payments of interest, timing of borrowing requests or prepayment, conversion or</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continuation notices, length of lookback periods, the applicability of breakage provisions, and other technical, administrative or operational matters) that the Administrative Agent in consultation with the Borrower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in consultation with the Borrower decides is reasonably necessary in connection with the administration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21" w:right="339" w:bottom="1440" w:gutter="0" w:footer="0" w:header="0"/>
        </w:sectPr>
      </w:pPr>
    </w:p>
    <w:bookmarkStart w:id="108" w:name="page109"/>
    <w:bookmarkEnd w:id="108"/>
    <w:p>
      <w:pPr>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with respect to any Benchmark, the earliest to occur of the following events with respect to such then-current Benchmark:</w:t>
      </w:r>
    </w:p>
    <w:p>
      <w:pPr>
        <w:spacing w:after="0" w:line="171" w:lineRule="exact"/>
        <w:rPr>
          <w:sz w:val="20"/>
          <w:szCs w:val="20"/>
          <w:color w:val="auto"/>
        </w:rPr>
      </w:pPr>
    </w:p>
    <w:p>
      <w:pPr>
        <w:jc w:val="both"/>
        <w:ind w:firstLine="1304"/>
        <w:spacing w:after="0" w:line="270" w:lineRule="auto"/>
        <w:tabs>
          <w:tab w:leader="none" w:pos="1699"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in the case of </w:t>
      </w:r>
      <w:r>
        <w:rPr>
          <w:rFonts w:ascii="Arial" w:cs="Arial" w:eastAsia="Arial" w:hAnsi="Arial"/>
          <w:sz w:val="17"/>
          <w:szCs w:val="17"/>
          <w:u w:val="single" w:color="auto"/>
          <w:color w:val="auto"/>
        </w:rPr>
        <w:t>clause (1)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w:t>
      </w:r>
      <w:r>
        <w:rPr>
          <w:rFonts w:ascii="Arial" w:cs="Arial" w:eastAsia="Arial" w:hAnsi="Arial"/>
          <w:sz w:val="17"/>
          <w:szCs w:val="17"/>
          <w:color w:val="auto"/>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63" w:lineRule="exact"/>
        <w:rPr>
          <w:rFonts w:ascii="Arial" w:cs="Arial" w:eastAsia="Arial" w:hAnsi="Arial"/>
          <w:sz w:val="17"/>
          <w:szCs w:val="17"/>
          <w:color w:val="auto"/>
        </w:rPr>
      </w:pPr>
    </w:p>
    <w:p>
      <w:pPr>
        <w:jc w:val="both"/>
        <w:ind w:firstLine="1304"/>
        <w:spacing w:after="0" w:line="241" w:lineRule="auto"/>
        <w:tabs>
          <w:tab w:leader="none" w:pos="17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in the case of </w:t>
      </w:r>
      <w:r>
        <w:rPr>
          <w:rFonts w:ascii="Arial" w:cs="Arial" w:eastAsia="Arial" w:hAnsi="Arial"/>
          <w:sz w:val="18"/>
          <w:szCs w:val="18"/>
          <w:u w:val="single" w:color="auto"/>
          <w:color w:val="auto"/>
        </w:rPr>
        <w:t>clause (3)</w:t>
      </w:r>
      <w:r>
        <w:rPr>
          <w:rFonts w:ascii="Arial" w:cs="Arial" w:eastAsia="Arial" w:hAnsi="Arial"/>
          <w:sz w:val="18"/>
          <w:szCs w:val="18"/>
          <w:color w:val="auto"/>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non-representativeness will be determined by reference to the most recent statement or publication referenced in such </w:t>
      </w:r>
      <w:r>
        <w:rPr>
          <w:rFonts w:ascii="Arial" w:cs="Arial" w:eastAsia="Arial" w:hAnsi="Arial"/>
          <w:sz w:val="18"/>
          <w:szCs w:val="18"/>
          <w:u w:val="single" w:color="auto"/>
          <w:color w:val="auto"/>
        </w:rPr>
        <w:t>clause (3)</w:t>
      </w:r>
      <w:r>
        <w:rPr>
          <w:rFonts w:ascii="Arial" w:cs="Arial" w:eastAsia="Arial" w:hAnsi="Arial"/>
          <w:sz w:val="18"/>
          <w:szCs w:val="18"/>
          <w:color w:val="auto"/>
        </w:rPr>
        <w:t xml:space="preserve"> and even if any Available Tenor of such Benchmark (or such component thereof) continues to be provided on such date.</w:t>
      </w:r>
    </w:p>
    <w:p>
      <w:pPr>
        <w:spacing w:after="0" w:line="18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8"/>
          <w:szCs w:val="18"/>
          <w:color w:val="auto"/>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w:t>
      </w:r>
      <w:r>
        <w:rPr>
          <w:rFonts w:ascii="Arial" w:cs="Arial" w:eastAsia="Arial" w:hAnsi="Arial"/>
          <w:sz w:val="18"/>
          <w:szCs w:val="18"/>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8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with respect to any Benchmark, the occurrence of one or more of the following events with respect to such then-current Benchmark:</w:t>
      </w:r>
    </w:p>
    <w:p>
      <w:pPr>
        <w:spacing w:after="0" w:line="171" w:lineRule="exact"/>
        <w:rPr>
          <w:sz w:val="20"/>
          <w:szCs w:val="20"/>
          <w:color w:val="auto"/>
        </w:rPr>
      </w:pPr>
    </w:p>
    <w:p>
      <w:pPr>
        <w:jc w:val="both"/>
        <w:ind w:firstLine="1304"/>
        <w:spacing w:after="0" w:line="243" w:lineRule="auto"/>
        <w:tabs>
          <w:tab w:leader="none" w:pos="1554"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that at the time of such statement or publication, there is no successor administrator that will continue to provide any Available Tenor of such Benchmark (or such component thereof);</w:t>
      </w:r>
    </w:p>
    <w:p>
      <w:pPr>
        <w:spacing w:after="0" w:line="187" w:lineRule="exact"/>
        <w:rPr>
          <w:rFonts w:ascii="Arial" w:cs="Arial" w:eastAsia="Arial" w:hAnsi="Arial"/>
          <w:sz w:val="18"/>
          <w:szCs w:val="18"/>
          <w:color w:val="auto"/>
        </w:rPr>
      </w:pPr>
    </w:p>
    <w:p>
      <w:pPr>
        <w:jc w:val="both"/>
        <w:ind w:firstLine="1304"/>
        <w:spacing w:after="0" w:line="238" w:lineRule="auto"/>
        <w:tabs>
          <w:tab w:leader="none" w:pos="1586"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w:t>
      </w:r>
      <w:r>
        <w:rPr>
          <w:rFonts w:ascii="Arial" w:cs="Arial" w:eastAsia="Arial" w:hAnsi="Arial"/>
          <w:sz w:val="18"/>
          <w:szCs w:val="18"/>
          <w:u w:val="single" w:color="auto"/>
          <w:color w:val="0000FF"/>
          <w:highlight w:val="lightGray"/>
        </w:rPr>
        <w:t>the central bank for</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the Agreed Currency applicable to such Benchmark,</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an insolvency official with jurisdiction over the administrator for such Benchmark (or such</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 xml:space="preserve">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8"/>
          <w:szCs w:val="18"/>
          <w:u w:val="single" w:color="auto"/>
          <w:color w:val="000000"/>
        </w:rPr>
        <w:t>provided</w:t>
      </w:r>
      <w:r>
        <w:rPr>
          <w:rFonts w:ascii="Arial" w:cs="Arial" w:eastAsia="Arial" w:hAnsi="Arial"/>
          <w:sz w:val="18"/>
          <w:szCs w:val="18"/>
          <w:color w:val="000000"/>
        </w:rPr>
        <w:t>, that at the time of such statement or publication, there is no successor administrator that will continue to provide any Available Tenor of such Benchmark (or such component thereof); or</w:t>
      </w:r>
    </w:p>
    <w:p>
      <w:pPr>
        <w:spacing w:after="0" w:line="193" w:lineRule="exact"/>
        <w:rPr>
          <w:rFonts w:ascii="Arial" w:cs="Arial" w:eastAsia="Arial" w:hAnsi="Arial"/>
          <w:sz w:val="18"/>
          <w:szCs w:val="18"/>
          <w:color w:val="auto"/>
        </w:rPr>
      </w:pPr>
    </w:p>
    <w:p>
      <w:pPr>
        <w:jc w:val="both"/>
        <w:ind w:firstLine="1304"/>
        <w:spacing w:after="0" w:line="248" w:lineRule="auto"/>
        <w:tabs>
          <w:tab w:leader="none" w:pos="1586"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8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2"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Unavailability Period</w:t>
      </w:r>
      <w:r>
        <w:rPr>
          <w:rFonts w:ascii="Arial" w:cs="Arial" w:eastAsia="Arial" w:hAnsi="Arial"/>
          <w:sz w:val="17"/>
          <w:szCs w:val="17"/>
          <w:color w:val="auto"/>
        </w:rPr>
        <w:t xml:space="preserve">”: with respect to any Benchmark, the period (if any) (x) beginning at the time that a Benchmark Replacement Date pursuant to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w:t>
      </w:r>
      <w:r>
        <w:rPr>
          <w:rFonts w:ascii="Arial" w:cs="Arial" w:eastAsia="Arial" w:hAnsi="Arial"/>
          <w:sz w:val="17"/>
          <w:szCs w:val="17"/>
          <w:color w:val="auto"/>
        </w:rPr>
        <w:t xml:space="preserve"> of that definition has occurred if, at such time, no Benchmark Replacement has replaced such then-current Benchmark for all purposes hereunder and under any Loan Document in accordance with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and (y) ending at the time that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21" w:right="339" w:bottom="1440" w:gutter="0" w:footer="0" w:header="0"/>
        </w:sectPr>
      </w:pPr>
    </w:p>
    <w:bookmarkStart w:id="109" w:name="page110"/>
    <w:bookmarkEnd w:id="109"/>
    <w:p>
      <w:pPr>
        <w:jc w:val="both"/>
        <w:spacing w:after="0" w:line="261" w:lineRule="auto"/>
        <w:rPr>
          <w:sz w:val="20"/>
          <w:szCs w:val="20"/>
          <w:color w:val="auto"/>
        </w:rPr>
      </w:pPr>
      <w:r>
        <w:rPr>
          <w:rFonts w:ascii="Arial" w:cs="Arial" w:eastAsia="Arial" w:hAnsi="Arial"/>
          <w:sz w:val="18"/>
          <w:szCs w:val="18"/>
          <w:color w:val="auto"/>
        </w:rPr>
        <w:t xml:space="preserve">Benchmark Replacement has replaced such then-current Benchmark for all purposes hereunder and under any Loan Document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w:t>
      </w:r>
      <w:r>
        <w:rPr>
          <w:rFonts w:ascii="Arial" w:cs="Arial" w:eastAsia="Arial" w:hAnsi="Arial"/>
          <w:sz w:val="18"/>
          <w:szCs w:val="18"/>
          <w:color w:val="auto"/>
        </w:rPr>
        <w: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a certification regarding beneficial ownership or control as required by the Beneficial Ownership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Regulation.</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31 C.F.R. § 1010.230.</w:t>
      </w:r>
    </w:p>
    <w:p>
      <w:pPr>
        <w:spacing w:after="0" w:line="212"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w:t>
      </w:r>
      <w:r>
        <w:rPr>
          <w:rFonts w:ascii="Arial" w:cs="Arial" w:eastAsia="Arial" w:hAnsi="Arial"/>
          <w:sz w:val="16"/>
          <w:szCs w:val="16"/>
          <w:color w:val="auto"/>
        </w:rPr>
        <w:t>”: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Benefitted Lender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10.7(a)</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BHC Act Affiliate</w:t>
      </w:r>
      <w:r>
        <w:rPr>
          <w:rFonts w:ascii="Arial" w:cs="Arial" w:eastAsia="Arial" w:hAnsi="Arial"/>
          <w:sz w:val="17"/>
          <w:szCs w:val="17"/>
          <w:color w:val="auto"/>
        </w:rPr>
        <w:t>”: of a party means an “affiliate” (as such term is defined under, and interpreted in accordance with, 12 U.S.C.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1841(k)) of such party.</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the Board of Governors of the Federal Reserve System of the United States (or any successor).</w:t>
      </w:r>
    </w:p>
    <w:p>
      <w:pPr>
        <w:spacing w:after="0" w:line="212"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Bona Fide Debt Fund</w:t>
      </w:r>
      <w:r>
        <w:rPr>
          <w:rFonts w:ascii="Arial" w:cs="Arial" w:eastAsia="Arial" w:hAnsi="Arial"/>
          <w:sz w:val="18"/>
          <w:szCs w:val="18"/>
          <w:color w:val="auto"/>
        </w:rPr>
        <w:t>”: any fund or investment vehicle that is engaged in making, purchasing, holding or otherwise investing in commercial loans, bonds and other similar extensions of credit in the ordinary course and, if applicable, with respect to which the Primary Disqualified Institution of such Bona Fide Debt Fund does not, directly or indirectly, possess the power to direct or cause the direction of the investment policies of such entity.</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as defined in the preamble hereto.</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Parent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10.25</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any borrowing of (a) Revolving Loans or (b) Delayed Draw Term Loans.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Date</w:t>
      </w:r>
      <w:r>
        <w:rPr>
          <w:rFonts w:ascii="Arial" w:cs="Arial" w:eastAsia="Arial" w:hAnsi="Arial"/>
          <w:sz w:val="16"/>
          <w:szCs w:val="16"/>
          <w:color w:val="auto"/>
        </w:rPr>
        <w:t>”: any Business Day specified by the Borrower as a date on which the Borrower requests the relevant Lenders to make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Loans hereunder.</w:t>
      </w:r>
    </w:p>
    <w:p>
      <w:pPr>
        <w:spacing w:after="0" w:line="19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a request by the Borrower for a Borrowing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or any other form approved by the Administrative Agent.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Bridge Facilities</w:t>
      </w:r>
      <w:r>
        <w:rPr>
          <w:rFonts w:ascii="Arial" w:cs="Arial" w:eastAsia="Arial" w:hAnsi="Arial"/>
          <w:sz w:val="18"/>
          <w:szCs w:val="18"/>
          <w:color w:val="auto"/>
        </w:rPr>
        <w:t>”: collectively, the MGP Bridge Facility and the Venetian Bridge Facility.</w:t>
      </w:r>
    </w:p>
    <w:p>
      <w:pPr>
        <w:spacing w:after="0" w:line="212"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any day (other than a Saturday or a Sunday) on which banks are open for business in New York City </w:t>
      </w:r>
      <w:r>
        <w:rPr>
          <w:rFonts w:ascii="Arial" w:cs="Arial" w:eastAsia="Arial" w:hAnsi="Arial"/>
          <w:sz w:val="16"/>
          <w:szCs w:val="16"/>
          <w:color w:val="FF0000"/>
        </w:rPr>
        <w:t>or Chicago</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t>
      </w:r>
      <w:r>
        <w:rPr>
          <w:rFonts w:ascii="Arial" w:cs="Arial" w:eastAsia="Arial" w:hAnsi="Arial"/>
          <w:sz w:val="16"/>
          <w:szCs w:val="16"/>
          <w:u w:val="single" w:color="auto"/>
          <w:color w:val="0000FF"/>
          <w:highlight w:val="lightGray"/>
        </w:rPr>
        <w:t>in addition to the foregoing, a Business Day shall be (a) in relation to Loans denominated in Euros and in relation to the calculation or</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computation of EURIBOR, any day which is a TARGET Day, (b)</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in relation to RFR Loans and any interest rate settings, fundings, disbursements,</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settlements or payments of any such RFR Loan, or any other dealings </w:t>
      </w:r>
      <w:r>
        <w:rPr>
          <w:rFonts w:ascii="Arial" w:cs="Arial" w:eastAsia="Arial" w:hAnsi="Arial"/>
          <w:sz w:val="16"/>
          <w:szCs w:val="16"/>
          <w:u w:val="single" w:color="auto"/>
          <w:color w:val="0000FF"/>
          <w:highlight w:val="lightGray"/>
        </w:rPr>
        <w:t>in the applicable Agreed Currency</w:t>
      </w:r>
      <w:r>
        <w:rPr>
          <w:rFonts w:ascii="Arial" w:cs="Arial" w:eastAsia="Arial" w:hAnsi="Arial"/>
          <w:sz w:val="16"/>
          <w:szCs w:val="16"/>
          <w:color w:val="000000"/>
        </w:rPr>
        <w:t xml:space="preserve"> of such RFR Loan, any such day that is only </w:t>
      </w:r>
      <w:r>
        <w:rPr>
          <w:rFonts w:ascii="Arial" w:cs="Arial" w:eastAsia="Arial" w:hAnsi="Arial"/>
          <w:sz w:val="16"/>
          <w:szCs w:val="16"/>
          <w:color w:val="FF0000"/>
          <w:strike w:val="1"/>
        </w:rPr>
        <w:t>an</w:t>
      </w:r>
      <w:r>
        <w:rPr>
          <w:rFonts w:ascii="Arial" w:cs="Arial" w:eastAsia="Arial" w:hAnsi="Arial"/>
          <w:sz w:val="16"/>
          <w:szCs w:val="16"/>
          <w:u w:val="single" w:color="auto"/>
          <w:color w:val="0000FF"/>
          <w:highlight w:val="lightGray"/>
        </w:rPr>
        <w:t>a</w:t>
      </w:r>
      <w:r>
        <w:rPr>
          <w:rFonts w:ascii="Arial" w:cs="Arial" w:eastAsia="Arial" w:hAnsi="Arial"/>
          <w:sz w:val="16"/>
          <w:szCs w:val="16"/>
          <w:color w:val="000000"/>
        </w:rPr>
        <w:t xml:space="preserve"> </w:t>
      </w:r>
      <w:r>
        <w:rPr>
          <w:rFonts w:ascii="Arial" w:cs="Arial" w:eastAsia="Arial" w:hAnsi="Arial"/>
          <w:sz w:val="16"/>
          <w:szCs w:val="16"/>
          <w:u w:val="single" w:color="auto"/>
          <w:color w:val="0000FF"/>
          <w:highlight w:val="lightGray"/>
        </w:rPr>
        <w:t>RFR Business Day, (c) in relation to CDOR Loans or Canadian Prime Rate Loans, any day on which banks generally are open in Toronto, Canada for the conduct of substantially all of their commercial lending activities, (d) in relation to Australian Dollar Loans or in relation to the calculation or computation of BBSY, any day on which banks are open for business in Australia, (e)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U.S. Government Securities Business Day</w:t>
      </w:r>
      <w:r>
        <w:rPr>
          <w:rFonts w:ascii="Arial" w:cs="Arial" w:eastAsia="Arial" w:hAnsi="Arial"/>
          <w:sz w:val="16"/>
          <w:szCs w:val="16"/>
          <w:color w:val="FF0000"/>
          <w:strike w:val="1"/>
        </w:rPr>
        <w:t>.</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and (f) in relation to Loans</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denominated in any other Agreed Currency or any interest rate settings, fundings, disbursements, settlements or payments of any CBR Loan or CBR Borrowing, any such day on which dealings in the applicable Agreed Currency are carried on in the principal financial center of such Agreed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6532880</wp:posOffset>
            </wp:positionH>
            <wp:positionV relativeFrom="paragraph">
              <wp:posOffset>-1367155</wp:posOffset>
            </wp:positionV>
            <wp:extent cx="5670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567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21" w:right="339" w:bottom="1440" w:gutter="0" w:footer="0" w:header="0"/>
        </w:sectPr>
      </w:pPr>
    </w:p>
    <w:bookmarkStart w:id="110" w:name="page111"/>
    <w:bookmarkEnd w:id="110"/>
    <w:p>
      <w:pPr>
        <w:ind w:left="1300"/>
        <w:spacing w:after="0"/>
        <w:rPr>
          <w:sz w:val="20"/>
          <w:szCs w:val="20"/>
          <w:color w:val="auto"/>
        </w:rPr>
      </w:pPr>
      <w:r>
        <w:rPr>
          <w:rFonts w:ascii="Arial" w:cs="Arial" w:eastAsia="Arial" w:hAnsi="Arial"/>
          <w:sz w:val="18"/>
          <w:szCs w:val="18"/>
          <w:u w:val="single" w:color="auto"/>
          <w:color w:val="0000FF"/>
          <w:highlight w:val="lightGray"/>
        </w:rPr>
        <w:t>“Canadian Dollars” and “CDN $”: the lawful currency of Canada.</w:t>
      </w:r>
    </w:p>
    <w:p>
      <w:pPr>
        <w:spacing w:after="0" w:line="21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7"/>
          <w:szCs w:val="17"/>
          <w:u w:val="single" w:color="auto"/>
          <w:color w:val="0000FF"/>
          <w:highlight w:val="lightGray"/>
        </w:rPr>
        <w:t>“Canadian Prime Rate”: on any day, the rate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average rate for thirty (30) day Canadian Dollar bankers’ acceptances that appears on the Reuters Screen CDOR Page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at 10:15 a.m. Toronto time on such day, plus 1% per annum; provided, that if any of the above rates shall be less than 1%, such rate shall be deemed to be 1% for purposes of this Agreement. Any change in the Canadian Prime Rate due to a change in the PRIMCAN Index or the CDOR shall be effective from and including the effective date of such change in the PRIMCAN Index or CDOR, respectively.</w:t>
      </w:r>
    </w:p>
    <w:p>
      <w:pPr>
        <w:spacing w:after="0" w:line="18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u w:val="single" w:color="auto"/>
          <w:color w:val="0000FF"/>
          <w:highlight w:val="lightGray"/>
        </w:rPr>
        <w:t>“Canadian Prime Rate Loan” or “Canadian Prime Rate Borrowing”: a Loan or Borrowing, respectively, denominated in Canadian Dollars the rate of interest applicable to which is based upon the Canadian Prime Rate.</w:t>
      </w:r>
    </w:p>
    <w:p>
      <w:pPr>
        <w:spacing w:after="0" w:line="171"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 Reserve</w:t>
      </w:r>
      <w:r>
        <w:rPr>
          <w:rFonts w:ascii="Arial" w:cs="Arial" w:eastAsia="Arial" w:hAnsi="Arial"/>
          <w:sz w:val="18"/>
          <w:szCs w:val="18"/>
          <w:color w:val="auto"/>
        </w:rPr>
        <w:t>”: with respect to any property not subject to a triple net lease that requires the Operator (or any other Person other than the Borrower and its Restricted Subsidiaries (or, in the case of a Real Property owned by a Restricted Joint Venture of the Borrower, such Restricted Joint Venture)) to pay for all capital expenditures relating to such property, an amount equal to 3% of the aggregate net revenues for such property for the applicable four fiscal quarter period.</w:t>
      </w:r>
    </w:p>
    <w:p>
      <w:pPr>
        <w:spacing w:after="0" w:line="188"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Capitalized Value</w:t>
      </w:r>
      <w:r>
        <w:rPr>
          <w:rFonts w:ascii="Arial" w:cs="Arial" w:eastAsia="Arial" w:hAnsi="Arial"/>
          <w:sz w:val="17"/>
          <w:szCs w:val="17"/>
          <w:color w:val="auto"/>
        </w:rPr>
        <w:t xml:space="preserve">”: with respect to any group of related properties or any other property as of any date of determination, the Adjusted NOI of such group of related properties or such property, as the case may be, for the period of four consecutive fiscal quarters most recently ended for which financial statements have been or are required to have been delivered pursuant to </w:t>
      </w:r>
      <w:r>
        <w:rPr>
          <w:rFonts w:ascii="Arial" w:cs="Arial" w:eastAsia="Arial" w:hAnsi="Arial"/>
          <w:sz w:val="17"/>
          <w:szCs w:val="17"/>
          <w:u w:val="single" w:color="auto"/>
          <w:color w:val="auto"/>
        </w:rPr>
        <w:t>Sections 6.1(a)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divided</w:t>
      </w:r>
      <w:r>
        <w:rPr>
          <w:rFonts w:ascii="Arial" w:cs="Arial" w:eastAsia="Arial" w:hAnsi="Arial"/>
          <w:sz w:val="17"/>
          <w:szCs w:val="17"/>
          <w:color w:val="auto"/>
        </w:rPr>
        <w:t xml:space="preserve"> by 6.50%.</w:t>
      </w:r>
    </w:p>
    <w:p>
      <w:pPr>
        <w:spacing w:after="0" w:line="164"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six months or less from the date of acquisition issued by any Lender or by any commercial bank organized under the laws of the United States or any state thereof having combined capital and surplus of not less than $500,000,000; (c) commercial paper of an issuer rated at least A-2 by S&amp;P or P-2 by Moody’s Investors Service, Inc. (“</w:t>
      </w:r>
      <w:r>
        <w:rPr>
          <w:rFonts w:ascii="Arial" w:cs="Arial" w:eastAsia="Arial" w:hAnsi="Arial"/>
          <w:sz w:val="16"/>
          <w:szCs w:val="16"/>
          <w:u w:val="single" w:color="auto"/>
          <w:color w:val="auto"/>
        </w:rPr>
        <w:t>Moody’s</w:t>
      </w:r>
      <w:r>
        <w:rPr>
          <w:rFonts w:ascii="Arial" w:cs="Arial" w:eastAsia="Arial" w:hAnsi="Arial"/>
          <w:sz w:val="16"/>
          <w:szCs w:val="16"/>
          <w:color w:val="auto"/>
        </w:rPr>
        <w:t xml:space="preserve">”), or carrying an equivalent rating by a nationally recognized rating agency, if both of the two named rating agencies cease publishing ratings of commercial paper issuers generally, and maturing within six months from the date of acquisition; (d) repurchase obligations of any Lender or of any commercial bank satisfying the requirements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definition, having a term of not more than 180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A2 by Moody’s; (f) securities with maturities of six months or less from the date of acquisition backed by standby letters of credit issued by any Lender or any commercial bank satisfying the requirements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definition; (g) money market mutual or similar funds that invest exclusively in assets satisfying the requirements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of this definition; (h) money market funds that (i) comply with the criteria set forth in SEC Rule 2a-7 under the Investment Company Act of 1940, as amended, (ii) are rated AAA by S&amp;P and Aaa by Moody’s and (iii) have portfolio assets of at least $5,000,000,000; (i) corporate notes or bonds having an original term to maturity of not more than one year issued by a corporation incorporated under the laws of the United States or any State thereof, or a participation interest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commercial paper issued by such corporation is, given on the date of such Investment, rated at least Aa by Moody’s and AA by S&amp;P; or</w:t>
      </w:r>
    </w:p>
    <w:p>
      <w:pPr>
        <w:spacing w:after="0" w:line="4" w:lineRule="exact"/>
        <w:rPr>
          <w:sz w:val="20"/>
          <w:szCs w:val="20"/>
          <w:color w:val="auto"/>
        </w:rPr>
      </w:pPr>
    </w:p>
    <w:p>
      <w:pPr>
        <w:ind w:firstLine="8"/>
        <w:spacing w:after="0" w:line="243" w:lineRule="auto"/>
        <w:tabs>
          <w:tab w:leader="none" w:pos="231"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in the case of any Foreign Subsidiary, Investments of comparable tenor and credit quality to those described in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(h)</w:t>
      </w:r>
      <w:r>
        <w:rPr>
          <w:rFonts w:ascii="Arial" w:cs="Arial" w:eastAsia="Arial" w:hAnsi="Arial"/>
          <w:sz w:val="18"/>
          <w:szCs w:val="18"/>
          <w:color w:val="auto"/>
        </w:rPr>
        <w:t xml:space="preserve"> customarily utilized in countries in which such Foreign Subsidiary operates for short-term cash management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21" w:right="339" w:bottom="1440" w:gutter="0" w:footer="0" w:header="0"/>
        </w:sectPr>
      </w:pPr>
    </w:p>
    <w:bookmarkStart w:id="111" w:name="page112"/>
    <w:bookmarkEnd w:id="111"/>
    <w:p>
      <w:pPr>
        <w:jc w:val="both"/>
        <w:ind w:firstLine="129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Services</w:t>
      </w:r>
      <w:r>
        <w:rPr>
          <w:rFonts w:ascii="Arial" w:cs="Arial" w:eastAsia="Arial" w:hAnsi="Arial"/>
          <w:sz w:val="18"/>
          <w:szCs w:val="18"/>
          <w:color w:val="auto"/>
        </w:rPr>
        <w:t>”: any cash management services that are (i) in effect on the Closing Date between a Loan Party and a counterparty that is a Lender or the Administrative Agent or an Affiliate of a Lender or the Administrative Agent as of the Closing Date or (ii) entered into after the Closing Date between a Loan Party and any counterparty that is a Lender or the Administrative Agent or an Affiliate of a Lender or the Administrative Agent at the time such services are entered into.</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0000FF"/>
          <w:highlight w:val="lightGray"/>
        </w:rPr>
        <w:t>“CBR Loan”: a Loan that bears interest at a rate determined by reference to the Central Bank Rate.</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0000FF"/>
          <w:highlight w:val="lightGray"/>
        </w:rPr>
        <w:t>“CBR Spread”: the Applicable Margin, applicable to such Loan that is replaced by a CBR Loan.</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“CDOR Borrowing”: as to any Borrowing, the CDOR Loans comprising such Borrowing.</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“CDOR Loan”: a Loan denominated in Canadian Dollars that bears interest at a rate based on the CDOR Rate.</w:t>
      </w:r>
    </w:p>
    <w:p>
      <w:pPr>
        <w:spacing w:after="0" w:line="200" w:lineRule="exact"/>
        <w:rPr>
          <w:sz w:val="20"/>
          <w:szCs w:val="20"/>
          <w:color w:val="auto"/>
        </w:rPr>
      </w:pPr>
    </w:p>
    <w:p>
      <w:pPr>
        <w:spacing w:after="0" w:line="25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u w:val="single" w:color="auto"/>
          <w:color w:val="0000FF"/>
          <w:highlight w:val="lightGray"/>
        </w:rPr>
        <w:t>“CDOR Rate”: with respect to any Term Benchmark Borrowing denominated in Canadian Dollars and for any Interest Period, the CDOR Screen Rate at approximately 10:15 a.m., Toronto, Ontario time, on the first day of such Interest Period.</w:t>
      </w:r>
    </w:p>
    <w:p>
      <w:pPr>
        <w:spacing w:after="0" w:line="171"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6"/>
          <w:szCs w:val="16"/>
          <w:u w:val="single" w:color="auto"/>
          <w:color w:val="0000FF"/>
          <w:highlight w:val="lightGray"/>
        </w:rPr>
        <w:t>“CDOR Screen Rate”: on any day for the relevant Interest Period, the annual rate of interest equal to the average rate applicable to Canadian dollar Canadian bankers’ acceptances for the applicable period that appears on the “Reuters Screen CDOR Page” as defined in the International Swap Dealer Association, Inc. definitions, as modified and amended from time to time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as of 10:15 a.m. Toronto local time on the first day of such Interest Period and, if such day is not a business day, then on the immediately preceding business day (as adjusted by Administrative Agent after 10:15 a.m. Toronto local time to reflect any error in the posted rate of interest or in the posted average annual rate of interest).</w:t>
      </w:r>
    </w:p>
    <w:p>
      <w:pPr>
        <w:spacing w:after="0" w:line="16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7"/>
          <w:szCs w:val="17"/>
          <w:u w:val="single" w:color="auto"/>
          <w:color w:val="0000FF"/>
          <w:highlight w:val="lightGray"/>
        </w:rPr>
        <w:t>“Central Bank Rate”: the greater of (I)(A) for any Loan denominated in (a) Sterling, the Bank of England (or any successor thereto)’s “Bank Rate” as published by the Bank of England (or any successor thereto) from time to time, (b) Euro, one of the following three rates as may be selected by the Administrative Agent in its reasonable discretion in consultation with the Borrower: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Australian Dollars or any other Alternative Currency determined after the First Amendment Effective Date, a central bank rate as determined by the Administrative Agent in its reasonable discretion in consultation with the Borrower; plus (B) the applicable Central Bank Rate Adjustment and (II) the Floor.</w:t>
      </w:r>
    </w:p>
    <w:p>
      <w:pPr>
        <w:spacing w:after="0" w:line="18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6"/>
          <w:szCs w:val="16"/>
          <w:u w:val="single" w:color="auto"/>
          <w:color w:val="0000FF"/>
          <w:highlight w:val="lightGray"/>
        </w:rPr>
        <w:t>“Central Bank Rate Adjustment”: for any day, for any Loan denominated in (a) Euro, a rate equal to the difference (which may be a positive or negative value or zero) of (i) the average of the Adjusted EURIBOR Rate for the five most recent Business Days preceding such day for which the EURIBOR Screen Rate was available (excluding, from such averaging, the highest and the lowest Adjusted EURIBOR Rate applicable during such period of five Business Days) minus (ii) the Central Bank Rate in respect of Euro in effect on the last Business Day in such period, (b) Sterling, a rate equal to the difference (which may be a positive or negative value or zero) of (i) the average of Adjusted Daily Simple RFR for Sterling Borrowings for the five most recent RFR Business Days preceding such day for which Adjusted Daily Simple RFR for Sterling Borrowings was available (excluding, from such averaging, the highest and the lowest such Adjusted Daily Simple RFR applicable during such period of five RFR Business Days) minus (ii) the Central Bank Rate in respect of Sterling in effect on the last RFR Business Day in such period and (c) Australian Dollars or any other Alternative Currency determined after the First Amendment Effective Date, a Central Bank Rate Adjustment as determined by the Administrative Agent in its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21" w:right="339" w:bottom="1440" w:gutter="0" w:footer="0" w:header="0"/>
        </w:sectPr>
      </w:pPr>
    </w:p>
    <w:bookmarkStart w:id="112" w:name="page113"/>
    <w:bookmarkEnd w:id="112"/>
    <w:p>
      <w:pPr>
        <w:jc w:val="both"/>
        <w:spacing w:after="0" w:line="248" w:lineRule="auto"/>
        <w:rPr>
          <w:sz w:val="20"/>
          <w:szCs w:val="20"/>
          <w:color w:val="auto"/>
        </w:rPr>
      </w:pPr>
      <w:r>
        <w:rPr>
          <w:rFonts w:ascii="Arial" w:cs="Arial" w:eastAsia="Arial" w:hAnsi="Arial"/>
          <w:sz w:val="18"/>
          <w:szCs w:val="18"/>
          <w:u w:val="single" w:color="auto"/>
          <w:color w:val="0000FF"/>
          <w:highlight w:val="lightGray"/>
        </w:rPr>
        <w:t>discretion in consultation with the Borrower.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Agreed Currency for a maturity of one month.</w:t>
      </w:r>
    </w:p>
    <w:p>
      <w:pPr>
        <w:spacing w:after="0" w:line="18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Century Master Lease</w:t>
      </w:r>
      <w:r>
        <w:rPr>
          <w:rFonts w:ascii="Arial" w:cs="Arial" w:eastAsia="Arial" w:hAnsi="Arial"/>
          <w:sz w:val="17"/>
          <w:szCs w:val="17"/>
          <w:color w:val="auto"/>
        </w:rPr>
        <w:t>”: that certain lease agreement, dated as of December 6, 2019, by and among Lady Luck C LLC, Cape G LLC, Mountaineer CRR LLC, as landlord, and IOC-Caruthersville, LLC, IOC-Cape Girardeau LLC and Mountaineer Park, Inc., as tenant, with respect to the Century Casino Cape Girardeau, located in Cape Girardeau, Missouri, the Century Casino Caruthersville, located in Caruthersville, Missouri and Mountaineer Casino, Racetrack &amp; Resort, located in New Cumberland, West Virginia, as the same may be amended, amended and restated, supplemented or otherwise modified prior to the date hereof and from time to time in accordance with the terms of this Agreement.</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has the meaning specified in the definition of “Excluded Foreign Subsidiary”.</w:t>
      </w:r>
    </w:p>
    <w:p>
      <w:pPr>
        <w:spacing w:after="0" w:line="21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the occurrence after the date of this Agreement of (a) the adoption of or taking effect of any law, rule, regulation or treaty, (b) any change in any law, rule, regulation or treaty or in the administration, interpretation, implementation or application thereof by any Governmental Authority or (c) compliance by any Lender or Issuing Lender (or, for purposes of </w:t>
      </w:r>
      <w:r>
        <w:rPr>
          <w:rFonts w:ascii="Arial" w:cs="Arial" w:eastAsia="Arial" w:hAnsi="Arial"/>
          <w:sz w:val="17"/>
          <w:szCs w:val="17"/>
          <w:u w:val="single" w:color="auto"/>
          <w:color w:val="auto"/>
        </w:rPr>
        <w:t>Section 2.13(b)</w:t>
      </w:r>
      <w:r>
        <w:rPr>
          <w:rFonts w:ascii="Arial" w:cs="Arial" w:eastAsia="Arial" w:hAnsi="Arial"/>
          <w:sz w:val="17"/>
          <w:szCs w:val="17"/>
          <w:color w:val="auto"/>
        </w:rPr>
        <w:t xml:space="preserve">, by any lending office of such Lender or by such Lender’s or Issuing Lender’s holding company, if any) with any request, guideline or directive (whether or not having the force of law) of any Governmental Authority made or issued after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an event or series of events by which:</w:t>
      </w:r>
    </w:p>
    <w:p>
      <w:pPr>
        <w:spacing w:after="0" w:line="212" w:lineRule="exact"/>
        <w:rPr>
          <w:sz w:val="20"/>
          <w:szCs w:val="20"/>
          <w:color w:val="auto"/>
        </w:rPr>
      </w:pPr>
    </w:p>
    <w:p>
      <w:pPr>
        <w:jc w:val="both"/>
        <w:ind w:firstLine="1304"/>
        <w:spacing w:after="0" w:line="238" w:lineRule="auto"/>
        <w:tabs>
          <w:tab w:leader="none" w:pos="16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Exchange Act (but excluding any employee benefit plan of VICI, the Borrower or their Subsidiaries, any Person or entity acting in its capacity as trustee, agent or other fiduciary or administrator of any such plan, or any Person formed as a holding company for VICI in a transaction where the voting stock of VICI outstanding prior to such transaction is converted into or exchanged for the voting stock of the surviving or transferee Person constituting all or substantially all of the outstanding shares of such voting stock of such surviving or transferee Person (immediately after giving effect to such issuance))), becomes the “beneficial owner” (as defined in Rules 13d-3 and 13d-5 under the Exchange Act,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18"/>
          <w:szCs w:val="18"/>
          <w:u w:val="single" w:color="auto"/>
          <w:color w:val="auto"/>
        </w:rPr>
        <w:t>option right</w:t>
      </w:r>
      <w:r>
        <w:rPr>
          <w:rFonts w:ascii="Arial" w:cs="Arial" w:eastAsia="Arial" w:hAnsi="Arial"/>
          <w:sz w:val="18"/>
          <w:szCs w:val="18"/>
          <w:color w:val="auto"/>
        </w:rPr>
        <w:t>”)), directly or indirectly, of more than 40% of the equity securities of VICI entitled to vote for members of the board of directors or equivalent governing body of VICI on a fully-diluted basis (and taking into account all such securities that such “Person” or “group” has the right to acquire pursuant to any option right); or</w:t>
      </w:r>
    </w:p>
    <w:p>
      <w:pPr>
        <w:spacing w:after="0" w:line="188" w:lineRule="exact"/>
        <w:rPr>
          <w:rFonts w:ascii="Arial" w:cs="Arial" w:eastAsia="Arial" w:hAnsi="Arial"/>
          <w:sz w:val="18"/>
          <w:szCs w:val="18"/>
          <w:color w:val="auto"/>
        </w:rPr>
      </w:pPr>
    </w:p>
    <w:p>
      <w:pPr>
        <w:ind w:left="1600" w:hanging="296"/>
        <w:spacing w:after="0"/>
        <w:tabs>
          <w:tab w:leader="none" w:pos="1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VICI (or a Wholly Owned Subsidiary of VICI) shall cease to be the general partner of the Borrower.</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10.21</w:t>
      </w:r>
      <w:r>
        <w:rPr>
          <w:rFonts w:ascii="Arial" w:cs="Arial" w:eastAsia="Arial" w:hAnsi="Arial"/>
          <w:sz w:val="18"/>
          <w:szCs w:val="18"/>
          <w:color w:val="auto"/>
        </w:rPr>
        <w:t>.</w:t>
      </w:r>
    </w:p>
    <w:p>
      <w:pPr>
        <w:spacing w:after="0" w:line="212" w:lineRule="exact"/>
        <w:rPr>
          <w:sz w:val="20"/>
          <w:szCs w:val="20"/>
          <w:color w:val="auto"/>
        </w:rPr>
      </w:pPr>
    </w:p>
    <w:p>
      <w:pPr>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comprising such Borrowing, are Revolving Loans or Delayed Draw Term Loans.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the date hereof.</w:t>
      </w:r>
    </w:p>
    <w:p>
      <w:pPr>
        <w:spacing w:after="0" w:line="212" w:lineRule="exact"/>
        <w:rPr>
          <w:sz w:val="20"/>
          <w:szCs w:val="20"/>
          <w:color w:val="auto"/>
        </w:rPr>
      </w:pPr>
    </w:p>
    <w:p>
      <w:pPr>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CME Term SOFR Administrator</w:t>
      </w:r>
      <w:r>
        <w:rPr>
          <w:rFonts w:ascii="Arial" w:cs="Arial" w:eastAsia="Arial" w:hAnsi="Arial"/>
          <w:sz w:val="18"/>
          <w:szCs w:val="18"/>
          <w:color w:val="auto"/>
        </w:rPr>
        <w:t>”: CME Group Benchmark Administration Limited as administrator of the forward-looking term Secured Overnight Financing Rate (SOFR) (or a successor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21" w:right="339" w:bottom="1440" w:gutter="0" w:footer="0" w:header="0"/>
        </w:sectPr>
      </w:pPr>
    </w:p>
    <w:bookmarkStart w:id="113" w:name="page114"/>
    <w:bookmarkEnd w:id="113"/>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Co-Documentation Agents</w:t>
      </w:r>
      <w:r>
        <w:rPr>
          <w:rFonts w:ascii="Arial" w:cs="Arial" w:eastAsia="Arial" w:hAnsi="Arial"/>
          <w:sz w:val="17"/>
          <w:szCs w:val="17"/>
          <w:color w:val="auto"/>
        </w:rPr>
        <w:t>”: the financial institutions listed as “Co-Documentation Agents” on the cover page to this Agreement.</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Co-Syndication Agents</w:t>
      </w:r>
      <w:r>
        <w:rPr>
          <w:rFonts w:ascii="Arial" w:cs="Arial" w:eastAsia="Arial" w:hAnsi="Arial"/>
          <w:sz w:val="18"/>
          <w:szCs w:val="18"/>
          <w:color w:val="auto"/>
        </w:rPr>
        <w:t>”: the financial institutions listed as “Co-Syndication Agents” on the cover page to this Agreement.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 from time to time.</w:t>
      </w:r>
    </w:p>
    <w:p>
      <w:pPr>
        <w:spacing w:after="0" w:line="212" w:lineRule="exact"/>
        <w:rPr>
          <w:sz w:val="20"/>
          <w:szCs w:val="20"/>
          <w:color w:val="auto"/>
        </w:rPr>
      </w:pPr>
    </w:p>
    <w:p>
      <w:pPr>
        <w:jc w:val="both"/>
        <w:ind w:right="20"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Commitments</w:t>
      </w:r>
      <w:r>
        <w:rPr>
          <w:rFonts w:ascii="Arial" w:cs="Arial" w:eastAsia="Arial" w:hAnsi="Arial"/>
          <w:sz w:val="18"/>
          <w:szCs w:val="18"/>
          <w:color w:val="auto"/>
        </w:rPr>
        <w:t xml:space="preserve">”: as to any Lender, the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Commitment</w:t>
      </w:r>
      <w:r>
        <w:rPr>
          <w:rFonts w:ascii="Arial" w:cs="Arial" w:eastAsia="Arial" w:hAnsi="Arial"/>
          <w:sz w:val="18"/>
          <w:szCs w:val="18"/>
          <w:u w:val="single" w:color="auto"/>
          <w:color w:val="0000FF"/>
          <w:highlight w:val="lightGray"/>
        </w:rPr>
        <w:t>s, USD Revolving Commitments</w:t>
      </w:r>
      <w:r>
        <w:rPr>
          <w:rFonts w:ascii="Arial" w:cs="Arial" w:eastAsia="Arial" w:hAnsi="Arial"/>
          <w:sz w:val="18"/>
          <w:szCs w:val="18"/>
          <w:color w:val="auto"/>
        </w:rPr>
        <w:t xml:space="preserve"> and Delayed Draw Term Commitments of such Lender.</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Commodity Exchange Act</w:t>
      </w:r>
      <w:r>
        <w:rPr>
          <w:rFonts w:ascii="Arial" w:cs="Arial" w:eastAsia="Arial" w:hAnsi="Arial"/>
          <w:sz w:val="17"/>
          <w:szCs w:val="17"/>
          <w:color w:val="auto"/>
        </w:rPr>
        <w:t>”: the Commodity Exchange Act (7 U.S.C. § 1 et seq.), as amended from time to time, and any successor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19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Commonly Controlled Entity</w:t>
      </w:r>
      <w:r>
        <w:rPr>
          <w:rFonts w:ascii="Arial" w:cs="Arial" w:eastAsia="Arial" w:hAnsi="Arial"/>
          <w:sz w:val="18"/>
          <w:szCs w:val="18"/>
          <w:color w:val="auto"/>
        </w:rPr>
        <w:t>”: an entity, whether or not incorporated, that is under common control with any Loan Party within the meaning of Section 4001(a)(14) of ERISA or is part of a group that includes any Loan Parties and that is treated as a single employer under Section 414(b), (c), (m) or (o) of the Code.</w:t>
      </w:r>
    </w:p>
    <w:p>
      <w:pPr>
        <w:spacing w:after="0" w:line="182"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Communications</w:t>
      </w:r>
      <w:r>
        <w:rPr>
          <w:rFonts w:ascii="Arial" w:cs="Arial" w:eastAsia="Arial" w:hAnsi="Arial"/>
          <w:sz w:val="16"/>
          <w:szCs w:val="16"/>
          <w:color w:val="auto"/>
        </w:rPr>
        <w:t xml:space="preserve">”: collectively, any notice, demand, communication, information, document or other material provided by or on behalf of any Loan Party pursuant to any Loan Document or the transactions contemplated therein which is distributed by the Administrative Agent, any Lender or any Issuing Lender by means of electronic communications pursuant to </w:t>
      </w:r>
      <w:r>
        <w:rPr>
          <w:rFonts w:ascii="Arial" w:cs="Arial" w:eastAsia="Arial" w:hAnsi="Arial"/>
          <w:sz w:val="16"/>
          <w:szCs w:val="16"/>
          <w:u w:val="single" w:color="auto"/>
          <w:color w:val="auto"/>
        </w:rPr>
        <w:t>Section 10.2</w:t>
      </w:r>
      <w:r>
        <w:rPr>
          <w:rFonts w:ascii="Arial" w:cs="Arial" w:eastAsia="Arial" w:hAnsi="Arial"/>
          <w:sz w:val="16"/>
          <w:szCs w:val="16"/>
          <w:color w:val="auto"/>
        </w:rPr>
        <w:t>, including through an Approved Electronic Platform.</w:t>
      </w:r>
    </w:p>
    <w:p>
      <w:pPr>
        <w:spacing w:after="0" w:line="147" w:lineRule="exact"/>
        <w:rPr>
          <w:sz w:val="20"/>
          <w:szCs w:val="20"/>
          <w:color w:val="auto"/>
        </w:rPr>
      </w:pPr>
    </w:p>
    <w:p>
      <w:pPr>
        <w:jc w:val="both"/>
        <w:ind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any Person or Affiliate of any Person, other than the Borrower, or its Subsidiaries, that is engaged, or is an Affiliate of a Person that is engaged, in the ownership or operation of a casino, racetrack, racino, video lottery terminal or other gaming activities, including the operation of slot machines, video lottery terminals, table games, pari-mutuel wagering or other applicable types of wagering (including sports wagering), excluding any investment fund or other Person with an investment representing an equity ownership of 15% or less in a such Person and no possession, directly or indirectly, of the power to direct or cause the direction of the management and policies of such person, through the ownership of voting securities, partnership interests, other equity interests or otherwise.</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a certificate duly executed by a Responsible Officer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1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Other Connection Taxes that are imposed on or measured by net income (however denominated) or that are franchise Taxes or branch profits Taxes.</w:t>
      </w:r>
    </w:p>
    <w:p>
      <w:pPr>
        <w:spacing w:after="0" w:line="171"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xml:space="preserve">”: for any period, the net income (loss) of the Borrower and its consolidated Restricted Subsidiaries for such period, determined on a consolidated basis in accordance with GAAP (including the pro rata share of net income (loss) of its unconsolidated Restricted Subsidiaries and Restricted Joint Ventures calculated in accordance with the GAAP equity accounting method), without any reduction in respect of dividends on preferred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following items will be excluded in computing Consolidated Net Income, without duplication: (1) the net income (or loss) of any Person that is not a Restricted Subsidiary or Restricted Joint Venture, except to the extent of the amount of cash dividends or other distributions actually paid to the Borrower or any of its Restricted Subsidiaries by such Person during such period (and, for the avoidance of doubt, the amount of such cash dividends and other distributions will be included in calculating Consolidated Net Income); (2) the net income (or loss) of any Restricted Subsidiary to the extent that the declaration or payment of dividends or similar distributions by such Restricted Subsidiary of such net income is not at the time permitted by the operation of the terms of its charter or any agreement, instrument, judgment, decree, order, statute, rule or governmental regulation applicable to such Restricted Subsidiary, except (x) to the extent of the amount of cash dividends or other distributions actually paid (or that could have been paid) to the Borrower or any of its Restricted Subsidiaries by such Person during such period or (y) to the extent such restriction is permitted by </w:t>
      </w:r>
      <w:r>
        <w:rPr>
          <w:rFonts w:ascii="Arial" w:cs="Arial" w:eastAsia="Arial" w:hAnsi="Arial"/>
          <w:sz w:val="17"/>
          <w:szCs w:val="17"/>
          <w:u w:val="single" w:color="auto"/>
          <w:color w:val="auto"/>
        </w:rPr>
        <w:t>Section 7.9</w:t>
      </w:r>
      <w:r>
        <w:rPr>
          <w:rFonts w:ascii="Arial" w:cs="Arial" w:eastAsia="Arial" w:hAnsi="Arial"/>
          <w:sz w:val="17"/>
          <w:szCs w:val="17"/>
          <w:color w:val="auto"/>
        </w:rPr>
        <w:t>; (3) all after-tax gains or losses attributable to asset dispositions; (4) all after-tax gains or losses attributable to the extinguishment, retirement or conversion of debt and all after-tax gains and losses attributable to the settlement or termination of hedging obligations; (5) all after-tax extraordinary gains and extraordinary losses; (6) all after-tax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21" w:right="339" w:bottom="1440" w:gutter="0" w:footer="0" w:header="0"/>
        </w:sectPr>
      </w:pPr>
    </w:p>
    <w:bookmarkStart w:id="114" w:name="page115"/>
    <w:bookmarkEnd w:id="114"/>
    <w:p>
      <w:pPr>
        <w:jc w:val="both"/>
        <w:spacing w:after="0"/>
        <w:rPr>
          <w:sz w:val="20"/>
          <w:szCs w:val="20"/>
          <w:color w:val="auto"/>
        </w:rPr>
      </w:pPr>
      <w:r>
        <w:rPr>
          <w:rFonts w:ascii="Arial" w:cs="Arial" w:eastAsia="Arial" w:hAnsi="Arial"/>
          <w:sz w:val="18"/>
          <w:szCs w:val="18"/>
          <w:color w:val="auto"/>
        </w:rPr>
        <w:t>gains and losses realized as a result of the cumulative effect of a change in accounting principles; (7) all impairment charges or asset write-offs or write-downs, including those related to intangible assets, long-lived assets, investments in debt and equity securities or as a result of a change in law or regulation, in each case, pursuant to GAAP, and the amortization of intangibles arising pursuant to GAAP; (8) all non-cash provisions and benefits attributable to expected credit losses pursuant to Accounting Standards Codification 326; (9) all non-cash gains and losses attributable to mark-to-market valuation of hedging obligations pursuant to Accounting Standards Codification 815; and (10) all non-cash charges and expenses related to stock-based compensation plans or other non-cash compensation.</w:t>
      </w:r>
    </w:p>
    <w:p>
      <w:pPr>
        <w:spacing w:after="0" w:line="18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as to any Person, any provision of any security issued by such Person or of any agreement, instrument or other undertaking to which such Person is a party or by which it or any of its property is bound.</w:t>
      </w:r>
    </w:p>
    <w:p>
      <w:pPr>
        <w:spacing w:after="0" w:line="171" w:lineRule="exact"/>
        <w:rPr>
          <w:sz w:val="20"/>
          <w:szCs w:val="20"/>
          <w:color w:val="auto"/>
        </w:rPr>
      </w:pPr>
    </w:p>
    <w:p>
      <w:pPr>
        <w:jc w:val="both"/>
        <w:ind w:firstLine="1296"/>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JV Subsidiary</w:t>
      </w:r>
      <w:r>
        <w:rPr>
          <w:rFonts w:ascii="Arial" w:cs="Arial" w:eastAsia="Arial" w:hAnsi="Arial"/>
          <w:sz w:val="18"/>
          <w:szCs w:val="18"/>
          <w:color w:val="auto"/>
        </w:rPr>
        <w:t>”: a Restricted Subsidiary (a) that is not a Wholly Owned Subsidiary of the Borrower, (b) in respect of which the Borrower or a Wholly Owned Subsidiary of the Borrower owns at least 80.0% of all outstanding Equity Interests and (c) in respect of which the Borrower or a Wholly Owned Subsidiary of the Borrower has management control.</w:t>
      </w:r>
    </w:p>
    <w:p>
      <w:pPr>
        <w:spacing w:after="0" w:line="18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Corresponding Tenor</w:t>
      </w:r>
      <w:r>
        <w:rPr>
          <w:rFonts w:ascii="Arial" w:cs="Arial" w:eastAsia="Arial" w:hAnsi="Arial"/>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any of the following:</w:t>
      </w:r>
    </w:p>
    <w:p>
      <w:pPr>
        <w:spacing w:after="0" w:line="212" w:lineRule="exact"/>
        <w:rPr>
          <w:sz w:val="20"/>
          <w:szCs w:val="20"/>
          <w:color w:val="auto"/>
        </w:rPr>
      </w:pPr>
    </w:p>
    <w:p>
      <w:pPr>
        <w:ind w:left="1660" w:hanging="356"/>
        <w:spacing w:after="0"/>
        <w:tabs>
          <w:tab w:leader="none" w:pos="1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11" w:lineRule="exact"/>
        <w:rPr>
          <w:rFonts w:ascii="Arial" w:cs="Arial" w:eastAsia="Arial" w:hAnsi="Arial"/>
          <w:sz w:val="18"/>
          <w:szCs w:val="18"/>
          <w:color w:val="auto"/>
        </w:rPr>
      </w:pPr>
    </w:p>
    <w:p>
      <w:pPr>
        <w:ind w:left="1700" w:hanging="396"/>
        <w:spacing w:after="0"/>
        <w:tabs>
          <w:tab w:leader="none" w:pos="1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11" w:lineRule="exact"/>
        <w:rPr>
          <w:rFonts w:ascii="Arial" w:cs="Arial" w:eastAsia="Arial" w:hAnsi="Arial"/>
          <w:sz w:val="18"/>
          <w:szCs w:val="18"/>
          <w:color w:val="auto"/>
        </w:rPr>
      </w:pPr>
    </w:p>
    <w:p>
      <w:pPr>
        <w:ind w:left="1300" w:right="2320" w:firstLine="4"/>
        <w:spacing w:after="0" w:line="485" w:lineRule="auto"/>
        <w:tabs>
          <w:tab w:leader="none" w:pos="17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 “</w:t>
      </w:r>
      <w:r>
        <w:rPr>
          <w:rFonts w:ascii="Arial" w:cs="Arial" w:eastAsia="Arial" w:hAnsi="Arial"/>
          <w:sz w:val="18"/>
          <w:szCs w:val="18"/>
          <w:u w:val="single" w:color="auto"/>
          <w:color w:val="auto"/>
        </w:rPr>
        <w:t>Covered Party</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10.23</w:t>
      </w:r>
      <w:r>
        <w:rPr>
          <w:rFonts w:ascii="Arial" w:cs="Arial" w:eastAsia="Arial" w:hAnsi="Arial"/>
          <w:sz w:val="18"/>
          <w:szCs w:val="18"/>
          <w:color w:val="auto"/>
        </w:rPr>
        <w:t>.</w:t>
      </w:r>
    </w:p>
    <w:p>
      <w:pPr>
        <w:ind w:left="13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the Administrative Agent, any Issuing Lender or any other Lender.</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Rating</w:t>
      </w:r>
      <w:r>
        <w:rPr>
          <w:rFonts w:ascii="Arial" w:cs="Arial" w:eastAsia="Arial" w:hAnsi="Arial"/>
          <w:sz w:val="18"/>
          <w:szCs w:val="18"/>
          <w:color w:val="auto"/>
        </w:rPr>
        <w:t>”: the publicly announced senior unsecured credit rating of the Borrower given by Moody’s, S&amp;P or Fitch.</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Effective SOFR</w:t>
      </w:r>
      <w:r>
        <w:rPr>
          <w:rFonts w:ascii="Arial" w:cs="Arial" w:eastAsia="Arial" w:hAnsi="Arial"/>
          <w:sz w:val="18"/>
          <w:szCs w:val="18"/>
          <w:color w:val="auto"/>
        </w:rPr>
        <w:t>”: for any SOFR Rate Day, a rate per annum equal to SOFR effective for such SOFR Rate Day.</w:t>
      </w:r>
    </w:p>
    <w:p>
      <w:pPr>
        <w:spacing w:after="0" w:line="212"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u w:val="single" w:color="auto"/>
          <w:color w:val="0000FF"/>
          <w:highlight w:val="lightGray"/>
        </w:rPr>
        <w:t>“Daily Simple RFR”: for any day (an “RFR Interest Day”), an interest rate per annum equal to, for any RFR Loan denominated in (i) Sterling, SONIA for the day that is 5 RFR Business Days prior to (A) if such RFR Interest Day is an RFR Business Day, such RFR Interest Day or (B) if such RFR Interest Day is not an RFR Business Day, the RFR Business Day immediately preceding such RFR Interest Day and (ii) Dollars, Daily Simple SOFR.</w:t>
      </w:r>
    </w:p>
    <w:p>
      <w:pPr>
        <w:spacing w:after="0" w:line="188"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for any day (a “</w:t>
      </w:r>
      <w:r>
        <w:rPr>
          <w:rFonts w:ascii="Arial" w:cs="Arial" w:eastAsia="Arial" w:hAnsi="Arial"/>
          <w:sz w:val="18"/>
          <w:szCs w:val="18"/>
          <w:u w:val="single" w:color="auto"/>
          <w:color w:val="auto"/>
        </w:rPr>
        <w:t>SOFR Rate Day</w:t>
      </w:r>
      <w:r>
        <w:rPr>
          <w:rFonts w:ascii="Arial" w:cs="Arial" w:eastAsia="Arial" w:hAnsi="Arial"/>
          <w:sz w:val="18"/>
          <w:szCs w:val="18"/>
          <w:color w:val="auto"/>
        </w:rPr>
        <w:t>”), a rate per annum equal SOFR for the day (such day “</w:t>
      </w:r>
      <w:r>
        <w:rPr>
          <w:rFonts w:ascii="Arial" w:cs="Arial" w:eastAsia="Arial" w:hAnsi="Arial"/>
          <w:sz w:val="18"/>
          <w:szCs w:val="18"/>
          <w:u w:val="single" w:color="auto"/>
          <w:color w:val="auto"/>
        </w:rPr>
        <w:t>SOFR Determination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that is five (5) U.S. Government Securities Business Day prior to (i) if such SOFR Rate Day is a U.S. Government Securities Business Day, such SOFR Rate Day or (ii) if such SOFR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21" w:right="339" w:bottom="1440" w:gutter="0" w:footer="0" w:header="0"/>
        </w:sectPr>
      </w:pPr>
    </w:p>
    <w:bookmarkStart w:id="115" w:name="page116"/>
    <w:bookmarkEnd w:id="115"/>
    <w:p>
      <w:pPr>
        <w:jc w:val="both"/>
        <w:spacing w:after="0" w:line="270" w:lineRule="auto"/>
        <w:rPr>
          <w:sz w:val="20"/>
          <w:szCs w:val="20"/>
          <w:color w:val="auto"/>
        </w:rPr>
      </w:pPr>
      <w:r>
        <w:rPr>
          <w:rFonts w:ascii="Arial" w:cs="Arial" w:eastAsia="Arial" w:hAnsi="Arial"/>
          <w:sz w:val="17"/>
          <w:szCs w:val="17"/>
          <w:color w:val="auto"/>
        </w:rPr>
        <w:t>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SOFR Borrowing</w:t>
      </w:r>
      <w:r>
        <w:rPr>
          <w:rFonts w:ascii="Arial" w:cs="Arial" w:eastAsia="Arial" w:hAnsi="Arial"/>
          <w:sz w:val="18"/>
          <w:szCs w:val="18"/>
          <w:color w:val="auto"/>
        </w:rPr>
        <w:t>”: as to any Borrowing, the Daily SOFR Loans comprising such Borrowing.</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Daily SOFR Loan</w:t>
      </w:r>
      <w:r>
        <w:rPr>
          <w:rFonts w:ascii="Arial" w:cs="Arial" w:eastAsia="Arial" w:hAnsi="Arial"/>
          <w:sz w:val="17"/>
          <w:szCs w:val="17"/>
          <w:color w:val="auto"/>
        </w:rPr>
        <w:t>”: a Loan the rate of interest applicable to which is based upon the Adjusted Floating Overnight Daily SOFR Rate.</w:t>
      </w:r>
    </w:p>
    <w:p>
      <w:pPr>
        <w:spacing w:after="0" w:line="250" w:lineRule="exact"/>
        <w:rPr>
          <w:sz w:val="20"/>
          <w:szCs w:val="20"/>
          <w:color w:val="auto"/>
        </w:rPr>
      </w:pPr>
    </w:p>
    <w:p>
      <w:pPr>
        <w:jc w:val="both"/>
        <w:ind w:right="380"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any event or condition which constitutes an Event of Default or which upon notice, lapse of time or both would, unless cured or waived, become an Event of Default.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as defined in, and interpreted in accordance with, 12 C.F.R. §§ 252.81, 47.2 or 382.1, as applicable.</w:t>
      </w:r>
    </w:p>
    <w:p>
      <w:pPr>
        <w:spacing w:after="0" w:line="21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any Lender that (a) has failed, within two Business Days of the date required to be funded or paid, to (i) fund any portion of its Loans, (ii) fund any portion of its participations in Letters of Credit or (iii) pay over to any Credit Party any other amount required to be paid by it hereunder, unless,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such Credit Party’s receipt of such certification in form and substance satisfactory to it and the Administrative Agent, (d) has become the subject of a Bankruptcy Event or a Bail-In Action or (e) is the Subsidiary of a Parent that has become the subject of a Bankruptcy Event or a Bail-In Action.</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Draw Commitment Fee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2.6(c)</w:t>
      </w:r>
      <w:r>
        <w:rPr>
          <w:rFonts w:ascii="Arial" w:cs="Arial" w:eastAsia="Arial" w:hAnsi="Arial"/>
          <w:sz w:val="18"/>
          <w:szCs w:val="18"/>
          <w:color w:val="auto"/>
        </w:rPr>
        <w:t>.</w:t>
      </w:r>
    </w:p>
    <w:p>
      <w:pPr>
        <w:spacing w:after="0" w:line="212" w:lineRule="exact"/>
        <w:rPr>
          <w:sz w:val="20"/>
          <w:szCs w:val="20"/>
          <w:color w:val="auto"/>
        </w:rPr>
      </w:pPr>
    </w:p>
    <w:p>
      <w:pPr>
        <w:jc w:val="both"/>
        <w:ind w:right="20"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Draw Funding Date</w:t>
      </w:r>
      <w:r>
        <w:rPr>
          <w:rFonts w:ascii="Arial" w:cs="Arial" w:eastAsia="Arial" w:hAnsi="Arial"/>
          <w:sz w:val="18"/>
          <w:szCs w:val="18"/>
          <w:color w:val="auto"/>
        </w:rPr>
        <w:t>”: any date on which Delayed Draw Term Loans are funded hereunder, which shall in no event be later than the Delayed Draw Term Commitment Termination Date.</w:t>
      </w:r>
    </w:p>
    <w:p>
      <w:pPr>
        <w:spacing w:after="0" w:line="171"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Draw Term Commitment</w:t>
      </w:r>
      <w:r>
        <w:rPr>
          <w:rFonts w:ascii="Arial" w:cs="Arial" w:eastAsia="Arial" w:hAnsi="Arial"/>
          <w:sz w:val="18"/>
          <w:szCs w:val="18"/>
          <w:color w:val="auto"/>
        </w:rPr>
        <w:t xml:space="preserve">”: as to any Lender, the obligation of such Lender, if any, to make a Delayed Draw Term Loan to the Borrower in a principal amount not to exceed the amount set forth under the heading “Delayed Draw Term Commitment” opposite such Lender’s name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or in the Assignment and Assumption pursuant to which such Lender became a party hereto, as the same may be changed from time to time pursuant to the terms hereof, including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2.21</w:t>
      </w:r>
      <w:r>
        <w:rPr>
          <w:rFonts w:ascii="Arial" w:cs="Arial" w:eastAsia="Arial" w:hAnsi="Arial"/>
          <w:sz w:val="18"/>
          <w:szCs w:val="18"/>
          <w:color w:val="auto"/>
        </w:rPr>
        <w:t>. The initial aggregate amount of the Delayed Draw Term Commitments is $1,000,000,000.</w:t>
      </w:r>
    </w:p>
    <w:p>
      <w:pPr>
        <w:spacing w:after="0" w:line="189"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Draw Term Commitment Termination Date</w:t>
      </w:r>
      <w:r>
        <w:rPr>
          <w:rFonts w:ascii="Arial" w:cs="Arial" w:eastAsia="Arial" w:hAnsi="Arial"/>
          <w:sz w:val="18"/>
          <w:szCs w:val="18"/>
          <w:color w:val="auto"/>
        </w:rPr>
        <w:t xml:space="preserve">”: the earlier of (i) date that is 12 months after the Closing Date, (ii) the date on which the Delayed Draw Term Commitment has been fully drawn and (iii) the date of termination of any Delayed Draw Term Commitments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such that after giving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21" w:right="339" w:bottom="1440" w:gutter="0" w:footer="0" w:header="0"/>
        </w:sectPr>
      </w:pPr>
    </w:p>
    <w:bookmarkStart w:id="116" w:name="page117"/>
    <w:bookmarkEnd w:id="116"/>
    <w:p>
      <w:pPr>
        <w:jc w:val="both"/>
        <w:spacing w:after="0" w:line="261" w:lineRule="auto"/>
        <w:rPr>
          <w:sz w:val="20"/>
          <w:szCs w:val="20"/>
          <w:color w:val="auto"/>
        </w:rPr>
      </w:pPr>
      <w:r>
        <w:rPr>
          <w:rFonts w:ascii="Arial" w:cs="Arial" w:eastAsia="Arial" w:hAnsi="Arial"/>
          <w:sz w:val="18"/>
          <w:szCs w:val="18"/>
          <w:color w:val="auto"/>
        </w:rPr>
        <w:t xml:space="preserve">effect to such termination, there are no Available Delayed Draw Term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that if such date is not a Business Day, the “Delayed Draw Term Commitment Termination Date” will be the immediately preceding Business Day.</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Draw Term Extension Response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Draw Term Facility</w:t>
      </w:r>
      <w:r>
        <w:rPr>
          <w:rFonts w:ascii="Arial" w:cs="Arial" w:eastAsia="Arial" w:hAnsi="Arial"/>
          <w:sz w:val="18"/>
          <w:szCs w:val="18"/>
          <w:color w:val="auto"/>
        </w:rPr>
        <w:t>”: the Delayed Draw Term Commitments and the Delayed Draw Term Loans made thereunder.</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Delayed Draw Term Lender</w:t>
      </w:r>
      <w:r>
        <w:rPr>
          <w:rFonts w:ascii="Arial" w:cs="Arial" w:eastAsia="Arial" w:hAnsi="Arial"/>
          <w:sz w:val="17"/>
          <w:szCs w:val="17"/>
          <w:color w:val="auto"/>
        </w:rPr>
        <w:t>”: each Lender that has a Delayed Draw Term Commitment or that holds a Delayed Draw Term Loan.</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Draw Term Loan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12" w:lineRule="exact"/>
        <w:rPr>
          <w:sz w:val="20"/>
          <w:szCs w:val="20"/>
          <w:color w:val="auto"/>
        </w:rPr>
      </w:pPr>
    </w:p>
    <w:p>
      <w:pPr>
        <w:jc w:val="both"/>
        <w:ind w:right="20" w:firstLine="1296"/>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Delayed Draw Term Maturity Date</w:t>
      </w:r>
      <w:r>
        <w:rPr>
          <w:rFonts w:ascii="Arial" w:cs="Arial" w:eastAsia="Arial" w:hAnsi="Arial"/>
          <w:sz w:val="16"/>
          <w:szCs w:val="16"/>
          <w:color w:val="auto"/>
        </w:rPr>
        <w:t>”: March 31, 2025 (the “</w:t>
      </w:r>
      <w:r>
        <w:rPr>
          <w:rFonts w:ascii="Arial" w:cs="Arial" w:eastAsia="Arial" w:hAnsi="Arial"/>
          <w:sz w:val="16"/>
          <w:szCs w:val="16"/>
          <w:u w:val="single" w:color="auto"/>
          <w:color w:val="auto"/>
        </w:rPr>
        <w:t>Initial Delayed Draw Term Maturity Date</w:t>
      </w:r>
      <w:r>
        <w:rPr>
          <w:rFonts w:ascii="Arial" w:cs="Arial" w:eastAsia="Arial" w:hAnsi="Arial"/>
          <w:sz w:val="16"/>
          <w:szCs w:val="16"/>
          <w:color w:val="auto"/>
        </w:rPr>
        <w:t xml:space="preserve">”), subject to extension as provided in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each case, if such date is not a Business Day, the Maturity Date shall be the next preceding Business Day.</w:t>
      </w:r>
    </w:p>
    <w:p>
      <w:pPr>
        <w:spacing w:after="0" w:line="12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Delayed Draw Term Percentage</w:t>
      </w:r>
      <w:r>
        <w:rPr>
          <w:rFonts w:ascii="Arial" w:cs="Arial" w:eastAsia="Arial" w:hAnsi="Arial"/>
          <w:sz w:val="17"/>
          <w:szCs w:val="17"/>
          <w:color w:val="auto"/>
        </w:rPr>
        <w:t xml:space="preserve">”: as to any Delayed Draw Term Lender at any time, the percentage which such Lender’s Delayed Draw Term Commitment then constitutes of the Total Delayed Draw Term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when a Defaulting Lender which is a Delayed Draw Term Lender shall exist, “Delayed Draw Term Percentage” shall mean the percentage which such Lender’s Delayed Draw Term Commitment then constitutes of the Total Delayed Draw Term Commitment (disregarding any Defaulting Lender’s Delayed Draw Term Commitment). With respect to any Delayed Draw Term Lender whose Delayed Draw Term Commitments shall have expired or terminated, “Delayed Draw Term Percentage” shall mean the percentage which the aggregate principal amount of such Lender’s Delayed Draw Term Loans then outstanding constitutes of the aggregate principal amount of the Delayed Draw Term Loans then outstanding.</w:t>
      </w:r>
    </w:p>
    <w:p>
      <w:pPr>
        <w:spacing w:after="0" w:line="180"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Development Property</w:t>
      </w:r>
      <w:r>
        <w:rPr>
          <w:rFonts w:ascii="Arial" w:cs="Arial" w:eastAsia="Arial" w:hAnsi="Arial"/>
          <w:sz w:val="16"/>
          <w:szCs w:val="16"/>
          <w:color w:val="auto"/>
        </w:rPr>
        <w:t>”: Real Property acquired, or any portion of any existing Real Property available, for purposes of becoming, or currently under development into, an Income Property that is owned, operated or leased or otherwise controlled by the Borrower, its Restricted Subsidiaries or its Restricted Joint Ventures. Each Development Property shall continue to be classified as a Development Property hereunder until (a) such Real Property has at least one full quarter of operating results and (b) the Borrower elects to reclassify such property as an Income Property for all purposes of this Agreement, upon and after which such property shall be classified as an Income Property hereunder. For all purposes of this Agreement, it is understood that in the case of any expansion of an existing Real Property, the portion associated with such expansion may, at the election of the Borrower, be classified as a Development Property while the existing portion thereof not subject to such expansion project remains an Income Property (and only the portion classified as a Development Property shall be counted against the concentration limitations in Unencumbered Asset Value).</w:t>
      </w:r>
    </w:p>
    <w:p>
      <w:pPr>
        <w:spacing w:after="0" w:line="168"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Discharged</w:t>
      </w:r>
      <w:r>
        <w:rPr>
          <w:rFonts w:ascii="Arial" w:cs="Arial" w:eastAsia="Arial" w:hAnsi="Arial"/>
          <w:sz w:val="18"/>
          <w:szCs w:val="18"/>
          <w:color w:val="auto"/>
        </w:rPr>
        <w:t>”: Indebtedness that has been defeased (pursuant to a contractual or legal defeasance) or discharged pursuant to the prepayment or deposit of amounts sufficient to satisfy such Indebtedness as it becomes due or irrevocably called for redemption (and regardless of whether such Indebtedness constitutes a liability on the balance sheet of the obligors thereof).</w:t>
      </w:r>
    </w:p>
    <w:p>
      <w:pPr>
        <w:spacing w:after="0" w:line="18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with respect to any asset, right or property, any sale, lease, license, sale and leaseback, assignment, conveyance, transfer, abandonment or other disposition thereof. The terms “Dispose” and “Disposed of” shall have correlative meanings.</w:t>
      </w:r>
    </w:p>
    <w:p>
      <w:pPr>
        <w:spacing w:after="0" w:line="171" w:lineRule="exact"/>
        <w:rPr>
          <w:sz w:val="20"/>
          <w:szCs w:val="20"/>
          <w:color w:val="auto"/>
        </w:rPr>
      </w:pPr>
    </w:p>
    <w:p>
      <w:pPr>
        <w:jc w:val="both"/>
        <w:ind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Institution</w:t>
      </w:r>
      <w:r>
        <w:rPr>
          <w:rFonts w:ascii="Arial" w:cs="Arial" w:eastAsia="Arial" w:hAnsi="Arial"/>
          <w:sz w:val="18"/>
          <w:szCs w:val="18"/>
          <w:color w:val="auto"/>
        </w:rPr>
        <w:t xml:space="preserve">”: (a) Persons reasonably determined by the Borrower to be Competitors that have been identified in writing by the Borrower to the Administrative Agent by delivery of a notice thereof to the Administrative Agent (at any time when JPMorgan Chase Bank, N.A., is serving as Administrative Agent, by e-mail to JPMDQ_Contact@jpmorgan.com) at any time and from time to time (and each written supplement shall become effective three Business Days after delivery thereof to the Administrative Agent) and (b) as to any entity referenced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Primary</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Disqualified Institution</w:t>
      </w:r>
      <w:r>
        <w:rPr>
          <w:rFonts w:ascii="Arial" w:cs="Arial" w:eastAsia="Arial" w:hAnsi="Arial"/>
          <w:sz w:val="18"/>
          <w:szCs w:val="18"/>
          <w:color w:val="auto"/>
        </w:rPr>
        <w:t>”), its Affiliates (other than Bona Fide Debt Fund Affiliates) to the extent such Affiliates are identified in writing by the Borrower to the Administrative Agent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21" w:right="339" w:bottom="1440" w:gutter="0" w:footer="0" w:header="0"/>
        </w:sectPr>
      </w:pPr>
    </w:p>
    <w:bookmarkStart w:id="117" w:name="page118"/>
    <w:bookmarkEnd w:id="117"/>
    <w:p>
      <w:pPr>
        <w:jc w:val="both"/>
        <w:spacing w:after="0" w:line="255" w:lineRule="auto"/>
        <w:rPr>
          <w:sz w:val="20"/>
          <w:szCs w:val="20"/>
          <w:color w:val="auto"/>
        </w:rPr>
      </w:pPr>
      <w:r>
        <w:rPr>
          <w:rFonts w:ascii="Arial" w:cs="Arial" w:eastAsia="Arial" w:hAnsi="Arial"/>
          <w:sz w:val="17"/>
          <w:szCs w:val="17"/>
          <w:color w:val="auto"/>
        </w:rPr>
        <w:t>delivery of a notice thereof to the Administrative Agent (at any time when JPMorgan Chase Bank, N.A., is serving as Administrative Agent, by e-mail to JPMDQ_Contact@jpmorgan.com) (and each written supplement shall become effective three Business Days after delivery thereof to the Administrative Agent, as applicable) or are otherwise clearly identifiable as an Affiliate based solely by similarity of such Affiliate’s name to the name of a person on such list, it being understood and agreed that the foregoing provisions shall not apply retroactively to any Person if such Person shall have previously acquired an assignment or participation interest (or shall have entered into a trade therefor) prior thereto. For the avoidance of doubt, the Borrower may remove the designation of Persons as Disqualified Institutions by notice to the Administrative Agent (at any time when JPMorgan Chase Bank, N.A., is serving as Administrative Agent, by e-mail to JPMDQ_Contact@jpmorgan.com).</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Institution List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10.6(f)(iv)</w:t>
      </w:r>
      <w:r>
        <w:rPr>
          <w:rFonts w:ascii="Arial" w:cs="Arial" w:eastAsia="Arial" w:hAnsi="Arial"/>
          <w:sz w:val="18"/>
          <w:szCs w:val="18"/>
          <w:color w:val="auto"/>
        </w:rPr>
        <w:t>.</w:t>
      </w:r>
    </w:p>
    <w:p>
      <w:pPr>
        <w:spacing w:after="0" w:line="212"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6"/>
          <w:szCs w:val="16"/>
          <w:u w:val="single" w:color="auto"/>
          <w:color w:val="0000FF"/>
          <w:highlight w:val="lightGray"/>
        </w:rPr>
        <w:t>“Dollar Equivalent”: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 Administrative Agent in its reasonable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reasonable discretion.</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dollars in lawful currency of the United States.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any Subsidiary of the Borrower organized under the laws of any jurisdiction within the United States.</w:t>
      </w:r>
    </w:p>
    <w:p>
      <w:pPr>
        <w:spacing w:after="0" w:line="212"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EBITDA</w:t>
      </w:r>
      <w:r>
        <w:rPr>
          <w:rFonts w:ascii="Arial" w:cs="Arial" w:eastAsia="Arial" w:hAnsi="Arial"/>
          <w:sz w:val="16"/>
          <w:szCs w:val="16"/>
          <w:color w:val="auto"/>
        </w:rPr>
        <w:t xml:space="preserve">”: with respect to any fiscal period and with respect to any Person, the sum of (a) Consolidated Net Income of such Person for that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any extraordinary loss reflected in such Consolidated Net Income, and, without duplication, any loss associated with the early retirement of Indebtedness and with any disposition not in the ordinary course of business,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any extraordinary gain reflected in such Consolidated Net Income, and, without duplication, any gains associated with the early retirement of Indebtedness and with any disposition not in the ordinary course of business,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consolidated interest expense of such Person for that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the aggregate amount of expense for federal, foreign, state and local taxes on or measured by income of such Person for that period (whether or not payable during that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(f) the aggregate amount of benefit for federal, foreign, state and local taxes on or measured by income of such Person for that period (whether or not receivable during that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(g) (1) depreciation, amortization and all unusual or non-recurring expenses and (2) all non-cash expenses (excluding any such non-cash item to the extent that it represents an accrual or a reserve for potential cash items in any future period or amortization of a prepaid cash item that was paid in a prior period) to the extent deducted in arriving at Consolidated Net Income for that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(h) (1) any unusual or non-recurring gains, (2) any cash payments made during such period in respect of items described in </w:t>
      </w:r>
      <w:r>
        <w:rPr>
          <w:rFonts w:ascii="Arial" w:cs="Arial" w:eastAsia="Arial" w:hAnsi="Arial"/>
          <w:sz w:val="16"/>
          <w:szCs w:val="16"/>
          <w:u w:val="single" w:color="auto"/>
          <w:color w:val="auto"/>
        </w:rPr>
        <w:t>clause (g)(2)</w:t>
      </w:r>
      <w:r>
        <w:rPr>
          <w:rFonts w:ascii="Arial" w:cs="Arial" w:eastAsia="Arial" w:hAnsi="Arial"/>
          <w:sz w:val="16"/>
          <w:szCs w:val="16"/>
          <w:color w:val="auto"/>
        </w:rPr>
        <w:t xml:space="preserve"> above subsequent to the fiscal quarter in which any relevant non-cash expenses were incurred and (3) all non-cash income or gains (other than the accrual of revenue in the ordinary course), but excluding any such items (A) in respect of which cash was received in a prior period or will be received in a future period or (B) which represent the reversal in such period of any accrual of, or reserve for, anticipated cash charges in any prior period where such accrual or reserve is no longer required, in each case, to the extent reflected in arriving at Consolidated Net Income for that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 expenses classified as “transaction and acquisition expenses” on the applicable financial statements of that Person for that fiscal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(j) rental revenues receivable in cash related to any Master Lease and not recognized under GAAP (so long as such amount is actually received for such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(k) rental revenues recognized under GAAP but not currently receivable in cash under any Master Lease,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(l) with respect to consolidated Restricted Subsidiaries, non-controlling or minority interest reflected in Consolidated Net Income, and, without duplication, in each case as determined in accordance with GAAP,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(m) non-cash lease and financing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21" w:right="339" w:bottom="1440" w:gutter="0" w:footer="0" w:header="0"/>
        </w:sectPr>
      </w:pPr>
    </w:p>
    <w:bookmarkStart w:id="118" w:name="page119"/>
    <w:bookmarkEnd w:id="118"/>
    <w:p>
      <w:pPr>
        <w:ind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xml:space="preserve">”: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6"/>
          <w:szCs w:val="16"/>
          <w:u w:val="single" w:color="auto"/>
          <w:color w:val="auto"/>
        </w:rPr>
        <w:t>clause</w:t>
      </w:r>
    </w:p>
    <w:p>
      <w:pPr>
        <w:spacing w:after="0" w:line="1" w:lineRule="exact"/>
        <w:rPr>
          <w:sz w:val="20"/>
          <w:szCs w:val="20"/>
          <w:color w:val="auto"/>
        </w:rPr>
      </w:pPr>
    </w:p>
    <w:p>
      <w:pPr>
        <w:ind w:firstLine="8"/>
        <w:spacing w:after="0" w:line="243" w:lineRule="auto"/>
        <w:tabs>
          <w:tab w:leader="none" w:pos="250" w:val="left"/>
        </w:tabs>
        <w:numPr>
          <w:ilvl w:val="0"/>
          <w:numId w:val="56"/>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any of the member states of the European Union, Iceland, Liechtenstein, and Norway.</w:t>
      </w:r>
    </w:p>
    <w:p>
      <w:pPr>
        <w:spacing w:after="0" w:line="21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71" w:lineRule="exact"/>
        <w:rPr>
          <w:sz w:val="20"/>
          <w:szCs w:val="20"/>
          <w:color w:val="auto"/>
        </w:rPr>
      </w:pPr>
    </w:p>
    <w:p>
      <w:pPr>
        <w:jc w:val="both"/>
        <w:ind w:right="20"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an electronic sound, symbol, or process attached to, or associated with, a contract or other record and adopted by a person with the intent to sign, authenticate or accept such contract or record.</w:t>
      </w:r>
    </w:p>
    <w:p>
      <w:pPr>
        <w:spacing w:after="0" w:line="171"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(a) a Lender or any Affiliate or Approved Fund of such Lender, or (b) a bank, trust company, finance company, insurance company or any other Person that is regularly engaged in making, purchasing or investing in loans of a type similar to the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“Eligible Assignee” shall not include (v) the Borrower or any of its Subsidiaries or Affiliates, (w) any natural person, (x) a holding company, investment vehicle or trust for, or owned and operated for the primary benefit of, a natural person or relative(s) thereof, (y) any Defaulting Lender or (z) any Disqualified Institution;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w:t>
      </w:r>
      <w:r>
        <w:rPr>
          <w:rFonts w:ascii="Arial" w:cs="Arial" w:eastAsia="Arial" w:hAnsi="Arial"/>
          <w:sz w:val="18"/>
          <w:szCs w:val="18"/>
          <w:u w:val="single" w:color="auto"/>
          <w:color w:val="auto"/>
        </w:rPr>
        <w:t>clause (x)</w:t>
      </w:r>
      <w:r>
        <w:rPr>
          <w:rFonts w:ascii="Arial" w:cs="Arial" w:eastAsia="Arial" w:hAnsi="Arial"/>
          <w:sz w:val="18"/>
          <w:szCs w:val="18"/>
          <w:color w:val="auto"/>
        </w:rPr>
        <w:t>, such holding company, investment vehicle or trust shall constitute an Eligible Assignee if it (i) has not been established for the primary purpose of acquiring any Loans or Commitments, (ii) is managed by a professional advisor, who is not such natural person or a relative thereof, having significant experience in the business of making or purchasing commercial loans, and (iii) has a significant part of its activities consist of making or purchasing commercial loans and similar extensions of credit in the ordinary course of its business.</w:t>
      </w:r>
    </w:p>
    <w:p>
      <w:pPr>
        <w:spacing w:after="0" w:line="19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Ground Lease</w:t>
      </w:r>
      <w:r>
        <w:rPr>
          <w:rFonts w:ascii="Arial" w:cs="Arial" w:eastAsia="Arial" w:hAnsi="Arial"/>
          <w:sz w:val="17"/>
          <w:szCs w:val="17"/>
          <w:color w:val="auto"/>
        </w:rPr>
        <w:t>”: each ground lease with respect to an Income Property, Redevelopment Property, Development Property or undeveloped land executed by the Borrower, any Restricted Subsidiary or any Restricted Joint Venture of the Borrower, as applicable, as lessee, that (i) has a remaining lease term (including extension or renewal rights exercisable at the sole option of the tenant thereunder) of at least twenty-five (25) years, calculated as of the date such property becomes included in the calculation of Total Asset Value or Unencumbered Asset Value hereunder, (ii) is free and clear of any liens (other than Permitted Liens) and any negative pledge agreement or other agreement that prohibits the creation of a lien and (iii) contains customary financing provisions including, without limitation, notice and cure rights.</w:t>
      </w:r>
    </w:p>
    <w:p>
      <w:pPr>
        <w:spacing w:after="0" w:line="175"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all laws (including common law), rules, regulations, codes, ordinances, orders, decrees, judgments, injunctions, notices or binding agreements issued, promulgated or entered into by any Governmental Authority, relating in any way to (i) the environment, (ii) preservation or reclamation of natural resources, (iii) the management, release or threatened release of any harmful or deleterious substances or (iv) health and safety matters.</w:t>
      </w:r>
    </w:p>
    <w:p>
      <w:pPr>
        <w:spacing w:after="0" w:line="188" w:lineRule="exact"/>
        <w:rPr>
          <w:sz w:val="20"/>
          <w:szCs w:val="20"/>
          <w:color w:val="auto"/>
        </w:rPr>
      </w:pPr>
    </w:p>
    <w:p>
      <w:pPr>
        <w:jc w:val="both"/>
        <w:ind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or arrangement for disposal of any Materials of Environmental Concern, (c) exposure to any Materials of Environmental Concern, (d) the release or threatened release of any Materials of Environmental Concern into the indoor or outdoor environment or (e) any contract, agreement or other consensual arrangement pursuant to which liability is assumed or imposed with respect to any of the foregoing.</w:t>
      </w:r>
    </w:p>
    <w:p>
      <w:pPr>
        <w:spacing w:after="0" w:line="189" w:lineRule="exact"/>
        <w:rPr>
          <w:sz w:val="20"/>
          <w:szCs w:val="20"/>
          <w:color w:val="auto"/>
        </w:rPr>
      </w:pPr>
    </w:p>
    <w:p>
      <w:pPr>
        <w:jc w:val="both"/>
        <w:ind w:right="20" w:firstLine="129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21" w:right="339" w:bottom="1440" w:gutter="0" w:footer="0" w:header="0"/>
        </w:sectPr>
      </w:pPr>
    </w:p>
    <w:bookmarkStart w:id="119" w:name="page120"/>
    <w:bookmarkEnd w:id="119"/>
    <w:p>
      <w:pPr>
        <w:jc w:val="both"/>
        <w:spacing w:after="0" w:line="243" w:lineRule="auto"/>
        <w:rPr>
          <w:sz w:val="20"/>
          <w:szCs w:val="20"/>
          <w:color w:val="auto"/>
        </w:rPr>
      </w:pPr>
      <w:r>
        <w:rPr>
          <w:rFonts w:ascii="Arial" w:cs="Arial" w:eastAsia="Arial" w:hAnsi="Arial"/>
          <w:sz w:val="18"/>
          <w:szCs w:val="18"/>
          <w:color w:val="auto"/>
        </w:rPr>
        <w:t>profit interests in) such Person or warrant, right or option for the purchase or other acquisition from such Person of such shares (or such other interests), and any other ownership or profit interest in such Person (including partnership, member or trust interests therein), whether voting or nonvoting, and whether or not such share, warrant, option, right or other interest is authorized or otherwise existing on any date of determination, excluding any debt instrument convertible into equity securities of the Borrower or any of its Subsidiaries.</w:t>
      </w:r>
    </w:p>
    <w:p>
      <w:pPr>
        <w:spacing w:after="0" w:line="188"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 from time to time, and the rules and regulations promulgated thereunder.</w:t>
      </w:r>
    </w:p>
    <w:p>
      <w:pPr>
        <w:spacing w:after="0" w:line="171" w:lineRule="exact"/>
        <w:rPr>
          <w:sz w:val="20"/>
          <w:szCs w:val="20"/>
          <w:color w:val="auto"/>
        </w:rPr>
      </w:pPr>
    </w:p>
    <w:p>
      <w:pPr>
        <w:jc w:val="both"/>
        <w:ind w:right="20"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the EU Bail-In Legislation Schedule published by the Loan Market Association (or any successor Person), as in effect from time to time.</w:t>
      </w:r>
    </w:p>
    <w:p>
      <w:pPr>
        <w:spacing w:after="0" w:line="17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u w:val="single" w:color="auto"/>
          <w:color w:val="0000FF"/>
          <w:highlight w:val="lightGray"/>
        </w:rPr>
        <w:t>“EURIBOR Rate”: with respect to any Term Benchmark Borrowing denominated in Euros and for any Interest Period, the EURIBOR Screen Rate, two TARGET Days prior to the commencement of such Interest Period.</w:t>
      </w:r>
    </w:p>
    <w:p>
      <w:pPr>
        <w:spacing w:after="0" w:line="17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7"/>
          <w:szCs w:val="17"/>
          <w:u w:val="single" w:color="auto"/>
          <w:color w:val="0000FF"/>
          <w:highlight w:val="lightGray"/>
        </w:rPr>
        <w:t>“EURIBOR Screen Rate”: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Company.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“Euro” and “€”: the single currency of the Participating Member States.</w:t>
      </w:r>
    </w:p>
    <w:p>
      <w:pPr>
        <w:spacing w:after="0" w:line="212" w:lineRule="exact"/>
        <w:rPr>
          <w:sz w:val="20"/>
          <w:szCs w:val="20"/>
          <w:color w:val="auto"/>
        </w:rPr>
      </w:pPr>
    </w:p>
    <w:p>
      <w:pPr>
        <w:jc w:val="both"/>
        <w:ind w:right="20"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any of the events specified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any requirement for the giving of notice, the lapse of time, or both, has been satisfied.</w:t>
      </w:r>
    </w:p>
    <w:p>
      <w:pPr>
        <w:spacing w:after="0" w:line="171" w:lineRule="exact"/>
        <w:rPr>
          <w:sz w:val="20"/>
          <w:szCs w:val="20"/>
          <w:color w:val="auto"/>
        </w:rPr>
      </w:pPr>
    </w:p>
    <w:p>
      <w:pPr>
        <w:jc w:val="both"/>
        <w:ind w:right="20"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Foreign Subsidiary</w:t>
      </w:r>
      <w:r>
        <w:rPr>
          <w:rFonts w:ascii="Arial" w:cs="Arial" w:eastAsia="Arial" w:hAnsi="Arial"/>
          <w:sz w:val="18"/>
          <w:szCs w:val="18"/>
          <w:color w:val="auto"/>
        </w:rPr>
        <w:t>”: any (i) Foreign Subsidiary that is a controlled foreign corporation under Section 957 of the Code (“</w:t>
      </w:r>
      <w:r>
        <w:rPr>
          <w:rFonts w:ascii="Arial" w:cs="Arial" w:eastAsia="Arial" w:hAnsi="Arial"/>
          <w:sz w:val="18"/>
          <w:szCs w:val="18"/>
          <w:u w:val="single" w:color="auto"/>
          <w:color w:val="auto"/>
        </w:rPr>
        <w:t>CFC</w:t>
      </w:r>
      <w:r>
        <w:rPr>
          <w:rFonts w:ascii="Arial" w:cs="Arial" w:eastAsia="Arial" w:hAnsi="Arial"/>
          <w:sz w:val="18"/>
          <w:szCs w:val="18"/>
          <w:color w:val="auto"/>
        </w:rPr>
        <w:t xml:space="preserve">”), (ii) Subsidiary substantially all the assets of which consist of direct or indirect equity or debt investments in one or more Foreign Subsidiaries that are CFCs, and (iii) Subsidiary of a Subsidiary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w:t>
      </w:r>
    </w:p>
    <w:p>
      <w:pPr>
        <w:spacing w:after="0" w:line="182"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with respect to any Subsidiary Guarantor, any Swap Obligation if, and to the extent that, all or a portion of the guarantee of such Subsidiary Guarantor of, or the grant by such Subsidiary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(a) by virtue of such Subsidiary Guarantor’s failure for any reason to constitute an “eligible contract participant” as defined in the Commodity Exchange Act and the regulations thereunder at the time the guarantee of such Subsidiary Guarantor or the grant of such security interest becomes or would become effective with respect to such Swap Obligation or (b) in the case of a Swap Obligation subject to a clearing requirement pursuant to Section 2(h) of the Commodity Exchange Act (or any successor provision thereto), because such Subsidiary Guarantor is a “financial entity,” as defined in Section 2(h)(7)(C)(i) the Commodity Exchange Act (or any successor provision thereto), at the time the guarantee of such Subsidiary Guarantor becomes or would become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any of the following Taxes imposed on or with respect to a Recipient or required to be withheld or deducted from a payment to a Recipient, (a) Taxes imposed on or measured by net income (however denominated), franchise Taxes, and branch profits Taxes, in each case,</w:t>
      </w:r>
    </w:p>
    <w:p>
      <w:pPr>
        <w:spacing w:after="0" w:line="1" w:lineRule="exact"/>
        <w:rPr>
          <w:sz w:val="20"/>
          <w:szCs w:val="20"/>
          <w:color w:val="auto"/>
        </w:rPr>
      </w:pPr>
    </w:p>
    <w:p>
      <w:pPr>
        <w:ind w:firstLine="8"/>
        <w:spacing w:after="0" w:line="243" w:lineRule="auto"/>
        <w:tabs>
          <w:tab w:leader="none" w:pos="2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imposed as a result of such Recipient being organized under the laws of, or having its principal office or, in the case of any Lender, its applicable lending office located in, the jurisdiction imposing such Tax (or any political subdivision thereof) or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21" w:right="339" w:bottom="1440" w:gutter="0" w:footer="0" w:header="0"/>
        </w:sectPr>
      </w:pPr>
    </w:p>
    <w:bookmarkStart w:id="120" w:name="page121"/>
    <w:bookmarkEnd w:id="120"/>
    <w:p>
      <w:pPr>
        <w:jc w:val="both"/>
        <w:spacing w:after="0" w:line="271" w:lineRule="auto"/>
        <w:rPr>
          <w:sz w:val="20"/>
          <w:szCs w:val="20"/>
          <w:color w:val="auto"/>
        </w:rPr>
      </w:pPr>
      <w:r>
        <w:rPr>
          <w:rFonts w:ascii="Arial" w:cs="Arial" w:eastAsia="Arial" w:hAnsi="Arial"/>
          <w:sz w:val="16"/>
          <w:szCs w:val="16"/>
          <w:color w:val="auto"/>
        </w:rPr>
        <w:t xml:space="preserve">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 under </w:t>
      </w:r>
      <w:r>
        <w:rPr>
          <w:rFonts w:ascii="Arial" w:cs="Arial" w:eastAsia="Arial" w:hAnsi="Arial"/>
          <w:sz w:val="16"/>
          <w:szCs w:val="16"/>
          <w:u w:val="single" w:color="auto"/>
          <w:color w:val="auto"/>
        </w:rPr>
        <w:t>Section 2.20</w:t>
      </w:r>
      <w:r>
        <w:rPr>
          <w:rFonts w:ascii="Arial" w:cs="Arial" w:eastAsia="Arial" w:hAnsi="Arial"/>
          <w:sz w:val="16"/>
          <w:szCs w:val="16"/>
          <w:color w:val="auto"/>
        </w:rPr>
        <w:t>) or</w:t>
      </w:r>
    </w:p>
    <w:p>
      <w:pPr>
        <w:jc w:val="both"/>
        <w:ind w:firstLine="8"/>
        <w:spacing w:after="0" w:line="238" w:lineRule="auto"/>
        <w:tabs>
          <w:tab w:leader="none" w:pos="289"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such Lender changes its lending office, except in each case to the extent that,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w:t>
      </w:r>
      <w:r>
        <w:rPr>
          <w:rFonts w:ascii="Arial" w:cs="Arial" w:eastAsia="Arial" w:hAnsi="Arial"/>
          <w:sz w:val="18"/>
          <w:szCs w:val="18"/>
          <w:u w:val="single" w:color="auto"/>
          <w:color w:val="auto"/>
        </w:rPr>
        <w:t>Section 2.17(f)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any U.S. Federal withholding Taxes imposed under FATCA.</w:t>
      </w:r>
    </w:p>
    <w:p>
      <w:pPr>
        <w:spacing w:after="0" w:line="18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that certain Amended and Restated Credit Agreement, dated as of May 15, 2019, among the VICI Properties 1 LLC, as borrower, each lender from time to time party thereto and Goldman Sachs USA, as administrative agent.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Delayed Draw Term Maturity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Revolving Maturity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2.23(b)</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“Existing USD Revolving Maturity Date”: as defined in Section 2.23(c).</w:t>
      </w:r>
    </w:p>
    <w:p>
      <w:pPr>
        <w:spacing w:after="0" w:line="212"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Senior Indentures</w:t>
      </w:r>
      <w:r>
        <w:rPr>
          <w:rFonts w:ascii="Arial" w:cs="Arial" w:eastAsia="Arial" w:hAnsi="Arial"/>
          <w:sz w:val="17"/>
          <w:szCs w:val="17"/>
          <w:color w:val="auto"/>
        </w:rPr>
        <w:t>”: collectively, the 2025 Senior Unsecured Notes Indenture, the 2026 Senior Unsecured Notes Indenture, the 2027 Senior Unsecured Notes Indenture, the 2029 Senior Unsecured Notes Indenture and the 2030 Senior Unsecured Notes Indenture.</w:t>
      </w:r>
    </w:p>
    <w:p>
      <w:pPr>
        <w:spacing w:after="0" w:line="147" w:lineRule="exact"/>
        <w:rPr>
          <w:sz w:val="20"/>
          <w:szCs w:val="20"/>
          <w:color w:val="auto"/>
        </w:rPr>
      </w:pPr>
    </w:p>
    <w:p>
      <w:pPr>
        <w:jc w:val="both"/>
        <w:ind w:right="20"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Senior Unsecured Notes</w:t>
      </w:r>
      <w:r>
        <w:rPr>
          <w:rFonts w:ascii="Arial" w:cs="Arial" w:eastAsia="Arial" w:hAnsi="Arial"/>
          <w:sz w:val="18"/>
          <w:szCs w:val="18"/>
          <w:color w:val="auto"/>
        </w:rPr>
        <w:t>”: collectively, the 2025 Senior Unsecured Notes, the 2026 Senior Unsecured Notes, the 2027 Senior Unsecured Notes, the 2029 Senior Unsecured Notes and the 2030 Senior Unsecured Notes.</w:t>
      </w:r>
    </w:p>
    <w:p>
      <w:pPr>
        <w:spacing w:after="0" w:line="17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Experiential Facility</w:t>
      </w:r>
      <w:r>
        <w:rPr>
          <w:rFonts w:ascii="Arial" w:cs="Arial" w:eastAsia="Arial" w:hAnsi="Arial"/>
          <w:sz w:val="18"/>
          <w:szCs w:val="18"/>
          <w:color w:val="auto"/>
        </w:rPr>
        <w:t>”: any casino, hotel, resort, race track, off-track wagering site, venue at which gaming or wagering is conducted, lodging facilities, entertainment related facilities, amusement facilities or other leisure or experiential facilities and all related or ancillary properties, facilities and assets related thereto.</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Delayed Draw Term Lender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2.24(b)(1)(ii)</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Revolving Lender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2.23(b)(1)(ii)</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“Extending USD Revolving Lender”: as defined in Section 2.23(c)(1)(ii).</w:t>
      </w:r>
    </w:p>
    <w:p>
      <w:pPr>
        <w:spacing w:after="0" w:line="21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xml:space="preserve">”: each of (a) the Delayed Draw Term Facility </w:t>
      </w:r>
      <w:r>
        <w:rPr>
          <w:rFonts w:ascii="Arial" w:cs="Arial" w:eastAsia="Arial" w:hAnsi="Arial"/>
          <w:sz w:val="18"/>
          <w:szCs w:val="18"/>
          <w:color w:val="FF0000"/>
        </w:rPr>
        <w:t>and</w:t>
      </w:r>
      <w:r>
        <w:rPr>
          <w:rFonts w:ascii="Arial" w:cs="Arial" w:eastAsia="Arial" w:hAnsi="Arial"/>
          <w:sz w:val="18"/>
          <w:szCs w:val="18"/>
          <w:u w:val="single" w:color="auto"/>
          <w:color w:val="0000FF"/>
        </w:rPr>
        <w:t>,</w:t>
      </w:r>
      <w:r>
        <w:rPr>
          <w:rFonts w:ascii="Arial" w:cs="Arial" w:eastAsia="Arial" w:hAnsi="Arial"/>
          <w:sz w:val="18"/>
          <w:szCs w:val="18"/>
          <w:color w:val="auto"/>
        </w:rPr>
        <w:t xml:space="preserve"> (b) the </w:t>
      </w:r>
      <w:r>
        <w:rPr>
          <w:rFonts w:ascii="Arial" w:cs="Arial" w:eastAsia="Arial" w:hAnsi="Arial"/>
          <w:sz w:val="18"/>
          <w:szCs w:val="18"/>
          <w:u w:val="single" w:color="auto"/>
          <w:color w:val="0000FF"/>
          <w:highlight w:val="lightGray"/>
        </w:rPr>
        <w:t>Multicurrency Revolving Facility and (c) the USD</w:t>
      </w:r>
      <w:r>
        <w:rPr>
          <w:rFonts w:ascii="Arial" w:cs="Arial" w:eastAsia="Arial" w:hAnsi="Arial"/>
          <w:sz w:val="18"/>
          <w:szCs w:val="18"/>
          <w:color w:val="auto"/>
        </w:rPr>
        <w:t xml:space="preserve"> Revolving Facility, and collectively, the “</w:t>
      </w:r>
      <w:r>
        <w:rPr>
          <w:rFonts w:ascii="Arial" w:cs="Arial" w:eastAsia="Arial" w:hAnsi="Arial"/>
          <w:sz w:val="18"/>
          <w:szCs w:val="18"/>
          <w:u w:val="single" w:color="auto"/>
          <w:color w:val="auto"/>
        </w:rPr>
        <w:t>Facilities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-276225</wp:posOffset>
            </wp:positionV>
            <wp:extent cx="221615"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221615" cy="128905"/>
                    </a:xfrm>
                    <a:prstGeom prst="rect">
                      <a:avLst/>
                    </a:prstGeom>
                    <a:noFill/>
                  </pic:spPr>
                </pic:pic>
              </a:graphicData>
            </a:graphic>
          </wp:anchor>
        </w:drawing>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008000"/>
          <w:strike w:val="1"/>
        </w:rPr>
        <w:t>Facility</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8000"/>
          <w:strike w:val="1"/>
        </w:rPr>
        <w:t>Fee</w:t>
      </w:r>
      <w:r>
        <w:rPr>
          <w:rFonts w:ascii="Arial" w:cs="Arial" w:eastAsia="Arial" w:hAnsi="Arial"/>
          <w:sz w:val="18"/>
          <w:szCs w:val="18"/>
          <w:color w:val="008000"/>
          <w:strike w:val="1"/>
        </w:rPr>
        <w:t>”: as defined in</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8000"/>
          <w:strike w:val="1"/>
        </w:rPr>
        <w:t>Section 2.6(a)</w:t>
      </w:r>
      <w:r>
        <w:rPr>
          <w:rFonts w:ascii="Arial" w:cs="Arial" w:eastAsia="Arial" w:hAnsi="Arial"/>
          <w:sz w:val="18"/>
          <w:szCs w:val="18"/>
          <w:color w:val="008000"/>
          <w:strike w:val="1"/>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 Percentage</w:t>
      </w:r>
      <w:r>
        <w:rPr>
          <w:rFonts w:ascii="Arial" w:cs="Arial" w:eastAsia="Arial" w:hAnsi="Arial"/>
          <w:sz w:val="18"/>
          <w:szCs w:val="18"/>
          <w:color w:val="auto"/>
        </w:rPr>
        <w:t>”: the rate per annum set forth in the Pricing Grids.</w:t>
      </w:r>
    </w:p>
    <w:p>
      <w:pPr>
        <w:spacing w:after="0" w:line="212"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determined in good faith by the Borrower.</w:t>
      </w:r>
    </w:p>
    <w:p>
      <w:pPr>
        <w:spacing w:after="0" w:line="147"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21"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intergovernmental agreement, treaty or convention among Governmental Authorities and implementing such Sections of the Code.</w:t>
      </w:r>
    </w:p>
    <w:p>
      <w:pPr>
        <w:spacing w:after="0" w:line="212"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Federal Funds Effective Rate as so determined would be less than zero, such rate shall be deemed to be zero for the purposes of this Agreement.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Board</w:t>
      </w:r>
      <w:r>
        <w:rPr>
          <w:rFonts w:ascii="Arial" w:cs="Arial" w:eastAsia="Arial" w:hAnsi="Arial"/>
          <w:sz w:val="18"/>
          <w:szCs w:val="18"/>
          <w:color w:val="auto"/>
        </w:rPr>
        <w:t>”: the Board of Governors of the Federal Reserve System of the United States.</w:t>
      </w:r>
    </w:p>
    <w:p>
      <w:pPr>
        <w:spacing w:after="0" w:line="21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Date</w:t>
      </w:r>
      <w:r>
        <w:rPr>
          <w:rFonts w:ascii="Arial" w:cs="Arial" w:eastAsia="Arial" w:hAnsi="Arial"/>
          <w:sz w:val="18"/>
          <w:szCs w:val="18"/>
          <w:color w:val="auto"/>
        </w:rPr>
        <w:t xml:space="preserve">”: the first Business Day following the last day of each March, June, September and December and the last day of the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Revolving Commitment Period</w:t>
      </w:r>
      <w:r>
        <w:rPr>
          <w:rFonts w:ascii="Arial" w:cs="Arial" w:eastAsia="Arial" w:hAnsi="Arial"/>
          <w:sz w:val="18"/>
          <w:szCs w:val="18"/>
          <w:color w:val="0000FF"/>
          <w:highlight w:val="lightGray"/>
        </w:rPr>
        <w:t xml:space="preserve"> </w:t>
      </w:r>
      <w:r>
        <w:rPr>
          <w:rFonts w:ascii="Arial" w:cs="Arial" w:eastAsia="Arial" w:hAnsi="Arial"/>
          <w:sz w:val="18"/>
          <w:szCs w:val="18"/>
          <w:color w:val="0000FF"/>
        </w:rPr>
        <w:t>(in the case of the Multicurrency Revolving Facility) and the USD Revolving Commitment Period (in the</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case of the USD Revolving Facility), as applicable</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2147570</wp:posOffset>
            </wp:positionH>
            <wp:positionV relativeFrom="paragraph">
              <wp:posOffset>-269240</wp:posOffset>
            </wp:positionV>
            <wp:extent cx="4986020"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4986020" cy="128905"/>
                    </a:xfrm>
                    <a:prstGeom prst="rect">
                      <a:avLst/>
                    </a:prstGeom>
                    <a:noFill/>
                  </pic:spPr>
                </pic:pic>
              </a:graphicData>
            </a:graphic>
          </wp:anchor>
        </w:drawing>
      </w:r>
    </w:p>
    <w:p>
      <w:pPr>
        <w:spacing w:after="0" w:line="16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Finance Lease</w:t>
      </w:r>
      <w:r>
        <w:rPr>
          <w:rFonts w:ascii="Arial" w:cs="Arial" w:eastAsia="Arial" w:hAnsi="Arial"/>
          <w:sz w:val="17"/>
          <w:szCs w:val="17"/>
          <w:color w:val="auto"/>
        </w:rPr>
        <w:t xml:space="preserve">”: as applied to any Person, any lease of any property, whether real, personal or mixed, of such Person as lessee that is required to be classified and accounted for as a finance lease liability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any lease that is accounted for by any Person as an operating lease as of the Closing Date and any similar lease entered into after the Closing Date by any Person may, in the sole discretion of the Borrower, be treated as an operating lease and not a Finance Lease;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Master Lease and any ground lease or similar obligation in which the obligations pursuant to such ground lease or similar obligation are passed on to the tenant under or in connection with a Master Lease will be deemed not to be a Finance Lease.</w:t>
      </w:r>
    </w:p>
    <w:p>
      <w:pPr>
        <w:spacing w:after="0" w:line="175" w:lineRule="exact"/>
        <w:rPr>
          <w:sz w:val="20"/>
          <w:szCs w:val="20"/>
          <w:color w:val="auto"/>
        </w:rPr>
      </w:pPr>
    </w:p>
    <w:p>
      <w:pPr>
        <w:jc w:val="both"/>
        <w:ind w:right="20"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Ratios</w:t>
      </w:r>
      <w:r>
        <w:rPr>
          <w:rFonts w:ascii="Arial" w:cs="Arial" w:eastAsia="Arial" w:hAnsi="Arial"/>
          <w:sz w:val="18"/>
          <w:szCs w:val="18"/>
          <w:color w:val="auto"/>
        </w:rPr>
        <w:t>”: collectively, the Total Leverage Ratio, the Fixed Charge Coverage Ratio, the Secured Leverage Ratio, the Unsecured Leverage Ratio and the Unsecured Interest Coverage Ratio.</w:t>
      </w:r>
    </w:p>
    <w:p>
      <w:pPr>
        <w:spacing w:after="0" w:line="17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u w:val="single" w:color="auto"/>
          <w:color w:val="0000FF"/>
          <w:highlight w:val="lightGray"/>
        </w:rPr>
        <w:t>“First Amendment”: that certain First Amendment to this Agreement, dated as of the First Amendment Effective Date, among the Borrower, the Lenders and Issuing Lenders party thereto and the Administrative Agent.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“First Amendment Effective Date”: July 15, 2022.</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Extended Delayed Draw Term Maturity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2.24(a)</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Extended</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Revolving Maturity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“First Extended USD Revolving Maturity Date”: as defined in Section 2.23(a).</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Fitch Ratings Inc.</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7.1(b)</w:t>
      </w:r>
      <w:r>
        <w:rPr>
          <w:rFonts w:ascii="Arial" w:cs="Arial" w:eastAsia="Arial" w:hAnsi="Arial"/>
          <w:sz w:val="18"/>
          <w:szCs w:val="18"/>
          <w:color w:val="auto"/>
        </w:rPr>
        <w:t>.</w:t>
      </w:r>
    </w:p>
    <w:p>
      <w:pPr>
        <w:spacing w:after="0" w:line="21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Floor</w:t>
      </w:r>
      <w:r>
        <w:rPr>
          <w:rFonts w:ascii="Arial" w:cs="Arial" w:eastAsia="Arial" w:hAnsi="Arial"/>
          <w:sz w:val="17"/>
          <w:szCs w:val="17"/>
          <w:color w:val="auto"/>
        </w:rPr>
        <w:t xml:space="preserve">”: the benchmark rate floor, if any, provided in this Agreement initially (as of the execution of this Agreement, the modification, amendment or renewal of this Agreement or otherwise) with respect to the Adjusted </w:t>
      </w:r>
      <w:r>
        <w:rPr>
          <w:rFonts w:ascii="Arial" w:cs="Arial" w:eastAsia="Arial" w:hAnsi="Arial"/>
          <w:sz w:val="17"/>
          <w:szCs w:val="17"/>
          <w:u w:val="single" w:color="auto"/>
          <w:color w:val="0000FF"/>
          <w:highlight w:val="lightGray"/>
        </w:rPr>
        <w:t>Daily Simple RFR, Adjusted AUD Rate, Adjusted CDOR Rate,</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Adjusted</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Term SOFR Rate,</w:t>
      </w:r>
      <w:r>
        <w:rPr>
          <w:rFonts w:ascii="Arial" w:cs="Arial" w:eastAsia="Arial" w:hAnsi="Arial"/>
          <w:sz w:val="17"/>
          <w:szCs w:val="17"/>
          <w:color w:val="0000FF"/>
          <w:highlight w:val="lightGray"/>
        </w:rPr>
        <w:t xml:space="preserve"> </w:t>
      </w:r>
      <w:r>
        <w:rPr>
          <w:rFonts w:ascii="Arial" w:cs="Arial" w:eastAsia="Arial" w:hAnsi="Arial"/>
          <w:sz w:val="17"/>
          <w:szCs w:val="17"/>
          <w:color w:val="FF0000"/>
          <w:strike w:val="1"/>
        </w:rPr>
        <w:t>the</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Adjusted</w:t>
      </w:r>
      <w:r>
        <w:rPr>
          <w:rFonts w:ascii="Arial" w:cs="Arial" w:eastAsia="Arial" w:hAnsi="Arial"/>
          <w:sz w:val="17"/>
          <w:szCs w:val="17"/>
          <w:color w:val="0000FF"/>
          <w:highlight w:val="lightGray"/>
        </w:rPr>
        <w:t xml:space="preserve"> </w:t>
      </w:r>
      <w:r>
        <w:rPr>
          <w:rFonts w:ascii="Arial" w:cs="Arial" w:eastAsia="Arial" w:hAnsi="Arial"/>
          <w:sz w:val="17"/>
          <w:szCs w:val="17"/>
          <w:color w:val="FF0000"/>
          <w:strike w:val="1"/>
        </w:rPr>
        <w:t>Daily Simple SOFR</w:t>
      </w:r>
      <w:r>
        <w:rPr>
          <w:rFonts w:ascii="Arial" w:cs="Arial" w:eastAsia="Arial" w:hAnsi="Arial"/>
          <w:sz w:val="17"/>
          <w:szCs w:val="17"/>
          <w:u w:val="single" w:color="auto"/>
          <w:color w:val="0000FF"/>
          <w:highlight w:val="lightGray"/>
        </w:rPr>
        <w:t>EURIBOR Rate</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or the Adjusted Floating Overnight Daily SOFR Rate, as applicable. For the</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avoidance of doubt the initial Floor for each of </w:t>
      </w:r>
      <w:r>
        <w:rPr>
          <w:rFonts w:ascii="Arial" w:cs="Arial" w:eastAsia="Arial" w:hAnsi="Arial"/>
          <w:sz w:val="17"/>
          <w:szCs w:val="17"/>
          <w:u w:val="single" w:color="auto"/>
          <w:color w:val="0000FF"/>
          <w:highlight w:val="lightGray"/>
        </w:rPr>
        <w:t>the Adjusted Daily Simple RFR, Adjusted AUD Rate, Adjusted CDOR Rate,</w:t>
      </w:r>
      <w:r>
        <w:rPr>
          <w:rFonts w:ascii="Arial" w:cs="Arial" w:eastAsia="Arial" w:hAnsi="Arial"/>
          <w:sz w:val="17"/>
          <w:szCs w:val="17"/>
          <w:color w:val="000000"/>
        </w:rPr>
        <w:t xml:space="preserve"> Adjusted Term SOFR Rate, the Adjusted </w:t>
      </w:r>
      <w:r>
        <w:rPr>
          <w:rFonts w:ascii="Arial" w:cs="Arial" w:eastAsia="Arial" w:hAnsi="Arial"/>
          <w:sz w:val="17"/>
          <w:szCs w:val="17"/>
          <w:color w:val="FF0000"/>
          <w:strike w:val="1"/>
        </w:rPr>
        <w:t>Daily Simple SOFR</w:t>
      </w:r>
      <w:r>
        <w:rPr>
          <w:rFonts w:ascii="Arial" w:cs="Arial" w:eastAsia="Arial" w:hAnsi="Arial"/>
          <w:sz w:val="17"/>
          <w:szCs w:val="17"/>
          <w:u w:val="single" w:color="auto"/>
          <w:color w:val="0000FF"/>
          <w:highlight w:val="lightGray"/>
        </w:rPr>
        <w:t>EURIBOR Rate</w:t>
      </w:r>
      <w:r>
        <w:rPr>
          <w:rFonts w:ascii="Arial" w:cs="Arial" w:eastAsia="Arial" w:hAnsi="Arial"/>
          <w:sz w:val="17"/>
          <w:szCs w:val="17"/>
          <w:color w:val="000000"/>
        </w:rPr>
        <w:t xml:space="preserve"> or the Adjusted Floating Overnight Daily SOFR Rate shall be 0.00%.</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a Lender that is not a U.S. Person.</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any Subsidiary of the Borrower that is not a Domestic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21" w:right="339" w:bottom="1440" w:gutter="0" w:footer="0" w:header="0"/>
        </w:sectPr>
      </w:pPr>
    </w:p>
    <w:bookmarkStart w:id="122" w:name="page123"/>
    <w:bookmarkEnd w:id="122"/>
    <w:p>
      <w:pPr>
        <w:jc w:val="both"/>
        <w:ind w:firstLine="129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Indebtedness</w:t>
      </w:r>
      <w:r>
        <w:rPr>
          <w:rFonts w:ascii="Arial" w:cs="Arial" w:eastAsia="Arial" w:hAnsi="Arial"/>
          <w:sz w:val="18"/>
          <w:szCs w:val="18"/>
          <w:color w:val="auto"/>
        </w:rPr>
        <w:t xml:space="preserve">”: the aggregate principal amount of all outstanding Indebtedness of the Borrower, its Restricted Subsidiaries, its Unrestricted Subsidiaries (to the extent constituting Recourse Indebtedness for which a Group Member is liable) and Restricted Joint Ventures (other than any such Indebtedness that has been Discharged) of (i) the kind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the definition of “Indebtedness,” (ii) Indebtedness evidenced by promissory notes and similar instruments, (iii) letters of credit to the extent of drawn and unreimbursed amounts thereunder and (iv) guarantees in respect of any of the foregoing.</w:t>
      </w:r>
    </w:p>
    <w:p>
      <w:pPr>
        <w:spacing w:after="0" w:line="18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Office</w:t>
      </w:r>
      <w:r>
        <w:rPr>
          <w:rFonts w:ascii="Arial" w:cs="Arial" w:eastAsia="Arial" w:hAnsi="Arial"/>
          <w:sz w:val="18"/>
          <w:szCs w:val="18"/>
          <w:color w:val="auto"/>
        </w:rPr>
        <w:t xml:space="preserve">”: the office of the Administrative Agent specified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or such other office as may be specified from time to time by the Administrative Agent as its funding office by written notice to the Borrower and the Lenders.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generally accepted accounting principles in the United States.</w:t>
      </w:r>
    </w:p>
    <w:p>
      <w:pPr>
        <w:spacing w:after="0" w:line="21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Gaming</w:t>
      </w:r>
      <w:r>
        <w:rPr>
          <w:rFonts w:ascii="Arial" w:cs="Arial" w:eastAsia="Arial" w:hAnsi="Arial"/>
          <w:sz w:val="18"/>
          <w:szCs w:val="18"/>
          <w:color w:val="auto"/>
        </w:rPr>
        <w:t>”: casino, race track, racino, video lottery terminal, card club or other gambling activities, including but not limited to, the operation of slot machines, video lottery terminals, table games, pai gow poker, pari-mutuel wagering, sports wagering or other applicable types of wagering.</w:t>
      </w:r>
    </w:p>
    <w:p>
      <w:pPr>
        <w:spacing w:after="0" w:line="182"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Gaming Approvals</w:t>
      </w:r>
      <w:r>
        <w:rPr>
          <w:rFonts w:ascii="Arial" w:cs="Arial" w:eastAsia="Arial" w:hAnsi="Arial"/>
          <w:sz w:val="18"/>
          <w:szCs w:val="18"/>
          <w:color w:val="auto"/>
        </w:rPr>
        <w:t>”: any and all approvals, licenses, findings of suitability, authorizations, registrations, permits, consents, rulings, orders or directives of any Governmental Authority: (1) necessary to enable the Borrower or its Restricted Subsidiaries to engage in a Gaming business (including the business of owning or leasing Real Property or vessels used in the Gaming business) or otherwise to continue to conduct its business substantially as is presently conducted or contemplated to be conducted following the Closing Date, (2) required by any Gaming Law, or (3) required to accomplish the financing and other transactions contemplated hereby</w:t>
      </w:r>
    </w:p>
    <w:p>
      <w:pPr>
        <w:spacing w:after="0" w:line="18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Gaming Authority</w:t>
      </w:r>
      <w:r>
        <w:rPr>
          <w:rFonts w:ascii="Arial" w:cs="Arial" w:eastAsia="Arial" w:hAnsi="Arial"/>
          <w:sz w:val="18"/>
          <w:szCs w:val="18"/>
          <w:color w:val="auto"/>
        </w:rPr>
        <w:t>”: any governmental agency, authority, board, bureau, commission, department, office or instrumentality with regulatory, licensing or permitting authority or jurisdiction over any Gaming Facility owned by the Borrower or any of its Subsidiaries, or with regulatory, licensing or permitting authority or jurisdiction over any Gaming operation (or a proposed Gaming operation) at a Gaming Facility owned by the Borrower or any of its Subsidiaries.</w:t>
      </w:r>
    </w:p>
    <w:p>
      <w:pPr>
        <w:spacing w:after="0" w:line="188"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Gaming Facility</w:t>
      </w:r>
      <w:r>
        <w:rPr>
          <w:rFonts w:ascii="Arial" w:cs="Arial" w:eastAsia="Arial" w:hAnsi="Arial"/>
          <w:sz w:val="18"/>
          <w:szCs w:val="18"/>
          <w:color w:val="auto"/>
        </w:rPr>
        <w:t>”: any casino, hotel, resort, race track at which pari-mutuel wagering is conducted, racino, off-track wagering site, card club casinos, or venue at which Gaming or wagering is conducted, and all related or ancillary property and assets.</w:t>
      </w:r>
    </w:p>
    <w:p>
      <w:pPr>
        <w:spacing w:after="0" w:line="171"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Gaming Laws</w:t>
      </w:r>
      <w:r>
        <w:rPr>
          <w:rFonts w:ascii="Arial" w:cs="Arial" w:eastAsia="Arial" w:hAnsi="Arial"/>
          <w:sz w:val="18"/>
          <w:szCs w:val="18"/>
          <w:color w:val="auto"/>
        </w:rPr>
        <w:t>”: all applicable provisions of all: (a) constitutions, treaties, statutes or laws governing Gaming Facilities owned by the Borrower or any of its Subsidiaries and rules, regulations, codes and ordinances of, and all administrative or judicial orders or decrees or other laws pursuant to which, any Gaming Authority possesses or exercises regulatory, licensing or permit authority or jurisdiction over Gaming Facilities owned by the Borrower or any of its Subsidiaries; (b) Gaming Approvals; and (c) orders, decisions, determinations, judgments, awards and decrees of any Gaming Authority.</w:t>
      </w:r>
    </w:p>
    <w:p>
      <w:pPr>
        <w:spacing w:after="0" w:line="18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8"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Greektown Lease</w:t>
      </w:r>
      <w:r>
        <w:rPr>
          <w:rFonts w:ascii="Arial" w:cs="Arial" w:eastAsia="Arial" w:hAnsi="Arial"/>
          <w:sz w:val="18"/>
          <w:szCs w:val="18"/>
          <w:color w:val="auto"/>
        </w:rPr>
        <w:t>”: the lease agreement, dated as of May 23, 2019, by and between Greektown Propco LLC, as landlord, and Penn Tenant III, LLC, as tenant, for Greektown Casino-Hotel in Detroit, Michigan, as the same may be amended, amended and restated, supplemented or otherwise modified prior to the date hereof and from time to time in accordance with the terms of this Agreement.</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Members</w:t>
      </w:r>
      <w:r>
        <w:rPr>
          <w:rFonts w:ascii="Arial" w:cs="Arial" w:eastAsia="Arial" w:hAnsi="Arial"/>
          <w:sz w:val="18"/>
          <w:szCs w:val="18"/>
          <w:color w:val="auto"/>
        </w:rPr>
        <w:t>”: the collective reference to the Borrower and its Restricted Subsidiaries.</w:t>
      </w:r>
    </w:p>
    <w:p>
      <w:pPr>
        <w:spacing w:after="0" w:line="212" w:lineRule="exact"/>
        <w:rPr>
          <w:sz w:val="20"/>
          <w:szCs w:val="20"/>
          <w:color w:val="auto"/>
        </w:rPr>
      </w:pPr>
    </w:p>
    <w:p>
      <w:pPr>
        <w:jc w:val="both"/>
        <w:ind w:right="20"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Agreement</w:t>
      </w:r>
      <w:r>
        <w:rPr>
          <w:rFonts w:ascii="Arial" w:cs="Arial" w:eastAsia="Arial" w:hAnsi="Arial"/>
          <w:sz w:val="18"/>
          <w:szCs w:val="18"/>
          <w:color w:val="auto"/>
        </w:rPr>
        <w:t xml:space="preserve">”: the Guarantee Agreement to be executed and delivered by the Borrower and any Subsidiary Guarantor,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21" w:right="339" w:bottom="1440" w:gutter="0" w:footer="0" w:header="0"/>
        </w:sectPr>
      </w:pPr>
    </w:p>
    <w:bookmarkStart w:id="123" w:name="page124"/>
    <w:bookmarkEnd w:id="123"/>
    <w:p>
      <w:pPr>
        <w:jc w:val="both"/>
        <w:ind w:firstLine="1296"/>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Obligation</w:t>
      </w:r>
      <w:r>
        <w:rPr>
          <w:rFonts w:ascii="Arial" w:cs="Arial" w:eastAsia="Arial" w:hAnsi="Arial"/>
          <w:sz w:val="16"/>
          <w:szCs w:val="16"/>
          <w:color w:val="auto"/>
        </w:rPr>
        <w:t>”: as to any Person (the “</w:t>
      </w:r>
      <w:r>
        <w:rPr>
          <w:rFonts w:ascii="Arial" w:cs="Arial" w:eastAsia="Arial" w:hAnsi="Arial"/>
          <w:sz w:val="16"/>
          <w:szCs w:val="16"/>
          <w:u w:val="single" w:color="auto"/>
          <w:color w:val="auto"/>
        </w:rPr>
        <w:t>guaranteeing person</w:t>
      </w:r>
      <w:r>
        <w:rPr>
          <w:rFonts w:ascii="Arial" w:cs="Arial" w:eastAsia="Arial" w:hAnsi="Arial"/>
          <w:sz w:val="16"/>
          <w:szCs w:val="16"/>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leases, dividends or other obligations (the “primary obligations”) of any other third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 shall not include: (i) endorsements of instruments for deposit or collection in the ordinary course of business and (ii) customary and reasonable indemnity obligations in effect on the Closing Date or entered into in connection with any acquisition or Disposition of assets permitted under this Agreement (other than such obligations with respect to Indebtedness).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17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Hard Rock Cincinnati Lease</w:t>
      </w:r>
      <w:r>
        <w:rPr>
          <w:rFonts w:ascii="Arial" w:cs="Arial" w:eastAsia="Arial" w:hAnsi="Arial"/>
          <w:sz w:val="18"/>
          <w:szCs w:val="18"/>
          <w:color w:val="auto"/>
        </w:rPr>
        <w:t>”: the lease agreement, dated as of September 20, 2019, by and between Cincinnati Propco LLC, as landlord, and Jack Cincinnati Casino LLC, as tenant, for the real estate assets associated with the Hard Rock Cincinnati Casino, located in Cincinnati, Ohio, as the same may be amended, amended and restated, supplemented or otherwise modified prior to the date hereof and from time to time in accordance with the terms of this Agreement.</w:t>
      </w:r>
    </w:p>
    <w:p>
      <w:pPr>
        <w:spacing w:after="0" w:line="188"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Immaterial Subsidiary</w:t>
      </w:r>
      <w:r>
        <w:rPr>
          <w:rFonts w:ascii="Arial" w:cs="Arial" w:eastAsia="Arial" w:hAnsi="Arial"/>
          <w:sz w:val="17"/>
          <w:szCs w:val="17"/>
          <w:color w:val="auto"/>
        </w:rPr>
        <w:t>”: at any time, any Subsidiary of the Borrower that, as of the last date of the most recently ended four fiscal quarter period on or prior to the date of determination, on a consolidated basis with its respective Subsidiaries and treated as if all such Subsidiaries and their respective Subsidiaries were combined and consolidated as a single Subsidiary, contributes less than 10% of the Total Asset Value.</w:t>
      </w:r>
    </w:p>
    <w:p>
      <w:pPr>
        <w:spacing w:after="0" w:line="164"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Property</w:t>
      </w:r>
      <w:r>
        <w:rPr>
          <w:rFonts w:ascii="Arial" w:cs="Arial" w:eastAsia="Arial" w:hAnsi="Arial"/>
          <w:sz w:val="18"/>
          <w:szCs w:val="18"/>
          <w:color w:val="auto"/>
        </w:rPr>
        <w:t>”: any Real Property or assets or vessels (including any personal property ancillary thereto or used in connection therewith) owned, operated or leased or otherwise controlled by the Borrower, any of its Restricted Subsidiaries or any of its Restricted Joint Ventures and earning, or intended to earn, current income, whether from rent, lease payments, operations or otherwise. “Income Property” shall not include any Development Property, Redevelopment Property or undeveloped land. Each Income Property shall continue to be classified as an Income Property hereunder until the Borrower notifies the Administrative Agent (which such notification may be made in a Compliance Certificate) that it desires to reclassify such Real Property as a Redevelopment Property for purposes of this Agreement, upon and after which such property shall be classified as a Redevelopment Property hereunder.</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Increased Amount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2.21(a)</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2.21(a)</w:t>
      </w:r>
      <w:r>
        <w:rPr>
          <w:rFonts w:ascii="Arial" w:cs="Arial" w:eastAsia="Arial" w:hAnsi="Arial"/>
          <w:sz w:val="18"/>
          <w:szCs w:val="18"/>
          <w:color w:val="auto"/>
        </w:rPr>
        <w:t>.</w:t>
      </w:r>
    </w:p>
    <w:p>
      <w:pPr>
        <w:spacing w:after="0" w:line="212"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at any date, without duplication, (a) all indebtedness of such Person for borrowed money, (b) all obligations of such Person issued or assumed as the deferred purchase price of property or services (excluding (i) trade accounts payable and accrued obligations incurred in the ordinary course of business or other accounts payable in the ordinary course of business in accordance with ordinary trade terms,</w:t>
      </w:r>
    </w:p>
    <w:p>
      <w:pPr>
        <w:jc w:val="both"/>
        <w:ind w:firstLine="8"/>
        <w:spacing w:after="0" w:line="256" w:lineRule="auto"/>
        <w:tabs>
          <w:tab w:leader="none" w:pos="27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financing of insurance premiums and (iii) any earn-out obligation or purchase price adjustment until such obligation becomes a liability on the balance sheet (excluding the footnotes thereto) in accordance with GAAP), (c) all obligations of such Person evidenced by notes, bonds, debentures or other similar instruments, (d) all obligations of such Person under conditional sale or other title retention agreements relating to property purchased by such Person, (e) with respect to any Finance Leases of such Person, the capitalized amount thereof that would appear on a balance sheet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21" w:right="339" w:bottom="1440" w:gutter="0" w:footer="0" w:header="0"/>
        </w:sectPr>
      </w:pPr>
    </w:p>
    <w:bookmarkStart w:id="124" w:name="page125"/>
    <w:bookmarkEnd w:id="124"/>
    <w:p>
      <w:pPr>
        <w:jc w:val="both"/>
        <w:spacing w:after="0" w:line="251" w:lineRule="auto"/>
        <w:rPr>
          <w:sz w:val="20"/>
          <w:szCs w:val="20"/>
          <w:color w:val="auto"/>
        </w:rPr>
      </w:pPr>
      <w:r>
        <w:rPr>
          <w:rFonts w:ascii="Arial" w:cs="Arial" w:eastAsia="Arial" w:hAnsi="Arial"/>
          <w:sz w:val="17"/>
          <w:szCs w:val="17"/>
          <w:color w:val="auto"/>
        </w:rPr>
        <w:t xml:space="preserve">such Person prepared as of such date in accordance with GAAP, (f) all Indebtedness of others to the extent secured by any Lien on property owned or acquired by such Person, whether or not the obligations secured thereby have been assumed;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obligations have not been assumed, the amount of such Indebtedness included for the purposes of this definition will be the amount equal to the lesser of the Fair Market Value of such property and the amount of the Indebtedness secured, (g) the net amount of the obligations of such Person in respect of interest rate protection agreements, foreign currency exchange agreements or other interest or exchange rate hedging arrangements (including swap contracts), (h) all obligations of such Person as an account party in respect of letters of credit and bankers’ acceptances, except obligations in respect of letters of credit issued in support of obligations not otherwise constituting Indebtedness shall not constitute Indebtedness except to the extent such letter of credit is drawn and not reimbursed within 10 Business Days, and (i) all Guarantee Obligations of such Person in respect of Indebtedness of others of the kinds referred to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(h)</w:t>
      </w:r>
      <w:r>
        <w:rPr>
          <w:rFonts w:ascii="Arial" w:cs="Arial" w:eastAsia="Arial" w:hAnsi="Arial"/>
          <w:sz w:val="17"/>
          <w:szCs w:val="17"/>
          <w:color w:val="auto"/>
        </w:rPr>
        <w:t xml:space="preserve"> above (other than, for the avoidance of doubt, in connection with any completion guarantee);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that Indebtedness shall not include any obligations in respect of indemnification, adjustment of purchase price or similar obligations, or from Guarantee Obligations or letters of credit, surety bonds or performance bonds, in each case securing any such obligations of the Borrower or any of the Restricted Subsidiaries, in any case incurred in connection with the disposition of any business, assets or Restricted Subsidiary (other than Guarantee Obligations in respect of Indebtedness incurred by any Person acquiring all or any portion of such business, assets or Restricted Subsidiary for the purpose of financing such acquisition) in a principal amount not in excess of the gross proceeds including non-cash proceeds (the Fair Market Value of such non-cash proceeds being measured at the time received and without giving effect to any subsequent changes in value) actually received by the Borrower and the Restricted Subsidiaries on a consolidated basis in connection with such disposition.</w:t>
      </w:r>
    </w:p>
    <w:p>
      <w:pPr>
        <w:spacing w:after="0" w:line="18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6"/>
          <w:szCs w:val="16"/>
          <w:color w:val="auto"/>
        </w:rPr>
        <w:t xml:space="preserve">The Indebtedness of any Person shall include the Indebtedness of any partnership in which such Person is a general partner unless recourse is limited, in which case the amount of such Indebtedness shall be the amount such Person is liable therefor (except to the extent the terms of such Indebtedness expressly provide that such Person is not liable therefor). The amount of Indebtedness of the type described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be calculated based on the net present value thereof. The amount of Indebtedness of the type referred to in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above of any Person shall be zero unless and until such Indebtedness becomes due, in which case the amount of such Indebtedness shall be the amount due that is payable by such Person. For the avoidance of doubt, it is understood and agreed that (x) any obligations of such Person in respect of Cash Management Services, (y) any obligations of such Person in respect of employee, consultant or independent contractor deferred compensation and benefit plans and (z) any obligations of such Person in respect of taxes, assessments, governmental charges or levies shall not constitute Indebtedness. For all purposes with respect to this definition, the Indebtedness of the Borrower and its Restricted Subsidiaries shall exclude (i) any obligations under any Master Leases, (ii) intercompany liabilities arising from or associated with cash management, tax, or accounting operations and made in the ordinary course of business and (iii) intercompany loans, advances or Indebtedness having a term not exceeding 364 days (inclusive of any rollover or extensions of terms) and made in the ordinary course of business.</w:t>
      </w:r>
    </w:p>
    <w:p>
      <w:pPr>
        <w:spacing w:after="0" w:line="167"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(a) Taxes, other than Excluded Taxes, imposed on or with respect to any payment made by or on account of any obligation of any Loan Party under any Loan Document and (b) to the extent not otherwise described in (a) hereof, Other Taxes.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10.5(c)</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10.16</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Delayed Draw Term Maturity Date</w:t>
      </w:r>
      <w:r>
        <w:rPr>
          <w:rFonts w:ascii="Arial" w:cs="Arial" w:eastAsia="Arial" w:hAnsi="Arial"/>
          <w:sz w:val="18"/>
          <w:szCs w:val="18"/>
          <w:color w:val="auto"/>
        </w:rPr>
        <w:t>”: has the meaning specified in the definition of “Delayed Draw Term Maturity Date”.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w:t>
      </w:r>
      <w:r>
        <w:rPr>
          <w:rFonts w:ascii="Arial" w:cs="Arial" w:eastAsia="Arial" w:hAnsi="Arial"/>
          <w:sz w:val="17"/>
          <w:szCs w:val="17"/>
          <w:u w:val="single" w:color="auto"/>
          <w:color w:val="auto"/>
        </w:rPr>
        <w:t>Revolving Maturity Date</w:t>
      </w:r>
      <w:r>
        <w:rPr>
          <w:rFonts w:ascii="Arial" w:cs="Arial" w:eastAsia="Arial" w:hAnsi="Arial"/>
          <w:sz w:val="17"/>
          <w:szCs w:val="17"/>
          <w:color w:val="auto"/>
        </w:rPr>
        <w:t>”: has the meaning specified in the definition of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Maturity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“Initial USD Revolving Maturity Date”: has the meaning specified in the definition of “USD Revolving Maturity Date”.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w:t>
      </w:r>
      <w:r>
        <w:rPr>
          <w:rFonts w:ascii="Arial" w:cs="Arial" w:eastAsia="Arial" w:hAnsi="Arial"/>
          <w:sz w:val="16"/>
          <w:szCs w:val="16"/>
          <w:color w:val="auto"/>
        </w:rPr>
        <w:t>”: with respect to any Multiemployer Plan, the condition that such Plan is insolvent within the meaning of Section 4245(b)(1)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21" w:right="339" w:bottom="1440" w:gutter="0" w:footer="0" w:header="0"/>
        </w:sectPr>
      </w:pPr>
    </w:p>
    <w:bookmarkStart w:id="125" w:name="page126"/>
    <w:bookmarkEnd w:id="12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Insolvent</w:t>
      </w:r>
      <w:r>
        <w:rPr>
          <w:rFonts w:ascii="Arial" w:cs="Arial" w:eastAsia="Arial" w:hAnsi="Arial"/>
          <w:sz w:val="18"/>
          <w:szCs w:val="18"/>
          <w:color w:val="auto"/>
        </w:rPr>
        <w:t>”: pertaining to a condition of Insolvency.</w:t>
      </w:r>
    </w:p>
    <w:p>
      <w:pPr>
        <w:spacing w:after="0" w:line="212"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the collective reference to all rights, priorities and privileges relating to intellectual property, whether arising under United States, multinational or foreign laws or otherwise, including copyrights, copyright licenses, patents, patent licenses, trademarks, trademark licenses, domain names, technology, trade secrets, know-how, methods, and processes, and all rights to sue at law or in equity for any infringement, misappropriation or other violation or impairment thereof, including the right to receive all proceeds and damages therefrom.</w:t>
      </w:r>
    </w:p>
    <w:p>
      <w:pPr>
        <w:spacing w:after="0" w:line="17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a request by the Borrower to convert or continue a Borrowing in accordance with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or any other form approved by the Administrative Agent.</w:t>
      </w:r>
    </w:p>
    <w:p>
      <w:pPr>
        <w:spacing w:after="0" w:line="171"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Expense</w:t>
      </w:r>
      <w:r>
        <w:rPr>
          <w:rFonts w:ascii="Arial" w:cs="Arial" w:eastAsia="Arial" w:hAnsi="Arial"/>
          <w:sz w:val="16"/>
          <w:szCs w:val="16"/>
          <w:color w:val="auto"/>
        </w:rPr>
        <w:t xml:space="preserve">”: for any fiscal period, an amount equal to the sum, without duplication, of the following with respect to (a) all Total Indebtedness and (b) obligations in respect of Swap Agreements: (i) total interest expense, accrued in accordance with GAAP,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all capitalized interest determined in accordance with GAAP,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the interest portion of payments paid or payable (without duplication) on Finance Leases,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(iv) interest expense attributable to the movement of the mark-to-market valuation of obligations under Swap Agreements and payments made under Swap Agreements relating to interest rates with respect to such period (in each case, including the Borrower’s pro rata share thereof for unconsolidated Restricted Subsidiaries and Restricted Joint Ventures) (excluding, to the extent included in Interest Expense above, (A) the amount of such Interest Expense of any Restricted Subsidiary if the net income of such Restricted Subsidiary is excluded in the calculation of Consolidated Net Income (but only in the same proportion as the net income of such Restricted Subsidiary is excluded from the calculation of Net Operating Income), as determined on a consolidated basis in conformity with GAAP and (B) (i) accretion of accrual of discounted liabilities not constituting Indebtedness, (ii) any expense resulting from the discounting of any outstanding Indebtedness in connection with the application of purchase accounting in connection with any acquisition, (iii) amortization of deferred financing fees, debt issuance costs, commissions, fees and expenses, (iv) any expensing of bridge, commitment or other financing fees (but not revolving loan commitment fees, including, without limitation, any fees associated with the exercise of the option to increase the Facilities),</w:t>
      </w:r>
    </w:p>
    <w:p>
      <w:pPr>
        <w:spacing w:after="0" w:line="8" w:lineRule="exact"/>
        <w:rPr>
          <w:sz w:val="20"/>
          <w:szCs w:val="20"/>
          <w:color w:val="auto"/>
        </w:rPr>
      </w:pPr>
    </w:p>
    <w:p>
      <w:pPr>
        <w:ind w:firstLine="8"/>
        <w:spacing w:after="0" w:line="243" w:lineRule="auto"/>
        <w:tabs>
          <w:tab w:leader="none" w:pos="274"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one-time costs, termination payments, breakage costs and other payments associated with incurring or terminating swaps, derivatives and other hedging obligations and (vi) any amount not payable in cash).</w:t>
      </w:r>
    </w:p>
    <w:p>
      <w:pPr>
        <w:spacing w:after="0" w:line="18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(a) with respect to any ABR Loan, the last day of each March, June, September and December and the relevant Maturity Date, (b) with respect to any RFR Loan, (1) each date that is on the numerically corresponding day in each calendar month that is one month after the Borrowing of such Loan (or, if there is no such numerically corresponding day in such month, then the last day of such month) and (2) the relevant Maturity Date, (c) with respect to any Daily SOFR Loan, (1) the fifth Business Day of each calendar month for the preceding calendar month and (2) the relevant Maturity Date and (d) with respect to any Term Benchmark Loan, (1)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(2) the relevant Maturity Date.</w:t>
      </w:r>
    </w:p>
    <w:p>
      <w:pPr>
        <w:spacing w:after="0" w:line="163"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may elect;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the Borrower may not select an Interest Period with respect to any Loan that would extend beyond the Maturity Date for such Loan, (iii)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(iv) no tenor that has been removed from this definition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2.14(e)</w:t>
      </w:r>
      <w:r>
        <w:rPr>
          <w:rFonts w:ascii="Arial" w:cs="Arial" w:eastAsia="Arial" w:hAnsi="Arial"/>
          <w:sz w:val="18"/>
          <w:szCs w:val="18"/>
          <w:color w:val="auto"/>
        </w:rPr>
        <w:t xml:space="preserve"> shall be available for specification in such Borrowing Request or Interest Election Request. For purposes hereof, the date of a Borrowing initially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21" w:right="3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color w:val="auto"/>
        </w:rPr>
        <w:t>the date on which such Borrowing is made and thereafter shall be the effective date of the most recent conversion or continuation of such Borrowing.</w:t>
      </w:r>
    </w:p>
    <w:p>
      <w:pPr>
        <w:spacing w:after="0" w:line="223"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Guarantee Obligations in respect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Any commitment to make an Investment in any other Person, as well as any option of another Person to require an Investment in such Person, shall constitute an Investment. Except as expressly provided otherwise, for purposes of determining compliance with any covenant contained in a Loan Document, the amount of any Investment shall be the amount actually invested,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amount received from such investment, without adjustment for subsequent increases or decreases in the value of such Investment.</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Rating</w:t>
      </w:r>
      <w:r>
        <w:rPr>
          <w:rFonts w:ascii="Arial" w:cs="Arial" w:eastAsia="Arial" w:hAnsi="Arial"/>
          <w:sz w:val="18"/>
          <w:szCs w:val="18"/>
          <w:color w:val="auto"/>
        </w:rPr>
        <w:t>”: a Credit Rating of BBB- or better from S&amp;P, or a Credit Rating of Baa3 or better from Moody’s.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the United States Internal Revenue Service.</w:t>
      </w:r>
    </w:p>
    <w:p>
      <w:pPr>
        <w:spacing w:after="0" w:line="212"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Issuing Lender</w:t>
      </w:r>
      <w:r>
        <w:rPr>
          <w:rFonts w:ascii="Arial" w:cs="Arial" w:eastAsia="Arial" w:hAnsi="Arial"/>
          <w:sz w:val="16"/>
          <w:szCs w:val="16"/>
          <w:color w:val="auto"/>
        </w:rPr>
        <w:t xml:space="preserve">”: JPMorgan Chase Bank, N.A., Wells Fargo Bank, N.A., Citibank, N.A., Inc., Bank of America, N.A. and any other Lender that agrees to act as an Issuing Lender (in each case, through itself or through one of its designated affiliates or branch offices) with the consent of the Borrower, each in its capacity as the issuer of Letters of Credit hereunder, and its successors in such capacity as provided in </w:t>
      </w:r>
      <w:r>
        <w:rPr>
          <w:rFonts w:ascii="Arial" w:cs="Arial" w:eastAsia="Arial" w:hAnsi="Arial"/>
          <w:sz w:val="16"/>
          <w:szCs w:val="16"/>
          <w:u w:val="single" w:color="auto"/>
          <w:color w:val="auto"/>
        </w:rPr>
        <w:t>Section 3.9</w:t>
      </w:r>
      <w:r>
        <w:rPr>
          <w:rFonts w:ascii="Arial" w:cs="Arial" w:eastAsia="Arial" w:hAnsi="Arial"/>
          <w:sz w:val="16"/>
          <w:szCs w:val="16"/>
          <w:color w:val="auto"/>
        </w:rPr>
        <w:t>. Each Issuing Lender may, in its discretion, arrange for one or more Letters of Credit to be issued by Affiliates of the Issuing Lender, in which case the term “Issuing Lender” shall include any such Affiliate with respect to Letters of Credit issued by such Affiliate. Each reference herein to the “Issuing Lender” shall be deemed to be a reference to the relevant Issuing Lender, each Issuing Lender or all Issuing Lenders, as the context may require.</w:t>
      </w:r>
    </w:p>
    <w:p>
      <w:pPr>
        <w:spacing w:after="0" w:line="162" w:lineRule="exact"/>
        <w:rPr>
          <w:sz w:val="20"/>
          <w:szCs w:val="20"/>
          <w:color w:val="auto"/>
        </w:rPr>
      </w:pPr>
    </w:p>
    <w:p>
      <w:pPr>
        <w:jc w:val="both"/>
        <w:ind w:right="20"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 Commitment</w:t>
      </w:r>
      <w:r>
        <w:rPr>
          <w:rFonts w:ascii="Arial" w:cs="Arial" w:eastAsia="Arial" w:hAnsi="Arial"/>
          <w:sz w:val="18"/>
          <w:szCs w:val="18"/>
          <w:color w:val="auto"/>
        </w:rPr>
        <w:t>”: with respect to each Issuing Lender, $10,000,000 or such other amount as separately agreed in writing by such Issuing Lender and the Borrower.</w:t>
      </w:r>
    </w:p>
    <w:p>
      <w:pPr>
        <w:spacing w:after="0" w:line="171"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JACK Cleveland/Thistledown Master Lease</w:t>
      </w:r>
      <w:r>
        <w:rPr>
          <w:rFonts w:ascii="Arial" w:cs="Arial" w:eastAsia="Arial" w:hAnsi="Arial"/>
          <w:sz w:val="18"/>
          <w:szCs w:val="18"/>
          <w:color w:val="auto"/>
        </w:rPr>
        <w:t>”: that certain lease agreement, dated as of January 24, 2020, by and among Cleveland Propco LLC and Thistledown Propco LLC, for the real estate assets associated with the Jack Cleveland Casino located in Cleveland, Ohio, and Thistledown Racino, located in North Randall, Ohio, as the same may be amended, amended and restated, supplemented or otherwise modified prior to the date hereof and from time to time in accordance with the terms of this Agreement.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10.19</w:t>
      </w:r>
      <w:r>
        <w:rPr>
          <w:rFonts w:ascii="Arial" w:cs="Arial" w:eastAsia="Arial" w:hAnsi="Arial"/>
          <w:sz w:val="18"/>
          <w:szCs w:val="18"/>
          <w:color w:val="auto"/>
        </w:rPr>
        <w:t>.</w:t>
      </w:r>
    </w:p>
    <w:p>
      <w:pPr>
        <w:spacing w:after="0" w:line="212"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Las Vegas Master Lease</w:t>
      </w:r>
      <w:r>
        <w:rPr>
          <w:rFonts w:ascii="Arial" w:cs="Arial" w:eastAsia="Arial" w:hAnsi="Arial"/>
          <w:sz w:val="18"/>
          <w:szCs w:val="18"/>
          <w:color w:val="auto"/>
        </w:rPr>
        <w:t>”: that certain lease agreement, dated as of October 6, 2017, by and among CPLV Property Owner LLC and Claudine PropCo LLC, as landlord, and Desert Palace LLC, Caesars Entertainment Operating Company, Inc., CEOC, LLC and Harrah’s Las Vegas, LLC, as tenant for the properties listed on Exhibit A thereto, as the same may be amended, amended and restated, supplemented or otherwise modified prior to the date hereof and from time to time in accordance with the terms of this Agreement.</w:t>
      </w:r>
    </w:p>
    <w:p>
      <w:pPr>
        <w:spacing w:after="0" w:line="188"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Bridge Facility Termination Date</w:t>
      </w:r>
      <w:r>
        <w:rPr>
          <w:rFonts w:ascii="Arial" w:cs="Arial" w:eastAsia="Arial" w:hAnsi="Arial"/>
          <w:sz w:val="18"/>
          <w:szCs w:val="18"/>
          <w:color w:val="auto"/>
        </w:rPr>
        <w:t>”: the latest to occur of the Venetian Bridge Facility Termination Date and the MGP Bridge Facility Termination Date.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$40,000,000.</w:t>
      </w:r>
    </w:p>
    <w:p>
      <w:pPr>
        <w:spacing w:after="0" w:line="21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xml:space="preserve">”: </w:t>
      </w:r>
      <w:r>
        <w:rPr>
          <w:rFonts w:ascii="Arial" w:cs="Arial" w:eastAsia="Arial" w:hAnsi="Arial"/>
          <w:sz w:val="18"/>
          <w:szCs w:val="18"/>
          <w:color w:val="008000"/>
          <w:strike w:val="1"/>
        </w:rPr>
        <w:t>a payment made by an Issuing Lender pursuant to a</w:t>
      </w:r>
      <w:r>
        <w:rPr>
          <w:rFonts w:ascii="Arial" w:cs="Arial" w:eastAsia="Arial" w:hAnsi="Arial"/>
          <w:sz w:val="18"/>
          <w:szCs w:val="18"/>
          <w:color w:val="auto"/>
        </w:rPr>
        <w:t xml:space="preserve"> </w:t>
      </w:r>
      <w:r>
        <w:rPr>
          <w:rFonts w:ascii="Arial" w:cs="Arial" w:eastAsia="Arial" w:hAnsi="Arial"/>
          <w:sz w:val="18"/>
          <w:szCs w:val="18"/>
          <w:color w:val="FF0000"/>
          <w:strike w:val="1"/>
        </w:rPr>
        <w:t>Letter of Credit</w:t>
      </w:r>
      <w:r>
        <w:rPr>
          <w:rFonts w:ascii="Arial" w:cs="Arial" w:eastAsia="Arial" w:hAnsi="Arial"/>
          <w:sz w:val="18"/>
          <w:szCs w:val="18"/>
          <w:u w:val="single" w:color="auto"/>
          <w:color w:val="0000FF"/>
          <w:highlight w:val="lightGray"/>
        </w:rPr>
        <w:t>any Multicurrency L/C Disbursement or USD</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L/C Disbursement</w:t>
      </w:r>
      <w:r>
        <w:rPr>
          <w:rFonts w:ascii="Arial" w:cs="Arial" w:eastAsia="Arial" w:hAnsi="Arial"/>
          <w:sz w:val="18"/>
          <w:szCs w:val="18"/>
          <w:color w:val="000000"/>
        </w:rPr>
        <w:t>.</w:t>
      </w:r>
    </w:p>
    <w:p>
      <w:pPr>
        <w:spacing w:after="0" w:line="17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008000"/>
        </w:rPr>
        <w:t>L/C Exposure</w:t>
      </w:r>
      <w:r>
        <w:rPr>
          <w:rFonts w:ascii="Arial" w:cs="Arial" w:eastAsia="Arial" w:hAnsi="Arial"/>
          <w:sz w:val="18"/>
          <w:szCs w:val="18"/>
          <w:color w:val="008000"/>
        </w:rPr>
        <w:t>”: at any time, the sum of (a) the aggregate undrawn amount of all outstanding Letters of Credit at such time,</w:t>
      </w:r>
      <w:r>
        <w:rPr>
          <w:rFonts w:ascii="Arial" w:cs="Arial" w:eastAsia="Arial" w:hAnsi="Arial"/>
          <w:sz w:val="18"/>
          <w:szCs w:val="18"/>
          <w:color w:val="FF0000"/>
        </w:rPr>
        <w:t xml:space="preserve"> </w:t>
      </w:r>
      <w:r>
        <w:rPr>
          <w:rFonts w:ascii="Arial" w:cs="Arial" w:eastAsia="Arial" w:hAnsi="Arial"/>
          <w:sz w:val="18"/>
          <w:szCs w:val="18"/>
          <w:u w:val="single" w:color="auto"/>
          <w:color w:val="008000"/>
        </w:rPr>
        <w:t>plus</w:t>
      </w:r>
      <w:r>
        <w:rPr>
          <w:rFonts w:ascii="Arial" w:cs="Arial" w:eastAsia="Arial" w:hAnsi="Arial"/>
          <w:sz w:val="18"/>
          <w:szCs w:val="18"/>
          <w:color w:val="FF0000"/>
        </w:rPr>
        <w:t xml:space="preserve"> </w:t>
      </w:r>
      <w:r>
        <w:rPr>
          <w:rFonts w:ascii="Arial" w:cs="Arial" w:eastAsia="Arial" w:hAnsi="Arial"/>
          <w:sz w:val="18"/>
          <w:szCs w:val="18"/>
          <w:color w:val="008000"/>
        </w:rPr>
        <w:t>(b) the</w:t>
      </w:r>
      <w:r>
        <w:rPr>
          <w:rFonts w:ascii="Arial" w:cs="Arial" w:eastAsia="Arial" w:hAnsi="Arial"/>
          <w:sz w:val="18"/>
          <w:szCs w:val="18"/>
          <w:color w:val="FF0000"/>
        </w:rPr>
        <w:t xml:space="preserve"> </w:t>
      </w:r>
      <w:r>
        <w:rPr>
          <w:rFonts w:ascii="Arial" w:cs="Arial" w:eastAsia="Arial" w:hAnsi="Arial"/>
          <w:sz w:val="18"/>
          <w:szCs w:val="18"/>
          <w:color w:val="FF0000"/>
          <w:strike w:val="1"/>
        </w:rPr>
        <w:t>aggregate amount of all L/</w:t>
      </w:r>
      <w:r>
        <w:rPr>
          <w:rFonts w:ascii="Arial" w:cs="Arial" w:eastAsia="Arial" w:hAnsi="Arial"/>
          <w:sz w:val="18"/>
          <w:szCs w:val="18"/>
          <w:color w:val="008000"/>
          <w:strike w:val="1"/>
        </w:rPr>
        <w:t>C Disbursements that have not yet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-207645</wp:posOffset>
            </wp:positionV>
            <wp:extent cx="62560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6256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21" w:right="339" w:bottom="1440" w:gutter="0" w:footer="0" w:header="0"/>
        </w:sectPr>
      </w:pPr>
    </w:p>
    <w:bookmarkStart w:id="127" w:name="page128"/>
    <w:bookmarkEnd w:id="127"/>
    <w:p>
      <w:pPr>
        <w:jc w:val="both"/>
        <w:spacing w:after="0" w:line="253" w:lineRule="auto"/>
        <w:rPr>
          <w:sz w:val="20"/>
          <w:szCs w:val="20"/>
          <w:color w:val="auto"/>
        </w:rPr>
      </w:pPr>
      <w:r>
        <w:rPr>
          <w:rFonts w:ascii="Arial" w:cs="Arial" w:eastAsia="Arial" w:hAnsi="Arial"/>
          <w:sz w:val="17"/>
          <w:szCs w:val="17"/>
          <w:color w:val="008000"/>
          <w:strike w:val="1"/>
        </w:rPr>
        <w:t xml:space="preserve">reimbursed by or on behalf of the Borrower at such time. The L/C Exposure of any Lender at any time shall be its </w:t>
      </w:r>
      <w:r>
        <w:rPr>
          <w:rFonts w:ascii="Arial" w:cs="Arial" w:eastAsia="Arial" w:hAnsi="Arial"/>
          <w:sz w:val="17"/>
          <w:szCs w:val="17"/>
          <w:color w:val="FF0000"/>
          <w:strike w:val="1"/>
        </w:rPr>
        <w:t>Revolving Percentage of the L/C</w:t>
      </w:r>
      <w:r>
        <w:rPr>
          <w:rFonts w:ascii="Arial" w:cs="Arial" w:eastAsia="Arial" w:hAnsi="Arial"/>
          <w:sz w:val="17"/>
          <w:szCs w:val="17"/>
          <w:color w:val="008000"/>
          <w:strike w:val="1"/>
        </w:rPr>
        <w:t xml:space="preserve">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w:t>
      </w:r>
      <w:r>
        <w:rPr>
          <w:rFonts w:ascii="Arial" w:cs="Arial" w:eastAsia="Arial" w:hAnsi="Arial"/>
          <w:sz w:val="17"/>
          <w:szCs w:val="17"/>
          <w:color w:val="FF0000"/>
          <w:strike w:val="1"/>
        </w:rPr>
        <w:t>Letter of</w:t>
      </w:r>
      <w:r>
        <w:rPr>
          <w:rFonts w:ascii="Arial" w:cs="Arial" w:eastAsia="Arial" w:hAnsi="Arial"/>
          <w:sz w:val="17"/>
          <w:szCs w:val="17"/>
          <w:color w:val="008000"/>
          <w:strike w:val="1"/>
        </w:rPr>
        <w:t xml:space="preserve"> Credit shall be deemed to be “outstanding” and “undrawn” in the amount so remaining available to be paid, and the obligations of the Borrower and each Lender shall remain in full force and effect until the Issuing Lenders and the Lenders shall have no further obligations to make any payments or disbursements under any circumstances with respect to any </w:t>
      </w:r>
      <w:r>
        <w:rPr>
          <w:rFonts w:ascii="Arial" w:cs="Arial" w:eastAsia="Arial" w:hAnsi="Arial"/>
          <w:sz w:val="17"/>
          <w:szCs w:val="17"/>
          <w:color w:val="FF0000"/>
          <w:strike w:val="1"/>
        </w:rPr>
        <w:t>Letter of Credit.</w:t>
      </w:r>
    </w:p>
    <w:p>
      <w:pPr>
        <w:spacing w:after="0" w:line="184" w:lineRule="exact"/>
        <w:rPr>
          <w:sz w:val="20"/>
          <w:szCs w:val="20"/>
          <w:color w:val="auto"/>
        </w:rPr>
      </w:pPr>
    </w:p>
    <w:p>
      <w:pPr>
        <w:jc w:val="both"/>
        <w:ind w:right="20"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xml:space="preserve">”: at any time, an amount equal to the sum of (a) the </w:t>
      </w:r>
      <w:r>
        <w:rPr>
          <w:rFonts w:ascii="Arial" w:cs="Arial" w:eastAsia="Arial" w:hAnsi="Arial"/>
          <w:sz w:val="18"/>
          <w:szCs w:val="18"/>
          <w:u w:val="single" w:color="auto"/>
          <w:color w:val="0000FF"/>
          <w:highlight w:val="lightGray"/>
        </w:rPr>
        <w:t>Dollar Equivalent of the</w:t>
      </w:r>
      <w:r>
        <w:rPr>
          <w:rFonts w:ascii="Arial" w:cs="Arial" w:eastAsia="Arial" w:hAnsi="Arial"/>
          <w:sz w:val="18"/>
          <w:szCs w:val="18"/>
          <w:color w:val="auto"/>
        </w:rPr>
        <w:t xml:space="preserve"> aggregate then undrawn and unexpired amount of the then outstanding Letters of Credit and (b) the </w:t>
      </w:r>
      <w:r>
        <w:rPr>
          <w:rFonts w:ascii="Arial" w:cs="Arial" w:eastAsia="Arial" w:hAnsi="Arial"/>
          <w:sz w:val="18"/>
          <w:szCs w:val="18"/>
          <w:u w:val="single" w:color="auto"/>
          <w:color w:val="0000FF"/>
          <w:highlight w:val="lightGray"/>
        </w:rPr>
        <w:t>Dollar Equivalent of the</w:t>
      </w:r>
      <w:r>
        <w:rPr>
          <w:rFonts w:ascii="Arial" w:cs="Arial" w:eastAsia="Arial" w:hAnsi="Arial"/>
          <w:sz w:val="18"/>
          <w:szCs w:val="18"/>
          <w:color w:val="auto"/>
        </w:rPr>
        <w:t xml:space="preserve"> aggregate amount of drawings under Letters of Credit that have not then been reimbursed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18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Participants</w:t>
      </w:r>
      <w:r>
        <w:rPr>
          <w:rFonts w:ascii="Arial" w:cs="Arial" w:eastAsia="Arial" w:hAnsi="Arial"/>
          <w:sz w:val="18"/>
          <w:szCs w:val="18"/>
          <w:color w:val="auto"/>
        </w:rPr>
        <w:t xml:space="preserve">”: </w:t>
      </w:r>
      <w:r>
        <w:rPr>
          <w:rFonts w:ascii="Arial" w:cs="Arial" w:eastAsia="Arial" w:hAnsi="Arial"/>
          <w:sz w:val="18"/>
          <w:szCs w:val="18"/>
          <w:color w:val="008000"/>
          <w:strike w:val="1"/>
        </w:rPr>
        <w:t>the collective reference to all the Revolving Lenders other than the Issuing Lender</w:t>
      </w:r>
      <w:r>
        <w:rPr>
          <w:rFonts w:ascii="Arial" w:cs="Arial" w:eastAsia="Arial" w:hAnsi="Arial"/>
          <w:sz w:val="18"/>
          <w:szCs w:val="18"/>
          <w:u w:val="single" w:color="auto"/>
          <w:color w:val="0000FF"/>
          <w:highlight w:val="lightGray"/>
        </w:rPr>
        <w:t>each Multicurrency L/C Participant</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and USD L/C Participant</w:t>
      </w:r>
      <w:r>
        <w:rPr>
          <w:rFonts w:ascii="Arial" w:cs="Arial" w:eastAsia="Arial" w:hAnsi="Arial"/>
          <w:sz w:val="18"/>
          <w:szCs w:val="18"/>
          <w:color w:val="000000"/>
        </w:rPr>
        <w: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Lender-Related Person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10.5(b)</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as defined in the preamble hereto.</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w:t>
      </w:r>
      <w:r>
        <w:rPr>
          <w:rFonts w:ascii="Arial" w:cs="Arial" w:eastAsia="Arial" w:hAnsi="Arial"/>
          <w:sz w:val="18"/>
          <w:szCs w:val="18"/>
          <w:color w:val="008000"/>
          <w:strike w:val="1"/>
        </w:rPr>
        <w:t>as defined in</w:t>
      </w:r>
      <w:r>
        <w:rPr>
          <w:rFonts w:ascii="Arial" w:cs="Arial" w:eastAsia="Arial" w:hAnsi="Arial"/>
          <w:sz w:val="18"/>
          <w:szCs w:val="18"/>
          <w:color w:val="auto"/>
        </w:rPr>
        <w:t xml:space="preserve"> </w:t>
      </w:r>
      <w:r>
        <w:rPr>
          <w:rFonts w:ascii="Arial" w:cs="Arial" w:eastAsia="Arial" w:hAnsi="Arial"/>
          <w:sz w:val="18"/>
          <w:szCs w:val="18"/>
          <w:u w:val="single" w:color="auto"/>
          <w:color w:val="008000"/>
          <w:strike w:val="1"/>
        </w:rPr>
        <w:t>Section 3.1(a)</w:t>
      </w:r>
      <w:r>
        <w:rPr>
          <w:rFonts w:ascii="Arial" w:cs="Arial" w:eastAsia="Arial" w:hAnsi="Arial"/>
          <w:sz w:val="18"/>
          <w:szCs w:val="18"/>
          <w:u w:val="single" w:color="auto"/>
          <w:color w:val="0000FF"/>
          <w:highlight w:val="lightGray"/>
        </w:rPr>
        <w:t>each Multicurrency Letter of Credit and USD Letter of Credit</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any losses, claims (including intraparty claims), demands, damages or liabilities of any kind.</w:t>
      </w:r>
    </w:p>
    <w:p>
      <w:pPr>
        <w:spacing w:after="0" w:line="12"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any mortgage, pledge, deed of trust, security interest, encumbrance, lien or charge of any kind (including any conditional sale or other title retention agreement or lease in the nature thereof).</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Equity Pledge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10.25</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Equity Pledge Agreement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10.25</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any loan made by any Lender pursuant to this Agreement.</w:t>
      </w:r>
    </w:p>
    <w:p>
      <w:pPr>
        <w:spacing w:after="0" w:line="212"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(a) this Agreement, (b) the Guarantee Agreement, (c) the Notes, (d) any security agreements, pledge agreements, mortgages, deeds of trust or deeds to secure the Borrower’s Obligations and the Guarantee Obligations of the Subsidiary Guarantors under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(e) any document granting a Lien on cash collateral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(f) the fee agreements described in </w:t>
      </w:r>
      <w:r>
        <w:rPr>
          <w:rFonts w:ascii="Arial" w:cs="Arial" w:eastAsia="Arial" w:hAnsi="Arial"/>
          <w:sz w:val="18"/>
          <w:szCs w:val="18"/>
          <w:u w:val="single" w:color="auto"/>
          <w:color w:val="auto"/>
        </w:rPr>
        <w:t>Section 2.6(b)</w:t>
      </w:r>
      <w:r>
        <w:rPr>
          <w:rFonts w:ascii="Arial" w:cs="Arial" w:eastAsia="Arial" w:hAnsi="Arial"/>
          <w:sz w:val="18"/>
          <w:szCs w:val="18"/>
          <w:color w:val="auto"/>
        </w:rPr>
        <w:t>, (g) any amendment, waiver, supplement or other modification to any of the foregoing and (h) any other document the Borrower and the Administrative Agent agree shall constitute a Loan Document.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the Borrower and any Subsidiary Guarantors.</w:t>
      </w:r>
    </w:p>
    <w:p>
      <w:pPr>
        <w:spacing w:after="0" w:line="21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Majority Facility Lenders</w:t>
      </w:r>
      <w:r>
        <w:rPr>
          <w:rFonts w:ascii="Arial" w:cs="Arial" w:eastAsia="Arial" w:hAnsi="Arial"/>
          <w:sz w:val="17"/>
          <w:szCs w:val="17"/>
          <w:color w:val="auto"/>
        </w:rPr>
        <w:t xml:space="preserve">”: with respect to any Facility, the holders of more than 50% of the aggregate unpaid principal amount of (a) prior to the Delayed Draw Term Commitment Termination Date, the aggregate amount of the Available Delayed Draw Term Commitments and the outstanding Delayed Draw Term Loans </w:t>
      </w:r>
      <w:r>
        <w:rPr>
          <w:rFonts w:ascii="Arial" w:cs="Arial" w:eastAsia="Arial" w:hAnsi="Arial"/>
          <w:sz w:val="17"/>
          <w:szCs w:val="17"/>
          <w:color w:val="FF0000"/>
        </w:rPr>
        <w:t>or</w:t>
      </w:r>
      <w:r>
        <w:rPr>
          <w:rFonts w:ascii="Arial" w:cs="Arial" w:eastAsia="Arial" w:hAnsi="Arial"/>
          <w:sz w:val="17"/>
          <w:szCs w:val="17"/>
          <w:u w:val="single" w:color="auto"/>
          <w:color w:val="0000FF"/>
          <w:highlight w:val="lightGray"/>
        </w:rPr>
        <w:t>,</w:t>
      </w:r>
      <w:r>
        <w:rPr>
          <w:rFonts w:ascii="Arial" w:cs="Arial" w:eastAsia="Arial" w:hAnsi="Arial"/>
          <w:sz w:val="17"/>
          <w:szCs w:val="17"/>
          <w:color w:val="auto"/>
        </w:rPr>
        <w:t xml:space="preserve"> (b) the Total </w:t>
      </w:r>
      <w:r>
        <w:rPr>
          <w:rFonts w:ascii="Arial" w:cs="Arial" w:eastAsia="Arial" w:hAnsi="Arial"/>
          <w:sz w:val="17"/>
          <w:szCs w:val="17"/>
          <w:u w:val="single" w:color="auto"/>
          <w:color w:val="0000FF"/>
          <w:highlight w:val="lightGray"/>
        </w:rPr>
        <w:t>Multicurrency Revolving Extensions of Credit or (c) the Total USD</w:t>
      </w:r>
      <w:r>
        <w:rPr>
          <w:rFonts w:ascii="Arial" w:cs="Arial" w:eastAsia="Arial" w:hAnsi="Arial"/>
          <w:sz w:val="17"/>
          <w:szCs w:val="17"/>
          <w:color w:val="auto"/>
        </w:rPr>
        <w:t xml:space="preserve"> Revolving Extensions of Credit, as the case may be, outstanding under such Facility (or, in the case of </w:t>
      </w:r>
      <w:r>
        <w:rPr>
          <w:rFonts w:ascii="Arial" w:cs="Arial" w:eastAsia="Arial" w:hAnsi="Arial"/>
          <w:sz w:val="17"/>
          <w:szCs w:val="17"/>
          <w:color w:val="FF0000"/>
          <w:strike w:val="1"/>
        </w:rPr>
        <w:t>the</w:t>
      </w:r>
      <w:r>
        <w:rPr>
          <w:rFonts w:ascii="Arial" w:cs="Arial" w:eastAsia="Arial" w:hAnsi="Arial"/>
          <w:sz w:val="17"/>
          <w:szCs w:val="17"/>
          <w:u w:val="single" w:color="auto"/>
          <w:color w:val="0000FF"/>
          <w:highlight w:val="lightGray"/>
        </w:rPr>
        <w:t>any</w:t>
      </w:r>
      <w:r>
        <w:rPr>
          <w:rFonts w:ascii="Arial" w:cs="Arial" w:eastAsia="Arial" w:hAnsi="Arial"/>
          <w:sz w:val="17"/>
          <w:szCs w:val="17"/>
          <w:color w:val="auto"/>
        </w:rPr>
        <w:t xml:space="preserve"> Revolving Facility, prior to any termination of the Revolving Commitments </w:t>
      </w:r>
      <w:r>
        <w:rPr>
          <w:rFonts w:ascii="Arial" w:cs="Arial" w:eastAsia="Arial" w:hAnsi="Arial"/>
          <w:sz w:val="17"/>
          <w:szCs w:val="17"/>
          <w:color w:val="0000FF"/>
        </w:rPr>
        <w:t>under such Revolving Facility</w:t>
      </w:r>
      <w:r>
        <w:rPr>
          <w:rFonts w:ascii="Arial" w:cs="Arial" w:eastAsia="Arial" w:hAnsi="Arial"/>
          <w:sz w:val="17"/>
          <w:szCs w:val="17"/>
          <w:color w:val="auto"/>
        </w:rPr>
        <w:t xml:space="preserve">, the holders of more than 50% of the </w:t>
      </w:r>
      <w:r>
        <w:rPr>
          <w:rFonts w:ascii="Arial" w:cs="Arial" w:eastAsia="Arial" w:hAnsi="Arial"/>
          <w:sz w:val="17"/>
          <w:szCs w:val="17"/>
          <w:color w:val="FF0000"/>
          <w:strike w:val="1"/>
        </w:rPr>
        <w:t>T</w:t>
      </w:r>
      <w:r>
        <w:rPr>
          <w:rFonts w:ascii="Arial" w:cs="Arial" w:eastAsia="Arial" w:hAnsi="Arial"/>
          <w:sz w:val="17"/>
          <w:szCs w:val="17"/>
          <w:u w:val="single" w:color="auto"/>
          <w:color w:val="0000FF"/>
          <w:highlight w:val="lightGray"/>
        </w:rPr>
        <w:t>t</w:t>
      </w:r>
      <w:r>
        <w:rPr>
          <w:rFonts w:ascii="Arial" w:cs="Arial" w:eastAsia="Arial" w:hAnsi="Arial"/>
          <w:sz w:val="17"/>
          <w:szCs w:val="17"/>
          <w:color w:val="auto"/>
        </w:rPr>
        <w:t xml:space="preserve">otal Revolving Commitments </w:t>
      </w:r>
      <w:r>
        <w:rPr>
          <w:rFonts w:ascii="Arial" w:cs="Arial" w:eastAsia="Arial" w:hAnsi="Arial"/>
          <w:sz w:val="17"/>
          <w:szCs w:val="17"/>
          <w:color w:val="0000FF"/>
        </w:rPr>
        <w:t>under such Revolving Facility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at all times when two or more Lenders (excluding Defaulting Lenders) are party to the applicable Facility under this Agreement, the term “Majority Facility Lenders” shall in no event mean less than two Lenders party to such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-587375</wp:posOffset>
            </wp:positionV>
            <wp:extent cx="1282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-398780</wp:posOffset>
            </wp:positionV>
            <wp:extent cx="1496060" cy="1282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1496060" cy="12827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-398780</wp:posOffset>
            </wp:positionV>
            <wp:extent cx="1508760" cy="1282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1508760"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21" w:right="339" w:bottom="1440" w:gutter="0" w:footer="0" w:header="0"/>
        </w:sectPr>
      </w:pPr>
    </w:p>
    <w:bookmarkStart w:id="128" w:name="page129"/>
    <w:bookmarkEnd w:id="128"/>
    <w:p>
      <w:pPr>
        <w:jc w:val="both"/>
        <w:ind w:firstLine="129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Master Leases</w:t>
      </w:r>
      <w:r>
        <w:rPr>
          <w:rFonts w:ascii="Arial" w:cs="Arial" w:eastAsia="Arial" w:hAnsi="Arial"/>
          <w:sz w:val="16"/>
          <w:szCs w:val="16"/>
          <w:color w:val="auto"/>
        </w:rPr>
        <w:t>”: the Regional Master Lease, the Las Vegas Master Lease, the Greektown Lease, the Hard Rock Cincinnati Lease, the JACK Cleveland/Thistledown Master Lease, the Century Master Lease, the MGM Master Lease, any Severance Lease and each Similar Lease entered into after the Closing Date by the Borrower or any of its Restricted Subsidiaries and any other Person (other than the Borrower or a Restricted Subsidiary).</w:t>
      </w:r>
    </w:p>
    <w:p>
      <w:pPr>
        <w:spacing w:after="0" w:line="147"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a material adverse effect on (a) the business, property, operations or financial condition of the Borrower and its Subsidiaries taken as a whole or (b) the validity or enforceability of this Agreement or any of the other Loan Documents or the rights or remedies of the Administrative Agent or the Lenders hereunder or thereunder.</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any Indebtedness the outstanding principal amount of which is in excess of $150,000,000.</w:t>
      </w:r>
    </w:p>
    <w:p>
      <w:pPr>
        <w:spacing w:after="0" w:line="212"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Materials of Environmental Concern</w:t>
      </w:r>
      <w:r>
        <w:rPr>
          <w:rFonts w:ascii="Arial" w:cs="Arial" w:eastAsia="Arial" w:hAnsi="Arial"/>
          <w:sz w:val="18"/>
          <w:szCs w:val="18"/>
          <w:color w:val="auto"/>
        </w:rPr>
        <w:t>”: any substance, material or waste defined or regulated as “hazardous,” “toxic,” “explosive,” “radioactive,” a “contaminant,” a “pollutant” or words of similar meaning under any Environmental Law, including any petroleum or petroleum product, asbestos or asbestos containing material, radon, polychlorinated biphenyls, urea-formaldehyde insulation, per- and polyfluoroalkyl substances and 1,4-dioxane.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any Restricted Subsidiary that is not an Immaterial Subsidiary.</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xml:space="preserve">”: the </w:t>
      </w:r>
      <w:r>
        <w:rPr>
          <w:rFonts w:ascii="Arial" w:cs="Arial" w:eastAsia="Arial" w:hAnsi="Arial"/>
          <w:sz w:val="17"/>
          <w:szCs w:val="17"/>
          <w:u w:val="single" w:color="auto"/>
          <w:color w:val="0000FF"/>
          <w:highlight w:val="lightGray"/>
        </w:rPr>
        <w:t>Multicurrency Revolving Maturity Date, USD</w:t>
      </w:r>
      <w:r>
        <w:rPr>
          <w:rFonts w:ascii="Arial" w:cs="Arial" w:eastAsia="Arial" w:hAnsi="Arial"/>
          <w:sz w:val="17"/>
          <w:szCs w:val="17"/>
          <w:color w:val="auto"/>
        </w:rPr>
        <w:t xml:space="preserve"> Revolving Maturity Date or the Delayed Draw Term Maturity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applicable.</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10.21</w:t>
      </w:r>
      <w:r>
        <w:rPr>
          <w:rFonts w:ascii="Arial" w:cs="Arial" w:eastAsia="Arial" w:hAnsi="Arial"/>
          <w:sz w:val="18"/>
          <w:szCs w:val="18"/>
          <w:color w:val="auto"/>
        </w:rPr>
        <w:t>.</w:t>
      </w:r>
    </w:p>
    <w:p>
      <w:pPr>
        <w:spacing w:after="0" w:line="21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MGM Master Lease</w:t>
      </w:r>
      <w:r>
        <w:rPr>
          <w:rFonts w:ascii="Arial" w:cs="Arial" w:eastAsia="Arial" w:hAnsi="Arial"/>
          <w:sz w:val="18"/>
          <w:szCs w:val="18"/>
          <w:color w:val="auto"/>
        </w:rPr>
        <w:t>”: the lease agreement, dated as of April 25, 2016, between MGP Lessor, LLC, as landlord, and MGM Lessee, LLC, as tenant, for the properties listed on Exhibit A thereto, as the same may be amended, amended and restated, supplemented or otherwise modified prior to the date hereof and from time to time in accordance with the terms of this Agreement.</w:t>
      </w:r>
    </w:p>
    <w:p>
      <w:pPr>
        <w:spacing w:after="0" w:line="18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MGP Bridge Facility</w:t>
      </w:r>
      <w:r>
        <w:rPr>
          <w:rFonts w:ascii="Arial" w:cs="Arial" w:eastAsia="Arial" w:hAnsi="Arial"/>
          <w:sz w:val="18"/>
          <w:szCs w:val="18"/>
          <w:color w:val="auto"/>
        </w:rPr>
        <w:t>”: the bridge facility referenced in that certain Commitment Letter, dated as of August 4, 2021, among Morgan Stanley Senior Funding, Inc., JPMorgan Chase Bank, N.A., Citigroup Global Markets Inc. and the Borrower.</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MGP Bridge Facility Funding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6.16(a)</w:t>
      </w:r>
      <w:r>
        <w:rPr>
          <w:rFonts w:ascii="Arial" w:cs="Arial" w:eastAsia="Arial" w:hAnsi="Arial"/>
          <w:sz w:val="18"/>
          <w:szCs w:val="18"/>
          <w:color w:val="auto"/>
        </w:rPr>
        <w:t>.</w:t>
      </w:r>
    </w:p>
    <w:p>
      <w:pPr>
        <w:spacing w:after="0" w:line="21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MGP Bridge Facility Termination Date</w:t>
      </w:r>
      <w:r>
        <w:rPr>
          <w:rFonts w:ascii="Arial" w:cs="Arial" w:eastAsia="Arial" w:hAnsi="Arial"/>
          <w:sz w:val="18"/>
          <w:szCs w:val="18"/>
          <w:color w:val="auto"/>
        </w:rPr>
        <w:t>”: the date on which (a) the commitments in respect of the MGP Bridge Facility, and any outstanding loans in respect of the MGP Bridge Facility (if any), are reduced to zero and (b) any guarantees in respect of, and any liens securing, the MGP Bridge Facility are terminated.</w:t>
      </w:r>
    </w:p>
    <w:p>
      <w:pPr>
        <w:spacing w:after="0" w:line="182" w:lineRule="exact"/>
        <w:rPr>
          <w:sz w:val="20"/>
          <w:szCs w:val="20"/>
          <w:color w:val="auto"/>
        </w:rPr>
      </w:pPr>
    </w:p>
    <w:p>
      <w:pPr>
        <w:jc w:val="both"/>
        <w:ind w:right="20"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MGP Transactions</w:t>
      </w:r>
      <w:r>
        <w:rPr>
          <w:rFonts w:ascii="Arial" w:cs="Arial" w:eastAsia="Arial" w:hAnsi="Arial"/>
          <w:sz w:val="18"/>
          <w:szCs w:val="18"/>
          <w:color w:val="auto"/>
        </w:rPr>
        <w:t>”: the mergers and other transactions contemplated by the Master Transaction Agreement, dated August 4, 2021, by and among the Borrower, MGM Growth Properties, LLC and their respective affiliates party thereto.</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as defined in the definition of Cash Equivalents.</w:t>
      </w:r>
    </w:p>
    <w:p>
      <w:pPr>
        <w:spacing w:after="0" w:line="21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Note</w:t>
      </w:r>
      <w:r>
        <w:rPr>
          <w:rFonts w:ascii="Arial" w:cs="Arial" w:eastAsia="Arial" w:hAnsi="Arial"/>
          <w:sz w:val="18"/>
          <w:szCs w:val="18"/>
          <w:color w:val="auto"/>
        </w:rPr>
        <w:t>”: notes receivable of the Group Members which are secured by mortgage Liens on real estate and which are not more than 60 days past due or otherwise in payment default after giving effect to applicable cure periods that has resulted in the commencement of the exercise of remedies.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highlight w:val="lightGray"/>
        </w:rPr>
        <w:t xml:space="preserve">“Multicurrency L/C Disbursement”: </w:t>
      </w:r>
      <w:r>
        <w:rPr>
          <w:rFonts w:ascii="Arial" w:cs="Arial" w:eastAsia="Arial" w:hAnsi="Arial"/>
          <w:sz w:val="18"/>
          <w:szCs w:val="18"/>
          <w:u w:val="single" w:color="auto"/>
          <w:color w:val="008000"/>
        </w:rPr>
        <w:t>a payment made by an Issuing Lender pursuant to a</w:t>
      </w:r>
      <w:r>
        <w:rPr>
          <w:rFonts w:ascii="Arial" w:cs="Arial" w:eastAsia="Arial" w:hAnsi="Arial"/>
          <w:sz w:val="18"/>
          <w:szCs w:val="18"/>
          <w:u w:val="single" w:color="auto"/>
          <w:color w:val="0000FF"/>
          <w:highlight w:val="lightGray"/>
        </w:rPr>
        <w:t xml:space="preserve"> Multicurrency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21" w:right="339" w:bottom="1440" w:gutter="0" w:footer="0" w:header="0"/>
        </w:sectPr>
      </w:pPr>
    </w:p>
    <w:bookmarkStart w:id="129" w:name="page130"/>
    <w:bookmarkEnd w:id="129"/>
    <w:p>
      <w:pPr>
        <w:jc w:val="both"/>
        <w:ind w:firstLine="1296"/>
        <w:spacing w:after="0" w:line="270" w:lineRule="auto"/>
        <w:rPr>
          <w:sz w:val="20"/>
          <w:szCs w:val="20"/>
          <w:color w:val="auto"/>
        </w:rPr>
      </w:pPr>
      <w:r>
        <w:rPr>
          <w:rFonts w:ascii="Arial" w:cs="Arial" w:eastAsia="Arial" w:hAnsi="Arial"/>
          <w:sz w:val="16"/>
          <w:szCs w:val="16"/>
          <w:u w:val="single" w:color="auto"/>
          <w:color w:val="0000FF"/>
          <w:highlight w:val="lightGray"/>
        </w:rPr>
        <w:t xml:space="preserve">“Multicurrency </w:t>
      </w:r>
      <w:r>
        <w:rPr>
          <w:rFonts w:ascii="Arial" w:cs="Arial" w:eastAsia="Arial" w:hAnsi="Arial"/>
          <w:sz w:val="16"/>
          <w:szCs w:val="16"/>
          <w:u w:val="single" w:color="auto"/>
          <w:color w:val="008000"/>
        </w:rPr>
        <w:t>L/C Exposure”: at any time, the sum of (a) the</w:t>
      </w:r>
      <w:r>
        <w:rPr>
          <w:rFonts w:ascii="Arial" w:cs="Arial" w:eastAsia="Arial" w:hAnsi="Arial"/>
          <w:sz w:val="16"/>
          <w:szCs w:val="16"/>
          <w:u w:val="single" w:color="auto"/>
          <w:color w:val="0000FF"/>
          <w:highlight w:val="lightGray"/>
        </w:rPr>
        <w:t xml:space="preserve"> Dollar Equivalent of the </w:t>
      </w:r>
      <w:r>
        <w:rPr>
          <w:rFonts w:ascii="Arial" w:cs="Arial" w:eastAsia="Arial" w:hAnsi="Arial"/>
          <w:sz w:val="16"/>
          <w:szCs w:val="16"/>
          <w:u w:val="single" w:color="auto"/>
          <w:color w:val="008000"/>
        </w:rPr>
        <w:t>aggregate undrawn amount of all outstanding</w:t>
      </w:r>
      <w:r>
        <w:rPr>
          <w:rFonts w:ascii="Arial" w:cs="Arial" w:eastAsia="Arial" w:hAnsi="Arial"/>
          <w:sz w:val="16"/>
          <w:szCs w:val="16"/>
          <w:u w:val="single" w:color="auto"/>
          <w:color w:val="0000FF"/>
          <w:highlight w:val="lightGray"/>
        </w:rPr>
        <w:t xml:space="preserve"> Multicurrency </w:t>
      </w:r>
      <w:r>
        <w:rPr>
          <w:rFonts w:ascii="Arial" w:cs="Arial" w:eastAsia="Arial" w:hAnsi="Arial"/>
          <w:sz w:val="16"/>
          <w:szCs w:val="16"/>
          <w:u w:val="single" w:color="auto"/>
          <w:color w:val="008000"/>
        </w:rPr>
        <w:t>Letters of Credit at such time, plus (b) the</w:t>
      </w:r>
      <w:r>
        <w:rPr>
          <w:rFonts w:ascii="Arial" w:cs="Arial" w:eastAsia="Arial" w:hAnsi="Arial"/>
          <w:sz w:val="16"/>
          <w:szCs w:val="16"/>
          <w:u w:val="single" w:color="auto"/>
          <w:color w:val="0000FF"/>
          <w:highlight w:val="lightGray"/>
        </w:rPr>
        <w:t xml:space="preserve"> Dollar Equivalent of the aggregate amount of all Multicurrency L/</w:t>
      </w:r>
      <w:r>
        <w:rPr>
          <w:rFonts w:ascii="Arial" w:cs="Arial" w:eastAsia="Arial" w:hAnsi="Arial"/>
          <w:sz w:val="16"/>
          <w:szCs w:val="16"/>
          <w:u w:val="single" w:color="auto"/>
          <w:color w:val="008000"/>
        </w:rPr>
        <w:t>C Disbursements that have not</w:t>
      </w:r>
      <w:r>
        <w:rPr>
          <w:rFonts w:ascii="Arial" w:cs="Arial" w:eastAsia="Arial" w:hAnsi="Arial"/>
          <w:sz w:val="16"/>
          <w:szCs w:val="16"/>
          <w:u w:val="single" w:color="auto"/>
          <w:color w:val="0000FF"/>
          <w:highlight w:val="lightGray"/>
        </w:rPr>
        <w:t xml:space="preserve"> </w:t>
      </w:r>
      <w:r>
        <w:rPr>
          <w:rFonts w:ascii="Arial" w:cs="Arial" w:eastAsia="Arial" w:hAnsi="Arial"/>
          <w:sz w:val="16"/>
          <w:szCs w:val="16"/>
          <w:u w:val="single" w:color="auto"/>
          <w:color w:val="008000"/>
        </w:rPr>
        <w:t xml:space="preserve">yet been reimbursed by or on behalf of the Borrower at such time. The </w:t>
      </w:r>
      <w:r>
        <w:rPr>
          <w:rFonts w:ascii="Arial" w:cs="Arial" w:eastAsia="Arial" w:hAnsi="Arial"/>
          <w:sz w:val="16"/>
          <w:szCs w:val="16"/>
          <w:u w:val="single" w:color="auto"/>
          <w:color w:val="0000FF"/>
          <w:highlight w:val="lightGray"/>
        </w:rPr>
        <w:t>Multicurrency</w:t>
      </w:r>
      <w:r>
        <w:rPr>
          <w:rFonts w:ascii="Arial" w:cs="Arial" w:eastAsia="Arial" w:hAnsi="Arial"/>
          <w:sz w:val="16"/>
          <w:szCs w:val="16"/>
          <w:u w:val="single" w:color="auto"/>
          <w:color w:val="008000"/>
        </w:rPr>
        <w:t xml:space="preserve"> L/C Exposure of any Lender at any time shall be its </w:t>
      </w:r>
      <w:r>
        <w:rPr>
          <w:rFonts w:ascii="Arial" w:cs="Arial" w:eastAsia="Arial" w:hAnsi="Arial"/>
          <w:sz w:val="16"/>
          <w:szCs w:val="16"/>
          <w:u w:val="single" w:color="auto"/>
          <w:color w:val="0000FF"/>
          <w:highlight w:val="lightGray"/>
        </w:rPr>
        <w:t>Multicurrency</w:t>
      </w:r>
      <w:r>
        <w:rPr>
          <w:rFonts w:ascii="Arial" w:cs="Arial" w:eastAsia="Arial" w:hAnsi="Arial"/>
          <w:sz w:val="16"/>
          <w:szCs w:val="16"/>
          <w:u w:val="single" w:color="auto"/>
          <w:color w:val="008000"/>
        </w:rPr>
        <w:t xml:space="preserve"> </w:t>
      </w:r>
      <w:r>
        <w:rPr>
          <w:rFonts w:ascii="Arial" w:cs="Arial" w:eastAsia="Arial" w:hAnsi="Arial"/>
          <w:sz w:val="16"/>
          <w:szCs w:val="16"/>
          <w:u w:val="single" w:color="auto"/>
          <w:color w:val="0000FF"/>
          <w:highlight w:val="lightGray"/>
        </w:rPr>
        <w:t xml:space="preserve">Revolving Percentage of the Multicurrency L/C </w:t>
      </w:r>
      <w:r>
        <w:rPr>
          <w:rFonts w:ascii="Arial" w:cs="Arial" w:eastAsia="Arial" w:hAnsi="Arial"/>
          <w:sz w:val="16"/>
          <w:szCs w:val="16"/>
          <w:u w:val="single" w:color="auto"/>
          <w:color w:val="008000"/>
        </w:rPr>
        <w:t>Exposure at such time. For all purposes of this Agreement, if on any date of determination a</w:t>
      </w:r>
      <w:r>
        <w:rPr>
          <w:rFonts w:ascii="Arial" w:cs="Arial" w:eastAsia="Arial" w:hAnsi="Arial"/>
          <w:sz w:val="16"/>
          <w:szCs w:val="16"/>
          <w:u w:val="single" w:color="auto"/>
          <w:color w:val="0000FF"/>
          <w:highlight w:val="lightGray"/>
        </w:rPr>
        <w:t xml:space="preserve"> Multicurrency </w:t>
      </w:r>
      <w:r>
        <w:rPr>
          <w:rFonts w:ascii="Arial" w:cs="Arial" w:eastAsia="Arial" w:hAnsi="Arial"/>
          <w:sz w:val="16"/>
          <w:szCs w:val="16"/>
          <w:u w:val="single" w:color="auto"/>
          <w:color w:val="008000"/>
        </w:rPr>
        <w:t xml:space="preserve">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w:t>
      </w:r>
      <w:r>
        <w:rPr>
          <w:rFonts w:ascii="Arial" w:cs="Arial" w:eastAsia="Arial" w:hAnsi="Arial"/>
          <w:sz w:val="16"/>
          <w:szCs w:val="16"/>
          <w:u w:val="single" w:color="auto"/>
          <w:color w:val="0000FF"/>
          <w:highlight w:val="lightGray"/>
        </w:rPr>
        <w:t>Multicurrency</w:t>
      </w:r>
      <w:r>
        <w:rPr>
          <w:rFonts w:ascii="Arial" w:cs="Arial" w:eastAsia="Arial" w:hAnsi="Arial"/>
          <w:sz w:val="16"/>
          <w:szCs w:val="16"/>
          <w:u w:val="single" w:color="auto"/>
          <w:color w:val="008000"/>
        </w:rPr>
        <w:t xml:space="preserve"> Letter of Credit itself, or if compliant documents have been presented but not yet honored, such </w:t>
      </w:r>
      <w:r>
        <w:rPr>
          <w:rFonts w:ascii="Arial" w:cs="Arial" w:eastAsia="Arial" w:hAnsi="Arial"/>
          <w:sz w:val="16"/>
          <w:szCs w:val="16"/>
          <w:u w:val="single" w:color="auto"/>
          <w:color w:val="0000FF"/>
          <w:highlight w:val="lightGray"/>
        </w:rPr>
        <w:t>Multicurrency Letter of</w:t>
      </w:r>
      <w:r>
        <w:rPr>
          <w:rFonts w:ascii="Arial" w:cs="Arial" w:eastAsia="Arial" w:hAnsi="Arial"/>
          <w:sz w:val="16"/>
          <w:szCs w:val="16"/>
          <w:u w:val="single" w:color="auto"/>
          <w:color w:val="008000"/>
        </w:rPr>
        <w:t xml:space="preserve"> Credit shall be deemed to be “outstanding” and “undrawn” in the amount so remaining available to be paid, and the obligations of the Borrower and each Lender shall remain in full force and effect until the Issuing Lenders and the Lenders shall have no further obligations to make any payments or disbursements under any circumstances with respect to any </w:t>
      </w:r>
      <w:r>
        <w:rPr>
          <w:rFonts w:ascii="Arial" w:cs="Arial" w:eastAsia="Arial" w:hAnsi="Arial"/>
          <w:sz w:val="16"/>
          <w:szCs w:val="16"/>
          <w:u w:val="single" w:color="auto"/>
          <w:color w:val="0000FF"/>
          <w:highlight w:val="lightGray"/>
        </w:rPr>
        <w:t>Multicurrency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-1324610</wp:posOffset>
            </wp:positionV>
            <wp:extent cx="368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47"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u w:val="single" w:color="auto"/>
          <w:color w:val="0000FF"/>
          <w:highlight w:val="lightGray"/>
        </w:rPr>
        <w:t>“Multicurrency L/C Obligations”: at any time, an amount equal to the sum of (a) the Dollar Equivalent of the aggregate then undrawn and unexpired amount of the then outstanding Multicurrency Letters of Credit and (b) the Dollar Equivalent of the aggregate amount of drawings under Multicurrency Letters of Credit that have not then been reimbursed pursuant to Section 3.5.</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7"/>
          <w:szCs w:val="17"/>
          <w:u w:val="single" w:color="auto"/>
          <w:color w:val="0000FF"/>
          <w:highlight w:val="lightGray"/>
        </w:rPr>
        <w:t xml:space="preserve">“Multicurrency L/C Participants”: </w:t>
      </w:r>
      <w:r>
        <w:rPr>
          <w:rFonts w:ascii="Arial" w:cs="Arial" w:eastAsia="Arial" w:hAnsi="Arial"/>
          <w:sz w:val="17"/>
          <w:szCs w:val="17"/>
          <w:u w:val="single" w:color="auto"/>
          <w:color w:val="008000"/>
        </w:rPr>
        <w:t>the collective reference to all the</w:t>
      </w:r>
      <w:r>
        <w:rPr>
          <w:rFonts w:ascii="Arial" w:cs="Arial" w:eastAsia="Arial" w:hAnsi="Arial"/>
          <w:sz w:val="17"/>
          <w:szCs w:val="17"/>
          <w:u w:val="single" w:color="auto"/>
          <w:color w:val="0000FF"/>
          <w:highlight w:val="lightGray"/>
        </w:rPr>
        <w:t xml:space="preserve"> Multicurrency </w:t>
      </w:r>
      <w:r>
        <w:rPr>
          <w:rFonts w:ascii="Arial" w:cs="Arial" w:eastAsia="Arial" w:hAnsi="Arial"/>
          <w:sz w:val="17"/>
          <w:szCs w:val="17"/>
          <w:u w:val="single" w:color="auto"/>
          <w:color w:val="008000"/>
        </w:rPr>
        <w:t>Revolving Lenders other than the Issuing Lender</w:t>
      </w:r>
      <w:r>
        <w:rPr>
          <w:rFonts w:ascii="Arial" w:cs="Arial" w:eastAsia="Arial" w:hAnsi="Arial"/>
          <w:sz w:val="17"/>
          <w:szCs w:val="17"/>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-114300</wp:posOffset>
            </wp:positionV>
            <wp:extent cx="25400"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 xml:space="preserve">“Multicurrency Letters of Credit”: </w:t>
      </w:r>
      <w:r>
        <w:rPr>
          <w:rFonts w:ascii="Arial" w:cs="Arial" w:eastAsia="Arial" w:hAnsi="Arial"/>
          <w:sz w:val="18"/>
          <w:szCs w:val="18"/>
          <w:u w:val="single" w:color="auto"/>
          <w:color w:val="008000"/>
        </w:rPr>
        <w:t>as defined in Section 3.1(a)</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-121920</wp:posOffset>
            </wp:positionV>
            <wp:extent cx="25400"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92"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8"/>
          <w:szCs w:val="18"/>
          <w:u w:val="single" w:color="auto"/>
          <w:color w:val="0000FF"/>
          <w:highlight w:val="lightGray"/>
        </w:rPr>
        <w:t xml:space="preserve">“Multicurrency </w:t>
      </w:r>
      <w:r>
        <w:rPr>
          <w:rFonts w:ascii="Arial" w:cs="Arial" w:eastAsia="Arial" w:hAnsi="Arial"/>
          <w:sz w:val="18"/>
          <w:szCs w:val="18"/>
          <w:u w:val="single" w:color="auto"/>
          <w:color w:val="008000"/>
        </w:rPr>
        <w:t>Revolving Commitment”: as to any Lender, the obligation of such Lender, if any, to make</w:t>
      </w:r>
      <w:r>
        <w:rPr>
          <w:rFonts w:ascii="Arial" w:cs="Arial" w:eastAsia="Arial" w:hAnsi="Arial"/>
          <w:sz w:val="18"/>
          <w:szCs w:val="18"/>
          <w:u w:val="single" w:color="auto"/>
          <w:color w:val="0000FF"/>
          <w:highlight w:val="lightGray"/>
        </w:rPr>
        <w:t xml:space="preserve"> Multicurrency </w:t>
      </w:r>
      <w:r>
        <w:rPr>
          <w:rFonts w:ascii="Arial" w:cs="Arial" w:eastAsia="Arial" w:hAnsi="Arial"/>
          <w:sz w:val="18"/>
          <w:szCs w:val="18"/>
          <w:u w:val="single" w:color="auto"/>
          <w:color w:val="008000"/>
        </w:rPr>
        <w:t>Revolving</w:t>
      </w:r>
      <w:r>
        <w:rPr>
          <w:rFonts w:ascii="Arial" w:cs="Arial" w:eastAsia="Arial" w:hAnsi="Arial"/>
          <w:sz w:val="18"/>
          <w:szCs w:val="18"/>
          <w:u w:val="single" w:color="auto"/>
          <w:color w:val="0000FF"/>
          <w:highlight w:val="lightGray"/>
        </w:rPr>
        <w:t xml:space="preserve"> </w:t>
      </w:r>
      <w:r>
        <w:rPr>
          <w:rFonts w:ascii="Arial" w:cs="Arial" w:eastAsia="Arial" w:hAnsi="Arial"/>
          <w:sz w:val="18"/>
          <w:szCs w:val="18"/>
          <w:u w:val="single" w:color="auto"/>
          <w:color w:val="008000"/>
        </w:rPr>
        <w:t xml:space="preserve">Loans and participate in </w:t>
      </w:r>
      <w:r>
        <w:rPr>
          <w:rFonts w:ascii="Arial" w:cs="Arial" w:eastAsia="Arial" w:hAnsi="Arial"/>
          <w:sz w:val="18"/>
          <w:szCs w:val="18"/>
          <w:u w:val="single" w:color="auto"/>
          <w:color w:val="0000FF"/>
          <w:highlight w:val="lightGray"/>
        </w:rPr>
        <w:t>Multicurrency</w:t>
      </w:r>
      <w:r>
        <w:rPr>
          <w:rFonts w:ascii="Arial" w:cs="Arial" w:eastAsia="Arial" w:hAnsi="Arial"/>
          <w:sz w:val="18"/>
          <w:szCs w:val="18"/>
          <w:u w:val="single" w:color="auto"/>
          <w:color w:val="008000"/>
        </w:rPr>
        <w:t xml:space="preserve"> Letters of Credit in an aggregate principal and/or face amount not to exceed the amount set forth under the heading “</w:t>
      </w:r>
      <w:r>
        <w:rPr>
          <w:rFonts w:ascii="Arial" w:cs="Arial" w:eastAsia="Arial" w:hAnsi="Arial"/>
          <w:sz w:val="18"/>
          <w:szCs w:val="18"/>
          <w:u w:val="single" w:color="auto"/>
          <w:color w:val="0000FF"/>
          <w:highlight w:val="lightGray"/>
        </w:rPr>
        <w:t>Multicurrency Revolving Commitment</w:t>
      </w:r>
      <w:r>
        <w:rPr>
          <w:rFonts w:ascii="Arial" w:cs="Arial" w:eastAsia="Arial" w:hAnsi="Arial"/>
          <w:sz w:val="18"/>
          <w:szCs w:val="18"/>
          <w:u w:val="single" w:color="auto"/>
          <w:color w:val="008000"/>
        </w:rPr>
        <w:t xml:space="preserve">” opposite such Lender’s name on Schedule 1.1A or in the Assignment and Assumption pursuant to which such Lender became a party hereto, as the same may be changed from time to time pursuant to the terms hereof, including Section 2.7 and Section 2.21. The original amount of the Total </w:t>
      </w:r>
      <w:r>
        <w:rPr>
          <w:rFonts w:ascii="Arial" w:cs="Arial" w:eastAsia="Arial" w:hAnsi="Arial"/>
          <w:sz w:val="18"/>
          <w:szCs w:val="18"/>
          <w:u w:val="single" w:color="auto"/>
          <w:color w:val="0000FF"/>
          <w:highlight w:val="lightGray"/>
        </w:rPr>
        <w:t>Multicurrency Revolving Commitments is $1,250,000,000.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-538480</wp:posOffset>
            </wp:positionV>
            <wp:extent cx="368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 xml:space="preserve">“Multicurrency Revolving Commitment Period”: the </w:t>
      </w:r>
      <w:r>
        <w:rPr>
          <w:rFonts w:ascii="Arial" w:cs="Arial" w:eastAsia="Arial" w:hAnsi="Arial"/>
          <w:sz w:val="18"/>
          <w:szCs w:val="18"/>
          <w:u w:val="single" w:color="auto"/>
          <w:color w:val="008000"/>
        </w:rPr>
        <w:t>period from and including the Closing Date to the</w:t>
      </w:r>
      <w:r>
        <w:rPr>
          <w:rFonts w:ascii="Arial" w:cs="Arial" w:eastAsia="Arial" w:hAnsi="Arial"/>
          <w:sz w:val="18"/>
          <w:szCs w:val="18"/>
          <w:u w:val="single" w:color="auto"/>
          <w:color w:val="0000FF"/>
          <w:highlight w:val="lightGray"/>
        </w:rPr>
        <w:t xml:space="preserve"> Multicurrency Revolving</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highlight w:val="lightGray"/>
        </w:rPr>
        <w:t>Maturity Date.</w:t>
      </w:r>
    </w:p>
    <w:p>
      <w:pPr>
        <w:spacing w:after="0" w:line="19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u w:val="single" w:color="auto"/>
          <w:color w:val="0000FF"/>
          <w:highlight w:val="lightGray"/>
        </w:rPr>
        <w:t xml:space="preserve">“Multicurrency </w:t>
      </w:r>
      <w:r>
        <w:rPr>
          <w:rFonts w:ascii="Arial" w:cs="Arial" w:eastAsia="Arial" w:hAnsi="Arial"/>
          <w:sz w:val="18"/>
          <w:szCs w:val="18"/>
          <w:u w:val="single" w:color="auto"/>
          <w:color w:val="008000"/>
        </w:rPr>
        <w:t>Revolving Exposure”: with respect to any Lender at any time, the sum of the outstanding principal amount of such</w:t>
      </w:r>
      <w:r>
        <w:rPr>
          <w:rFonts w:ascii="Arial" w:cs="Arial" w:eastAsia="Arial" w:hAnsi="Arial"/>
          <w:sz w:val="18"/>
          <w:szCs w:val="18"/>
          <w:u w:val="single" w:color="auto"/>
          <w:color w:val="0000FF"/>
          <w:highlight w:val="lightGray"/>
        </w:rPr>
        <w:t xml:space="preserve"> </w:t>
      </w:r>
      <w:r>
        <w:rPr>
          <w:rFonts w:ascii="Arial" w:cs="Arial" w:eastAsia="Arial" w:hAnsi="Arial"/>
          <w:sz w:val="18"/>
          <w:szCs w:val="18"/>
          <w:u w:val="single" w:color="auto"/>
          <w:color w:val="008000"/>
        </w:rPr>
        <w:t xml:space="preserve">Lender’s </w:t>
      </w:r>
      <w:r>
        <w:rPr>
          <w:rFonts w:ascii="Arial" w:cs="Arial" w:eastAsia="Arial" w:hAnsi="Arial"/>
          <w:sz w:val="18"/>
          <w:szCs w:val="18"/>
          <w:u w:val="single" w:color="auto"/>
          <w:color w:val="0000FF"/>
          <w:highlight w:val="lightGray"/>
        </w:rPr>
        <w:t>Multicurrency Revolving Loans and its Multicurrency</w:t>
      </w:r>
      <w:r>
        <w:rPr>
          <w:rFonts w:ascii="Arial" w:cs="Arial" w:eastAsia="Arial" w:hAnsi="Arial"/>
          <w:sz w:val="18"/>
          <w:szCs w:val="18"/>
          <w:u w:val="single" w:color="auto"/>
          <w:color w:val="008000"/>
        </w:rPr>
        <w:t xml:space="preserve"> L/C Exposure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-164465</wp:posOffset>
            </wp:positionV>
            <wp:extent cx="457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 xml:space="preserve">“Multicurrency </w:t>
      </w:r>
      <w:r>
        <w:rPr>
          <w:rFonts w:ascii="Arial" w:cs="Arial" w:eastAsia="Arial" w:hAnsi="Arial"/>
          <w:sz w:val="18"/>
          <w:szCs w:val="18"/>
          <w:u w:val="single" w:color="auto"/>
          <w:color w:val="008000"/>
        </w:rPr>
        <w:t>Revolving Extension Response Date”: as defined in Section 2.23(b).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-10160</wp:posOffset>
            </wp:positionV>
            <wp:extent cx="285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0000FF"/>
          <w:highlight w:val="lightGray"/>
        </w:rPr>
        <w:t xml:space="preserve">“Multicurrency Revolving Extensions of Credit”: as to any Multicurrency </w:t>
      </w:r>
      <w:r>
        <w:rPr>
          <w:rFonts w:ascii="Arial" w:cs="Arial" w:eastAsia="Arial" w:hAnsi="Arial"/>
          <w:sz w:val="16"/>
          <w:szCs w:val="16"/>
          <w:u w:val="single" w:color="auto"/>
          <w:color w:val="008000"/>
        </w:rPr>
        <w:t>Revolving Lender at any time, an amount equal to the sum of</w:t>
      </w:r>
    </w:p>
    <w:p>
      <w:pPr>
        <w:spacing w:after="0" w:line="35" w:lineRule="exact"/>
        <w:rPr>
          <w:sz w:val="20"/>
          <w:szCs w:val="20"/>
          <w:color w:val="auto"/>
        </w:rPr>
      </w:pPr>
    </w:p>
    <w:p>
      <w:pPr>
        <w:jc w:val="both"/>
        <w:ind w:firstLine="8"/>
        <w:spacing w:after="0" w:line="239" w:lineRule="auto"/>
        <w:tabs>
          <w:tab w:leader="none" w:pos="272" w:val="left"/>
        </w:tabs>
        <w:numPr>
          <w:ilvl w:val="0"/>
          <w:numId w:val="61"/>
        </w:numPr>
        <w:rPr>
          <w:rFonts w:ascii="Arial" w:cs="Arial" w:eastAsia="Arial" w:hAnsi="Arial"/>
          <w:sz w:val="18"/>
          <w:szCs w:val="18"/>
          <w:u w:val="single" w:color="auto"/>
          <w:color w:val="008000"/>
        </w:rPr>
      </w:pPr>
      <w:r>
        <w:rPr>
          <w:rFonts w:ascii="Arial" w:cs="Arial" w:eastAsia="Arial" w:hAnsi="Arial"/>
          <w:sz w:val="18"/>
          <w:szCs w:val="18"/>
          <w:u w:val="single" w:color="auto"/>
          <w:color w:val="008000"/>
        </w:rPr>
        <w:t xml:space="preserve">the aggregate principal amount of all </w:t>
      </w:r>
      <w:r>
        <w:rPr>
          <w:rFonts w:ascii="Arial" w:cs="Arial" w:eastAsia="Arial" w:hAnsi="Arial"/>
          <w:sz w:val="18"/>
          <w:szCs w:val="18"/>
          <w:u w:val="single" w:color="auto"/>
          <w:color w:val="0000FF"/>
          <w:highlight w:val="lightGray"/>
        </w:rPr>
        <w:t>Multicurrency</w:t>
      </w:r>
      <w:r>
        <w:rPr>
          <w:rFonts w:ascii="Arial" w:cs="Arial" w:eastAsia="Arial" w:hAnsi="Arial"/>
          <w:sz w:val="18"/>
          <w:szCs w:val="18"/>
          <w:u w:val="single" w:color="auto"/>
          <w:color w:val="008000"/>
        </w:rPr>
        <w:t xml:space="preserve"> Revolving Loans held by such Lender then outstanding and (b) such Lender’s </w:t>
      </w:r>
      <w:r>
        <w:rPr>
          <w:rFonts w:ascii="Arial" w:cs="Arial" w:eastAsia="Arial" w:hAnsi="Arial"/>
          <w:sz w:val="18"/>
          <w:szCs w:val="18"/>
          <w:u w:val="single" w:color="auto"/>
          <w:color w:val="0000FF"/>
          <w:highlight w:val="lightGray"/>
        </w:rPr>
        <w:t>Multicurrency</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FF"/>
          <w:highlight w:val="lightGray"/>
        </w:rPr>
        <w:t xml:space="preserve">Revolving Percentage of the Multicurrency </w:t>
      </w:r>
      <w:r>
        <w:rPr>
          <w:rFonts w:ascii="Arial" w:cs="Arial" w:eastAsia="Arial" w:hAnsi="Arial"/>
          <w:sz w:val="18"/>
          <w:szCs w:val="18"/>
          <w:u w:val="single" w:color="auto"/>
          <w:color w:val="008000"/>
        </w:rPr>
        <w:t>L/C Obligations then outstanding</w:t>
      </w:r>
      <w:r>
        <w:rPr>
          <w:rFonts w:ascii="Arial" w:cs="Arial" w:eastAsia="Arial" w:hAnsi="Arial"/>
          <w:sz w:val="18"/>
          <w:szCs w:val="18"/>
          <w:u w:val="single" w:color="auto"/>
          <w:color w:val="0000FF"/>
          <w:highlight w:val="lightGray"/>
        </w:rPr>
        <w:t>, in each case, such amount being determined as the Dollar Equivalent amount.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0000FF"/>
          <w:highlight w:val="lightGray"/>
        </w:rPr>
        <w:t xml:space="preserve">“Multicurrency Revolving Facility”: the Multicurrency </w:t>
      </w:r>
      <w:r>
        <w:rPr>
          <w:rFonts w:ascii="Arial" w:cs="Arial" w:eastAsia="Arial" w:hAnsi="Arial"/>
          <w:sz w:val="16"/>
          <w:szCs w:val="16"/>
          <w:u w:val="single" w:color="auto"/>
          <w:color w:val="008000"/>
        </w:rPr>
        <w:t>Revolving Commitments and the Loans and extensions of credit made thereunder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8000"/>
        </w:rPr>
        <w:t>made thereunder</w:t>
      </w:r>
      <w:r>
        <w:rPr>
          <w:rFonts w:ascii="Arial" w:cs="Arial" w:eastAsia="Arial" w:hAnsi="Arial"/>
          <w:sz w:val="18"/>
          <w:szCs w:val="18"/>
          <w:u w:val="single" w:color="auto"/>
          <w:color w:val="0000FF"/>
          <w:highlight w:val="lightGray"/>
        </w:rPr>
        <w:t>.</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 xml:space="preserve">“Multicurrency Revolving </w:t>
      </w:r>
      <w:r>
        <w:rPr>
          <w:rFonts w:ascii="Arial" w:cs="Arial" w:eastAsia="Arial" w:hAnsi="Arial"/>
          <w:sz w:val="18"/>
          <w:szCs w:val="18"/>
          <w:u w:val="single" w:color="auto"/>
          <w:color w:val="008000"/>
        </w:rPr>
        <w:t>Facility Fee”: as defined in Section 2.6(a).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-10160</wp:posOffset>
            </wp:positionV>
            <wp:extent cx="285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0000FF"/>
          <w:highlight w:val="lightGray"/>
        </w:rPr>
        <w:t>“Multicurrency Revolving Lender”: each Lender that has a Multicurrency Revolving Commitment or that holds Multicurrency Revolving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highlight w:val="lightGray"/>
        </w:rPr>
        <w:t>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21" w:right="339" w:bottom="1440" w:gutter="0" w:footer="0" w:header="0"/>
        </w:sectPr>
      </w:pPr>
    </w:p>
    <w:bookmarkStart w:id="130" w:name="page131"/>
    <w:bookmarkEnd w:id="130"/>
    <w:p>
      <w:pPr>
        <w:ind w:left="1300"/>
        <w:spacing w:after="0"/>
        <w:rPr>
          <w:sz w:val="20"/>
          <w:szCs w:val="20"/>
          <w:color w:val="auto"/>
        </w:rPr>
      </w:pPr>
      <w:r>
        <w:rPr>
          <w:rFonts w:ascii="Arial" w:cs="Arial" w:eastAsia="Arial" w:hAnsi="Arial"/>
          <w:sz w:val="18"/>
          <w:szCs w:val="18"/>
          <w:u w:val="single" w:color="auto"/>
          <w:color w:val="0000FF"/>
          <w:highlight w:val="lightGray"/>
        </w:rPr>
        <w:t xml:space="preserve">“Multicurrency Revolving Loans”: </w:t>
      </w:r>
      <w:r>
        <w:rPr>
          <w:rFonts w:ascii="Arial" w:cs="Arial" w:eastAsia="Arial" w:hAnsi="Arial"/>
          <w:sz w:val="18"/>
          <w:szCs w:val="18"/>
          <w:u w:val="single" w:color="auto"/>
          <w:color w:val="008000"/>
        </w:rPr>
        <w:t>as defined in Section 2.4(a)</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-121920</wp:posOffset>
            </wp:positionV>
            <wp:extent cx="2540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9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u w:val="single" w:color="auto"/>
          <w:color w:val="0000FF"/>
          <w:highlight w:val="lightGray"/>
        </w:rPr>
        <w:t xml:space="preserve">“Multicurrency </w:t>
      </w:r>
      <w:r>
        <w:rPr>
          <w:rFonts w:ascii="Arial" w:cs="Arial" w:eastAsia="Arial" w:hAnsi="Arial"/>
          <w:sz w:val="18"/>
          <w:szCs w:val="18"/>
          <w:u w:val="single" w:color="auto"/>
          <w:color w:val="008000"/>
        </w:rPr>
        <w:t>Revolving Maturity Date”: March 31, 2026 (the “Initial</w:t>
      </w:r>
      <w:r>
        <w:rPr>
          <w:rFonts w:ascii="Arial" w:cs="Arial" w:eastAsia="Arial" w:hAnsi="Arial"/>
          <w:sz w:val="18"/>
          <w:szCs w:val="18"/>
          <w:u w:val="single" w:color="auto"/>
          <w:color w:val="0000FF"/>
          <w:highlight w:val="lightGray"/>
        </w:rPr>
        <w:t xml:space="preserve"> Multicurrency Revolving Maturity Date</w:t>
      </w:r>
      <w:r>
        <w:rPr>
          <w:rFonts w:ascii="Arial" w:cs="Arial" w:eastAsia="Arial" w:hAnsi="Arial"/>
          <w:sz w:val="18"/>
          <w:szCs w:val="18"/>
          <w:u w:val="single" w:color="auto"/>
          <w:color w:val="008000"/>
        </w:rPr>
        <w:t>”), subject to extension</w:t>
      </w:r>
      <w:r>
        <w:rPr>
          <w:rFonts w:ascii="Arial" w:cs="Arial" w:eastAsia="Arial" w:hAnsi="Arial"/>
          <w:sz w:val="18"/>
          <w:szCs w:val="18"/>
          <w:u w:val="single" w:color="auto"/>
          <w:color w:val="0000FF"/>
          <w:highlight w:val="lightGray"/>
        </w:rPr>
        <w:t xml:space="preserve"> </w:t>
      </w:r>
      <w:r>
        <w:rPr>
          <w:rFonts w:ascii="Arial" w:cs="Arial" w:eastAsia="Arial" w:hAnsi="Arial"/>
          <w:sz w:val="18"/>
          <w:szCs w:val="18"/>
          <w:u w:val="single" w:color="auto"/>
          <w:color w:val="008000"/>
        </w:rPr>
        <w:t>as provided in Section 2.23; provided, however, in each case, if such date is not a Business Day, the Maturity Date shall be the next preceding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-286385</wp:posOffset>
            </wp:positionV>
            <wp:extent cx="285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7"/>
          <w:szCs w:val="17"/>
          <w:u w:val="single" w:color="auto"/>
          <w:color w:val="0000FF"/>
          <w:highlight w:val="lightGray"/>
        </w:rPr>
        <w:t xml:space="preserve">“Multicurrency </w:t>
      </w:r>
      <w:r>
        <w:rPr>
          <w:rFonts w:ascii="Arial" w:cs="Arial" w:eastAsia="Arial" w:hAnsi="Arial"/>
          <w:sz w:val="17"/>
          <w:szCs w:val="17"/>
          <w:u w:val="single" w:color="auto"/>
          <w:color w:val="008000"/>
        </w:rPr>
        <w:t>Revolving Percentage”: as to any</w:t>
      </w:r>
      <w:r>
        <w:rPr>
          <w:rFonts w:ascii="Arial" w:cs="Arial" w:eastAsia="Arial" w:hAnsi="Arial"/>
          <w:sz w:val="17"/>
          <w:szCs w:val="17"/>
          <w:u w:val="single" w:color="auto"/>
          <w:color w:val="0000FF"/>
          <w:highlight w:val="lightGray"/>
        </w:rPr>
        <w:t xml:space="preserve"> Multicurrency </w:t>
      </w:r>
      <w:r>
        <w:rPr>
          <w:rFonts w:ascii="Arial" w:cs="Arial" w:eastAsia="Arial" w:hAnsi="Arial"/>
          <w:sz w:val="17"/>
          <w:szCs w:val="17"/>
          <w:u w:val="single" w:color="auto"/>
          <w:color w:val="008000"/>
        </w:rPr>
        <w:t>Revolving Lender at any time, the percentage which such Lender’s</w:t>
      </w:r>
      <w:r>
        <w:rPr>
          <w:rFonts w:ascii="Arial" w:cs="Arial" w:eastAsia="Arial" w:hAnsi="Arial"/>
          <w:sz w:val="17"/>
          <w:szCs w:val="17"/>
          <w:u w:val="single" w:color="auto"/>
          <w:color w:val="0000FF"/>
          <w:highlight w:val="lightGray"/>
        </w:rPr>
        <w:t xml:space="preserve"> Multicurrency </w:t>
      </w:r>
      <w:r>
        <w:rPr>
          <w:rFonts w:ascii="Arial" w:cs="Arial" w:eastAsia="Arial" w:hAnsi="Arial"/>
          <w:sz w:val="17"/>
          <w:szCs w:val="17"/>
          <w:u w:val="single" w:color="auto"/>
          <w:color w:val="008000"/>
        </w:rPr>
        <w:t>Revolving Commitment then constitutes of the Total</w:t>
      </w:r>
      <w:r>
        <w:rPr>
          <w:rFonts w:ascii="Arial" w:cs="Arial" w:eastAsia="Arial" w:hAnsi="Arial"/>
          <w:sz w:val="17"/>
          <w:szCs w:val="17"/>
          <w:u w:val="single" w:color="auto"/>
          <w:color w:val="0000FF"/>
          <w:highlight w:val="lightGray"/>
        </w:rPr>
        <w:t xml:space="preserve"> Multicurrency </w:t>
      </w:r>
      <w:r>
        <w:rPr>
          <w:rFonts w:ascii="Arial" w:cs="Arial" w:eastAsia="Arial" w:hAnsi="Arial"/>
          <w:sz w:val="17"/>
          <w:szCs w:val="17"/>
          <w:u w:val="single" w:color="auto"/>
          <w:color w:val="008000"/>
        </w:rPr>
        <w:t>Revolving Commitments; provided, that in the case of Section 2.22</w:t>
      </w:r>
      <w:r>
        <w:rPr>
          <w:rFonts w:ascii="Arial" w:cs="Arial" w:eastAsia="Arial" w:hAnsi="Arial"/>
          <w:sz w:val="17"/>
          <w:szCs w:val="17"/>
          <w:u w:val="single" w:color="auto"/>
          <w:color w:val="0000FF"/>
          <w:highlight w:val="lightGray"/>
        </w:rPr>
        <w:t xml:space="preserve"> </w:t>
      </w:r>
      <w:r>
        <w:rPr>
          <w:rFonts w:ascii="Arial" w:cs="Arial" w:eastAsia="Arial" w:hAnsi="Arial"/>
          <w:sz w:val="17"/>
          <w:szCs w:val="17"/>
          <w:u w:val="single" w:color="auto"/>
          <w:color w:val="008000"/>
        </w:rPr>
        <w:t xml:space="preserve">when a Defaulting Lender which is a </w:t>
      </w:r>
      <w:r>
        <w:rPr>
          <w:rFonts w:ascii="Arial" w:cs="Arial" w:eastAsia="Arial" w:hAnsi="Arial"/>
          <w:sz w:val="17"/>
          <w:szCs w:val="17"/>
          <w:u w:val="single" w:color="auto"/>
          <w:color w:val="0000FF"/>
          <w:highlight w:val="lightGray"/>
        </w:rPr>
        <w:t>Multicurrency Revolving Lender shall exist, “Multicurrency</w:t>
      </w:r>
      <w:r>
        <w:rPr>
          <w:rFonts w:ascii="Arial" w:cs="Arial" w:eastAsia="Arial" w:hAnsi="Arial"/>
          <w:sz w:val="17"/>
          <w:szCs w:val="17"/>
          <w:u w:val="single" w:color="auto"/>
          <w:color w:val="008000"/>
        </w:rPr>
        <w:t xml:space="preserve"> Revolving Percentage” shall mean the percentage which such Lender’s </w:t>
      </w:r>
      <w:r>
        <w:rPr>
          <w:rFonts w:ascii="Arial" w:cs="Arial" w:eastAsia="Arial" w:hAnsi="Arial"/>
          <w:sz w:val="17"/>
          <w:szCs w:val="17"/>
          <w:u w:val="single" w:color="auto"/>
          <w:color w:val="0000FF"/>
          <w:highlight w:val="lightGray"/>
        </w:rPr>
        <w:t>Multicurrency</w:t>
      </w:r>
      <w:r>
        <w:rPr>
          <w:rFonts w:ascii="Arial" w:cs="Arial" w:eastAsia="Arial" w:hAnsi="Arial"/>
          <w:sz w:val="17"/>
          <w:szCs w:val="17"/>
          <w:u w:val="single" w:color="auto"/>
          <w:color w:val="008000"/>
        </w:rPr>
        <w:t xml:space="preserve"> Revolving Commitment then constitutes of the Total </w:t>
      </w:r>
      <w:r>
        <w:rPr>
          <w:rFonts w:ascii="Arial" w:cs="Arial" w:eastAsia="Arial" w:hAnsi="Arial"/>
          <w:sz w:val="17"/>
          <w:szCs w:val="17"/>
          <w:u w:val="single" w:color="auto"/>
          <w:color w:val="0000FF"/>
          <w:highlight w:val="lightGray"/>
        </w:rPr>
        <w:t>Multicurrency</w:t>
      </w:r>
      <w:r>
        <w:rPr>
          <w:rFonts w:ascii="Arial" w:cs="Arial" w:eastAsia="Arial" w:hAnsi="Arial"/>
          <w:sz w:val="17"/>
          <w:szCs w:val="17"/>
          <w:u w:val="single" w:color="auto"/>
          <w:color w:val="008000"/>
        </w:rPr>
        <w:t xml:space="preserve"> Revolving Commitment (disregarding any Defaulting Lender’s </w:t>
      </w:r>
      <w:r>
        <w:rPr>
          <w:rFonts w:ascii="Arial" w:cs="Arial" w:eastAsia="Arial" w:hAnsi="Arial"/>
          <w:sz w:val="17"/>
          <w:szCs w:val="17"/>
          <w:u w:val="single" w:color="auto"/>
          <w:color w:val="0000FF"/>
          <w:highlight w:val="lightGray"/>
        </w:rPr>
        <w:t>Multicurrency</w:t>
      </w:r>
      <w:r>
        <w:rPr>
          <w:rFonts w:ascii="Arial" w:cs="Arial" w:eastAsia="Arial" w:hAnsi="Arial"/>
          <w:sz w:val="17"/>
          <w:szCs w:val="17"/>
          <w:u w:val="single" w:color="auto"/>
          <w:color w:val="008000"/>
        </w:rPr>
        <w:t xml:space="preserve"> Revolving Commitment). With respect to any </w:t>
      </w:r>
      <w:r>
        <w:rPr>
          <w:rFonts w:ascii="Arial" w:cs="Arial" w:eastAsia="Arial" w:hAnsi="Arial"/>
          <w:sz w:val="17"/>
          <w:szCs w:val="17"/>
          <w:u w:val="single" w:color="auto"/>
          <w:color w:val="0000FF"/>
          <w:highlight w:val="lightGray"/>
        </w:rPr>
        <w:t>Multicurrency Revolving Lender whose Multicurrency</w:t>
      </w:r>
      <w:r>
        <w:rPr>
          <w:rFonts w:ascii="Arial" w:cs="Arial" w:eastAsia="Arial" w:hAnsi="Arial"/>
          <w:sz w:val="17"/>
          <w:szCs w:val="17"/>
          <w:u w:val="single" w:color="auto"/>
          <w:color w:val="008000"/>
        </w:rPr>
        <w:t xml:space="preserve"> Revolving Commitments shall have expired or terminated, “</w:t>
      </w:r>
      <w:r>
        <w:rPr>
          <w:rFonts w:ascii="Arial" w:cs="Arial" w:eastAsia="Arial" w:hAnsi="Arial"/>
          <w:sz w:val="17"/>
          <w:szCs w:val="17"/>
          <w:u w:val="single" w:color="auto"/>
          <w:color w:val="0000FF"/>
          <w:highlight w:val="lightGray"/>
        </w:rPr>
        <w:t>Multicurrency</w:t>
      </w:r>
      <w:r>
        <w:rPr>
          <w:rFonts w:ascii="Arial" w:cs="Arial" w:eastAsia="Arial" w:hAnsi="Arial"/>
          <w:sz w:val="17"/>
          <w:szCs w:val="17"/>
          <w:u w:val="single" w:color="auto"/>
          <w:color w:val="008000"/>
        </w:rPr>
        <w:t xml:space="preserve"> Revolving Percentage” shall mean the percentage which the aggregate principal amount of such Lender’s </w:t>
      </w:r>
      <w:r>
        <w:rPr>
          <w:rFonts w:ascii="Arial" w:cs="Arial" w:eastAsia="Arial" w:hAnsi="Arial"/>
          <w:sz w:val="17"/>
          <w:szCs w:val="17"/>
          <w:u w:val="single" w:color="auto"/>
          <w:color w:val="0000FF"/>
          <w:highlight w:val="lightGray"/>
        </w:rPr>
        <w:t xml:space="preserve">Multicurrency </w:t>
      </w:r>
      <w:r>
        <w:rPr>
          <w:rFonts w:ascii="Arial" w:cs="Arial" w:eastAsia="Arial" w:hAnsi="Arial"/>
          <w:sz w:val="17"/>
          <w:szCs w:val="17"/>
          <w:u w:val="single" w:color="auto"/>
          <w:color w:val="008000"/>
        </w:rPr>
        <w:t>Revolving Loans then outstanding constitutes of the aggregate principal amount of the</w:t>
      </w:r>
      <w:r>
        <w:rPr>
          <w:rFonts w:ascii="Arial" w:cs="Arial" w:eastAsia="Arial" w:hAnsi="Arial"/>
          <w:sz w:val="17"/>
          <w:szCs w:val="17"/>
          <w:u w:val="single" w:color="auto"/>
          <w:color w:val="0000FF"/>
          <w:highlight w:val="lightGray"/>
        </w:rPr>
        <w:t xml:space="preserve"> Multicurrency </w:t>
      </w:r>
      <w:r>
        <w:rPr>
          <w:rFonts w:ascii="Arial" w:cs="Arial" w:eastAsia="Arial" w:hAnsi="Arial"/>
          <w:sz w:val="17"/>
          <w:szCs w:val="17"/>
          <w:u w:val="single" w:color="auto"/>
          <w:color w:val="008000"/>
        </w:rPr>
        <w:t>Revolving Loans then outstanding,</w:t>
      </w:r>
      <w:r>
        <w:rPr>
          <w:rFonts w:ascii="Arial" w:cs="Arial" w:eastAsia="Arial" w:hAnsi="Arial"/>
          <w:sz w:val="17"/>
          <w:szCs w:val="17"/>
          <w:u w:val="single" w:color="auto"/>
          <w:color w:val="0000FF"/>
          <w:highlight w:val="lightGray"/>
        </w:rPr>
        <w:t xml:space="preserve"> </w:t>
      </w:r>
      <w:r>
        <w:rPr>
          <w:rFonts w:ascii="Arial" w:cs="Arial" w:eastAsia="Arial" w:hAnsi="Arial"/>
          <w:sz w:val="17"/>
          <w:szCs w:val="17"/>
          <w:u w:val="single" w:color="auto"/>
          <w:color w:val="008000"/>
        </w:rPr>
        <w:t xml:space="preserve">provided, that in the event that the </w:t>
      </w:r>
      <w:r>
        <w:rPr>
          <w:rFonts w:ascii="Arial" w:cs="Arial" w:eastAsia="Arial" w:hAnsi="Arial"/>
          <w:sz w:val="17"/>
          <w:szCs w:val="17"/>
          <w:u w:val="single" w:color="auto"/>
          <w:color w:val="0000FF"/>
          <w:highlight w:val="lightGray"/>
        </w:rPr>
        <w:t>Multicurrency Revolving</w:t>
      </w:r>
      <w:r>
        <w:rPr>
          <w:rFonts w:ascii="Arial" w:cs="Arial" w:eastAsia="Arial" w:hAnsi="Arial"/>
          <w:sz w:val="17"/>
          <w:szCs w:val="17"/>
          <w:u w:val="single" w:color="auto"/>
          <w:color w:val="008000"/>
        </w:rPr>
        <w:t xml:space="preserve"> Loans are paid in full prior to the reduction to zero of the Total </w:t>
      </w:r>
      <w:r>
        <w:rPr>
          <w:rFonts w:ascii="Arial" w:cs="Arial" w:eastAsia="Arial" w:hAnsi="Arial"/>
          <w:sz w:val="17"/>
          <w:szCs w:val="17"/>
          <w:u w:val="single" w:color="auto"/>
          <w:color w:val="0000FF"/>
          <w:highlight w:val="lightGray"/>
        </w:rPr>
        <w:t>Multicurrency</w:t>
      </w:r>
      <w:r>
        <w:rPr>
          <w:rFonts w:ascii="Arial" w:cs="Arial" w:eastAsia="Arial" w:hAnsi="Arial"/>
          <w:sz w:val="17"/>
          <w:szCs w:val="17"/>
          <w:u w:val="single" w:color="auto"/>
          <w:color w:val="008000"/>
        </w:rPr>
        <w:t xml:space="preserve"> Revolving Extensions of Credit, the </w:t>
      </w:r>
      <w:r>
        <w:rPr>
          <w:rFonts w:ascii="Arial" w:cs="Arial" w:eastAsia="Arial" w:hAnsi="Arial"/>
          <w:sz w:val="17"/>
          <w:szCs w:val="17"/>
          <w:u w:val="single" w:color="auto"/>
          <w:color w:val="0000FF"/>
          <w:highlight w:val="lightGray"/>
        </w:rPr>
        <w:t>Multicurrency</w:t>
      </w:r>
      <w:r>
        <w:rPr>
          <w:rFonts w:ascii="Arial" w:cs="Arial" w:eastAsia="Arial" w:hAnsi="Arial"/>
          <w:sz w:val="17"/>
          <w:szCs w:val="17"/>
          <w:u w:val="single" w:color="auto"/>
          <w:color w:val="008000"/>
        </w:rPr>
        <w:t xml:space="preserve"> Revolving Percentages shall be determined in a manner designed to ensure that the other outstanding </w:t>
      </w:r>
      <w:r>
        <w:rPr>
          <w:rFonts w:ascii="Arial" w:cs="Arial" w:eastAsia="Arial" w:hAnsi="Arial"/>
          <w:sz w:val="17"/>
          <w:szCs w:val="17"/>
          <w:u w:val="single" w:color="auto"/>
          <w:color w:val="0000FF"/>
          <w:highlight w:val="lightGray"/>
        </w:rPr>
        <w:t xml:space="preserve">Multicurrency </w:t>
      </w:r>
      <w:r>
        <w:rPr>
          <w:rFonts w:ascii="Arial" w:cs="Arial" w:eastAsia="Arial" w:hAnsi="Arial"/>
          <w:sz w:val="17"/>
          <w:szCs w:val="17"/>
          <w:u w:val="single" w:color="auto"/>
          <w:color w:val="008000"/>
        </w:rPr>
        <w:t>Revolving Extensions of Credit shall be held by the</w:t>
      </w:r>
      <w:r>
        <w:rPr>
          <w:rFonts w:ascii="Arial" w:cs="Arial" w:eastAsia="Arial" w:hAnsi="Arial"/>
          <w:sz w:val="17"/>
          <w:szCs w:val="17"/>
          <w:u w:val="single" w:color="auto"/>
          <w:color w:val="0000FF"/>
          <w:highlight w:val="lightGray"/>
        </w:rPr>
        <w:t xml:space="preserve"> Multicurrency </w:t>
      </w:r>
      <w:r>
        <w:rPr>
          <w:rFonts w:ascii="Arial" w:cs="Arial" w:eastAsia="Arial" w:hAnsi="Arial"/>
          <w:sz w:val="17"/>
          <w:szCs w:val="17"/>
          <w:u w:val="single" w:color="auto"/>
          <w:color w:val="008000"/>
        </w:rPr>
        <w:t>Revolving Lenders on a comparable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-1187450</wp:posOffset>
            </wp:positionV>
            <wp:extent cx="457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16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a Plan that is a multiemployer plan as defined in Section 4001(a)(3) of ERISA and in respect of which the Borrower or a Commonly Controlled Entity participates or is required to make contributions with respect thereto.</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Necessary Distributions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212"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Negative Pledge</w:t>
      </w:r>
      <w:r>
        <w:rPr>
          <w:rFonts w:ascii="Arial" w:cs="Arial" w:eastAsia="Arial" w:hAnsi="Arial"/>
          <w:sz w:val="18"/>
          <w:szCs w:val="18"/>
          <w:color w:val="auto"/>
        </w:rPr>
        <w:t xml:space="preserve">”: with respect to a given asset, any provision of a document, instrument or agreement (other than this Agreement or any Loan Document) which prohibits or purports to prohibit the creation or assumption of any Lien on such asset as security for the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w:t>
      </w:r>
    </w:p>
    <w:p>
      <w:pPr>
        <w:spacing w:after="0" w:line="18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Operating Income</w:t>
      </w:r>
      <w:r>
        <w:rPr>
          <w:rFonts w:ascii="Arial" w:cs="Arial" w:eastAsia="Arial" w:hAnsi="Arial"/>
          <w:sz w:val="16"/>
          <w:szCs w:val="16"/>
          <w:color w:val="auto"/>
        </w:rPr>
        <w:t xml:space="preserve"> (“</w:t>
      </w:r>
      <w:r>
        <w:rPr>
          <w:rFonts w:ascii="Arial" w:cs="Arial" w:eastAsia="Arial" w:hAnsi="Arial"/>
          <w:sz w:val="16"/>
          <w:szCs w:val="16"/>
          <w:u w:val="single" w:color="auto"/>
          <w:color w:val="auto"/>
        </w:rPr>
        <w:t>NOI</w:t>
      </w:r>
      <w:r>
        <w:rPr>
          <w:rFonts w:ascii="Arial" w:cs="Arial" w:eastAsia="Arial" w:hAnsi="Arial"/>
          <w:sz w:val="16"/>
          <w:szCs w:val="16"/>
          <w:color w:val="auto"/>
        </w:rPr>
        <w:t>”)”: for any fiscal period, and with respect to any group of related properties or other property, the total rental and other operating income from the operation of such group of related properties or other property, as applicable (including proceeds of rent loss or business interruption insurance) after deducting all expenses and other proper charges incurred by the Borrower, a Restricted Subsidiary or a Restricted Joint Venture of the Borrower in connection with the ownership (or leasing), operation or maintenance of such group of related properties or other property, as applicable, during such fiscal period, including, without limitation, property taxes, assessments and similar charges, insurance costs, rent, utilities, payroll costs, maintenance, repair and opening expenses, marketing expenses, general and administrative expenses and bad debt expenses, in each case, relating to such group of related properties or other property, as applicable, on a standalone basis paid by the Borrower, a Restricted Subsidiary or a Restricted Joint Venture, but (i) before payment or provision for Total Fixed Charges, income taxes, and depreciation, amortization, and other non-cash expenses, all as determined in accordance with GAAP and (ii) excluding losses to the extent covered by insurance and actually reimbursed or otherwise paid by the applicable insurer, or, so long as the Borrower has made a determination that there exists reasonable evidence that such amount will in fact be reimbursed or paid by the applicable insurer and only to the extent that such amount is (x) not denied by the applicable carrier in writing within 180 days and (y) in fact reimbursed within 365 days of the date of such evidence (with a deduction for any amount so added back to the extent not so reimbursed within 365 days). In the case of Real Property owned by an unconsolidated Restricted Subsidiary or Restricted Joint Venture of the Borrower, Net Operating Income shall be adjusted to reflect the Borrower’s Ownership Share therein.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Revolving Commitments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2.21(a)</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Revolving Lender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2.21(a)</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21" w:right="339" w:bottom="1440" w:gutter="0" w:footer="0" w:header="0"/>
        </w:sectPr>
      </w:pPr>
    </w:p>
    <w:bookmarkStart w:id="131" w:name="page132"/>
    <w:bookmarkEnd w:id="131"/>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Commitments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2.21(a)</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Lender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2.21(a)</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Loan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2.21(a)</w:t>
      </w:r>
      <w:r>
        <w:rPr>
          <w:rFonts w:ascii="Arial" w:cs="Arial" w:eastAsia="Arial" w:hAnsi="Arial"/>
          <w:sz w:val="18"/>
          <w:szCs w:val="18"/>
          <w:color w:val="auto"/>
        </w:rPr>
        <w:t>.</w:t>
      </w:r>
    </w:p>
    <w:p>
      <w:pPr>
        <w:spacing w:after="0" w:line="212"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Non-Consenting Lender</w:t>
      </w:r>
      <w:r>
        <w:rPr>
          <w:rFonts w:ascii="Arial" w:cs="Arial" w:eastAsia="Arial" w:hAnsi="Arial"/>
          <w:sz w:val="17"/>
          <w:szCs w:val="17"/>
          <w:color w:val="auto"/>
        </w:rPr>
        <w:t xml:space="preserve">”: any Lender that (a) does not approve any consent, waiver or amendment that (i) requires the approval of all Lenders or all affected Lenders in accordance with the terms of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and (ii) has been approved by the Required Lenders or (b) asserts the illegality or suspension of funding or maintaining SOFR Loans and has failed, within three Business Days after request by a Credit Party, acting in good faith, to provide a certification in writing from an authorized officer of such Lender that it will comply with its obligations under this Agreement.</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Non-Experiential Facilities Land</w:t>
      </w:r>
      <w:r>
        <w:rPr>
          <w:rFonts w:ascii="Arial" w:cs="Arial" w:eastAsia="Arial" w:hAnsi="Arial"/>
          <w:sz w:val="18"/>
          <w:szCs w:val="18"/>
          <w:color w:val="auto"/>
        </w:rPr>
        <w:t>”: has the meaning specified in the definition of “Unencumbered Asset Value”.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Delayed Draw Term Lender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Revolving Lender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2.23(b)</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“Non-Extending USD Revolving Lender”: as defined in Section 2.23(c).</w:t>
      </w:r>
    </w:p>
    <w:p>
      <w:pPr>
        <w:spacing w:after="0" w:line="212"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Nonrecourse Indebtedness</w:t>
      </w:r>
      <w:r>
        <w:rPr>
          <w:rFonts w:ascii="Arial" w:cs="Arial" w:eastAsia="Arial" w:hAnsi="Arial"/>
          <w:sz w:val="16"/>
          <w:szCs w:val="16"/>
          <w:color w:val="auto"/>
        </w:rPr>
        <w:t>”: with respect to a Person, Indebtedness for borrowed money (or the portion thereof) in respect of which recourse for payment (except for customary exceptions for fraud, misapplication of funds, environmental indemnities, violation of “special purpose entity” covenants, failure to maintain insurance, bankruptcy, insolvency, receivership or other similar events and other similar exceptions to recourse liability until a claim is made with respect thereto, and then in the event of any such claim, only a portion of such Indebtedness in an amount equal to the amount of such claim shall no longer constitute “Nonrecourse Indebtedness” for the period that such portion is subject to such claim) is contractually limited to specific assets of such Person encumbered by a Lien securing such Indebtedness, including any Equity Interests in such Person.</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the collective reference to any promissory note evidencing Loans.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the Federal Reserve Bank of New York.</w:t>
      </w:r>
    </w:p>
    <w:p>
      <w:pPr>
        <w:spacing w:after="0" w:line="212"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NYFRB Rate</w:t>
      </w:r>
      <w:r>
        <w:rPr>
          <w:rFonts w:ascii="Arial" w:cs="Arial" w:eastAsia="Arial" w:hAnsi="Arial"/>
          <w:sz w:val="16"/>
          <w:szCs w:val="16"/>
          <w:color w:val="auto"/>
        </w:rPr>
        <w:t xml:space="preserve">”: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any of the aforesaid rates as so determined be less than zero, such rate shall be deemed to be zero for purposes of this Agreement.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NYFRB’s Website</w:t>
      </w:r>
      <w:r>
        <w:rPr>
          <w:rFonts w:ascii="Arial" w:cs="Arial" w:eastAsia="Arial" w:hAnsi="Arial"/>
          <w:sz w:val="18"/>
          <w:szCs w:val="18"/>
          <w:color w:val="auto"/>
        </w:rPr>
        <w:t>”: the website of the NYFRB at http://www.newyorkfed.org, or any successor source.</w:t>
      </w:r>
    </w:p>
    <w:p>
      <w:pPr>
        <w:spacing w:after="0" w:line="21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the unpaid principal of and interest on (including interest accruing after the maturity of the Loans and Reimbursement Obligations and interest accruing after the filing of any petition in bankruptcy, or the commencement of any insolvency, reorganization or like proceeding, relating to the Borrower, whether or not a claim for post-filing or post-petition interest is allowed in such proceeding) the Loans and all other obligations and liabilities of the Borrower or any other Loan Party to the Administrative Agent or to any Lender, whether direct or indirect, absolute or contingent, due or to become due, or now existing or hereafter incurred, which may arise under, out of, or in connection with, this Agreement, any other Loan Document, the Letters of Credit, any document with respect to Cash Management Services, any Specified Swap Agreement or any other document made, delivered or given in connection herewith or therewith, whether on account of principal, interest, reimbursement obligations, fees, indemnities, costs, expenses (including all fees, charges and disbursements of counsel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21" w:right="339" w:bottom="1440" w:gutter="0" w:footer="0" w:header="0"/>
        </w:sectPr>
      </w:pPr>
    </w:p>
    <w:bookmarkStart w:id="132" w:name="page133"/>
    <w:bookmarkEnd w:id="132"/>
    <w:p>
      <w:pPr>
        <w:jc w:val="both"/>
        <w:spacing w:after="0" w:line="294" w:lineRule="auto"/>
        <w:rPr>
          <w:sz w:val="20"/>
          <w:szCs w:val="20"/>
          <w:color w:val="auto"/>
        </w:rPr>
      </w:pPr>
      <w:r>
        <w:rPr>
          <w:rFonts w:ascii="Arial" w:cs="Arial" w:eastAsia="Arial" w:hAnsi="Arial"/>
          <w:sz w:val="16"/>
          <w:szCs w:val="16"/>
          <w:color w:val="auto"/>
        </w:rPr>
        <w:t xml:space="preserve">Administrative Agent or to any Lender that are required to be paid by the Borrower pursuant hereto)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definition of “Obligations” shall not create any guarantee by any Subsidiary Guarantor of (or grant of security interest by any Subsidiary Guarantor to support, as applicable) any Excluded Swap Obligations of such Subsidiary Guarantor for purposes of determining any obligations of any Subsidiary Guarantor.</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Operator</w:t>
      </w:r>
      <w:r>
        <w:rPr>
          <w:rFonts w:ascii="Arial" w:cs="Arial" w:eastAsia="Arial" w:hAnsi="Arial"/>
          <w:sz w:val="17"/>
          <w:szCs w:val="17"/>
          <w:color w:val="auto"/>
        </w:rPr>
        <w:t>”: (a) the lessee of any Income Property owned or leased by the Borrower and (b) the parent company of any such lessee.</w:t>
      </w:r>
    </w:p>
    <w:p>
      <w:pPr>
        <w:spacing w:after="0" w:line="223"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72"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w:t>
      </w:r>
    </w:p>
    <w:p>
      <w:pPr>
        <w:spacing w:after="0" w:line="188" w:lineRule="exact"/>
        <w:rPr>
          <w:sz w:val="20"/>
          <w:szCs w:val="20"/>
          <w:color w:val="auto"/>
        </w:rPr>
      </w:pPr>
    </w:p>
    <w:p>
      <w:pPr>
        <w:jc w:val="both"/>
        <w:ind w:right="20" w:firstLine="129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Bank Funding Rate</w:t>
      </w:r>
      <w:r>
        <w:rPr>
          <w:rFonts w:ascii="Arial" w:cs="Arial" w:eastAsia="Arial" w:hAnsi="Arial"/>
          <w:sz w:val="16"/>
          <w:szCs w:val="16"/>
          <w:color w:val="auto"/>
        </w:rPr>
        <w:t>”: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4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Ownership Share</w:t>
      </w:r>
      <w:r>
        <w:rPr>
          <w:rFonts w:ascii="Arial" w:cs="Arial" w:eastAsia="Arial" w:hAnsi="Arial"/>
          <w:sz w:val="18"/>
          <w:szCs w:val="18"/>
          <w:color w:val="auto"/>
        </w:rPr>
        <w:t>”: with respect to any Subsidiary (other than a Wholly Owned Subsidiary) or any joint venture, the Borrower’s relative direct and indirect economic interest (calculated as a percentage) in such Subsidiary or joint venture determined in accordance with the applicable provisions of the declaration of trust, articles or certificate of incorporation, articles of organization, partnership agreement, joint venture agreement or other applicable organizational document of such Subsidiary or joint venture.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with respect to any Lender, any Person as to which such Lender is, directly or indirectly, a subsidiary.</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10.6(c)</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10.6(c)</w:t>
      </w:r>
      <w:r>
        <w:rPr>
          <w:rFonts w:ascii="Arial" w:cs="Arial" w:eastAsia="Arial" w:hAnsi="Arial"/>
          <w:sz w:val="18"/>
          <w:szCs w:val="18"/>
          <w:color w:val="auto"/>
        </w:rPr>
        <w:t>.</w:t>
      </w:r>
    </w:p>
    <w:p>
      <w:pPr>
        <w:spacing w:after="0" w:line="21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u w:val="single" w:color="auto"/>
          <w:color w:val="0000FF"/>
          <w:highlight w:val="lightGray"/>
        </w:rPr>
        <w:t>“Participating Member State”: any member state of the European Union that has the euro as its lawful currency in accordance with legislation of the European Union relating to Economic and Monetary Union.</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10.18</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9.6(c)(A)</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Notice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9.6(c)(B)</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PBGC</w:t>
      </w:r>
      <w:r>
        <w:rPr>
          <w:rFonts w:ascii="Arial" w:cs="Arial" w:eastAsia="Arial" w:hAnsi="Arial"/>
          <w:sz w:val="17"/>
          <w:szCs w:val="17"/>
          <w:color w:val="auto"/>
        </w:rPr>
        <w:t>”: the Pension Benefit Guaranty Corporation referred to and defined in ERISA and any successor entity performing similar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196"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with respect to any asset, right or property of a Person, (a) Liens securing taxes, assessments and other charges or levies imposed by any Governmental Authority (excluding any Lien imposed pursuant to any of the provisions of ERISA or pursuant to any Environmental Laws) which are not at the time required to be paid or discharged under this Agreement, (b) the claims of materialmen, mechanics, carriers, warehousemen or landlords for labor, materials, supplies or rentals incurred in the ordinary course of business, which, in each case, are not at the time required to be paid or discharged under this Agreement, (c) Liens consisting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21" w:right="339" w:bottom="1440" w:gutter="0" w:footer="0" w:header="0"/>
        </w:sectPr>
      </w:pPr>
    </w:p>
    <w:bookmarkStart w:id="133" w:name="page134"/>
    <w:bookmarkEnd w:id="133"/>
    <w:p>
      <w:pPr>
        <w:jc w:val="both"/>
        <w:spacing w:after="0" w:line="268" w:lineRule="auto"/>
        <w:rPr>
          <w:sz w:val="20"/>
          <w:szCs w:val="20"/>
          <w:color w:val="auto"/>
        </w:rPr>
      </w:pPr>
      <w:r>
        <w:rPr>
          <w:rFonts w:ascii="Arial" w:cs="Arial" w:eastAsia="Arial" w:hAnsi="Arial"/>
          <w:sz w:val="16"/>
          <w:szCs w:val="16"/>
          <w:color w:val="auto"/>
        </w:rPr>
        <w:t xml:space="preserve">of deposits or pledges made, in the ordinary course of business, in connection with, or to secure payment of, obligations under workers’ compensation, unemployment insurance or similar applicable laws, (d) assessment liens and periodic charges imposed under recorded covenants, conditions and restrictions, in each case not yet delinquent, and Liens consisting of encumbrances in the nature of zoning restrictions, easements, and rights or restrictions of record on the use of real property, minor defects or irregularities in title, or liens, easements, restrictions, or encumbrances securing non-material obligations (other than Liens securing Secured Indebtedness), which do not interfere in any material respect with the ordinary conduct of business of such Person, (e) the rights of tenants and landlords under leases (including ground leases), subleases, licenses or other use agreements, managers under management agreements or franchisors under franchise agreements, in each case, not interfering in any material respect with the ordinary conduct of business of such Person, (f) Liens in favor of the Administrative Agent for its benefit and the benefit of the other Credit Parties and Liens securing any pari passu Indebtedness of the Borrower and its Restricted Subsidiaries that is permitted hereunder and subject to an intercreditor agreement in form and substance reasonably acceptable to the Administrative Agent, (g) Liens in existence on the Closing Date and set forth on </w:t>
      </w:r>
      <w:r>
        <w:rPr>
          <w:rFonts w:ascii="Arial" w:cs="Arial" w:eastAsia="Arial" w:hAnsi="Arial"/>
          <w:sz w:val="16"/>
          <w:szCs w:val="16"/>
          <w:u w:val="single" w:color="auto"/>
          <w:color w:val="auto"/>
        </w:rPr>
        <w:t>Schedule 1.1B</w:t>
      </w:r>
      <w:r>
        <w:rPr>
          <w:rFonts w:ascii="Arial" w:cs="Arial" w:eastAsia="Arial" w:hAnsi="Arial"/>
          <w:sz w:val="16"/>
          <w:szCs w:val="16"/>
          <w:color w:val="auto"/>
        </w:rPr>
        <w:t>, (h) judgment and attachment liens on properties in respect of judgments and attachments not constituting an Event of Default, (i) any ground lease that constitutes a Finance Lease, (j) to the extent constituting a Lien, any Permitted Negative JV Pledges, Permitted Transfer Restrictions and any Permitted Sale Restrictions, (k) Liens arising under applicable Gaming Laws or laws involving the sale, distribution and possession of alcoholic beverages, (l) Liens and other quasi-security arrangements arising under foreign law or in any foreign jurisdiction and substantially similar in nature to the Liens described in clauses (a) through (k), (m) Liens securing the MGP Bridge Facility or the Venetian Bridge Facility and (n) Liens securing intercompany Indebtedness in favor of (i) the Borrower or any Subsidiary Guarantor or (ii) a Wholly Owned Subsidiary that is not a Subsidiary Guarantor (so long as any such Lien granted in favor of a Wholly Owned Subsidiary is not granted by a Loan Party).</w:t>
      </w:r>
    </w:p>
    <w:p>
      <w:pPr>
        <w:spacing w:after="0" w:line="371"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Negative JV Pledges</w:t>
      </w:r>
      <w:r>
        <w:rPr>
          <w:rFonts w:ascii="Arial" w:cs="Arial" w:eastAsia="Arial" w:hAnsi="Arial"/>
          <w:sz w:val="18"/>
          <w:szCs w:val="18"/>
          <w:color w:val="auto"/>
        </w:rPr>
        <w:t xml:space="preserve">”: with respect to property of any Controlled JV Subsidiary, Negative Pledge provisions in respect thereof for the benefit of the minority holder of such Controlled JV Subsidiary so long as the Borrower or Wholly Owned Subsidiary that owns Equity Interests of such Controlled JV Subsidiary has the right and ability to exercise either (a) a buy-sell right with respect to the ownership interests in the Controlled JV Subsidiary or (b) a right to offer for sale the assets of the Controlled JV Subsidiary, and pursuant to the exercise of either such right cause such assets to be fully owned or ground leased directly by the Borrower or a Wholly Owned Subsidiary of the Borrower or sold for cash at a price reasonably satisfactory to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that (i) the applicable joint venture agreement shall provide that any buy-sell or sale process must be consummated within 120 days of the exercise thereof and (ii) there shall be no restriction, lock-out or other limitation on when such buy-sell or sale process can be invoked or exercised.</w:t>
      </w:r>
    </w:p>
    <w:p>
      <w:pPr>
        <w:spacing w:after="0" w:line="19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Replacement Lease</w:t>
      </w:r>
      <w:r>
        <w:rPr>
          <w:rFonts w:ascii="Arial" w:cs="Arial" w:eastAsia="Arial" w:hAnsi="Arial"/>
          <w:sz w:val="16"/>
          <w:szCs w:val="16"/>
          <w:color w:val="auto"/>
        </w:rPr>
        <w:t xml:space="preserve">”: (a) a new lease entered into with a Person that has, in the reasonable judgment of the Borrower, sufficient experience (directly or through its subsidiaries) operating or managing casinos (and/or properties similar to those properties leased pursuant to such lease in the case of any non-gaming properties) or is owned, controlled or managed by a Person with such experience, to operate the properties subject to the contemplated Permitted Replacement Lease and, to the extent applicable, is licensed or certified by applicable authorities to operate the properties subject to the contemplated Permitted Replacement Lease as of the initial date of the effectiveness of the applicable Permitted Replacement Lease or (b) any assignment of any Significant Master Lease to a Person satisfying the requirements of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no such lease may contain terms and provisions that would have been prohibited under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if such terms and provisions had been effected pursuant to an amendment or modification of any Significant Master Lease.</w:t>
      </w:r>
    </w:p>
    <w:p>
      <w:pPr>
        <w:spacing w:after="0" w:line="168"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Sale Restrictions</w:t>
      </w:r>
      <w:r>
        <w:rPr>
          <w:rFonts w:ascii="Arial" w:cs="Arial" w:eastAsia="Arial" w:hAnsi="Arial"/>
          <w:sz w:val="18"/>
          <w:szCs w:val="18"/>
          <w:color w:val="auto"/>
        </w:rPr>
        <w:t xml:space="preserve">”: obligations, encumbrances or restrictions contained in any agreement for the disposition or sale of any assets, properties or Equity Interests restricting the creation of Liens on, or the sale, transfer or other disposition of Equity Interests or property that is subject to, such property or assets pending such sale;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encumbrances and restrictions apply only to the Subsidiary or assets that are subject to such sale or disposition agreement.</w:t>
      </w:r>
    </w:p>
    <w:p>
      <w:pPr>
        <w:spacing w:after="0" w:line="188"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Transfer Restrictions</w:t>
      </w:r>
      <w:r>
        <w:rPr>
          <w:rFonts w:ascii="Arial" w:cs="Arial" w:eastAsia="Arial" w:hAnsi="Arial"/>
          <w:sz w:val="17"/>
          <w:szCs w:val="17"/>
          <w:color w:val="auto"/>
        </w:rPr>
        <w:t>”: (a) reasonable and customary restrictions on transfer, mortgage liens, pledges and changes in beneficial ownership arising under management agreements, franchise agreements and ground leases entered into in the ordinary course of business (including in connection with any acquisition or development of any applicable property, without regard to the transaction value), including rights of first offer or refusal arising under such agreements and leases, in each case, that limit, but do not prohibit, sale or mortgage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21" w:right="339" w:bottom="1440" w:gutter="0" w:footer="0" w:header="0"/>
        </w:sectPr>
      </w:pPr>
    </w:p>
    <w:bookmarkStart w:id="134" w:name="page135"/>
    <w:bookmarkEnd w:id="134"/>
    <w:p>
      <w:pPr>
        <w:jc w:val="both"/>
        <w:spacing w:after="0" w:line="262" w:lineRule="auto"/>
        <w:rPr>
          <w:sz w:val="20"/>
          <w:szCs w:val="20"/>
          <w:color w:val="auto"/>
        </w:rPr>
      </w:pPr>
      <w:r>
        <w:rPr>
          <w:rFonts w:ascii="Arial" w:cs="Arial" w:eastAsia="Arial" w:hAnsi="Arial"/>
          <w:sz w:val="17"/>
          <w:szCs w:val="17"/>
          <w:color w:val="auto"/>
        </w:rPr>
        <w:t>transactions, and (b) reasonable and customary obligations, encumbrances or restrictions contained in agreements not constituting Indebtedness entered into with limited partners or members of the Borrower or of any other Subsidiary of VICI imposing obligations in respect of contingent obligations to make any tax “make whole” or similar payment arising out of the sale or other transfer of assets reasonably related to such limited partners’ or members’ interest in the Borrower or such Subsidiary pursuant to “tax protection” or other similar agreements.</w:t>
      </w:r>
    </w:p>
    <w:p>
      <w:pPr>
        <w:spacing w:after="0" w:line="17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an individual, partnership, corporation, limited liability company, business trust, joint stock company, trust, unincorporated association, joint venture, Governmental Authority or other entity of whatever nature.</w:t>
      </w:r>
    </w:p>
    <w:p>
      <w:pPr>
        <w:spacing w:after="0" w:line="17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at a particular time, any employee benefit plan that is covered by ERISA and in respect of which the Borrower or a Commonly Controlled Entity is at such time (or, if such plan were terminated at such time, would under Section 4069 of ERISA be deemed to be) an “employer” as defined in Section 3(5) of ERISA.</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Asset Regulations</w:t>
      </w:r>
      <w:r>
        <w:rPr>
          <w:rFonts w:ascii="Arial" w:cs="Arial" w:eastAsia="Arial" w:hAnsi="Arial"/>
          <w:sz w:val="18"/>
          <w:szCs w:val="18"/>
          <w:color w:val="auto"/>
        </w:rPr>
        <w:t>”: 29 CFR § 2510.3-101 et seq., as modified by Section 3(42) of ERISA.</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Grids</w:t>
      </w:r>
      <w:r>
        <w:rPr>
          <w:rFonts w:ascii="Arial" w:cs="Arial" w:eastAsia="Arial" w:hAnsi="Arial"/>
          <w:sz w:val="18"/>
          <w:szCs w:val="18"/>
          <w:color w:val="auto"/>
        </w:rPr>
        <w:t>”: the tables set forth below (the “</w:t>
      </w:r>
      <w:r>
        <w:rPr>
          <w:rFonts w:ascii="Arial" w:cs="Arial" w:eastAsia="Arial" w:hAnsi="Arial"/>
          <w:sz w:val="18"/>
          <w:szCs w:val="18"/>
          <w:u w:val="single" w:color="auto"/>
          <w:color w:val="auto"/>
        </w:rPr>
        <w:t>Ratings Based Pricing Grids</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Revolving Loans</w:t>
      </w: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97"/>
              </w:rPr>
              <w:t>Applicable Margin</w:t>
            </w:r>
          </w:p>
        </w:tc>
        <w:tc>
          <w:tcPr>
            <w:tcW w:w="1840" w:type="dxa"/>
            <w:vAlign w:val="bottom"/>
            <w:gridSpan w:val="10"/>
          </w:tcPr>
          <w:p>
            <w:pPr>
              <w:jc w:val="center"/>
              <w:ind w:left="28"/>
              <w:spacing w:after="0"/>
              <w:rPr>
                <w:sz w:val="20"/>
                <w:szCs w:val="20"/>
                <w:color w:val="auto"/>
              </w:rPr>
            </w:pPr>
            <w:r>
              <w:rPr>
                <w:rFonts w:ascii="Arial" w:cs="Arial" w:eastAsia="Arial" w:hAnsi="Arial"/>
                <w:sz w:val="14"/>
                <w:szCs w:val="14"/>
                <w:b w:val="1"/>
                <w:bCs w:val="1"/>
                <w:color w:val="auto"/>
                <w:w w:val="96"/>
              </w:rPr>
              <w:t>Applicable Margin for</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900" w:type="dxa"/>
            <w:vAlign w:val="bottom"/>
            <w:gridSpan w:val="4"/>
            <w:vMerge w:val="continue"/>
          </w:tcPr>
          <w:p>
            <w:pPr>
              <w:spacing w:after="0"/>
              <w:rPr>
                <w:sz w:val="11"/>
                <w:szCs w:val="11"/>
                <w:color w:val="auto"/>
              </w:rPr>
            </w:pPr>
          </w:p>
        </w:tc>
        <w:tc>
          <w:tcPr>
            <w:tcW w:w="1840" w:type="dxa"/>
            <w:vAlign w:val="bottom"/>
            <w:gridSpan w:val="10"/>
          </w:tcPr>
          <w:p>
            <w:pPr>
              <w:jc w:val="center"/>
              <w:ind w:left="8"/>
              <w:spacing w:after="0" w:line="135" w:lineRule="exact"/>
              <w:rPr>
                <w:sz w:val="20"/>
                <w:szCs w:val="20"/>
                <w:color w:val="auto"/>
              </w:rPr>
            </w:pPr>
            <w:r>
              <w:rPr>
                <w:rFonts w:ascii="Arial" w:cs="Arial" w:eastAsia="Arial" w:hAnsi="Arial"/>
                <w:sz w:val="14"/>
                <w:szCs w:val="14"/>
                <w:b w:val="1"/>
                <w:bCs w:val="1"/>
                <w:color w:val="auto"/>
                <w:w w:val="92"/>
              </w:rPr>
              <w:t>Revolving Loans which</w:t>
            </w: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900" w:type="dxa"/>
            <w:vAlign w:val="bottom"/>
            <w:gridSpan w:val="4"/>
          </w:tcPr>
          <w:p>
            <w:pPr>
              <w:jc w:val="center"/>
              <w:ind w:right="520"/>
              <w:spacing w:after="0" w:line="135" w:lineRule="exact"/>
              <w:rPr>
                <w:sz w:val="20"/>
                <w:szCs w:val="20"/>
                <w:color w:val="auto"/>
              </w:rPr>
            </w:pPr>
            <w:r>
              <w:rPr>
                <w:rFonts w:ascii="Arial" w:cs="Arial" w:eastAsia="Arial" w:hAnsi="Arial"/>
                <w:sz w:val="14"/>
                <w:szCs w:val="14"/>
                <w:b w:val="1"/>
                <w:bCs w:val="1"/>
                <w:color w:val="auto"/>
                <w:w w:val="93"/>
              </w:rPr>
              <w:t>for Revolving Loans</w:t>
            </w:r>
          </w:p>
        </w:tc>
        <w:tc>
          <w:tcPr>
            <w:tcW w:w="320" w:type="dxa"/>
            <w:vAlign w:val="bottom"/>
          </w:tcPr>
          <w:p>
            <w:pPr>
              <w:spacing w:after="0"/>
              <w:rPr>
                <w:sz w:val="11"/>
                <w:szCs w:val="11"/>
                <w:color w:val="auto"/>
              </w:rPr>
            </w:pPr>
          </w:p>
        </w:tc>
        <w:tc>
          <w:tcPr>
            <w:tcW w:w="1040" w:type="dxa"/>
            <w:vAlign w:val="bottom"/>
            <w:gridSpan w:val="5"/>
          </w:tcPr>
          <w:p>
            <w:pPr>
              <w:ind w:left="100"/>
              <w:spacing w:after="0" w:line="135" w:lineRule="exact"/>
              <w:rPr>
                <w:sz w:val="20"/>
                <w:szCs w:val="20"/>
                <w:color w:val="auto"/>
              </w:rPr>
            </w:pPr>
            <w:r>
              <w:rPr>
                <w:rFonts w:ascii="Arial" w:cs="Arial" w:eastAsia="Arial" w:hAnsi="Arial"/>
                <w:sz w:val="14"/>
                <w:szCs w:val="14"/>
                <w:b w:val="1"/>
                <w:bCs w:val="1"/>
                <w:color w:val="auto"/>
                <w:w w:val="91"/>
              </w:rPr>
              <w:t>are ABR Loans</w:t>
            </w:r>
          </w:p>
        </w:tc>
        <w:tc>
          <w:tcPr>
            <w:tcW w:w="180" w:type="dxa"/>
            <w:vAlign w:val="bottom"/>
            <w:shd w:val="clear" w:color="auto" w:fill="DDDDDD"/>
          </w:tcPr>
          <w:p>
            <w:pPr>
              <w:ind w:left="40"/>
              <w:spacing w:after="0" w:line="135" w:lineRule="exact"/>
              <w:rPr>
                <w:sz w:val="20"/>
                <w:szCs w:val="20"/>
                <w:color w:val="auto"/>
              </w:rPr>
            </w:pPr>
            <w:r>
              <w:rPr>
                <w:rFonts w:ascii="Arial" w:cs="Arial" w:eastAsia="Arial" w:hAnsi="Arial"/>
                <w:sz w:val="14"/>
                <w:szCs w:val="14"/>
                <w:b w:val="1"/>
                <w:bCs w:val="1"/>
                <w:color w:val="0000FF"/>
                <w:w w:val="85"/>
              </w:rPr>
              <w:t>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440" w:type="dxa"/>
            <w:vAlign w:val="bottom"/>
            <w:gridSpan w:val="2"/>
          </w:tcPr>
          <w:p>
            <w:pPr>
              <w:ind w:left="800"/>
              <w:spacing w:after="0" w:line="149" w:lineRule="exact"/>
              <w:rPr>
                <w:sz w:val="20"/>
                <w:szCs w:val="20"/>
                <w:color w:val="auto"/>
              </w:rPr>
            </w:pPr>
            <w:r>
              <w:rPr>
                <w:rFonts w:ascii="Arial" w:cs="Arial" w:eastAsia="Arial" w:hAnsi="Arial"/>
                <w:sz w:val="14"/>
                <w:szCs w:val="14"/>
                <w:b w:val="1"/>
                <w:bCs w:val="1"/>
                <w:color w:val="auto"/>
                <w:w w:val="95"/>
              </w:rPr>
              <w:t>which are</w:t>
            </w:r>
          </w:p>
        </w:tc>
        <w:tc>
          <w:tcPr>
            <w:tcW w:w="380" w:type="dxa"/>
            <w:vAlign w:val="bottom"/>
          </w:tcPr>
          <w:p>
            <w:pPr>
              <w:spacing w:after="0" w:line="149" w:lineRule="exact"/>
              <w:rPr>
                <w:sz w:val="20"/>
                <w:szCs w:val="20"/>
                <w:color w:val="auto"/>
              </w:rPr>
            </w:pPr>
            <w:r>
              <w:rPr>
                <w:rFonts w:ascii="Arial" w:cs="Arial" w:eastAsia="Arial" w:hAnsi="Arial"/>
                <w:sz w:val="14"/>
                <w:szCs w:val="14"/>
                <w:b w:val="1"/>
                <w:bCs w:val="1"/>
                <w:color w:val="FF0000"/>
                <w:strike w:val="1"/>
                <w:w w:val="92"/>
              </w:rPr>
              <w:t>SOFR</w:t>
            </w:r>
          </w:p>
        </w:tc>
        <w:tc>
          <w:tcPr>
            <w:tcW w:w="1120" w:type="dxa"/>
            <w:vAlign w:val="bottom"/>
            <w:shd w:val="clear" w:color="auto" w:fill="DDDDDD"/>
          </w:tcPr>
          <w:p>
            <w:pPr>
              <w:spacing w:after="0" w:line="149" w:lineRule="exact"/>
              <w:rPr>
                <w:sz w:val="20"/>
                <w:szCs w:val="20"/>
                <w:color w:val="auto"/>
              </w:rPr>
            </w:pPr>
            <w:r>
              <w:rPr>
                <w:rFonts w:ascii="Arial" w:cs="Arial" w:eastAsia="Arial" w:hAnsi="Arial"/>
                <w:sz w:val="14"/>
                <w:szCs w:val="14"/>
                <w:b w:val="1"/>
                <w:bCs w:val="1"/>
                <w:color w:val="0000FF"/>
                <w:highlight w:val="lightGray"/>
                <w:w w:val="96"/>
              </w:rPr>
              <w:t>Term Benchmark</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5"/>
            <w:shd w:val="clear" w:color="auto" w:fill="DDDDDD"/>
          </w:tcPr>
          <w:p>
            <w:pPr>
              <w:spacing w:after="0" w:line="149" w:lineRule="exact"/>
              <w:rPr>
                <w:sz w:val="20"/>
                <w:szCs w:val="20"/>
                <w:color w:val="auto"/>
              </w:rPr>
            </w:pPr>
            <w:r>
              <w:rPr>
                <w:rFonts w:ascii="Arial" w:cs="Arial" w:eastAsia="Arial" w:hAnsi="Arial"/>
                <w:sz w:val="14"/>
                <w:szCs w:val="14"/>
                <w:b w:val="1"/>
                <w:bCs w:val="1"/>
                <w:color w:val="0000FF"/>
                <w:highlight w:val="lightGray"/>
                <w:w w:val="96"/>
              </w:rPr>
              <w:t>Canadian Prime</w:t>
            </w:r>
          </w:p>
        </w:tc>
        <w:tc>
          <w:tcPr>
            <w:tcW w:w="300" w:type="dxa"/>
            <w:vAlign w:val="bottom"/>
            <w:gridSpan w:val="3"/>
            <w:shd w:val="clear" w:color="auto" w:fill="DDDDDD"/>
          </w:tcPr>
          <w:p>
            <w:pPr>
              <w:spacing w:after="0" w:line="149" w:lineRule="exact"/>
              <w:rPr>
                <w:sz w:val="20"/>
                <w:szCs w:val="20"/>
                <w:color w:val="auto"/>
              </w:rPr>
            </w:pPr>
            <w:r>
              <w:rPr>
                <w:rFonts w:ascii="Arial" w:cs="Arial" w:eastAsia="Arial" w:hAnsi="Arial"/>
                <w:sz w:val="14"/>
                <w:szCs w:val="14"/>
                <w:b w:val="1"/>
                <w:bCs w:val="1"/>
                <w:color w:val="0000FF"/>
                <w:highlight w:val="lightGray"/>
                <w:w w:val="92"/>
              </w:rPr>
              <w:t>Rate</w:t>
            </w: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060" w:type="dxa"/>
            <w:vAlign w:val="bottom"/>
          </w:tcPr>
          <w:p>
            <w:pPr>
              <w:spacing w:after="0"/>
              <w:rPr>
                <w:sz w:val="9"/>
                <w:szCs w:val="9"/>
                <w:color w:val="auto"/>
              </w:rPr>
            </w:pPr>
          </w:p>
        </w:tc>
        <w:tc>
          <w:tcPr>
            <w:tcW w:w="1160" w:type="dxa"/>
            <w:vAlign w:val="bottom"/>
          </w:tcPr>
          <w:p>
            <w:pPr>
              <w:ind w:left="780"/>
              <w:spacing w:after="0" w:line="102" w:lineRule="exact"/>
              <w:rPr>
                <w:sz w:val="20"/>
                <w:szCs w:val="20"/>
                <w:color w:val="auto"/>
              </w:rPr>
            </w:pPr>
            <w:r>
              <w:rPr>
                <w:rFonts w:ascii="Arial" w:cs="Arial" w:eastAsia="Arial" w:hAnsi="Arial"/>
                <w:sz w:val="11"/>
                <w:szCs w:val="11"/>
                <w:b w:val="1"/>
                <w:bCs w:val="1"/>
                <w:color w:val="auto"/>
              </w:rPr>
              <w:t>Loans</w:t>
            </w:r>
          </w:p>
        </w:tc>
        <w:tc>
          <w:tcPr>
            <w:tcW w:w="1780" w:type="dxa"/>
            <w:vAlign w:val="bottom"/>
            <w:tcBorders>
              <w:top w:val="single" w:sz="8" w:color="DDDDDD"/>
              <w:bottom w:val="single" w:sz="8" w:color="0000FF"/>
            </w:tcBorders>
            <w:gridSpan w:val="3"/>
            <w:shd w:val="clear" w:color="auto" w:fill="DDDDDD"/>
          </w:tcPr>
          <w:p>
            <w:pPr>
              <w:spacing w:after="0" w:line="102" w:lineRule="exact"/>
              <w:rPr>
                <w:sz w:val="20"/>
                <w:szCs w:val="20"/>
                <w:color w:val="auto"/>
              </w:rPr>
            </w:pPr>
            <w:r>
              <w:rPr>
                <w:rFonts w:ascii="Arial" w:cs="Arial" w:eastAsia="Arial" w:hAnsi="Arial"/>
                <w:sz w:val="11"/>
                <w:szCs w:val="11"/>
                <w:b w:val="1"/>
                <w:bCs w:val="1"/>
                <w:color w:val="0000FF"/>
                <w:highlight w:val="lightGray"/>
              </w:rPr>
              <w:t>, SOFR Loans or RFR Loans</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top w:val="single" w:sz="8" w:color="0000FF"/>
            </w:tcBorders>
          </w:tcPr>
          <w:p>
            <w:pPr>
              <w:spacing w:after="0"/>
              <w:rPr>
                <w:sz w:val="9"/>
                <w:szCs w:val="9"/>
                <w:color w:val="auto"/>
              </w:rPr>
            </w:pPr>
          </w:p>
        </w:tc>
        <w:tc>
          <w:tcPr>
            <w:tcW w:w="20" w:type="dxa"/>
            <w:vAlign w:val="bottom"/>
            <w:tcBorders>
              <w:top w:val="single" w:sz="8" w:color="0000FF"/>
              <w:bottom w:val="single" w:sz="8" w:color="0000FF"/>
            </w:tcBorders>
          </w:tcPr>
          <w:p>
            <w:pPr>
              <w:spacing w:after="0"/>
              <w:rPr>
                <w:sz w:val="9"/>
                <w:szCs w:val="9"/>
                <w:color w:val="auto"/>
              </w:rPr>
            </w:pPr>
          </w:p>
        </w:tc>
        <w:tc>
          <w:tcPr>
            <w:tcW w:w="340" w:type="dxa"/>
            <w:vAlign w:val="bottom"/>
            <w:tcBorders>
              <w:top w:val="single" w:sz="8" w:color="DDDDDD"/>
              <w:bottom w:val="single" w:sz="8" w:color="0000FF"/>
            </w:tcBorders>
            <w:shd w:val="clear" w:color="auto" w:fill="DDDDDD"/>
          </w:tcPr>
          <w:p>
            <w:pPr>
              <w:jc w:val="center"/>
              <w:spacing w:after="0" w:line="102" w:lineRule="exact"/>
              <w:rPr>
                <w:sz w:val="20"/>
                <w:szCs w:val="20"/>
                <w:color w:val="auto"/>
              </w:rPr>
            </w:pPr>
            <w:r>
              <w:rPr>
                <w:rFonts w:ascii="Arial" w:cs="Arial" w:eastAsia="Arial" w:hAnsi="Arial"/>
                <w:sz w:val="11"/>
                <w:szCs w:val="11"/>
                <w:b w:val="1"/>
                <w:bCs w:val="1"/>
                <w:color w:val="0000FF"/>
                <w:highlight w:val="lightGray"/>
              </w:rPr>
              <w:t>Loans</w:t>
            </w:r>
          </w:p>
        </w:tc>
        <w:tc>
          <w:tcPr>
            <w:tcW w:w="20" w:type="dxa"/>
            <w:vAlign w:val="bottom"/>
            <w:tcBorders>
              <w:top w:val="single" w:sz="8" w:color="0000FF"/>
              <w:bottom w:val="single" w:sz="8" w:color="0000FF"/>
            </w:tcBorders>
          </w:tcPr>
          <w:p>
            <w:pPr>
              <w:spacing w:after="0"/>
              <w:rPr>
                <w:sz w:val="9"/>
                <w:szCs w:val="9"/>
                <w:color w:val="auto"/>
              </w:rPr>
            </w:pPr>
          </w:p>
        </w:tc>
        <w:tc>
          <w:tcPr>
            <w:tcW w:w="460" w:type="dxa"/>
            <w:vAlign w:val="bottom"/>
            <w:tcBorders>
              <w:top w:val="single" w:sz="8" w:color="0000FF"/>
            </w:tcBorders>
            <w:gridSpan w:val="3"/>
          </w:tcPr>
          <w:p>
            <w:pPr>
              <w:spacing w:after="0"/>
              <w:rPr>
                <w:sz w:val="9"/>
                <w:szCs w:val="9"/>
                <w:color w:val="auto"/>
              </w:rPr>
            </w:pPr>
          </w:p>
        </w:tc>
        <w:tc>
          <w:tcPr>
            <w:tcW w:w="20" w:type="dxa"/>
            <w:vAlign w:val="bottom"/>
            <w:tcBorders>
              <w:top w:val="single" w:sz="8" w:color="DDDDDD"/>
            </w:tcBorders>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ind w:left="360"/>
              <w:spacing w:after="0" w:line="102" w:lineRule="exact"/>
              <w:rPr>
                <w:sz w:val="20"/>
                <w:szCs w:val="20"/>
                <w:color w:val="auto"/>
              </w:rPr>
            </w:pPr>
            <w:r>
              <w:rPr>
                <w:rFonts w:ascii="Arial" w:cs="Arial" w:eastAsia="Arial" w:hAnsi="Arial"/>
                <w:sz w:val="11"/>
                <w:szCs w:val="11"/>
                <w:b w:val="1"/>
                <w:bCs w:val="1"/>
                <w:color w:val="auto"/>
              </w:rPr>
              <w:t>Facility Fee Percentage</w:t>
            </w:r>
          </w:p>
        </w:tc>
        <w:tc>
          <w:tcPr>
            <w:tcW w:w="0" w:type="dxa"/>
            <w:vAlign w:val="bottom"/>
          </w:tcPr>
          <w:p>
            <w:pPr>
              <w:spacing w:after="0"/>
              <w:rPr>
                <w:sz w:val="1"/>
                <w:szCs w:val="1"/>
                <w:color w:val="auto"/>
              </w:rPr>
            </w:pPr>
          </w:p>
        </w:tc>
      </w:tr>
      <w:tr>
        <w:trPr>
          <w:trHeight w:val="157"/>
        </w:trPr>
        <w:tc>
          <w:tcPr>
            <w:tcW w:w="4060" w:type="dxa"/>
            <w:vAlign w:val="bottom"/>
          </w:tcPr>
          <w:p>
            <w:pPr>
              <w:spacing w:after="0" w:line="157" w:lineRule="exact"/>
              <w:rPr>
                <w:sz w:val="20"/>
                <w:szCs w:val="20"/>
                <w:color w:val="auto"/>
              </w:rPr>
            </w:pPr>
            <w:r>
              <w:rPr>
                <w:rFonts w:ascii="Arial" w:cs="Arial" w:eastAsia="Arial" w:hAnsi="Arial"/>
                <w:sz w:val="14"/>
                <w:szCs w:val="14"/>
                <w:b w:val="1"/>
                <w:bCs w:val="1"/>
                <w:color w:val="auto"/>
              </w:rPr>
              <w:t>Range of Credit Ratings (S&amp;P/Fitch Ratings/Moody’s)</w:t>
            </w:r>
          </w:p>
        </w:tc>
        <w:tc>
          <w:tcPr>
            <w:tcW w:w="1160" w:type="dxa"/>
            <w:vAlign w:val="bottom"/>
          </w:tcPr>
          <w:p>
            <w:pPr>
              <w:spacing w:after="0"/>
              <w:rPr>
                <w:sz w:val="13"/>
                <w:szCs w:val="13"/>
                <w:color w:val="auto"/>
              </w:rPr>
            </w:pPr>
          </w:p>
        </w:tc>
        <w:tc>
          <w:tcPr>
            <w:tcW w:w="1780" w:type="dxa"/>
            <w:vAlign w:val="bottom"/>
            <w:gridSpan w:val="3"/>
          </w:tcPr>
          <w:p>
            <w:pPr>
              <w:jc w:val="center"/>
              <w:ind w:right="288"/>
              <w:spacing w:after="0" w:line="157" w:lineRule="exact"/>
              <w:rPr>
                <w:sz w:val="20"/>
                <w:szCs w:val="20"/>
                <w:color w:val="auto"/>
              </w:rPr>
            </w:pPr>
            <w:r>
              <w:rPr>
                <w:rFonts w:ascii="Arial" w:cs="Arial" w:eastAsia="Arial" w:hAnsi="Arial"/>
                <w:sz w:val="14"/>
                <w:szCs w:val="14"/>
                <w:b w:val="1"/>
                <w:bCs w:val="1"/>
                <w:color w:val="auto"/>
                <w:w w:val="96"/>
              </w:rPr>
              <w:t>(% per annum)</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gridSpan w:val="9"/>
          </w:tcPr>
          <w:p>
            <w:pPr>
              <w:jc w:val="center"/>
              <w:ind w:right="200"/>
              <w:spacing w:after="0" w:line="157" w:lineRule="exact"/>
              <w:rPr>
                <w:sz w:val="20"/>
                <w:szCs w:val="20"/>
                <w:color w:val="auto"/>
              </w:rPr>
            </w:pPr>
            <w:r>
              <w:rPr>
                <w:rFonts w:ascii="Arial" w:cs="Arial" w:eastAsia="Arial" w:hAnsi="Arial"/>
                <w:sz w:val="14"/>
                <w:szCs w:val="14"/>
                <w:b w:val="1"/>
                <w:bCs w:val="1"/>
                <w:color w:val="auto"/>
                <w:w w:val="98"/>
              </w:rPr>
              <w:t>(% per annum)</w:t>
            </w:r>
          </w:p>
        </w:tc>
        <w:tc>
          <w:tcPr>
            <w:tcW w:w="1780" w:type="dxa"/>
            <w:vAlign w:val="bottom"/>
          </w:tcPr>
          <w:p>
            <w:pPr>
              <w:ind w:left="620"/>
              <w:spacing w:after="0" w:line="157" w:lineRule="exact"/>
              <w:rPr>
                <w:sz w:val="20"/>
                <w:szCs w:val="20"/>
                <w:color w:val="auto"/>
              </w:rPr>
            </w:pPr>
            <w:r>
              <w:rPr>
                <w:rFonts w:ascii="Arial" w:cs="Arial" w:eastAsia="Arial" w:hAnsi="Arial"/>
                <w:sz w:val="14"/>
                <w:szCs w:val="14"/>
                <w:b w:val="1"/>
                <w:bCs w:val="1"/>
                <w:color w:val="auto"/>
              </w:rPr>
              <w:t>(% per annum)</w:t>
            </w:r>
          </w:p>
        </w:tc>
        <w:tc>
          <w:tcPr>
            <w:tcW w:w="0" w:type="dxa"/>
            <w:vAlign w:val="bottom"/>
          </w:tcPr>
          <w:p>
            <w:pPr>
              <w:spacing w:after="0"/>
              <w:rPr>
                <w:sz w:val="1"/>
                <w:szCs w:val="1"/>
                <w:color w:val="auto"/>
              </w:rPr>
            </w:pPr>
          </w:p>
        </w:tc>
      </w:tr>
      <w:tr>
        <w:trPr>
          <w:trHeight w:val="182"/>
        </w:trPr>
        <w:tc>
          <w:tcPr>
            <w:tcW w:w="4060" w:type="dxa"/>
            <w:vAlign w:val="bottom"/>
          </w:tcPr>
          <w:p>
            <w:pPr>
              <w:spacing w:after="0"/>
              <w:rPr>
                <w:sz w:val="20"/>
                <w:szCs w:val="20"/>
                <w:color w:val="auto"/>
              </w:rPr>
            </w:pPr>
            <w:r>
              <w:rPr>
                <w:rFonts w:ascii="Arial" w:cs="Arial" w:eastAsia="Arial" w:hAnsi="Arial"/>
                <w:sz w:val="14"/>
                <w:szCs w:val="14"/>
                <w:color w:val="auto"/>
              </w:rPr>
              <w:t>BBB+/Baa1 or better</w:t>
            </w:r>
          </w:p>
        </w:tc>
        <w:tc>
          <w:tcPr>
            <w:tcW w:w="1160" w:type="dxa"/>
            <w:vAlign w:val="bottom"/>
          </w:tcPr>
          <w:p>
            <w:pPr>
              <w:ind w:left="700"/>
              <w:spacing w:after="0"/>
              <w:rPr>
                <w:sz w:val="20"/>
                <w:szCs w:val="20"/>
                <w:color w:val="auto"/>
              </w:rPr>
            </w:pPr>
            <w:r>
              <w:rPr>
                <w:rFonts w:ascii="Arial" w:cs="Arial" w:eastAsia="Arial" w:hAnsi="Arial"/>
                <w:sz w:val="14"/>
                <w:szCs w:val="14"/>
                <w:color w:val="auto"/>
                <w:w w:val="92"/>
              </w:rPr>
              <w:t>0.775%</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color w:val="auto"/>
              </w:rPr>
              <w:t>0.00%</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ind w:left="160"/>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4"/>
                <w:szCs w:val="14"/>
                <w:color w:val="auto"/>
              </w:rPr>
              <w:t>BBB/Baa2</w:t>
            </w:r>
          </w:p>
        </w:tc>
        <w:tc>
          <w:tcPr>
            <w:tcW w:w="1160" w:type="dxa"/>
            <w:vAlign w:val="bottom"/>
          </w:tcPr>
          <w:p>
            <w:pPr>
              <w:ind w:left="700"/>
              <w:spacing w:after="0"/>
              <w:rPr>
                <w:sz w:val="20"/>
                <w:szCs w:val="20"/>
                <w:color w:val="auto"/>
              </w:rPr>
            </w:pPr>
            <w:r>
              <w:rPr>
                <w:rFonts w:ascii="Arial" w:cs="Arial" w:eastAsia="Arial" w:hAnsi="Arial"/>
                <w:sz w:val="14"/>
                <w:szCs w:val="14"/>
                <w:color w:val="auto"/>
              </w:rPr>
              <w:t>0.85%</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color w:val="auto"/>
              </w:rPr>
              <w:t>0.00%</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ind w:left="160"/>
              <w:spacing w:after="0"/>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4"/>
                <w:szCs w:val="14"/>
                <w:color w:val="auto"/>
              </w:rPr>
              <w:t>BBB-/Baa3</w:t>
            </w:r>
          </w:p>
        </w:tc>
        <w:tc>
          <w:tcPr>
            <w:tcW w:w="1160" w:type="dxa"/>
            <w:vAlign w:val="bottom"/>
          </w:tcPr>
          <w:p>
            <w:pPr>
              <w:ind w:left="700"/>
              <w:spacing w:after="0"/>
              <w:rPr>
                <w:sz w:val="20"/>
                <w:szCs w:val="20"/>
                <w:color w:val="auto"/>
              </w:rPr>
            </w:pPr>
            <w:r>
              <w:rPr>
                <w:rFonts w:ascii="Arial" w:cs="Arial" w:eastAsia="Arial" w:hAnsi="Arial"/>
                <w:sz w:val="14"/>
                <w:szCs w:val="14"/>
                <w:color w:val="auto"/>
              </w:rPr>
              <w:t>1.05%</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color w:val="auto"/>
              </w:rPr>
              <w:t>0.05%</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ind w:left="160"/>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4"/>
                <w:szCs w:val="14"/>
                <w:color w:val="auto"/>
              </w:rPr>
              <w:t>BB+/Ba1</w:t>
            </w:r>
          </w:p>
        </w:tc>
        <w:tc>
          <w:tcPr>
            <w:tcW w:w="1160" w:type="dxa"/>
            <w:vAlign w:val="bottom"/>
          </w:tcPr>
          <w:p>
            <w:pPr>
              <w:ind w:left="700"/>
              <w:spacing w:after="0"/>
              <w:rPr>
                <w:sz w:val="20"/>
                <w:szCs w:val="20"/>
                <w:color w:val="auto"/>
              </w:rPr>
            </w:pPr>
            <w:r>
              <w:rPr>
                <w:rFonts w:ascii="Arial" w:cs="Arial" w:eastAsia="Arial" w:hAnsi="Arial"/>
                <w:sz w:val="14"/>
                <w:szCs w:val="14"/>
                <w:color w:val="auto"/>
              </w:rPr>
              <w:t>1.20%</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color w:val="auto"/>
              </w:rPr>
              <w:t>0.20%</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ind w:left="160"/>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4"/>
                <w:szCs w:val="14"/>
                <w:color w:val="auto"/>
              </w:rPr>
              <w:t>below BB+/Ba1 or unrated</w:t>
            </w:r>
          </w:p>
        </w:tc>
        <w:tc>
          <w:tcPr>
            <w:tcW w:w="1160" w:type="dxa"/>
            <w:vAlign w:val="bottom"/>
          </w:tcPr>
          <w:p>
            <w:pPr>
              <w:ind w:left="700"/>
              <w:spacing w:after="0"/>
              <w:rPr>
                <w:sz w:val="20"/>
                <w:szCs w:val="20"/>
                <w:color w:val="auto"/>
              </w:rPr>
            </w:pPr>
            <w:r>
              <w:rPr>
                <w:rFonts w:ascii="Arial" w:cs="Arial" w:eastAsia="Arial" w:hAnsi="Arial"/>
                <w:sz w:val="14"/>
                <w:szCs w:val="14"/>
                <w:color w:val="auto"/>
                <w:w w:val="92"/>
              </w:rPr>
              <w:t>1.325%</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color w:val="auto"/>
              </w:rPr>
              <w:t>0.325%</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ind w:left="160"/>
              <w:spacing w:after="0"/>
              <w:rPr>
                <w:sz w:val="20"/>
                <w:szCs w:val="20"/>
                <w:color w:val="auto"/>
              </w:rPr>
            </w:pPr>
            <w:r>
              <w:rPr>
                <w:rFonts w:ascii="Arial" w:cs="Arial" w:eastAsia="Arial" w:hAnsi="Arial"/>
                <w:sz w:val="14"/>
                <w:szCs w:val="14"/>
                <w:color w:val="auto"/>
              </w:rPr>
              <w:t>0.375%</w:t>
            </w: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Delayed Draw Term Loans</w:t>
      </w: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780" w:type="dxa"/>
            <w:vAlign w:val="bottom"/>
          </w:tcPr>
          <w:p>
            <w:pPr>
              <w:jc w:val="center"/>
              <w:ind w:left="628"/>
              <w:spacing w:after="0"/>
              <w:rPr>
                <w:sz w:val="20"/>
                <w:szCs w:val="20"/>
                <w:color w:val="auto"/>
              </w:rPr>
            </w:pPr>
            <w:r>
              <w:rPr>
                <w:rFonts w:ascii="Arial" w:cs="Arial" w:eastAsia="Arial" w:hAnsi="Arial"/>
                <w:sz w:val="14"/>
                <w:szCs w:val="14"/>
                <w:b w:val="1"/>
                <w:bCs w:val="1"/>
                <w:color w:val="auto"/>
                <w:w w:val="96"/>
              </w:rPr>
              <w:t>Applicable Margin</w:t>
            </w:r>
          </w:p>
        </w:tc>
        <w:tc>
          <w:tcPr>
            <w:tcW w:w="2060" w:type="dxa"/>
            <w:vAlign w:val="bottom"/>
          </w:tcPr>
          <w:p>
            <w:pPr>
              <w:jc w:val="center"/>
              <w:ind w:left="8"/>
              <w:spacing w:after="0"/>
              <w:rPr>
                <w:sz w:val="20"/>
                <w:szCs w:val="20"/>
                <w:color w:val="auto"/>
              </w:rPr>
            </w:pPr>
            <w:r>
              <w:rPr>
                <w:rFonts w:ascii="Arial" w:cs="Arial" w:eastAsia="Arial" w:hAnsi="Arial"/>
                <w:sz w:val="14"/>
                <w:szCs w:val="14"/>
                <w:b w:val="1"/>
                <w:bCs w:val="1"/>
                <w:color w:val="auto"/>
                <w:w w:val="96"/>
              </w:rPr>
              <w:t>Applicable Margin for</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rPr>
                <w:sz w:val="11"/>
                <w:szCs w:val="11"/>
                <w:color w:val="auto"/>
              </w:rPr>
            </w:pPr>
          </w:p>
        </w:tc>
        <w:tc>
          <w:tcPr>
            <w:tcW w:w="2780" w:type="dxa"/>
            <w:vAlign w:val="bottom"/>
          </w:tcPr>
          <w:p>
            <w:pPr>
              <w:jc w:val="center"/>
              <w:ind w:left="628"/>
              <w:spacing w:after="0" w:line="135" w:lineRule="exact"/>
              <w:rPr>
                <w:sz w:val="20"/>
                <w:szCs w:val="20"/>
                <w:color w:val="auto"/>
              </w:rPr>
            </w:pPr>
            <w:r>
              <w:rPr>
                <w:rFonts w:ascii="Arial" w:cs="Arial" w:eastAsia="Arial" w:hAnsi="Arial"/>
                <w:sz w:val="14"/>
                <w:szCs w:val="14"/>
                <w:b w:val="1"/>
                <w:bCs w:val="1"/>
                <w:color w:val="auto"/>
                <w:w w:val="95"/>
              </w:rPr>
              <w:t>for Delayed Draw Term Loans</w:t>
            </w:r>
          </w:p>
        </w:tc>
        <w:tc>
          <w:tcPr>
            <w:tcW w:w="206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w w:val="93"/>
              </w:rPr>
              <w:t>Delayed Draw Term Loans</w:t>
            </w: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rPr>
                <w:sz w:val="11"/>
                <w:szCs w:val="11"/>
                <w:color w:val="auto"/>
              </w:rPr>
            </w:pPr>
          </w:p>
        </w:tc>
        <w:tc>
          <w:tcPr>
            <w:tcW w:w="2780" w:type="dxa"/>
            <w:vAlign w:val="bottom"/>
          </w:tcPr>
          <w:p>
            <w:pPr>
              <w:jc w:val="center"/>
              <w:ind w:left="608"/>
              <w:spacing w:after="0" w:line="135" w:lineRule="exact"/>
              <w:rPr>
                <w:sz w:val="20"/>
                <w:szCs w:val="20"/>
                <w:color w:val="auto"/>
              </w:rPr>
            </w:pPr>
            <w:r>
              <w:rPr>
                <w:rFonts w:ascii="Arial" w:cs="Arial" w:eastAsia="Arial" w:hAnsi="Arial"/>
                <w:sz w:val="14"/>
                <w:szCs w:val="14"/>
                <w:b w:val="1"/>
                <w:bCs w:val="1"/>
                <w:color w:val="auto"/>
                <w:w w:val="94"/>
              </w:rPr>
              <w:t>which are SOFR</w:t>
            </w:r>
          </w:p>
        </w:tc>
        <w:tc>
          <w:tcPr>
            <w:tcW w:w="2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which</w:t>
            </w:r>
          </w:p>
        </w:tc>
        <w:tc>
          <w:tcPr>
            <w:tcW w:w="1820" w:type="dxa"/>
            <w:vAlign w:val="bottom"/>
            <w:vMerge w:val="restart"/>
          </w:tcPr>
          <w:p>
            <w:pPr>
              <w:ind w:left="400"/>
              <w:spacing w:after="0"/>
              <w:rPr>
                <w:sz w:val="20"/>
                <w:szCs w:val="20"/>
                <w:color w:val="auto"/>
              </w:rPr>
            </w:pPr>
            <w:r>
              <w:rPr>
                <w:rFonts w:ascii="Arial" w:cs="Arial" w:eastAsia="Arial" w:hAnsi="Arial"/>
                <w:sz w:val="14"/>
                <w:szCs w:val="14"/>
                <w:b w:val="1"/>
                <w:bCs w:val="1"/>
                <w:color w:val="auto"/>
                <w:w w:val="89"/>
              </w:rPr>
              <w:t>Facility Fee Percentage</w:t>
            </w:r>
          </w:p>
        </w:tc>
        <w:tc>
          <w:tcPr>
            <w:tcW w:w="0" w:type="dxa"/>
            <w:vAlign w:val="bottom"/>
          </w:tcPr>
          <w:p>
            <w:pPr>
              <w:spacing w:after="0"/>
              <w:rPr>
                <w:sz w:val="1"/>
                <w:szCs w:val="1"/>
                <w:color w:val="auto"/>
              </w:rPr>
            </w:pPr>
          </w:p>
        </w:tc>
      </w:tr>
      <w:tr>
        <w:trPr>
          <w:trHeight w:val="135"/>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Range of Credit Ratings (S&amp;P/Fitch Ratings /Moody’s)</w:t>
            </w:r>
          </w:p>
        </w:tc>
        <w:tc>
          <w:tcPr>
            <w:tcW w:w="2780" w:type="dxa"/>
            <w:vAlign w:val="bottom"/>
          </w:tcPr>
          <w:p>
            <w:pPr>
              <w:jc w:val="center"/>
              <w:ind w:left="608"/>
              <w:spacing w:after="0" w:line="135" w:lineRule="exact"/>
              <w:rPr>
                <w:sz w:val="20"/>
                <w:szCs w:val="20"/>
                <w:color w:val="auto"/>
              </w:rPr>
            </w:pPr>
            <w:r>
              <w:rPr>
                <w:rFonts w:ascii="Arial" w:cs="Arial" w:eastAsia="Arial" w:hAnsi="Arial"/>
                <w:sz w:val="14"/>
                <w:szCs w:val="14"/>
                <w:b w:val="1"/>
                <w:bCs w:val="1"/>
                <w:color w:val="auto"/>
                <w:w w:val="92"/>
              </w:rPr>
              <w:t>Loans</w:t>
            </w:r>
          </w:p>
        </w:tc>
        <w:tc>
          <w:tcPr>
            <w:tcW w:w="206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w w:val="95"/>
              </w:rPr>
              <w:t>are ABR Loans</w:t>
            </w: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140" w:type="dxa"/>
            <w:vAlign w:val="bottom"/>
            <w:vMerge w:val="continue"/>
          </w:tcPr>
          <w:p>
            <w:pPr>
              <w:spacing w:after="0"/>
              <w:rPr>
                <w:sz w:val="15"/>
                <w:szCs w:val="15"/>
                <w:color w:val="auto"/>
              </w:rPr>
            </w:pPr>
          </w:p>
        </w:tc>
        <w:tc>
          <w:tcPr>
            <w:tcW w:w="2780" w:type="dxa"/>
            <w:vAlign w:val="bottom"/>
          </w:tcPr>
          <w:p>
            <w:pPr>
              <w:jc w:val="center"/>
              <w:ind w:left="668"/>
              <w:spacing w:after="0"/>
              <w:rPr>
                <w:sz w:val="20"/>
                <w:szCs w:val="20"/>
                <w:color w:val="auto"/>
              </w:rPr>
            </w:pPr>
            <w:r>
              <w:rPr>
                <w:rFonts w:ascii="Arial" w:cs="Arial" w:eastAsia="Arial" w:hAnsi="Arial"/>
                <w:sz w:val="14"/>
                <w:szCs w:val="14"/>
                <w:b w:val="1"/>
                <w:bCs w:val="1"/>
                <w:color w:val="auto"/>
                <w:w w:val="98"/>
              </w:rPr>
              <w:t>(% per annum)</w:t>
            </w:r>
          </w:p>
        </w:tc>
        <w:tc>
          <w:tcPr>
            <w:tcW w:w="2060" w:type="dxa"/>
            <w:vAlign w:val="bottom"/>
          </w:tcPr>
          <w:p>
            <w:pPr>
              <w:jc w:val="center"/>
              <w:ind w:left="28"/>
              <w:spacing w:after="0"/>
              <w:rPr>
                <w:sz w:val="20"/>
                <w:szCs w:val="20"/>
                <w:color w:val="auto"/>
              </w:rPr>
            </w:pPr>
            <w:r>
              <w:rPr>
                <w:rFonts w:ascii="Arial" w:cs="Arial" w:eastAsia="Arial" w:hAnsi="Arial"/>
                <w:sz w:val="14"/>
                <w:szCs w:val="14"/>
                <w:b w:val="1"/>
                <w:bCs w:val="1"/>
                <w:color w:val="auto"/>
                <w:w w:val="98"/>
              </w:rPr>
              <w:t>(% per annum)</w:t>
            </w:r>
          </w:p>
        </w:tc>
        <w:tc>
          <w:tcPr>
            <w:tcW w:w="1820" w:type="dxa"/>
            <w:vAlign w:val="bottom"/>
          </w:tcPr>
          <w:p>
            <w:pPr>
              <w:ind w:left="660"/>
              <w:spacing w:after="0"/>
              <w:rPr>
                <w:sz w:val="20"/>
                <w:szCs w:val="20"/>
                <w:color w:val="auto"/>
              </w:rPr>
            </w:pPr>
            <w:r>
              <w:rPr>
                <w:rFonts w:ascii="Arial" w:cs="Arial" w:eastAsia="Arial" w:hAnsi="Arial"/>
                <w:sz w:val="14"/>
                <w:szCs w:val="14"/>
                <w:b w:val="1"/>
                <w:bCs w:val="1"/>
                <w:color w:val="auto"/>
              </w:rPr>
              <w:t>(% per annum)</w:t>
            </w:r>
          </w:p>
        </w:tc>
        <w:tc>
          <w:tcPr>
            <w:tcW w:w="0" w:type="dxa"/>
            <w:vAlign w:val="bottom"/>
          </w:tcPr>
          <w:p>
            <w:pPr>
              <w:spacing w:after="0"/>
              <w:rPr>
                <w:sz w:val="1"/>
                <w:szCs w:val="1"/>
                <w:color w:val="auto"/>
              </w:rPr>
            </w:pPr>
          </w:p>
        </w:tc>
      </w:tr>
      <w:tr>
        <w:trPr>
          <w:trHeight w:val="182"/>
        </w:trPr>
        <w:tc>
          <w:tcPr>
            <w:tcW w:w="4140" w:type="dxa"/>
            <w:vAlign w:val="bottom"/>
          </w:tcPr>
          <w:p>
            <w:pPr>
              <w:spacing w:after="0"/>
              <w:rPr>
                <w:sz w:val="20"/>
                <w:szCs w:val="20"/>
                <w:color w:val="auto"/>
              </w:rPr>
            </w:pPr>
            <w:r>
              <w:rPr>
                <w:rFonts w:ascii="Arial" w:cs="Arial" w:eastAsia="Arial" w:hAnsi="Arial"/>
                <w:sz w:val="14"/>
                <w:szCs w:val="14"/>
                <w:color w:val="auto"/>
              </w:rPr>
              <w:t>BBB+/Baa1 or better</w:t>
            </w:r>
          </w:p>
        </w:tc>
        <w:tc>
          <w:tcPr>
            <w:tcW w:w="2780" w:type="dxa"/>
            <w:vAlign w:val="bottom"/>
          </w:tcPr>
          <w:p>
            <w:pPr>
              <w:jc w:val="right"/>
              <w:ind w:right="1568"/>
              <w:spacing w:after="0"/>
              <w:rPr>
                <w:sz w:val="20"/>
                <w:szCs w:val="20"/>
                <w:color w:val="auto"/>
              </w:rPr>
            </w:pPr>
            <w:r>
              <w:rPr>
                <w:rFonts w:ascii="Arial" w:cs="Arial" w:eastAsia="Arial" w:hAnsi="Arial"/>
                <w:sz w:val="14"/>
                <w:szCs w:val="14"/>
                <w:color w:val="auto"/>
              </w:rPr>
              <w:t>0.85%</w:t>
            </w:r>
          </w:p>
        </w:tc>
        <w:tc>
          <w:tcPr>
            <w:tcW w:w="2060" w:type="dxa"/>
            <w:vAlign w:val="bottom"/>
          </w:tcPr>
          <w:p>
            <w:pPr>
              <w:jc w:val="right"/>
              <w:ind w:right="1508"/>
              <w:spacing w:after="0"/>
              <w:rPr>
                <w:sz w:val="20"/>
                <w:szCs w:val="20"/>
                <w:color w:val="auto"/>
              </w:rPr>
            </w:pPr>
            <w:r>
              <w:rPr>
                <w:rFonts w:ascii="Arial" w:cs="Arial" w:eastAsia="Arial" w:hAnsi="Arial"/>
                <w:sz w:val="14"/>
                <w:szCs w:val="14"/>
                <w:color w:val="auto"/>
              </w:rPr>
              <w:t>0.00%</w:t>
            </w:r>
          </w:p>
        </w:tc>
        <w:tc>
          <w:tcPr>
            <w:tcW w:w="1820" w:type="dxa"/>
            <w:vAlign w:val="bottom"/>
          </w:tcPr>
          <w:p>
            <w:pPr>
              <w:ind w:left="140"/>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Arial" w:cs="Arial" w:eastAsia="Arial" w:hAnsi="Arial"/>
                <w:sz w:val="14"/>
                <w:szCs w:val="14"/>
                <w:color w:val="auto"/>
              </w:rPr>
              <w:t>BBB/Baa2</w:t>
            </w:r>
          </w:p>
        </w:tc>
        <w:tc>
          <w:tcPr>
            <w:tcW w:w="2780" w:type="dxa"/>
            <w:vAlign w:val="bottom"/>
          </w:tcPr>
          <w:p>
            <w:pPr>
              <w:jc w:val="right"/>
              <w:ind w:right="1568"/>
              <w:spacing w:after="0"/>
              <w:rPr>
                <w:sz w:val="20"/>
                <w:szCs w:val="20"/>
                <w:color w:val="auto"/>
              </w:rPr>
            </w:pPr>
            <w:r>
              <w:rPr>
                <w:rFonts w:ascii="Arial" w:cs="Arial" w:eastAsia="Arial" w:hAnsi="Arial"/>
                <w:sz w:val="14"/>
                <w:szCs w:val="14"/>
                <w:color w:val="auto"/>
              </w:rPr>
              <w:t>0.95%</w:t>
            </w:r>
          </w:p>
        </w:tc>
        <w:tc>
          <w:tcPr>
            <w:tcW w:w="2060" w:type="dxa"/>
            <w:vAlign w:val="bottom"/>
          </w:tcPr>
          <w:p>
            <w:pPr>
              <w:jc w:val="right"/>
              <w:ind w:right="1508"/>
              <w:spacing w:after="0"/>
              <w:rPr>
                <w:sz w:val="20"/>
                <w:szCs w:val="20"/>
                <w:color w:val="auto"/>
              </w:rPr>
            </w:pPr>
            <w:r>
              <w:rPr>
                <w:rFonts w:ascii="Arial" w:cs="Arial" w:eastAsia="Arial" w:hAnsi="Arial"/>
                <w:sz w:val="14"/>
                <w:szCs w:val="14"/>
                <w:color w:val="auto"/>
              </w:rPr>
              <w:t>0.00%</w:t>
            </w:r>
          </w:p>
        </w:tc>
        <w:tc>
          <w:tcPr>
            <w:tcW w:w="1820" w:type="dxa"/>
            <w:vAlign w:val="bottom"/>
          </w:tcPr>
          <w:p>
            <w:pPr>
              <w:ind w:left="140"/>
              <w:spacing w:after="0"/>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Arial" w:cs="Arial" w:eastAsia="Arial" w:hAnsi="Arial"/>
                <w:sz w:val="14"/>
                <w:szCs w:val="14"/>
                <w:color w:val="auto"/>
              </w:rPr>
              <w:t>BBB-/Baa3</w:t>
            </w:r>
          </w:p>
        </w:tc>
        <w:tc>
          <w:tcPr>
            <w:tcW w:w="2780" w:type="dxa"/>
            <w:vAlign w:val="bottom"/>
          </w:tcPr>
          <w:p>
            <w:pPr>
              <w:jc w:val="right"/>
              <w:ind w:right="1568"/>
              <w:spacing w:after="0"/>
              <w:rPr>
                <w:sz w:val="20"/>
                <w:szCs w:val="20"/>
                <w:color w:val="auto"/>
              </w:rPr>
            </w:pPr>
            <w:r>
              <w:rPr>
                <w:rFonts w:ascii="Arial" w:cs="Arial" w:eastAsia="Arial" w:hAnsi="Arial"/>
                <w:sz w:val="14"/>
                <w:szCs w:val="14"/>
                <w:color w:val="auto"/>
              </w:rPr>
              <w:t>1.20%</w:t>
            </w:r>
          </w:p>
        </w:tc>
        <w:tc>
          <w:tcPr>
            <w:tcW w:w="2060" w:type="dxa"/>
            <w:vAlign w:val="bottom"/>
          </w:tcPr>
          <w:p>
            <w:pPr>
              <w:jc w:val="right"/>
              <w:ind w:right="1508"/>
              <w:spacing w:after="0"/>
              <w:rPr>
                <w:sz w:val="20"/>
                <w:szCs w:val="20"/>
                <w:color w:val="auto"/>
              </w:rPr>
            </w:pPr>
            <w:r>
              <w:rPr>
                <w:rFonts w:ascii="Arial" w:cs="Arial" w:eastAsia="Arial" w:hAnsi="Arial"/>
                <w:sz w:val="14"/>
                <w:szCs w:val="14"/>
                <w:color w:val="auto"/>
              </w:rPr>
              <w:t>0.20%</w:t>
            </w:r>
          </w:p>
        </w:tc>
        <w:tc>
          <w:tcPr>
            <w:tcW w:w="1820" w:type="dxa"/>
            <w:vAlign w:val="bottom"/>
          </w:tcPr>
          <w:p>
            <w:pPr>
              <w:ind w:left="140"/>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Arial" w:cs="Arial" w:eastAsia="Arial" w:hAnsi="Arial"/>
                <w:sz w:val="14"/>
                <w:szCs w:val="14"/>
                <w:color w:val="auto"/>
              </w:rPr>
              <w:t>BB+/Ba1</w:t>
            </w:r>
          </w:p>
        </w:tc>
        <w:tc>
          <w:tcPr>
            <w:tcW w:w="2780" w:type="dxa"/>
            <w:vAlign w:val="bottom"/>
          </w:tcPr>
          <w:p>
            <w:pPr>
              <w:jc w:val="right"/>
              <w:ind w:right="1568"/>
              <w:spacing w:after="0"/>
              <w:rPr>
                <w:sz w:val="20"/>
                <w:szCs w:val="20"/>
                <w:color w:val="auto"/>
              </w:rPr>
            </w:pPr>
            <w:r>
              <w:rPr>
                <w:rFonts w:ascii="Arial" w:cs="Arial" w:eastAsia="Arial" w:hAnsi="Arial"/>
                <w:sz w:val="14"/>
                <w:szCs w:val="14"/>
                <w:color w:val="auto"/>
              </w:rPr>
              <w:t>1.40%</w:t>
            </w:r>
          </w:p>
        </w:tc>
        <w:tc>
          <w:tcPr>
            <w:tcW w:w="2060" w:type="dxa"/>
            <w:vAlign w:val="bottom"/>
          </w:tcPr>
          <w:p>
            <w:pPr>
              <w:jc w:val="right"/>
              <w:ind w:right="1508"/>
              <w:spacing w:after="0"/>
              <w:rPr>
                <w:sz w:val="20"/>
                <w:szCs w:val="20"/>
                <w:color w:val="auto"/>
              </w:rPr>
            </w:pPr>
            <w:r>
              <w:rPr>
                <w:rFonts w:ascii="Arial" w:cs="Arial" w:eastAsia="Arial" w:hAnsi="Arial"/>
                <w:sz w:val="14"/>
                <w:szCs w:val="14"/>
                <w:color w:val="auto"/>
              </w:rPr>
              <w:t>0.40%</w:t>
            </w:r>
          </w:p>
        </w:tc>
        <w:tc>
          <w:tcPr>
            <w:tcW w:w="1820" w:type="dxa"/>
            <w:vAlign w:val="bottom"/>
          </w:tcPr>
          <w:p>
            <w:pPr>
              <w:ind w:left="140"/>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Arial" w:cs="Arial" w:eastAsia="Arial" w:hAnsi="Arial"/>
                <w:sz w:val="14"/>
                <w:szCs w:val="14"/>
                <w:color w:val="auto"/>
              </w:rPr>
              <w:t>below BB+/Ba1 or unrated</w:t>
            </w:r>
          </w:p>
        </w:tc>
        <w:tc>
          <w:tcPr>
            <w:tcW w:w="2780" w:type="dxa"/>
            <w:vAlign w:val="bottom"/>
          </w:tcPr>
          <w:p>
            <w:pPr>
              <w:jc w:val="right"/>
              <w:ind w:right="1568"/>
              <w:spacing w:after="0"/>
              <w:rPr>
                <w:sz w:val="20"/>
                <w:szCs w:val="20"/>
                <w:color w:val="auto"/>
              </w:rPr>
            </w:pPr>
            <w:r>
              <w:rPr>
                <w:rFonts w:ascii="Arial" w:cs="Arial" w:eastAsia="Arial" w:hAnsi="Arial"/>
                <w:sz w:val="14"/>
                <w:szCs w:val="14"/>
                <w:color w:val="auto"/>
              </w:rPr>
              <w:t>1.60%</w:t>
            </w:r>
          </w:p>
        </w:tc>
        <w:tc>
          <w:tcPr>
            <w:tcW w:w="2060" w:type="dxa"/>
            <w:vAlign w:val="bottom"/>
          </w:tcPr>
          <w:p>
            <w:pPr>
              <w:jc w:val="right"/>
              <w:ind w:right="1508"/>
              <w:spacing w:after="0"/>
              <w:rPr>
                <w:sz w:val="20"/>
                <w:szCs w:val="20"/>
                <w:color w:val="auto"/>
              </w:rPr>
            </w:pPr>
            <w:r>
              <w:rPr>
                <w:rFonts w:ascii="Arial" w:cs="Arial" w:eastAsia="Arial" w:hAnsi="Arial"/>
                <w:sz w:val="14"/>
                <w:szCs w:val="14"/>
                <w:color w:val="auto"/>
              </w:rPr>
              <w:t>0.60%</w:t>
            </w:r>
          </w:p>
        </w:tc>
        <w:tc>
          <w:tcPr>
            <w:tcW w:w="1820" w:type="dxa"/>
            <w:vAlign w:val="bottom"/>
          </w:tcPr>
          <w:p>
            <w:pPr>
              <w:ind w:left="140"/>
              <w:spacing w:after="0"/>
              <w:rPr>
                <w:sz w:val="20"/>
                <w:szCs w:val="20"/>
                <w:color w:val="auto"/>
              </w:rPr>
            </w:pPr>
            <w:r>
              <w:rPr>
                <w:rFonts w:ascii="Arial" w:cs="Arial" w:eastAsia="Arial" w:hAnsi="Arial"/>
                <w:sz w:val="14"/>
                <w:szCs w:val="14"/>
                <w:color w:val="auto"/>
              </w:rPr>
              <w:t>0.375%</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7"/>
          <w:szCs w:val="17"/>
          <w:color w:val="auto"/>
        </w:rPr>
        <w:t xml:space="preserve">For purposes of the Ratings Based Pricing Grids, if at any time the Borrower has two (2) Credit Ratings, the Applicable Margin and Facility Fee Percentage shall be the rate per annum applicable to the highest Credit Rating;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highest Credit Rating and the lowest Credit Rating are more than one ratings category apart, the Applicable Margin and Facility Fee Percentage shall be the rate per annum applicable to Credit Rating that is one ratings category below the highest Credit Rating. If at any time the Borrower has three (3) Credit Ratings, and such Credit Ratings are split, then: (A) if the difference between the highest and the lowest such Credit Ratings is one ratings category (e.g. Baa2 by Moody’s and BBB- by S&amp;P or Fitch), the Applicable Margin and Facility Fee Percentage shall be the rate per annum that would be applicable if the highest of the Credit Ratings were used; and (B) if the difference between such Credit Ratings is two ratings categories (e.g. Baa1 by Moody’s and BBB- by S&amp;P or Fitch) or more, the Applicable Margin and Facility Fee Percentage shall be the rate per annum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21" w:right="339" w:bottom="1440" w:gutter="0" w:footer="0" w:header="0"/>
        </w:sectPr>
      </w:pPr>
    </w:p>
    <w:bookmarkStart w:id="135" w:name="page136"/>
    <w:bookmarkEnd w:id="135"/>
    <w:p>
      <w:pPr>
        <w:jc w:val="both"/>
        <w:spacing w:after="0"/>
        <w:rPr>
          <w:sz w:val="20"/>
          <w:szCs w:val="20"/>
          <w:color w:val="auto"/>
        </w:rPr>
      </w:pPr>
      <w:r>
        <w:rPr>
          <w:rFonts w:ascii="Arial" w:cs="Arial" w:eastAsia="Arial" w:hAnsi="Arial"/>
          <w:sz w:val="18"/>
          <w:szCs w:val="18"/>
          <w:color w:val="auto"/>
        </w:rPr>
        <w:t xml:space="preserve">would be applicable if the average of the two (2) highest Credit Ratings were used; </w:t>
      </w:r>
      <w:r>
        <w:rPr>
          <w:rFonts w:ascii="Arial" w:cs="Arial" w:eastAsia="Arial" w:hAnsi="Arial"/>
          <w:sz w:val="18"/>
          <w:szCs w:val="18"/>
          <w:u w:val="single" w:color="auto"/>
          <w:color w:val="auto"/>
        </w:rPr>
        <w:t>provided</w:t>
      </w:r>
      <w:r>
        <w:rPr>
          <w:rFonts w:ascii="Arial" w:cs="Arial" w:eastAsia="Arial" w:hAnsi="Arial"/>
          <w:sz w:val="18"/>
          <w:szCs w:val="18"/>
          <w:color w:val="auto"/>
        </w:rPr>
        <w:t>, that if such average is not a recognized rating category, then the Applicable Margin and Facility Fee Percentage shall be the rate per annum that would be applicable if the second highest Credit Rating of the three were used. If at any time the Borrower has only one Credit Rating (and such Credit Rating is from Moody’s or S&amp;P), the Applicable Margin and Facility Fee Percentage shall be the rate per annum applicable to such Credit Rating. If the Borrower does not have a Credit Rating from either Moody’s or S&amp;P, the Applicable Margin and Facility Fee Percentage shall be the rate per annum applicable to a Credit Rating of “below BB+/Ba1 or unrated” in the tables above.</w:t>
      </w:r>
    </w:p>
    <w:p>
      <w:pPr>
        <w:spacing w:after="0" w:line="18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color w:val="auto"/>
        </w:rPr>
        <w:t>A change (if any) in the Applicable Margin and Facility Fee Percentage shall be effective immediately as of the date on which any of the rating agencies announces a change in the Credit Rating or the date on which the Borrower no longer has a Credit Rating from one of the rating agencies or the date on which the Borrower has a Credit Rating from a rating agency that had not provided a Credit Rating for the Borrower on the day immediately preceding such date, whichever is applicable.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Primary Disqualified Institution</w:t>
      </w:r>
      <w:r>
        <w:rPr>
          <w:rFonts w:ascii="Arial" w:cs="Arial" w:eastAsia="Arial" w:hAnsi="Arial"/>
          <w:sz w:val="18"/>
          <w:szCs w:val="18"/>
          <w:color w:val="auto"/>
        </w:rPr>
        <w:t>”: has the meaning specified in the definition of “Disqualified Institutions”.</w:t>
      </w:r>
    </w:p>
    <w:p>
      <w:pPr>
        <w:spacing w:after="0" w:line="21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any claim, litigation, investigation, action, suit, arbitration or administrative, judicial or regulatory action or proceeding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any jurisdiction.</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Transaction</w:t>
      </w:r>
      <w:r>
        <w:rPr>
          <w:rFonts w:ascii="Arial" w:cs="Arial" w:eastAsia="Arial" w:hAnsi="Arial"/>
          <w:sz w:val="18"/>
          <w:szCs w:val="18"/>
          <w:color w:val="auto"/>
        </w:rPr>
        <w:t>”: as defined in Section 406 of ERISA and Section 4975(c) of the Code.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6.2(b)</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a prohibited transaction class exemption issued by the U.S. Department of Labor, as any such exemption may be amended from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QFC</w:t>
      </w:r>
      <w:r>
        <w:rPr>
          <w:rFonts w:ascii="Arial" w:cs="Arial" w:eastAsia="Arial" w:hAnsi="Arial"/>
          <w:sz w:val="17"/>
          <w:szCs w:val="17"/>
          <w:color w:val="auto"/>
        </w:rPr>
        <w:t>”: has the meaning assigned to the term “qualified financial contract” in, and shall be interpreted in accordance with, 12 U.S.C.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5390(c)(8)(D).</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10.23</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Ratings Based Pricing Grids</w:t>
      </w:r>
      <w:r>
        <w:rPr>
          <w:rFonts w:ascii="Arial" w:cs="Arial" w:eastAsia="Arial" w:hAnsi="Arial"/>
          <w:sz w:val="18"/>
          <w:szCs w:val="18"/>
          <w:color w:val="auto"/>
        </w:rPr>
        <w:t>”: as defined in the definition of “Pricing Grids”.</w:t>
      </w:r>
    </w:p>
    <w:p>
      <w:pPr>
        <w:spacing w:after="0" w:line="212"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Real Property</w:t>
      </w:r>
      <w:r>
        <w:rPr>
          <w:rFonts w:ascii="Arial" w:cs="Arial" w:eastAsia="Arial" w:hAnsi="Arial"/>
          <w:sz w:val="17"/>
          <w:szCs w:val="17"/>
          <w:color w:val="auto"/>
        </w:rPr>
        <w:t>”: (i) each parcel of real property leased or operated by the Borrower, its Restricted Subsidiaries or a Restricted Joint Venture of the Borrower, whether by lease, license or other use or occupancy agreement, and (ii) each parcel of real property owned by the Borrower, its Restricted Subsidiaries or a Restricted Joint Venture of the Borrower, together with all buildings, structures, improvements and fixtures located thereon, together with all easements, licenses, rights, privileges, appurtenances, interests and entitlements related thereto.</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(a) the Administrative Agent, (b) any Lender and (c) any Issuing Lender, as applicable.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Recourse Indebtedness</w:t>
      </w:r>
      <w:r>
        <w:rPr>
          <w:rFonts w:ascii="Arial" w:cs="Arial" w:eastAsia="Arial" w:hAnsi="Arial"/>
          <w:sz w:val="18"/>
          <w:szCs w:val="18"/>
          <w:color w:val="auto"/>
        </w:rPr>
        <w:t>”: any Indebtedness that is not Nonrecourse Indebtedness.</w:t>
      </w:r>
    </w:p>
    <w:p>
      <w:pPr>
        <w:spacing w:after="0" w:line="21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Redevelopment Property</w:t>
      </w:r>
      <w:r>
        <w:rPr>
          <w:rFonts w:ascii="Arial" w:cs="Arial" w:eastAsia="Arial" w:hAnsi="Arial"/>
          <w:sz w:val="18"/>
          <w:szCs w:val="18"/>
          <w:color w:val="auto"/>
        </w:rPr>
        <w:t>”: any real property owned or leased under an Eligible Ground Lease by the Borrower, its Restricted Subsidiaries or its Restricted Joint Ventures that operates or is intended to operate as an Income Property (a) that is designated by the Borrower in a notice to the Administrative Agent as a “Redevelopment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21" w:right="339" w:bottom="1440" w:gutter="0" w:footer="0" w:header="0"/>
        </w:sectPr>
      </w:pPr>
    </w:p>
    <w:bookmarkStart w:id="136" w:name="page137"/>
    <w:bookmarkEnd w:id="136"/>
    <w:p>
      <w:pPr>
        <w:jc w:val="both"/>
        <w:spacing w:after="0" w:line="252" w:lineRule="auto"/>
        <w:rPr>
          <w:sz w:val="20"/>
          <w:szCs w:val="20"/>
          <w:color w:val="auto"/>
        </w:rPr>
      </w:pPr>
      <w:r>
        <w:rPr>
          <w:rFonts w:ascii="Arial" w:cs="Arial" w:eastAsia="Arial" w:hAnsi="Arial"/>
          <w:sz w:val="17"/>
          <w:szCs w:val="17"/>
          <w:color w:val="auto"/>
        </w:rPr>
        <w:t>Property”, (b) (X) that has been acquired by the Borrower, any of its Restricted Subsidiaries or any of its Restricted Joint Ventures with a view toward renovating or rehabilitating such real property at an aggregate anticipated cost of at least 10% of the acquisition cost thereof and such renovation or rehabilitation is expected to disrupt the occupancy of at least 25% of the square footage of such property or (Y) that the Borrower, any of its Restricted Subsidiaries or any of its Restricted Joint Ventures intends to renovate or rehabilitate at an aggregate anticipated cost in excess of 10% of the Capitalized Value of such real property immediately prior to such renovation or rehabilitation and such renovation or rehabilitation is expected to temporarily reduce the Adjusted NOI attributable to such property by at least 25% as compared to the immediately preceding comparable prior period and (c) that does not qualify as a “Development Property”. Each Redevelopment Property shall continue to be classified as a Redevelopment Property hereunder until (a) such Real Property has had at least one full quarter of operating results and (b) the Borrower notifies the Administrative Agent that it elects to reclassify such Real Property as an Income Property for purposes of this Agreement, upon and after which such property shall be classified as an Income Property hereunder. For all purposes of the Loan Documents, it is understood that in the case of any redevelopment of a portion of an existing Real Property, the portion associated with such redevelopment may, at the election of the Borrower, be classified as a Redevelopment Property while the existing portion thereof not subject to such redevelopment project remains an Income Property (and only the portion classified as a Redevelopment Property shall be count against the concentration limitations in Unencumbered Asset Value).</w:t>
      </w:r>
    </w:p>
    <w:p>
      <w:pPr>
        <w:spacing w:after="0" w:line="180"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Reference Time</w:t>
      </w:r>
      <w:r>
        <w:rPr>
          <w:rFonts w:ascii="Arial" w:cs="Arial" w:eastAsia="Arial" w:hAnsi="Arial"/>
          <w:sz w:val="16"/>
          <w:szCs w:val="16"/>
          <w:color w:val="auto"/>
        </w:rPr>
        <w:t xml:space="preserve">”: with respect to any setting of the then-current Benchmark means (1) if such Benchmark is the </w:t>
      </w:r>
      <w:r>
        <w:rPr>
          <w:rFonts w:ascii="Arial" w:cs="Arial" w:eastAsia="Arial" w:hAnsi="Arial"/>
          <w:sz w:val="16"/>
          <w:szCs w:val="16"/>
          <w:u w:val="single" w:color="auto"/>
          <w:color w:val="0000FF"/>
          <w:highlight w:val="lightGray"/>
        </w:rPr>
        <w:t>Adjusted</w:t>
      </w:r>
      <w:r>
        <w:rPr>
          <w:rFonts w:ascii="Arial" w:cs="Arial" w:eastAsia="Arial" w:hAnsi="Arial"/>
          <w:sz w:val="16"/>
          <w:szCs w:val="16"/>
          <w:color w:val="auto"/>
        </w:rPr>
        <w:t xml:space="preserve"> Term SOFR Rate, 5:00 a.m. (Chicago time) on the day that is two </w:t>
      </w:r>
      <w:r>
        <w:rPr>
          <w:rFonts w:ascii="Arial" w:cs="Arial" w:eastAsia="Arial" w:hAnsi="Arial"/>
          <w:sz w:val="16"/>
          <w:szCs w:val="16"/>
          <w:u w:val="single" w:color="auto"/>
          <w:color w:val="0000FF"/>
          <w:highlight w:val="lightGray"/>
        </w:rPr>
        <w:t>U.S. Government Securities</w:t>
      </w:r>
      <w:r>
        <w:rPr>
          <w:rFonts w:ascii="Arial" w:cs="Arial" w:eastAsia="Arial" w:hAnsi="Arial"/>
          <w:sz w:val="16"/>
          <w:szCs w:val="16"/>
          <w:color w:val="auto"/>
        </w:rPr>
        <w:t xml:space="preserve"> Business Days preceding the date of such setting, (2) if </w:t>
      </w:r>
      <w:r>
        <w:rPr>
          <w:rFonts w:ascii="Arial" w:cs="Arial" w:eastAsia="Arial" w:hAnsi="Arial"/>
          <w:sz w:val="16"/>
          <w:szCs w:val="16"/>
          <w:color w:val="FF0000"/>
          <w:strike w:val="1"/>
        </w:rPr>
        <w:t>the RFR for</w:t>
      </w:r>
      <w:r>
        <w:rPr>
          <w:rFonts w:ascii="Arial" w:cs="Arial" w:eastAsia="Arial" w:hAnsi="Arial"/>
          <w:sz w:val="16"/>
          <w:szCs w:val="16"/>
          <w:color w:val="auto"/>
        </w:rPr>
        <w:t xml:space="preserve"> such Benchmark is </w:t>
      </w:r>
      <w:r>
        <w:rPr>
          <w:rFonts w:ascii="Arial" w:cs="Arial" w:eastAsia="Arial" w:hAnsi="Arial"/>
          <w:sz w:val="16"/>
          <w:szCs w:val="16"/>
          <w:u w:val="single" w:color="auto"/>
          <w:color w:val="0000FF"/>
          <w:highlight w:val="lightGray"/>
        </w:rPr>
        <w:t>the Adjusted EURIBOR Rate, 11:00 a.m. Brussels time two TARGET Days preceding the date of such setting, (3) if such Benchmark is the</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Adjusted</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Daily Simple</w:t>
      </w:r>
      <w:r>
        <w:rPr>
          <w:rFonts w:ascii="Arial" w:cs="Arial" w:eastAsia="Arial" w:hAnsi="Arial"/>
          <w:sz w:val="16"/>
          <w:szCs w:val="16"/>
          <w:color w:val="0000FF"/>
          <w:highlight w:val="lightGray"/>
        </w:rPr>
        <w:t xml:space="preserve"> </w:t>
      </w:r>
      <w:r>
        <w:rPr>
          <w:rFonts w:ascii="Arial" w:cs="Arial" w:eastAsia="Arial" w:hAnsi="Arial"/>
          <w:sz w:val="16"/>
          <w:szCs w:val="16"/>
          <w:color w:val="FF0000"/>
          <w:strike w:val="1"/>
        </w:rPr>
        <w:t>SO</w:t>
      </w:r>
      <w:r>
        <w:rPr>
          <w:rFonts w:ascii="Arial" w:cs="Arial" w:eastAsia="Arial" w:hAnsi="Arial"/>
          <w:sz w:val="16"/>
          <w:szCs w:val="16"/>
          <w:u w:val="single" w:color="auto"/>
          <w:color w:val="0000FF"/>
          <w:highlight w:val="lightGray"/>
        </w:rPr>
        <w:t>R</w:t>
      </w:r>
      <w:r>
        <w:rPr>
          <w:rFonts w:ascii="Arial" w:cs="Arial" w:eastAsia="Arial" w:hAnsi="Arial"/>
          <w:sz w:val="16"/>
          <w:szCs w:val="16"/>
          <w:color w:val="000000"/>
        </w:rPr>
        <w:t>FR</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for Sterling</w:t>
      </w:r>
      <w:r>
        <w:rPr>
          <w:rFonts w:ascii="Arial" w:cs="Arial" w:eastAsia="Arial" w:hAnsi="Arial"/>
          <w:sz w:val="16"/>
          <w:szCs w:val="16"/>
          <w:color w:val="000000"/>
        </w:rPr>
        <w:t>, then four</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RFR</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Business Days prior to such setting</w:t>
      </w:r>
      <w:r>
        <w:rPr>
          <w:rFonts w:ascii="Arial" w:cs="Arial" w:eastAsia="Arial" w:hAnsi="Arial"/>
          <w:sz w:val="16"/>
          <w:szCs w:val="16"/>
          <w:u w:val="single" w:color="auto"/>
          <w:color w:val="0000FF"/>
          <w:highlight w:val="lightGray"/>
        </w:rPr>
        <w:t>, (4) if such Benchmark is the Adjusted Daily Simple RFR</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for Dollars, then four RFR Business Days prior to such setting, (5) if such Benchmark is the AUD Rate, 11:00 a.m. Sydney, Australia time on the date of such setting, (6) if such Benchmark is the Adjusted CDOR Rate, 10:15 a.m. Toronto, Ontario time on the date of such setting</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or (</w:t>
      </w:r>
      <w:r>
        <w:rPr>
          <w:rFonts w:ascii="Arial" w:cs="Arial" w:eastAsia="Arial" w:hAnsi="Arial"/>
          <w:sz w:val="16"/>
          <w:szCs w:val="16"/>
          <w:color w:val="FF0000"/>
          <w:strike w:val="1"/>
        </w:rPr>
        <w:t>3</w:t>
      </w:r>
      <w:r>
        <w:rPr>
          <w:rFonts w:ascii="Arial" w:cs="Arial" w:eastAsia="Arial" w:hAnsi="Arial"/>
          <w:sz w:val="16"/>
          <w:szCs w:val="16"/>
          <w:u w:val="single" w:color="auto"/>
          <w:color w:val="0000FF"/>
          <w:highlight w:val="lightGray"/>
        </w:rPr>
        <w:t>7</w:t>
      </w:r>
      <w:r>
        <w:rPr>
          <w:rFonts w:ascii="Arial" w:cs="Arial" w:eastAsia="Arial" w:hAnsi="Arial"/>
          <w:sz w:val="16"/>
          <w:szCs w:val="16"/>
          <w:color w:val="000000"/>
        </w:rPr>
        <w:t>) if such Benchmark is</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none of the </w:t>
      </w:r>
      <w:r>
        <w:rPr>
          <w:rFonts w:ascii="Arial" w:cs="Arial" w:eastAsia="Arial" w:hAnsi="Arial"/>
          <w:sz w:val="16"/>
          <w:szCs w:val="16"/>
          <w:color w:val="FF0000"/>
          <w:strike w:val="1"/>
        </w:rPr>
        <w:t>Term SOFR Rate or Daily Simple SOFR</w:t>
      </w:r>
      <w:r>
        <w:rPr>
          <w:rFonts w:ascii="Arial" w:cs="Arial" w:eastAsia="Arial" w:hAnsi="Arial"/>
          <w:sz w:val="16"/>
          <w:szCs w:val="16"/>
          <w:u w:val="single" w:color="auto"/>
          <w:color w:val="0000FF"/>
          <w:highlight w:val="lightGray"/>
        </w:rPr>
        <w:t>foregoing</w:t>
      </w:r>
      <w:r>
        <w:rPr>
          <w:rFonts w:ascii="Arial" w:cs="Arial" w:eastAsia="Arial" w:hAnsi="Arial"/>
          <w:sz w:val="16"/>
          <w:szCs w:val="16"/>
          <w:color w:val="000000"/>
        </w:rPr>
        <w:t>, the time determined by the Administrative Agent in its reasonable discretion.</w:t>
      </w:r>
    </w:p>
    <w:p>
      <w:pPr>
        <w:spacing w:after="0" w:line="163"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Regional Master Lease</w:t>
      </w:r>
      <w:r>
        <w:rPr>
          <w:rFonts w:ascii="Arial" w:cs="Arial" w:eastAsia="Arial" w:hAnsi="Arial"/>
          <w:sz w:val="18"/>
          <w:szCs w:val="18"/>
          <w:color w:val="auto"/>
        </w:rPr>
        <w:t>”: that certain lease agreement, dated as of October 6, 2017, by and among CEOC and the entities listed on Schedule A thereto, as landlord, and the entities listed on Schedule B thereto, as tenant, for the properties listed on Exhibit A thereto, as the same may be further amended, amended and restated, supplemented or otherwise modified prior to the date hereof and from time to time in accordance with the terms of this Agreement.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10.6(b)(iv)</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Regulation U of the Board as in effect from time to time.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Regulations of the Board</w:t>
      </w:r>
      <w:r>
        <w:rPr>
          <w:rFonts w:ascii="Arial" w:cs="Arial" w:eastAsia="Arial" w:hAnsi="Arial"/>
          <w:sz w:val="18"/>
          <w:szCs w:val="18"/>
          <w:color w:val="auto"/>
        </w:rPr>
        <w:t>”: Regulations T, U and X of the Board as in effect from time to time.</w:t>
      </w:r>
    </w:p>
    <w:p>
      <w:pPr>
        <w:spacing w:after="0" w:line="21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xml:space="preserve">”: the obligation of the Borrower to reimburse the Issuing Lenders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for amounts drawn under Letters of Credit.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REIT</w:t>
      </w:r>
      <w:r>
        <w:rPr>
          <w:rFonts w:ascii="Arial" w:cs="Arial" w:eastAsia="Arial" w:hAnsi="Arial"/>
          <w:sz w:val="18"/>
          <w:szCs w:val="18"/>
          <w:color w:val="auto"/>
        </w:rPr>
        <w:t>”: a “real estate investment trust” under Sections 856 through 860 of the Code.</w:t>
      </w:r>
    </w:p>
    <w:p>
      <w:pPr>
        <w:spacing w:after="0" w:line="212"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Businesses</w:t>
      </w:r>
      <w:r>
        <w:rPr>
          <w:rFonts w:ascii="Arial" w:cs="Arial" w:eastAsia="Arial" w:hAnsi="Arial"/>
          <w:sz w:val="18"/>
          <w:szCs w:val="18"/>
          <w:color w:val="auto"/>
        </w:rPr>
        <w:t>”: the development, ownership, leasing or operation of Experiential Facilities, hotel facilities, retail facilities and entertainment facilities related or ancillary to Experiential Facilities, hotel facilities, retail facilities, entertainment facilities and land held for potential development or under development as Experiential Facilities, hotel facilities, retail facilities and entertainment facilities (including related or ancillary uses and including Investments in any such Related Businesses or assets related thereto).</w:t>
      </w:r>
    </w:p>
    <w:p>
      <w:pPr>
        <w:spacing w:after="0" w:line="188"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with respect to any specified Person, such Person’s Affiliates and the respective directors, officers, employees, agents and advisors of such Person and such Person’s Affiliates.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Documents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10.24</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21" w:right="339" w:bottom="1440" w:gutter="0" w:footer="0" w:header="0"/>
        </w:sectPr>
      </w:pPr>
    </w:p>
    <w:bookmarkStart w:id="137" w:name="page138"/>
    <w:bookmarkEnd w:id="137"/>
    <w:p>
      <w:pPr>
        <w:jc w:val="both"/>
        <w:ind w:firstLine="1296"/>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Relevant Governmental Body</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(i) with respect to a Benchmark Replacement in respect of Loans denominated in Dollars,</w:t>
      </w:r>
      <w:r>
        <w:rPr>
          <w:rFonts w:ascii="Arial" w:cs="Arial" w:eastAsia="Arial" w:hAnsi="Arial"/>
          <w:sz w:val="16"/>
          <w:szCs w:val="16"/>
          <w:color w:val="auto"/>
        </w:rPr>
        <w:t xml:space="preserve"> the Federal Reserve Board and/or the NYFRB, the CME Term SOFR Administrator, as applicable, or a committee officially endorsed or convened by the Federal Reserve Board and/or the NYFRB or, in each case, any successor thereto</w:t>
      </w:r>
      <w:r>
        <w:rPr>
          <w:rFonts w:ascii="Arial" w:cs="Arial" w:eastAsia="Arial" w:hAnsi="Arial"/>
          <w:sz w:val="16"/>
          <w:szCs w:val="16"/>
          <w:color w:val="FF0000"/>
          <w:strike w:val="1"/>
        </w:rPr>
        <w:t>.</w:t>
      </w:r>
      <w:r>
        <w:rPr>
          <w:rFonts w:ascii="Arial" w:cs="Arial" w:eastAsia="Arial" w:hAnsi="Arial"/>
          <w:sz w:val="16"/>
          <w:szCs w:val="16"/>
          <w:u w:val="single" w:color="auto"/>
          <w:color w:val="0000FF"/>
          <w:highlight w:val="lightGray"/>
        </w:rPr>
        <w:t>, (ii) with respect to a Benchmark Replacement in respect of Loans denominated</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and (iv)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w:t>
      </w:r>
    </w:p>
    <w:p>
      <w:pPr>
        <w:spacing w:after="0" w:line="5" w:lineRule="exact"/>
        <w:rPr>
          <w:sz w:val="20"/>
          <w:szCs w:val="20"/>
          <w:color w:val="auto"/>
        </w:rPr>
      </w:pPr>
    </w:p>
    <w:p>
      <w:pPr>
        <w:jc w:val="both"/>
        <w:ind w:right="20" w:firstLine="8"/>
        <w:spacing w:after="0" w:line="283" w:lineRule="auto"/>
        <w:tabs>
          <w:tab w:leader="none" w:pos="269" w:val="left"/>
        </w:tabs>
        <w:numPr>
          <w:ilvl w:val="0"/>
          <w:numId w:val="62"/>
        </w:numPr>
        <w:rPr>
          <w:rFonts w:ascii="Arial" w:cs="Arial" w:eastAsia="Arial" w:hAnsi="Arial"/>
          <w:sz w:val="16"/>
          <w:szCs w:val="16"/>
          <w:u w:val="single" w:color="auto"/>
          <w:color w:val="0000FF"/>
          <w:highlight w:val="lightGray"/>
        </w:rPr>
      </w:pPr>
      <w:r>
        <w:rPr>
          <w:rFonts w:ascii="Arial" w:cs="Arial" w:eastAsia="Arial" w:hAnsi="Arial"/>
          <w:sz w:val="16"/>
          <w:szCs w:val="16"/>
          <w:u w:val="single" w:color="auto"/>
          <w:color w:val="0000FF"/>
          <w:highlight w:val="lightGray"/>
        </w:rPr>
        <w:t>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57"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Rate</w:t>
      </w:r>
      <w:r>
        <w:rPr>
          <w:rFonts w:ascii="Arial" w:cs="Arial" w:eastAsia="Arial" w:hAnsi="Arial"/>
          <w:sz w:val="18"/>
          <w:szCs w:val="18"/>
          <w:color w:val="auto"/>
        </w:rPr>
        <w:t xml:space="preserve">”: (i) with respect to any Term Benchmark Borrowing </w:t>
      </w:r>
      <w:r>
        <w:rPr>
          <w:rFonts w:ascii="Arial" w:cs="Arial" w:eastAsia="Arial" w:hAnsi="Arial"/>
          <w:sz w:val="18"/>
          <w:szCs w:val="18"/>
          <w:u w:val="single" w:color="auto"/>
          <w:color w:val="0000FF"/>
          <w:highlight w:val="lightGray"/>
        </w:rPr>
        <w:t>denominated in Dollars</w:t>
      </w:r>
      <w:r>
        <w:rPr>
          <w:rFonts w:ascii="Arial" w:cs="Arial" w:eastAsia="Arial" w:hAnsi="Arial"/>
          <w:sz w:val="18"/>
          <w:szCs w:val="18"/>
          <w:color w:val="auto"/>
        </w:rPr>
        <w:t xml:space="preserve">, the Adjusted Term SOFR Rate, (ii) with respect to any </w:t>
      </w:r>
      <w:r>
        <w:rPr>
          <w:rFonts w:ascii="Arial" w:cs="Arial" w:eastAsia="Arial" w:hAnsi="Arial"/>
          <w:sz w:val="18"/>
          <w:szCs w:val="18"/>
          <w:color w:val="FF0000"/>
          <w:strike w:val="1"/>
        </w:rPr>
        <w:t>RFR</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auto"/>
        </w:rPr>
        <w:t xml:space="preserve"> Borrowing </w:t>
      </w:r>
      <w:r>
        <w:rPr>
          <w:rFonts w:ascii="Arial" w:cs="Arial" w:eastAsia="Arial" w:hAnsi="Arial"/>
          <w:sz w:val="18"/>
          <w:szCs w:val="18"/>
          <w:u w:val="single" w:color="auto"/>
          <w:color w:val="0000FF"/>
          <w:highlight w:val="lightGray"/>
        </w:rPr>
        <w:t>denominated in Euros</w:t>
      </w:r>
      <w:r>
        <w:rPr>
          <w:rFonts w:ascii="Arial" w:cs="Arial" w:eastAsia="Arial" w:hAnsi="Arial"/>
          <w:sz w:val="18"/>
          <w:szCs w:val="18"/>
          <w:color w:val="auto"/>
        </w:rPr>
        <w:t xml:space="preserve">, the Adjusted </w:t>
      </w:r>
      <w:r>
        <w:rPr>
          <w:rFonts w:ascii="Arial" w:cs="Arial" w:eastAsia="Arial" w:hAnsi="Arial"/>
          <w:sz w:val="18"/>
          <w:szCs w:val="18"/>
          <w:color w:val="FF0000"/>
          <w:strike w:val="1"/>
        </w:rPr>
        <w:t>Daily Simple SOFR or</w:t>
      </w:r>
      <w:r>
        <w:rPr>
          <w:rFonts w:ascii="Arial" w:cs="Arial" w:eastAsia="Arial" w:hAnsi="Arial"/>
          <w:sz w:val="18"/>
          <w:szCs w:val="18"/>
          <w:u w:val="single" w:color="auto"/>
          <w:color w:val="0000FF"/>
          <w:highlight w:val="lightGray"/>
        </w:rPr>
        <w:t>EURIBOR Rate,</w:t>
      </w:r>
      <w:r>
        <w:rPr>
          <w:rFonts w:ascii="Arial" w:cs="Arial" w:eastAsia="Arial" w:hAnsi="Arial"/>
          <w:sz w:val="18"/>
          <w:szCs w:val="18"/>
          <w:color w:val="auto"/>
        </w:rPr>
        <w:t xml:space="preserve"> (iii) with respect to any </w:t>
      </w:r>
      <w:r>
        <w:rPr>
          <w:rFonts w:ascii="Arial" w:cs="Arial" w:eastAsia="Arial" w:hAnsi="Arial"/>
          <w:sz w:val="18"/>
          <w:szCs w:val="18"/>
          <w:color w:val="FF0000"/>
          <w:strike w:val="1"/>
        </w:rPr>
        <w:t>Daily</w:t>
      </w:r>
      <w:r>
        <w:rPr>
          <w:rFonts w:ascii="Arial" w:cs="Arial" w:eastAsia="Arial" w:hAnsi="Arial"/>
          <w:sz w:val="18"/>
          <w:szCs w:val="18"/>
          <w:color w:val="auto"/>
        </w:rPr>
        <w:t xml:space="preserve"> </w:t>
      </w:r>
      <w:r>
        <w:rPr>
          <w:rFonts w:ascii="Arial" w:cs="Arial" w:eastAsia="Arial" w:hAnsi="Arial"/>
          <w:sz w:val="18"/>
          <w:szCs w:val="18"/>
          <w:color w:val="FF0000"/>
          <w:strike w:val="1"/>
        </w:rPr>
        <w:t>SOFR</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FF0000"/>
        </w:rPr>
        <w:t xml:space="preserve"> </w:t>
      </w:r>
      <w:r>
        <w:rPr>
          <w:rFonts w:ascii="Arial" w:cs="Arial" w:eastAsia="Arial" w:hAnsi="Arial"/>
          <w:sz w:val="18"/>
          <w:szCs w:val="18"/>
          <w:color w:val="000000"/>
        </w:rPr>
        <w:t>Borrowing</w:t>
      </w:r>
      <w:r>
        <w:rPr>
          <w:rFonts w:ascii="Arial" w:cs="Arial" w:eastAsia="Arial" w:hAnsi="Arial"/>
          <w:sz w:val="18"/>
          <w:szCs w:val="18"/>
          <w:color w:val="FF0000"/>
        </w:rPr>
        <w:t xml:space="preserve"> </w:t>
      </w:r>
      <w:r>
        <w:rPr>
          <w:rFonts w:ascii="Arial" w:cs="Arial" w:eastAsia="Arial" w:hAnsi="Arial"/>
          <w:sz w:val="18"/>
          <w:szCs w:val="18"/>
          <w:u w:val="single" w:color="auto"/>
          <w:color w:val="0000FF"/>
          <w:highlight w:val="lightGray"/>
        </w:rPr>
        <w:t>denominated in Canadian Dollars</w:t>
      </w:r>
      <w:r>
        <w:rPr>
          <w:rFonts w:ascii="Arial" w:cs="Arial" w:eastAsia="Arial" w:hAnsi="Arial"/>
          <w:sz w:val="18"/>
          <w:szCs w:val="18"/>
          <w:color w:val="000000"/>
        </w:rPr>
        <w:t>, the Adjusted</w:t>
      </w:r>
      <w:r>
        <w:rPr>
          <w:rFonts w:ascii="Arial" w:cs="Arial" w:eastAsia="Arial" w:hAnsi="Arial"/>
          <w:sz w:val="18"/>
          <w:szCs w:val="18"/>
          <w:color w:val="FF0000"/>
        </w:rPr>
        <w:t xml:space="preserve"> </w:t>
      </w:r>
      <w:r>
        <w:rPr>
          <w:rFonts w:ascii="Arial" w:cs="Arial" w:eastAsia="Arial" w:hAnsi="Arial"/>
          <w:sz w:val="18"/>
          <w:szCs w:val="18"/>
          <w:color w:val="FF0000"/>
          <w:strike w:val="1"/>
        </w:rPr>
        <w:t>Floating Overnight Daily SOFR Rate</w:t>
      </w:r>
      <w:r>
        <w:rPr>
          <w:rFonts w:ascii="Arial" w:cs="Arial" w:eastAsia="Arial" w:hAnsi="Arial"/>
          <w:sz w:val="18"/>
          <w:szCs w:val="18"/>
          <w:u w:val="single" w:color="auto"/>
          <w:color w:val="0000FF"/>
          <w:highlight w:val="lightGray"/>
        </w:rPr>
        <w:t>CDOR Rate, (iv) with respect to</w:t>
      </w:r>
      <w:r>
        <w:rPr>
          <w:rFonts w:ascii="Arial" w:cs="Arial" w:eastAsia="Arial" w:hAnsi="Arial"/>
          <w:sz w:val="18"/>
          <w:szCs w:val="18"/>
          <w:color w:val="FF0000"/>
        </w:rPr>
        <w:t xml:space="preserve"> </w:t>
      </w:r>
      <w:r>
        <w:rPr>
          <w:rFonts w:ascii="Arial" w:cs="Arial" w:eastAsia="Arial" w:hAnsi="Arial"/>
          <w:sz w:val="18"/>
          <w:szCs w:val="18"/>
          <w:u w:val="single" w:color="auto"/>
          <w:color w:val="0000FF"/>
          <w:highlight w:val="lightGray"/>
        </w:rPr>
        <w:t>any Term Benchmark Borrowing denominated in Australian Dollars, the Adjusted AUD Rate or (v) with respect to any RFR Borrowing denominated in Sterling or Dollars, the applicable Adjusted Daily Simple RFR</w:t>
      </w:r>
      <w:r>
        <w:rPr>
          <w:rFonts w:ascii="Arial" w:cs="Arial" w:eastAsia="Arial" w:hAnsi="Arial"/>
          <w:sz w:val="18"/>
          <w:szCs w:val="18"/>
          <w:color w:val="000000"/>
        </w:rPr>
        <w:t>, as applicable.</w:t>
      </w:r>
    </w:p>
    <w:p>
      <w:pPr>
        <w:spacing w:after="0" w:line="18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u w:val="single" w:color="auto"/>
          <w:color w:val="0000FF"/>
          <w:highlight w:val="lightGray"/>
        </w:rPr>
        <w:t>“Relevant Screen Rate”: (i) with respect to any Term Benchmark Borrowing denominated in Dollars, the Term SOFR Reference Rate, (ii) with respect to any Term Benchmark Borrowing denominated in Canadian Dollars, the CDOR Screen Rate, (iii) with respect to any Term Benchmark Borrowing denominated in Australian Dollars, the AUD Screen Rate or (iv) with respect to any Term Benchmark Borrowing denominated in Euros, the EURIBOR Screen Rate, as applicable.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Delayed Draw Term Lender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2.24(b)(2)</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Revolving Lender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2.23(b)(2)</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“Replacement USD Revolving Lender”: as defined in Section 2.23(c)(2).</w:t>
      </w:r>
    </w:p>
    <w:p>
      <w:pPr>
        <w:spacing w:after="0" w:line="21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any of the events set forth in Section 4043(c) of ERISA, other than those events as to which the thirty (30) day notice period is waived under subsections .27, .28, .29, .30, .31, .32, .34 or .35 of PBGC Reg. § 4043.</w:t>
      </w:r>
    </w:p>
    <w:p>
      <w:pPr>
        <w:spacing w:after="0" w:line="171"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Guarantor</w:t>
      </w:r>
      <w:r>
        <w:rPr>
          <w:rFonts w:ascii="Arial" w:cs="Arial" w:eastAsia="Arial" w:hAnsi="Arial"/>
          <w:sz w:val="16"/>
          <w:szCs w:val="16"/>
          <w:color w:val="auto"/>
        </w:rPr>
        <w:t xml:space="preserve">”: each Domestic Subsidiary of the Borrower that has any outstanding unsecured Recourse Indebtedness in excess of $10,000,000 (including, for the avoidance of doubt, any Guarantee Obligation in respect of the Senior Indentures or other such Recourse Indebtedness) excluding (i) intercompany Indebtedness between or among the Borrower and its Restricted Subsidiaries, (ii) Indebtedness of any non-Wholly Owned Subsidiary unless such non-Wholly Owned Subsidiary of the Borrower guarantees unsecured Recourse Indebtedness in excess of $10,000,000 of the Borrower (other than intercompany Indebtedness between or among the Borrower and its Restricted Subsidiaries) and (iii) any Indebtedness of a Subsidiary assumed in connection with the acquisition of such Subsidiary and not in contemplation thereof (including refinancings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VICI Note Co. Inc. shall not constitute a Required Guarantor hereunder so long as such entity has no material assets or revenue.</w:t>
      </w:r>
    </w:p>
    <w:p>
      <w:pPr>
        <w:spacing w:after="0" w:line="163"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at any time, subject to </w:t>
      </w:r>
      <w:r>
        <w:rPr>
          <w:rFonts w:ascii="Arial" w:cs="Arial" w:eastAsia="Arial" w:hAnsi="Arial"/>
          <w:sz w:val="18"/>
          <w:szCs w:val="18"/>
          <w:u w:val="single" w:color="auto"/>
          <w:color w:val="auto"/>
        </w:rPr>
        <w:t>Section 2.22(b)</w:t>
      </w:r>
      <w:r>
        <w:rPr>
          <w:rFonts w:ascii="Arial" w:cs="Arial" w:eastAsia="Arial" w:hAnsi="Arial"/>
          <w:sz w:val="18"/>
          <w:szCs w:val="18"/>
          <w:color w:val="auto"/>
        </w:rPr>
        <w:t xml:space="preserve">, the holders of more than 50% of the sum of (a) (i) prior to the Delayed Draw Term Commitment Termination Date, the aggregate amount of the Available Delayed Draw Term Commitments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aggregate unpaid principal amount of the Delayed Draw Term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Total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Commitments then in effect or, if the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Commitments have been terminated, the Total </w:t>
      </w:r>
      <w:r>
        <w:rPr>
          <w:rFonts w:ascii="Arial" w:cs="Arial" w:eastAsia="Arial" w:hAnsi="Arial"/>
          <w:sz w:val="18"/>
          <w:szCs w:val="18"/>
          <w:u w:val="single" w:color="auto"/>
          <w:color w:val="0000FF"/>
          <w:highlight w:val="lightGray"/>
        </w:rPr>
        <w:t>Multicurrency Revolving Extensions of Credit then outstanding, plus (c) the Total USD Revolving</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Commitments then in effect or, if the USD Revolving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21" w:right="339" w:bottom="1440" w:gutter="0" w:footer="0" w:header="0"/>
        </w:sectPr>
      </w:pPr>
    </w:p>
    <w:bookmarkStart w:id="138" w:name="page139"/>
    <w:bookmarkEnd w:id="138"/>
    <w:p>
      <w:pPr>
        <w:jc w:val="both"/>
        <w:ind w:right="20"/>
        <w:spacing w:after="0" w:line="261" w:lineRule="auto"/>
        <w:rPr>
          <w:sz w:val="20"/>
          <w:szCs w:val="20"/>
          <w:color w:val="auto"/>
        </w:rPr>
      </w:pPr>
      <w:r>
        <w:rPr>
          <w:rFonts w:ascii="Arial" w:cs="Arial" w:eastAsia="Arial" w:hAnsi="Arial"/>
          <w:sz w:val="18"/>
          <w:szCs w:val="18"/>
          <w:u w:val="single" w:color="auto"/>
          <w:color w:val="0000FF"/>
          <w:highlight w:val="lightGray"/>
        </w:rPr>
        <w:t>have been terminated, the Total USD</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Revolving Extensions of Credit then outstanding;</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that at all times when two or more Lenders (excluding</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Defaulting Lenders) are party to this Agreement, the term “Required Lenders” shall in no event mean less than two Lenders.</w:t>
      </w:r>
    </w:p>
    <w:p>
      <w:pPr>
        <w:spacing w:after="0" w:line="17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an EEA Resolution Authority or, with respect to any UK Financial Institution, a UK Resolution Authority.</w:t>
      </w:r>
    </w:p>
    <w:p>
      <w:pPr>
        <w:spacing w:after="0" w:line="223"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the chief executive officer, president, chief financial officer, chief operating officer, treasurer, assistant treasurer, chief accounting officer, executive vice president, senior vice president or secretary of the Borrower, the general partner of the Borrower or the sole member of the general partner of the Borrower, but in any event, with respect to financial matters, the chief financial officer, the chief accounting officer or treasurer, assistant treasurer of the Borrower, the general partner of the Borrower or the sole member of the general partner of the Borrower.</w:t>
      </w:r>
    </w:p>
    <w:p>
      <w:pPr>
        <w:spacing w:after="0" w:line="155" w:lineRule="exact"/>
        <w:rPr>
          <w:sz w:val="20"/>
          <w:szCs w:val="20"/>
          <w:color w:val="auto"/>
        </w:rPr>
      </w:pPr>
    </w:p>
    <w:p>
      <w:pPr>
        <w:jc w:val="both"/>
        <w:ind w:right="20"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Joint Venture</w:t>
      </w:r>
      <w:r>
        <w:rPr>
          <w:rFonts w:ascii="Arial" w:cs="Arial" w:eastAsia="Arial" w:hAnsi="Arial"/>
          <w:sz w:val="18"/>
          <w:szCs w:val="18"/>
          <w:color w:val="auto"/>
        </w:rPr>
        <w:t xml:space="preserve">”: </w:t>
      </w:r>
      <w:r>
        <w:rPr>
          <w:rFonts w:ascii="Arial" w:cs="Arial" w:eastAsia="Arial" w:hAnsi="Arial"/>
          <w:sz w:val="18"/>
          <w:szCs w:val="18"/>
          <w:color w:val="FF0000"/>
          <w:strike w:val="1"/>
        </w:rPr>
        <w:t>means</w:t>
      </w:r>
      <w:r>
        <w:rPr>
          <w:rFonts w:ascii="Arial" w:cs="Arial" w:eastAsia="Arial" w:hAnsi="Arial"/>
          <w:sz w:val="18"/>
          <w:szCs w:val="18"/>
          <w:color w:val="auto"/>
        </w:rPr>
        <w:t xml:space="preserve"> any unconsolidated joint venture of the Borrower or any of its Restricted Subsidiaries (and excluding any Unrestricted Subsidiary or joint venture directly or indirectly owned by an Unrestricted Subsidiary).</w:t>
      </w:r>
    </w:p>
    <w:p>
      <w:pPr>
        <w:spacing w:after="0" w:line="171" w:lineRule="exact"/>
        <w:rPr>
          <w:sz w:val="20"/>
          <w:szCs w:val="20"/>
          <w:color w:val="auto"/>
        </w:rPr>
      </w:pPr>
    </w:p>
    <w:p>
      <w:pPr>
        <w:jc w:val="both"/>
        <w:ind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Payments</w:t>
      </w:r>
      <w:r>
        <w:rPr>
          <w:rFonts w:ascii="Arial" w:cs="Arial" w:eastAsia="Arial" w:hAnsi="Arial"/>
          <w:sz w:val="18"/>
          <w:szCs w:val="18"/>
          <w:color w:val="auto"/>
        </w:rPr>
        <w:t>”: (a) any dividend or other distribution, direct or indirect, on account of any Equity Interest of the Borrower or any of its Restricted Subsidiaries now or hereafter outstanding, except a dividend payable solely in shares of that class of Equity Interests to the holders of that class, (b) any redemption, conversion, exchange, retirement, sinking fund or similar payment, purchase or other acquisition for value, direct or indirect, of any Equity Interests of the Borrower or any of its Restricted Subsidiaries now or hereafter outstanding and (c) any payment made to retire, or to obtain the surrender of, any outstanding warrants, options or other rights to acquire any Equity Interests of the Borrower or any of its Restricted Subsidiaries now or hereafter outstanding.</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any Subsidiary of the Borrower that is not an Unrestricted Subsidiary</w:t>
      </w:r>
    </w:p>
    <w:p>
      <w:pPr>
        <w:spacing w:after="0" w:line="212"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6"/>
          <w:szCs w:val="16"/>
          <w:u w:val="single" w:color="auto"/>
          <w:color w:val="0000FF"/>
          <w:highlight w:val="lightGray"/>
        </w:rPr>
        <w:t>“Revaluation Date”: (a) with respect to any Loan denominated in any Alternative Currency, each of the following: (i) the date of the Borrowing of such Loan and (ii) (A) with respect to any Term Benchmark Loan, each date of a conversion into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 (b) with respect to any Letter of Credit denominated in an Alternative Currency, each of the following: (i) the date on which such Letter of Credit is issued, (ii) the first Business Day of each calendar month and (iii) the date of any amendment of such Letter of Credit that has the effect of increasing the face amount thereof and (c) any additional date as the Administrative Agent may determine at any time when an Event of Default exists.</w:t>
      </w:r>
    </w:p>
    <w:p>
      <w:pPr>
        <w:spacing w:after="0" w:line="163" w:lineRule="exact"/>
        <w:rPr>
          <w:sz w:val="20"/>
          <w:szCs w:val="20"/>
          <w:color w:val="auto"/>
        </w:rPr>
      </w:pPr>
    </w:p>
    <w:p>
      <w:pPr>
        <w:jc w:val="both"/>
        <w:ind w:right="20"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Borrowing</w:t>
      </w:r>
      <w:r>
        <w:rPr>
          <w:rFonts w:ascii="Arial" w:cs="Arial" w:eastAsia="Arial" w:hAnsi="Arial"/>
          <w:sz w:val="18"/>
          <w:szCs w:val="18"/>
          <w:color w:val="auto"/>
        </w:rPr>
        <w:t>”: Revolving Loans of the same Type, made, converted or continued on the same date and, in the case of Term Benchmark Loans, as to which a single Interest Period is in effect.</w:t>
      </w:r>
    </w:p>
    <w:p>
      <w:pPr>
        <w:spacing w:after="0" w:line="171"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008000"/>
        </w:rPr>
        <w:t>Revolving Commitment</w:t>
      </w:r>
      <w:r>
        <w:rPr>
          <w:rFonts w:ascii="Arial" w:cs="Arial" w:eastAsia="Arial" w:hAnsi="Arial"/>
          <w:sz w:val="18"/>
          <w:szCs w:val="18"/>
          <w:color w:val="008000"/>
        </w:rPr>
        <w:t>”: as to any Lender, the obligation of such Lender, if any, to make Revolving Loans and participate in Letters of</w:t>
      </w:r>
      <w:r>
        <w:rPr>
          <w:rFonts w:ascii="Arial" w:cs="Arial" w:eastAsia="Arial" w:hAnsi="Arial"/>
          <w:sz w:val="18"/>
          <w:szCs w:val="18"/>
          <w:color w:val="FF0000"/>
        </w:rPr>
        <w:t xml:space="preserve"> </w:t>
      </w:r>
      <w:r>
        <w:rPr>
          <w:rFonts w:ascii="Arial" w:cs="Arial" w:eastAsia="Arial" w:hAnsi="Arial"/>
          <w:sz w:val="18"/>
          <w:szCs w:val="18"/>
          <w:color w:val="008000"/>
          <w:strike w:val="1"/>
        </w:rPr>
        <w:t>Credit in an aggregate principal and/or face amount not to exceed the amount set forth under the heading “</w:t>
      </w:r>
      <w:r>
        <w:rPr>
          <w:rFonts w:ascii="Arial" w:cs="Arial" w:eastAsia="Arial" w:hAnsi="Arial"/>
          <w:sz w:val="18"/>
          <w:szCs w:val="18"/>
          <w:color w:val="FF0000"/>
          <w:strike w:val="1"/>
        </w:rPr>
        <w:t>Revolving Commitment</w:t>
      </w:r>
      <w:r>
        <w:rPr>
          <w:rFonts w:ascii="Arial" w:cs="Arial" w:eastAsia="Arial" w:hAnsi="Arial"/>
          <w:sz w:val="18"/>
          <w:szCs w:val="18"/>
          <w:color w:val="008000"/>
          <w:strike w:val="1"/>
        </w:rPr>
        <w:t xml:space="preserve">” opposite such Lender’s name on </w:t>
      </w:r>
      <w:r>
        <w:rPr>
          <w:rFonts w:ascii="Arial" w:cs="Arial" w:eastAsia="Arial" w:hAnsi="Arial"/>
          <w:sz w:val="18"/>
          <w:szCs w:val="18"/>
          <w:u w:val="single" w:color="auto"/>
          <w:color w:val="008000"/>
          <w:strike w:val="1"/>
        </w:rPr>
        <w:t>Schedule 1.1A</w:t>
      </w:r>
      <w:r>
        <w:rPr>
          <w:rFonts w:ascii="Arial" w:cs="Arial" w:eastAsia="Arial" w:hAnsi="Arial"/>
          <w:sz w:val="18"/>
          <w:szCs w:val="18"/>
          <w:color w:val="008000"/>
          <w:strike w:val="1"/>
        </w:rPr>
        <w:t xml:space="preserve"> or in the Assignment and Assumption pursuant to which such Lender became a party hereto, as the same may be changed from time to time pursuant to the terms hereof, including </w:t>
      </w:r>
      <w:r>
        <w:rPr>
          <w:rFonts w:ascii="Arial" w:cs="Arial" w:eastAsia="Arial" w:hAnsi="Arial"/>
          <w:sz w:val="18"/>
          <w:szCs w:val="18"/>
          <w:u w:val="single" w:color="auto"/>
          <w:color w:val="008000"/>
          <w:strike w:val="1"/>
        </w:rPr>
        <w:t>Section 2.7</w:t>
      </w:r>
      <w:r>
        <w:rPr>
          <w:rFonts w:ascii="Arial" w:cs="Arial" w:eastAsia="Arial" w:hAnsi="Arial"/>
          <w:sz w:val="18"/>
          <w:szCs w:val="18"/>
          <w:color w:val="008000"/>
          <w:strike w:val="1"/>
        </w:rPr>
        <w:t xml:space="preserve"> and </w:t>
      </w:r>
      <w:r>
        <w:rPr>
          <w:rFonts w:ascii="Arial" w:cs="Arial" w:eastAsia="Arial" w:hAnsi="Arial"/>
          <w:sz w:val="18"/>
          <w:szCs w:val="18"/>
          <w:u w:val="single" w:color="auto"/>
          <w:color w:val="008000"/>
          <w:strike w:val="1"/>
        </w:rPr>
        <w:t>Section 2.21</w:t>
      </w:r>
      <w:r>
        <w:rPr>
          <w:rFonts w:ascii="Arial" w:cs="Arial" w:eastAsia="Arial" w:hAnsi="Arial"/>
          <w:sz w:val="18"/>
          <w:szCs w:val="18"/>
          <w:color w:val="008000"/>
          <w:strike w:val="1"/>
        </w:rPr>
        <w:t xml:space="preserve">. The original amount of the Total </w:t>
      </w:r>
      <w:r>
        <w:rPr>
          <w:rFonts w:ascii="Arial" w:cs="Arial" w:eastAsia="Arial" w:hAnsi="Arial"/>
          <w:sz w:val="18"/>
          <w:szCs w:val="18"/>
          <w:color w:val="FF0000"/>
          <w:strike w:val="1"/>
        </w:rPr>
        <w:t>Revolving Commitments is</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$2,500,000,000.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-581660</wp:posOffset>
            </wp:positionV>
            <wp:extent cx="62515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6251575" cy="8255"/>
                    </a:xfrm>
                    <a:prstGeom prst="rect">
                      <a:avLst/>
                    </a:prstGeom>
                    <a:noFill/>
                  </pic:spPr>
                </pic:pic>
              </a:graphicData>
            </a:graphic>
          </wp:anchor>
        </w:drawing>
      </w:r>
    </w:p>
    <w:p>
      <w:pPr>
        <w:spacing w:after="0" w:line="16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w:t>
      </w:r>
      <w:r>
        <w:rPr>
          <w:rFonts w:ascii="Arial" w:cs="Arial" w:eastAsia="Arial" w:hAnsi="Arial"/>
          <w:sz w:val="18"/>
          <w:szCs w:val="18"/>
          <w:color w:val="FF0000"/>
        </w:rPr>
        <w:t>Period</w:t>
      </w:r>
      <w:r>
        <w:rPr>
          <w:rFonts w:ascii="Arial" w:cs="Arial" w:eastAsia="Arial" w:hAnsi="Arial"/>
          <w:sz w:val="18"/>
          <w:szCs w:val="18"/>
          <w:color w:val="auto"/>
        </w:rPr>
        <w:t xml:space="preserve">”: the </w:t>
      </w:r>
      <w:r>
        <w:rPr>
          <w:rFonts w:ascii="Arial" w:cs="Arial" w:eastAsia="Arial" w:hAnsi="Arial"/>
          <w:sz w:val="18"/>
          <w:szCs w:val="18"/>
          <w:color w:val="008000"/>
          <w:strike w:val="1"/>
        </w:rPr>
        <w:t>period from and including the Closing Date to the</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w:t>
      </w:r>
      <w:r>
        <w:rPr>
          <w:rFonts w:ascii="Arial" w:cs="Arial" w:eastAsia="Arial" w:hAnsi="Arial"/>
          <w:sz w:val="18"/>
          <w:szCs w:val="18"/>
          <w:color w:val="FF0000"/>
          <w:strike w:val="1"/>
        </w:rPr>
        <w:t>Maturity</w:t>
      </w:r>
      <w:r>
        <w:rPr>
          <w:rFonts w:ascii="Arial" w:cs="Arial" w:eastAsia="Arial" w:hAnsi="Arial"/>
          <w:sz w:val="18"/>
          <w:szCs w:val="18"/>
          <w:color w:val="auto"/>
        </w:rPr>
        <w:t xml:space="preserve"> </w:t>
      </w:r>
      <w:r>
        <w:rPr>
          <w:rFonts w:ascii="Arial" w:cs="Arial" w:eastAsia="Arial" w:hAnsi="Arial"/>
          <w:sz w:val="18"/>
          <w:szCs w:val="18"/>
          <w:color w:val="FF0000"/>
          <w:strike w:val="1"/>
        </w:rPr>
        <w:t>Date</w:t>
      </w:r>
      <w:r>
        <w:rPr>
          <w:rFonts w:ascii="Arial" w:cs="Arial" w:eastAsia="Arial" w:hAnsi="Arial"/>
          <w:sz w:val="18"/>
          <w:szCs w:val="18"/>
          <w:u w:val="single" w:color="auto"/>
          <w:color w:val="0000FF"/>
          <w:highlight w:val="lightGray"/>
        </w:rPr>
        <w:t>Commitments and the USD Revolving Commitments, as applicable</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-164465</wp:posOffset>
            </wp:positionV>
            <wp:extent cx="3695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36957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-207645</wp:posOffset>
            </wp:positionV>
            <wp:extent cx="3695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369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21" w:right="339" w:bottom="1440" w:gutter="0" w:footer="0" w:header="0"/>
        </w:sectPr>
      </w:pPr>
    </w:p>
    <w:bookmarkStart w:id="139" w:name="page140"/>
    <w:bookmarkEnd w:id="139"/>
    <w:p>
      <w:pPr>
        <w:jc w:val="both"/>
        <w:ind w:firstLine="1296"/>
        <w:spacing w:after="0" w:line="261"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008000"/>
          <w:strike w:val="1"/>
        </w:rPr>
        <w:t>Revolving Exposure</w:t>
      </w:r>
      <w:r>
        <w:rPr>
          <w:rFonts w:ascii="Arial" w:cs="Arial" w:eastAsia="Arial" w:hAnsi="Arial"/>
          <w:sz w:val="18"/>
          <w:szCs w:val="18"/>
          <w:color w:val="008000"/>
          <w:strike w:val="1"/>
        </w:rPr>
        <w:t>”: with respect to any Lender at any time, the sum of the outstanding principal amount of such Lender’s</w:t>
      </w:r>
      <w:r>
        <w:rPr>
          <w:rFonts w:ascii="Arial" w:cs="Arial" w:eastAsia="Arial" w:hAnsi="Arial"/>
          <w:sz w:val="18"/>
          <w:szCs w:val="18"/>
          <w:color w:val="FF0000"/>
          <w:strike w:val="1"/>
        </w:rPr>
        <w:t xml:space="preserve"> Revolving Loan and its </w:t>
      </w:r>
      <w:r>
        <w:rPr>
          <w:rFonts w:ascii="Arial" w:cs="Arial" w:eastAsia="Arial" w:hAnsi="Arial"/>
          <w:sz w:val="18"/>
          <w:szCs w:val="18"/>
          <w:color w:val="008000"/>
          <w:strike w:val="1"/>
        </w:rPr>
        <w:t>L/C Exposure at such time.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008000"/>
        </w:rPr>
        <w:t>Revolving Extension Response Date</w:t>
      </w:r>
      <w:r>
        <w:rPr>
          <w:rFonts w:ascii="Arial" w:cs="Arial" w:eastAsia="Arial" w:hAnsi="Arial"/>
          <w:sz w:val="18"/>
          <w:szCs w:val="18"/>
          <w:color w:val="008000"/>
        </w:rPr>
        <w:t>”: as defined in</w:t>
      </w:r>
      <w:r>
        <w:rPr>
          <w:rFonts w:ascii="Arial" w:cs="Arial" w:eastAsia="Arial" w:hAnsi="Arial"/>
          <w:sz w:val="18"/>
          <w:szCs w:val="18"/>
          <w:color w:val="FF0000"/>
        </w:rPr>
        <w:t xml:space="preserve"> </w:t>
      </w:r>
      <w:r>
        <w:rPr>
          <w:rFonts w:ascii="Arial" w:cs="Arial" w:eastAsia="Arial" w:hAnsi="Arial"/>
          <w:sz w:val="18"/>
          <w:szCs w:val="18"/>
          <w:u w:val="single" w:color="auto"/>
          <w:color w:val="008000"/>
        </w:rPr>
        <w:t>Section 2.23(b)</w:t>
      </w:r>
      <w:r>
        <w:rPr>
          <w:rFonts w:ascii="Arial" w:cs="Arial" w:eastAsia="Arial" w:hAnsi="Arial"/>
          <w:sz w:val="18"/>
          <w:szCs w:val="18"/>
          <w:color w:val="008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-53340</wp:posOffset>
            </wp:positionV>
            <wp:extent cx="31286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19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Extensions of Credit</w:t>
      </w:r>
      <w:r>
        <w:rPr>
          <w:rFonts w:ascii="Arial" w:cs="Arial" w:eastAsia="Arial" w:hAnsi="Arial"/>
          <w:sz w:val="18"/>
          <w:szCs w:val="18"/>
          <w:color w:val="auto"/>
        </w:rPr>
        <w:t xml:space="preserve">”: </w:t>
      </w:r>
      <w:r>
        <w:rPr>
          <w:rFonts w:ascii="Arial" w:cs="Arial" w:eastAsia="Arial" w:hAnsi="Arial"/>
          <w:sz w:val="18"/>
          <w:szCs w:val="18"/>
          <w:color w:val="FF0000"/>
          <w:strike w:val="1"/>
        </w:rPr>
        <w:t>as to any</w:t>
      </w:r>
      <w:r>
        <w:rPr>
          <w:rFonts w:ascii="Arial" w:cs="Arial" w:eastAsia="Arial" w:hAnsi="Arial"/>
          <w:sz w:val="18"/>
          <w:szCs w:val="18"/>
          <w:color w:val="auto"/>
        </w:rPr>
        <w:t xml:space="preserve"> </w:t>
      </w:r>
      <w:r>
        <w:rPr>
          <w:rFonts w:ascii="Arial" w:cs="Arial" w:eastAsia="Arial" w:hAnsi="Arial"/>
          <w:sz w:val="18"/>
          <w:szCs w:val="18"/>
          <w:color w:val="008000"/>
          <w:strike w:val="1"/>
        </w:rPr>
        <w:t>Revolving Lender at any time, an amount equal to the sum of (a) the aggregate principal</w:t>
      </w:r>
      <w:r>
        <w:rPr>
          <w:rFonts w:ascii="Arial" w:cs="Arial" w:eastAsia="Arial" w:hAnsi="Arial"/>
          <w:sz w:val="18"/>
          <w:szCs w:val="18"/>
          <w:color w:val="auto"/>
        </w:rPr>
        <w:t xml:space="preserve"> </w:t>
      </w:r>
      <w:r>
        <w:rPr>
          <w:rFonts w:ascii="Arial" w:cs="Arial" w:eastAsia="Arial" w:hAnsi="Arial"/>
          <w:sz w:val="18"/>
          <w:szCs w:val="18"/>
          <w:color w:val="008000"/>
          <w:strike w:val="1"/>
        </w:rPr>
        <w:t xml:space="preserve">amount of all Revolving Loans held by such Lender then outstanding and (b) such Lender’s </w:t>
      </w:r>
      <w:r>
        <w:rPr>
          <w:rFonts w:ascii="Arial" w:cs="Arial" w:eastAsia="Arial" w:hAnsi="Arial"/>
          <w:sz w:val="18"/>
          <w:szCs w:val="18"/>
          <w:color w:val="FF0000"/>
          <w:strike w:val="1"/>
        </w:rPr>
        <w:t>Revolving Percentage of the</w:t>
      </w:r>
      <w:r>
        <w:rPr>
          <w:rFonts w:ascii="Arial" w:cs="Arial" w:eastAsia="Arial" w:hAnsi="Arial"/>
          <w:sz w:val="18"/>
          <w:szCs w:val="18"/>
          <w:color w:val="008000"/>
          <w:strike w:val="1"/>
        </w:rPr>
        <w:t xml:space="preserve"> L/C Obligations then outstanding</w:t>
      </w:r>
      <w:r>
        <w:rPr>
          <w:rFonts w:ascii="Arial" w:cs="Arial" w:eastAsia="Arial" w:hAnsi="Arial"/>
          <w:sz w:val="18"/>
          <w:szCs w:val="18"/>
          <w:color w:val="FF0000"/>
          <w:strike w:val="1"/>
        </w:rPr>
        <w:t>.</w:t>
      </w:r>
      <w:r>
        <w:rPr>
          <w:rFonts w:ascii="Arial" w:cs="Arial" w:eastAsia="Arial" w:hAnsi="Arial"/>
          <w:sz w:val="18"/>
          <w:szCs w:val="18"/>
          <w:u w:val="single" w:color="auto"/>
          <w:color w:val="0000FF"/>
          <w:highlight w:val="lightGray"/>
          <w:strike w:val="1"/>
        </w:rPr>
        <w:t>the Multicurrency Revolving Extensions of Credit and/or the USD Revolving Extensions of Credit, as applicable.</w:t>
      </w:r>
    </w:p>
    <w:p>
      <w:pPr>
        <w:spacing w:after="0" w:line="18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Facility</w:t>
      </w:r>
      <w:r>
        <w:rPr>
          <w:rFonts w:ascii="Arial" w:cs="Arial" w:eastAsia="Arial" w:hAnsi="Arial"/>
          <w:sz w:val="18"/>
          <w:szCs w:val="18"/>
          <w:color w:val="auto"/>
        </w:rPr>
        <w:t xml:space="preserve">”: </w:t>
      </w:r>
      <w:r>
        <w:rPr>
          <w:rFonts w:ascii="Arial" w:cs="Arial" w:eastAsia="Arial" w:hAnsi="Arial"/>
          <w:sz w:val="18"/>
          <w:szCs w:val="18"/>
          <w:color w:val="FF0000"/>
          <w:strike w:val="1"/>
        </w:rPr>
        <w:t>the</w:t>
      </w:r>
      <w:r>
        <w:rPr>
          <w:rFonts w:ascii="Arial" w:cs="Arial" w:eastAsia="Arial" w:hAnsi="Arial"/>
          <w:sz w:val="18"/>
          <w:szCs w:val="18"/>
          <w:color w:val="auto"/>
        </w:rPr>
        <w:t xml:space="preserve"> </w:t>
      </w:r>
      <w:r>
        <w:rPr>
          <w:rFonts w:ascii="Arial" w:cs="Arial" w:eastAsia="Arial" w:hAnsi="Arial"/>
          <w:sz w:val="18"/>
          <w:szCs w:val="18"/>
          <w:color w:val="008000"/>
          <w:strike w:val="1"/>
        </w:rPr>
        <w:t>Revolving Commitments and the Loans and extensions of credit made thereunder made thereunder</w:t>
      </w:r>
      <w:r>
        <w:rPr>
          <w:rFonts w:ascii="Arial" w:cs="Arial" w:eastAsia="Arial" w:hAnsi="Arial"/>
          <w:sz w:val="18"/>
          <w:szCs w:val="18"/>
          <w:u w:val="single" w:color="auto"/>
          <w:color w:val="0000FF"/>
          <w:highlight w:val="lightGray"/>
        </w:rPr>
        <w:t>each of the</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Multicurrency Revolving Facility and USD Revolving Facility, as applicable</w:t>
      </w:r>
      <w:r>
        <w:rPr>
          <w:rFonts w:ascii="Arial" w:cs="Arial" w:eastAsia="Arial" w:hAnsi="Arial"/>
          <w:sz w:val="18"/>
          <w:szCs w:val="18"/>
          <w:color w:val="000000"/>
        </w:rPr>
        <w:t>.</w:t>
      </w:r>
    </w:p>
    <w:p>
      <w:pPr>
        <w:spacing w:after="0" w:line="17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xml:space="preserve">”: each </w:t>
      </w:r>
      <w:r>
        <w:rPr>
          <w:rFonts w:ascii="Arial" w:cs="Arial" w:eastAsia="Arial" w:hAnsi="Arial"/>
          <w:sz w:val="18"/>
          <w:szCs w:val="18"/>
          <w:color w:val="FF0000"/>
          <w:strike w:val="1"/>
        </w:rPr>
        <w:t>Lender that has a</w:t>
      </w:r>
      <w:r>
        <w:rPr>
          <w:rFonts w:ascii="Arial" w:cs="Arial" w:eastAsia="Arial" w:hAnsi="Arial"/>
          <w:sz w:val="18"/>
          <w:szCs w:val="18"/>
          <w:u w:val="single" w:color="auto"/>
          <w:color w:val="0000FF"/>
          <w:highlight w:val="lightGray"/>
        </w:rPr>
        <w:t>of the Multicurrency</w:t>
      </w:r>
      <w:r>
        <w:rPr>
          <w:rFonts w:ascii="Arial" w:cs="Arial" w:eastAsia="Arial" w:hAnsi="Arial"/>
          <w:sz w:val="18"/>
          <w:szCs w:val="18"/>
          <w:color w:val="auto"/>
        </w:rPr>
        <w:t xml:space="preserve"> Revolving </w:t>
      </w:r>
      <w:r>
        <w:rPr>
          <w:rFonts w:ascii="Arial" w:cs="Arial" w:eastAsia="Arial" w:hAnsi="Arial"/>
          <w:sz w:val="18"/>
          <w:szCs w:val="18"/>
          <w:color w:val="FF0000"/>
          <w:strike w:val="1"/>
        </w:rPr>
        <w:t>Commitment or that holds</w:t>
      </w:r>
      <w:r>
        <w:rPr>
          <w:rFonts w:ascii="Arial" w:cs="Arial" w:eastAsia="Arial" w:hAnsi="Arial"/>
          <w:sz w:val="18"/>
          <w:szCs w:val="18"/>
          <w:u w:val="single" w:color="auto"/>
          <w:color w:val="0000FF"/>
          <w:highlight w:val="lightGray"/>
        </w:rPr>
        <w:t>Lenders and each of the USD</w:t>
      </w:r>
      <w:r>
        <w:rPr>
          <w:rFonts w:ascii="Arial" w:cs="Arial" w:eastAsia="Arial" w:hAnsi="Arial"/>
          <w:sz w:val="18"/>
          <w:szCs w:val="18"/>
          <w:color w:val="auto"/>
        </w:rPr>
        <w:t xml:space="preserve"> Revolving </w:t>
      </w:r>
      <w:r>
        <w:rPr>
          <w:rFonts w:ascii="Arial" w:cs="Arial" w:eastAsia="Arial" w:hAnsi="Arial"/>
          <w:sz w:val="18"/>
          <w:szCs w:val="18"/>
          <w:color w:val="FF0000"/>
          <w:strike w:val="1"/>
        </w:rPr>
        <w:t>Loans</w:t>
      </w:r>
      <w:r>
        <w:rPr>
          <w:rFonts w:ascii="Arial" w:cs="Arial" w:eastAsia="Arial" w:hAnsi="Arial"/>
          <w:sz w:val="18"/>
          <w:szCs w:val="18"/>
          <w:u w:val="single" w:color="auto"/>
          <w:color w:val="0000FF"/>
          <w:highlight w:val="lightGray"/>
        </w:rPr>
        <w:t>Lenders, as applicable</w:t>
      </w:r>
      <w:r>
        <w:rPr>
          <w:rFonts w:ascii="Arial" w:cs="Arial" w:eastAsia="Arial" w:hAnsi="Arial"/>
          <w:sz w:val="18"/>
          <w:szCs w:val="18"/>
          <w:color w:val="auto"/>
        </w:rPr>
        <w: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Loans</w:t>
      </w:r>
      <w:r>
        <w:rPr>
          <w:rFonts w:ascii="Arial" w:cs="Arial" w:eastAsia="Arial" w:hAnsi="Arial"/>
          <w:sz w:val="18"/>
          <w:szCs w:val="18"/>
          <w:color w:val="auto"/>
        </w:rPr>
        <w:t xml:space="preserve">”: </w:t>
      </w:r>
      <w:r>
        <w:rPr>
          <w:rFonts w:ascii="Arial" w:cs="Arial" w:eastAsia="Arial" w:hAnsi="Arial"/>
          <w:sz w:val="18"/>
          <w:szCs w:val="18"/>
          <w:color w:val="008000"/>
          <w:strike w:val="1"/>
        </w:rPr>
        <w:t>as defined in</w:t>
      </w:r>
      <w:r>
        <w:rPr>
          <w:rFonts w:ascii="Arial" w:cs="Arial" w:eastAsia="Arial" w:hAnsi="Arial"/>
          <w:sz w:val="18"/>
          <w:szCs w:val="18"/>
          <w:color w:val="auto"/>
        </w:rPr>
        <w:t xml:space="preserve"> </w:t>
      </w:r>
      <w:r>
        <w:rPr>
          <w:rFonts w:ascii="Arial" w:cs="Arial" w:eastAsia="Arial" w:hAnsi="Arial"/>
          <w:sz w:val="18"/>
          <w:szCs w:val="18"/>
          <w:u w:val="single" w:color="auto"/>
          <w:color w:val="008000"/>
          <w:strike w:val="1"/>
        </w:rPr>
        <w:t>Section 2.4(a)</w:t>
      </w:r>
      <w:r>
        <w:rPr>
          <w:rFonts w:ascii="Arial" w:cs="Arial" w:eastAsia="Arial" w:hAnsi="Arial"/>
          <w:sz w:val="18"/>
          <w:szCs w:val="18"/>
          <w:u w:val="single" w:color="auto"/>
          <w:color w:val="0000FF"/>
          <w:highlight w:val="lightGray"/>
        </w:rPr>
        <w:t>the Multicurrency Revolving Loans and the USD Revolving Loans</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“RFR”: for any RFR Loan denominated in (a) Sterling, SONIA and (b) Dollars, Daily Simple SOFR.</w:t>
      </w:r>
    </w:p>
    <w:p>
      <w:pPr>
        <w:spacing w:after="0" w:line="21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008000"/>
        </w:rPr>
        <w:t>Revolving Maturity Date</w:t>
      </w:r>
      <w:r>
        <w:rPr>
          <w:rFonts w:ascii="Arial" w:cs="Arial" w:eastAsia="Arial" w:hAnsi="Arial"/>
          <w:sz w:val="18"/>
          <w:szCs w:val="18"/>
          <w:color w:val="008000"/>
        </w:rPr>
        <w:t>”: March 31, 2026 (the “</w:t>
      </w:r>
      <w:r>
        <w:rPr>
          <w:rFonts w:ascii="Arial" w:cs="Arial" w:eastAsia="Arial" w:hAnsi="Arial"/>
          <w:sz w:val="18"/>
          <w:szCs w:val="18"/>
          <w:u w:val="single" w:color="auto"/>
          <w:color w:val="008000"/>
        </w:rPr>
        <w:t>Initial</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Revolving Maturity Date</w:t>
      </w:r>
      <w:r>
        <w:rPr>
          <w:rFonts w:ascii="Arial" w:cs="Arial" w:eastAsia="Arial" w:hAnsi="Arial"/>
          <w:sz w:val="18"/>
          <w:szCs w:val="18"/>
          <w:color w:val="008000"/>
          <w:strike w:val="1"/>
        </w:rPr>
        <w:t>”), subject to extension as provided in</w:t>
      </w:r>
      <w:r>
        <w:rPr>
          <w:rFonts w:ascii="Arial" w:cs="Arial" w:eastAsia="Arial" w:hAnsi="Arial"/>
          <w:sz w:val="18"/>
          <w:szCs w:val="18"/>
          <w:color w:val="FF0000"/>
        </w:rPr>
        <w:t xml:space="preserve"> </w:t>
      </w:r>
      <w:r>
        <w:rPr>
          <w:rFonts w:ascii="Arial" w:cs="Arial" w:eastAsia="Arial" w:hAnsi="Arial"/>
          <w:sz w:val="18"/>
          <w:szCs w:val="18"/>
          <w:u w:val="single" w:color="auto"/>
          <w:color w:val="008000"/>
          <w:strike w:val="1"/>
        </w:rPr>
        <w:t>Section 2.23</w:t>
      </w:r>
      <w:r>
        <w:rPr>
          <w:rFonts w:ascii="Arial" w:cs="Arial" w:eastAsia="Arial" w:hAnsi="Arial"/>
          <w:sz w:val="18"/>
          <w:szCs w:val="18"/>
          <w:color w:val="008000"/>
          <w:strike w:val="1"/>
        </w:rPr>
        <w:t>;</w:t>
      </w:r>
      <w:r>
        <w:rPr>
          <w:rFonts w:ascii="Arial" w:cs="Arial" w:eastAsia="Arial" w:hAnsi="Arial"/>
          <w:sz w:val="18"/>
          <w:szCs w:val="18"/>
          <w:color w:val="FF0000"/>
        </w:rPr>
        <w:t xml:space="preserve"> </w:t>
      </w:r>
      <w:r>
        <w:rPr>
          <w:rFonts w:ascii="Arial" w:cs="Arial" w:eastAsia="Arial" w:hAnsi="Arial"/>
          <w:sz w:val="18"/>
          <w:szCs w:val="18"/>
          <w:u w:val="single" w:color="auto"/>
          <w:color w:val="008000"/>
          <w:strike w:val="1"/>
        </w:rPr>
        <w:t>provided</w:t>
      </w:r>
      <w:r>
        <w:rPr>
          <w:rFonts w:ascii="Arial" w:cs="Arial" w:eastAsia="Arial" w:hAnsi="Arial"/>
          <w:sz w:val="18"/>
          <w:szCs w:val="18"/>
          <w:color w:val="008000"/>
          <w:strike w:val="1"/>
        </w:rPr>
        <w:t>,</w:t>
      </w:r>
      <w:r>
        <w:rPr>
          <w:rFonts w:ascii="Arial" w:cs="Arial" w:eastAsia="Arial" w:hAnsi="Arial"/>
          <w:sz w:val="18"/>
          <w:szCs w:val="18"/>
          <w:u w:val="single" w:color="auto"/>
          <w:color w:val="008000"/>
          <w:strike w:val="1"/>
        </w:rPr>
        <w:t xml:space="preserve"> however</w:t>
      </w:r>
      <w:r>
        <w:rPr>
          <w:rFonts w:ascii="Arial" w:cs="Arial" w:eastAsia="Arial" w:hAnsi="Arial"/>
          <w:sz w:val="18"/>
          <w:szCs w:val="18"/>
          <w:color w:val="008000"/>
          <w:strike w:val="1"/>
        </w:rPr>
        <w:t>, in each case, if such date is not a Business Day, the Maturity Date shall be the next preceding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-207645</wp:posOffset>
            </wp:positionV>
            <wp:extent cx="26416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2641600" cy="8255"/>
                    </a:xfrm>
                    <a:prstGeom prst="rect">
                      <a:avLst/>
                    </a:prstGeom>
                    <a:noFill/>
                  </pic:spPr>
                </pic:pic>
              </a:graphicData>
            </a:graphic>
          </wp:anchor>
        </w:drawing>
      </w:r>
    </w:p>
    <w:p>
      <w:pPr>
        <w:spacing w:after="0" w:line="151"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u w:val="single" w:color="auto"/>
          <w:color w:val="008000"/>
          <w:strike w:val="1"/>
        </w:rPr>
        <w:t>Revolving Percentage</w:t>
      </w:r>
      <w:r>
        <w:rPr>
          <w:rFonts w:ascii="Arial" w:cs="Arial" w:eastAsia="Arial" w:hAnsi="Arial"/>
          <w:sz w:val="16"/>
          <w:szCs w:val="16"/>
          <w:color w:val="008000"/>
          <w:strike w:val="1"/>
        </w:rPr>
        <w:t>”: as to any Revolving Lender at any time, the percentage which such Lender’s Revolving Commitment then</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 xml:space="preserve">constitutes of the Total Revolving Commitments; </w:t>
      </w:r>
      <w:r>
        <w:rPr>
          <w:rFonts w:ascii="Arial" w:cs="Arial" w:eastAsia="Arial" w:hAnsi="Arial"/>
          <w:sz w:val="16"/>
          <w:szCs w:val="16"/>
          <w:u w:val="single" w:color="auto"/>
          <w:color w:val="008000"/>
          <w:strike w:val="1"/>
        </w:rPr>
        <w:t>provided</w:t>
      </w:r>
      <w:r>
        <w:rPr>
          <w:rFonts w:ascii="Arial" w:cs="Arial" w:eastAsia="Arial" w:hAnsi="Arial"/>
          <w:sz w:val="16"/>
          <w:szCs w:val="16"/>
          <w:color w:val="008000"/>
          <w:strike w:val="1"/>
        </w:rPr>
        <w:t xml:space="preserve">, that in the case of </w:t>
      </w:r>
      <w:r>
        <w:rPr>
          <w:rFonts w:ascii="Arial" w:cs="Arial" w:eastAsia="Arial" w:hAnsi="Arial"/>
          <w:sz w:val="16"/>
          <w:szCs w:val="16"/>
          <w:u w:val="single" w:color="auto"/>
          <w:color w:val="008000"/>
          <w:strike w:val="1"/>
        </w:rPr>
        <w:t>Section 2.22</w:t>
      </w:r>
      <w:r>
        <w:rPr>
          <w:rFonts w:ascii="Arial" w:cs="Arial" w:eastAsia="Arial" w:hAnsi="Arial"/>
          <w:sz w:val="16"/>
          <w:szCs w:val="16"/>
          <w:color w:val="008000"/>
          <w:strike w:val="1"/>
        </w:rPr>
        <w:t xml:space="preserve"> when a Defaulting Lender which is a </w:t>
      </w:r>
      <w:r>
        <w:rPr>
          <w:rFonts w:ascii="Arial" w:cs="Arial" w:eastAsia="Arial" w:hAnsi="Arial"/>
          <w:sz w:val="16"/>
          <w:szCs w:val="16"/>
          <w:color w:val="FF0000"/>
          <w:strike w:val="1"/>
        </w:rPr>
        <w:t>Revolving Lender shall</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exist, “</w:t>
      </w:r>
      <w:r>
        <w:rPr>
          <w:rFonts w:ascii="Arial" w:cs="Arial" w:eastAsia="Arial" w:hAnsi="Arial"/>
          <w:sz w:val="16"/>
          <w:szCs w:val="16"/>
          <w:color w:val="008000"/>
          <w:strike w:val="1"/>
        </w:rPr>
        <w:t>Revolving Percentage” shall mean the percentage which such Lender’s Revolving Commitment then constitutes of the Total Revolving</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 xml:space="preserve">Commitment (disregarding any Defaulting Lender’s Revolving Commitment). With respect to any </w:t>
      </w:r>
      <w:r>
        <w:rPr>
          <w:rFonts w:ascii="Arial" w:cs="Arial" w:eastAsia="Arial" w:hAnsi="Arial"/>
          <w:sz w:val="16"/>
          <w:szCs w:val="16"/>
          <w:color w:val="FF0000"/>
          <w:strike w:val="1"/>
        </w:rPr>
        <w:t>Revolving Lender whose</w:t>
      </w:r>
      <w:r>
        <w:rPr>
          <w:rFonts w:ascii="Arial" w:cs="Arial" w:eastAsia="Arial" w:hAnsi="Arial"/>
          <w:sz w:val="16"/>
          <w:szCs w:val="16"/>
          <w:color w:val="008000"/>
          <w:strike w:val="1"/>
        </w:rPr>
        <w:t xml:space="preserve"> Revolving Commitments shall have expired or terminated, “Revolving Percentage” shall mean the percentage which the aggregate principal amount of such Lender’s Revolving Loans then outstanding constitutes of the aggregate principal amount of the Revolving Loans then outstanding, </w:t>
      </w:r>
      <w:r>
        <w:rPr>
          <w:rFonts w:ascii="Arial" w:cs="Arial" w:eastAsia="Arial" w:hAnsi="Arial"/>
          <w:sz w:val="16"/>
          <w:szCs w:val="16"/>
          <w:u w:val="single" w:color="auto"/>
          <w:color w:val="008000"/>
          <w:strike w:val="1"/>
        </w:rPr>
        <w:t>provided</w:t>
      </w:r>
      <w:r>
        <w:rPr>
          <w:rFonts w:ascii="Arial" w:cs="Arial" w:eastAsia="Arial" w:hAnsi="Arial"/>
          <w:sz w:val="16"/>
          <w:szCs w:val="16"/>
          <w:color w:val="008000"/>
          <w:strike w:val="1"/>
        </w:rPr>
        <w:t xml:space="preserve">, that in the event that the </w:t>
      </w:r>
      <w:r>
        <w:rPr>
          <w:rFonts w:ascii="Arial" w:cs="Arial" w:eastAsia="Arial" w:hAnsi="Arial"/>
          <w:sz w:val="16"/>
          <w:szCs w:val="16"/>
          <w:color w:val="FF0000"/>
          <w:strike w:val="1"/>
        </w:rPr>
        <w:t>Revolving</w:t>
      </w:r>
      <w:r>
        <w:rPr>
          <w:rFonts w:ascii="Arial" w:cs="Arial" w:eastAsia="Arial" w:hAnsi="Arial"/>
          <w:sz w:val="16"/>
          <w:szCs w:val="16"/>
          <w:color w:val="008000"/>
          <w:strike w:val="1"/>
        </w:rPr>
        <w:t xml:space="preserve"> Loans are paid in full prior to the reduction to zero of the Total Revolving Extensions of Credit, the Revolving Percentages shall be determined in a manner designed to ensure that the other outstanding Revolving Extensions of Credit shall be held by the Revolving Lenders on a comparable basis.</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Borrowing</w:t>
      </w:r>
      <w:r>
        <w:rPr>
          <w:rFonts w:ascii="Arial" w:cs="Arial" w:eastAsia="Arial" w:hAnsi="Arial"/>
          <w:sz w:val="18"/>
          <w:szCs w:val="18"/>
          <w:color w:val="auto"/>
        </w:rPr>
        <w:t>”: as to any Borrowing, the RFR Loans comprising such Borrowing.</w:t>
      </w:r>
    </w:p>
    <w:p>
      <w:pPr>
        <w:spacing w:after="0" w:line="21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u w:val="single" w:color="auto"/>
          <w:color w:val="0000FF"/>
          <w:highlight w:val="lightGray"/>
        </w:rPr>
        <w:t>“RFR Business Day”: for any Loan denominated in (a) Sterling, any day except for (i) a Saturday, (ii) a Sunday or (iii) a day on which banks are closed for general business in London and (b) Dollars, a U.S. Government Securities Business Day.</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“RFR Interest Day”: has the meaning specified in the definition of “Daily Simple RFR”.</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Loan</w:t>
      </w:r>
      <w:r>
        <w:rPr>
          <w:rFonts w:ascii="Arial" w:cs="Arial" w:eastAsia="Arial" w:hAnsi="Arial"/>
          <w:sz w:val="18"/>
          <w:szCs w:val="18"/>
          <w:color w:val="auto"/>
        </w:rPr>
        <w:t xml:space="preserve">”: a Loan that bears interest at a rate based on the Adjusted Daily Simple </w:t>
      </w:r>
      <w:r>
        <w:rPr>
          <w:rFonts w:ascii="Arial" w:cs="Arial" w:eastAsia="Arial" w:hAnsi="Arial"/>
          <w:sz w:val="18"/>
          <w:szCs w:val="18"/>
          <w:color w:val="FF0000"/>
          <w:strike w:val="1"/>
        </w:rPr>
        <w:t>SO</w:t>
      </w:r>
      <w:r>
        <w:rPr>
          <w:rFonts w:ascii="Arial" w:cs="Arial" w:eastAsia="Arial" w:hAnsi="Arial"/>
          <w:sz w:val="18"/>
          <w:szCs w:val="18"/>
          <w:u w:val="single" w:color="auto"/>
          <w:color w:val="0000FF"/>
          <w:highlight w:val="lightGray"/>
        </w:rPr>
        <w:t>R</w:t>
      </w:r>
      <w:r>
        <w:rPr>
          <w:rFonts w:ascii="Arial" w:cs="Arial" w:eastAsia="Arial" w:hAnsi="Arial"/>
          <w:sz w:val="18"/>
          <w:szCs w:val="18"/>
          <w:color w:val="auto"/>
        </w:rPr>
        <w:t>FR.</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Standard &amp; Poor’s Ratings Services, a Standard &amp; Poor’s Financial Services LLC business.</w:t>
      </w:r>
    </w:p>
    <w:p>
      <w:pPr>
        <w:spacing w:after="0" w:line="212" w:lineRule="exact"/>
        <w:rPr>
          <w:sz w:val="20"/>
          <w:szCs w:val="20"/>
          <w:color w:val="auto"/>
        </w:rPr>
      </w:pPr>
    </w:p>
    <w:p>
      <w:pPr>
        <w:jc w:val="both"/>
        <w:ind w:right="20"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at any time, a country, region or territory which is itself the subject or target of any Sanctions (at the time of this Agreement, Crimea, Cuba, Iran, North Korea and Syria).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21" w:right="339" w:bottom="1440" w:gutter="0" w:footer="0" w:header="0"/>
        </w:sectPr>
      </w:pPr>
    </w:p>
    <w:bookmarkStart w:id="140" w:name="page141"/>
    <w:bookmarkEnd w:id="140"/>
    <w:p>
      <w:pPr>
        <w:jc w:val="both"/>
        <w:ind w:firstLine="129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xml:space="preserve">”: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Her Majesty’s Treasury of the United Kingdom or other relevant sanctions authority, (b) any Person organized or resident in a Sanctioned Country, (c) any Person directly or indirectly 50% of more owned or controlled by any such Person or Persons described in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(d) any Person otherwise the subject of any Sanctions.</w:t>
      </w:r>
    </w:p>
    <w:p>
      <w:pPr>
        <w:spacing w:after="0" w:line="18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xml:space="preserve"> ”: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 member state, Her Majesty’s Treasury of the United Kingdom or any other relevant sanctions authority.</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the Securities and Exchange Commission, any successor thereto and any analogous Governmental Authority.</w:t>
      </w:r>
    </w:p>
    <w:p>
      <w:pPr>
        <w:spacing w:after="0" w:line="21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Indebtedness</w:t>
      </w:r>
      <w:r>
        <w:rPr>
          <w:rFonts w:ascii="Arial" w:cs="Arial" w:eastAsia="Arial" w:hAnsi="Arial"/>
          <w:sz w:val="18"/>
          <w:szCs w:val="18"/>
          <w:color w:val="auto"/>
        </w:rPr>
        <w:t>”: the portion of Total Indebtedness which is secured by a Lien on any Real Property, personal property or other assets (excluding any Indebtedness secured solely by Equity Interests).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Leverage Ratio</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7.1(c)</w:t>
      </w:r>
      <w:r>
        <w:rPr>
          <w:rFonts w:ascii="Arial" w:cs="Arial" w:eastAsia="Arial" w:hAnsi="Arial"/>
          <w:sz w:val="18"/>
          <w:szCs w:val="18"/>
          <w:color w:val="auto"/>
        </w:rPr>
        <w:t>.</w:t>
      </w:r>
    </w:p>
    <w:p>
      <w:pPr>
        <w:spacing w:after="0" w:line="212" w:lineRule="exact"/>
        <w:rPr>
          <w:sz w:val="20"/>
          <w:szCs w:val="20"/>
          <w:color w:val="auto"/>
        </w:rPr>
      </w:pPr>
    </w:p>
    <w:p>
      <w:pPr>
        <w:jc w:val="both"/>
        <w:ind w:right="20"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collectively, the Lenders, the Administrative Agent, the Issuing Lenders, each counterparty to an agreement in respect of Cash Management Services, each counterparty to a Specified Swap Agreement and each sub-agent appointed by the Administrative Agent from time to time pursuant to </w:t>
      </w:r>
      <w:r>
        <w:rPr>
          <w:rFonts w:ascii="Arial" w:cs="Arial" w:eastAsia="Arial" w:hAnsi="Arial"/>
          <w:sz w:val="18"/>
          <w:szCs w:val="18"/>
          <w:u w:val="single" w:color="auto"/>
          <w:color w:val="auto"/>
        </w:rPr>
        <w:t>Section 9.01(d)</w:t>
      </w:r>
      <w:r>
        <w:rPr>
          <w:rFonts w:ascii="Arial" w:cs="Arial" w:eastAsia="Arial" w:hAnsi="Arial"/>
          <w:sz w:val="18"/>
          <w:szCs w:val="18"/>
          <w:color w:val="auto"/>
        </w:rPr>
        <w:t>.</w:t>
      </w:r>
    </w:p>
    <w:p>
      <w:pPr>
        <w:spacing w:after="0" w:line="18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Indentures</w:t>
      </w:r>
      <w:r>
        <w:rPr>
          <w:rFonts w:ascii="Arial" w:cs="Arial" w:eastAsia="Arial" w:hAnsi="Arial"/>
          <w:sz w:val="18"/>
          <w:szCs w:val="18"/>
          <w:color w:val="auto"/>
        </w:rPr>
        <w:t>”: collectively, the Existing Senior Indentures and any other indenture or other agreement entered into in connection with any Senior Unsecured Notes.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Unsecured Notes</w:t>
      </w:r>
      <w:r>
        <w:rPr>
          <w:rFonts w:ascii="Arial" w:cs="Arial" w:eastAsia="Arial" w:hAnsi="Arial"/>
          <w:sz w:val="18"/>
          <w:szCs w:val="18"/>
          <w:color w:val="auto"/>
        </w:rPr>
        <w:t>”: collectively, the Existing Senior Unsecured Notes and any Additional Senior Unsecured Notes.</w:t>
      </w:r>
    </w:p>
    <w:p>
      <w:pPr>
        <w:spacing w:after="0" w:line="212" w:lineRule="exact"/>
        <w:rPr>
          <w:sz w:val="20"/>
          <w:szCs w:val="20"/>
          <w:color w:val="auto"/>
        </w:rPr>
      </w:pPr>
    </w:p>
    <w:p>
      <w:pPr>
        <w:jc w:val="both"/>
        <w:ind w:right="20"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Lease</w:t>
      </w:r>
      <w:r>
        <w:rPr>
          <w:rFonts w:ascii="Arial" w:cs="Arial" w:eastAsia="Arial" w:hAnsi="Arial"/>
          <w:sz w:val="18"/>
          <w:szCs w:val="18"/>
          <w:color w:val="auto"/>
        </w:rPr>
        <w:t>”: any “Severance Lease” (as defined in the Las Vegas Master Lease and the Regional Master Lease as of the Closing Date) and any similar leases permitted under any of the other Master Leases.</w:t>
      </w:r>
    </w:p>
    <w:p>
      <w:pPr>
        <w:spacing w:after="0" w:line="171"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Acquisition</w:t>
      </w:r>
      <w:r>
        <w:rPr>
          <w:rFonts w:ascii="Arial" w:cs="Arial" w:eastAsia="Arial" w:hAnsi="Arial"/>
          <w:sz w:val="18"/>
          <w:szCs w:val="18"/>
          <w:color w:val="auto"/>
        </w:rPr>
        <w:t>”: any transaction or series of related transactions for the purpose of or resulting, directly or indirectly, in the acquisition (including, without limitation, a merger or consolidation or any other combination with another Person) by one or more of the Borrower and its Restricted Subsidiaries of properties or assets of a person (or the capital stock of a person) for a purchase price in excess of 5% of Total Asset Value or its foreign currency equivalent.</w:t>
      </w:r>
    </w:p>
    <w:p>
      <w:pPr>
        <w:spacing w:after="0" w:line="188"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Master Lease</w:t>
      </w:r>
      <w:r>
        <w:rPr>
          <w:rFonts w:ascii="Arial" w:cs="Arial" w:eastAsia="Arial" w:hAnsi="Arial"/>
          <w:sz w:val="18"/>
          <w:szCs w:val="18"/>
          <w:color w:val="auto"/>
        </w:rPr>
        <w:t xml:space="preserve">”: a Master Lease that provides for annual rent payable in excess of an amount equal to 20% of EBITDA of the Borrower on a consolidated basis for the four fiscal quarter period most recently ended for which financial statements have been delivered pursuant to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82" w:lineRule="exact"/>
        <w:rPr>
          <w:sz w:val="20"/>
          <w:szCs w:val="20"/>
          <w:color w:val="auto"/>
        </w:rPr>
      </w:pPr>
    </w:p>
    <w:p>
      <w:pPr>
        <w:jc w:val="both"/>
        <w:ind w:firstLine="1296"/>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Similar Lease</w:t>
      </w:r>
      <w:r>
        <w:rPr>
          <w:rFonts w:ascii="Arial" w:cs="Arial" w:eastAsia="Arial" w:hAnsi="Arial"/>
          <w:sz w:val="16"/>
          <w:szCs w:val="16"/>
          <w:color w:val="auto"/>
        </w:rPr>
        <w:t>”: a lease that is entered into by the Borrower or a Restricted Subsidiary with another Person (other than the Borrower or a Restricted Subsidiary) for the purpose of, or with respect to operating or managing Experiential Facilities of the Borrower or its Restricted Subsidiaries.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Employer Plan</w:t>
      </w:r>
      <w:r>
        <w:rPr>
          <w:rFonts w:ascii="Arial" w:cs="Arial" w:eastAsia="Arial" w:hAnsi="Arial"/>
          <w:sz w:val="18"/>
          <w:szCs w:val="18"/>
          <w:color w:val="auto"/>
        </w:rPr>
        <w:t>”: any Plan that is covered by Title IV of ERISA, but that is not a Multiemployer Plan.</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a rate equal to the secured overnight financing rate as administered by the SOFR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21" w:right="339" w:bottom="1440" w:gutter="0" w:footer="0" w:header="0"/>
        </w:sectPr>
      </w:pPr>
    </w:p>
    <w:bookmarkStart w:id="141" w:name="page142"/>
    <w:bookmarkEnd w:id="141"/>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w:t>
      </w:r>
      <w:r>
        <w:rPr>
          <w:rFonts w:ascii="Arial" w:cs="Arial" w:eastAsia="Arial" w:hAnsi="Arial"/>
          <w:sz w:val="18"/>
          <w:szCs w:val="18"/>
          <w:color w:val="auto"/>
        </w:rPr>
        <w:t>”: the NYFRB (or a successor administrator of the secured overnight financing rate).</w:t>
      </w:r>
    </w:p>
    <w:p>
      <w:pPr>
        <w:spacing w:after="0" w:line="21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Administrator’s Website</w:t>
      </w:r>
      <w:r>
        <w:rPr>
          <w:rFonts w:ascii="Arial" w:cs="Arial" w:eastAsia="Arial" w:hAnsi="Arial"/>
          <w:sz w:val="18"/>
          <w:szCs w:val="18"/>
          <w:color w:val="auto"/>
        </w:rPr>
        <w:t>”: the NYFRB’s website, currently at http://www.newyorkfed.org, or any successor source for the secured overnight financing rate identified as such by the SOFR Administrator from time to time.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Loans</w:t>
      </w:r>
      <w:r>
        <w:rPr>
          <w:rFonts w:ascii="Arial" w:cs="Arial" w:eastAsia="Arial" w:hAnsi="Arial"/>
          <w:sz w:val="18"/>
          <w:szCs w:val="18"/>
          <w:color w:val="auto"/>
        </w:rPr>
        <w:t xml:space="preserve">”: RFR Loans </w:t>
      </w:r>
      <w:r>
        <w:rPr>
          <w:rFonts w:ascii="Arial" w:cs="Arial" w:eastAsia="Arial" w:hAnsi="Arial"/>
          <w:sz w:val="18"/>
          <w:szCs w:val="18"/>
          <w:u w:val="single" w:color="auto"/>
          <w:color w:val="0000FF"/>
          <w:highlight w:val="lightGray"/>
        </w:rPr>
        <w:t>denominated in Dollars</w:t>
      </w:r>
      <w:r>
        <w:rPr>
          <w:rFonts w:ascii="Arial" w:cs="Arial" w:eastAsia="Arial" w:hAnsi="Arial"/>
          <w:sz w:val="18"/>
          <w:szCs w:val="18"/>
          <w:color w:val="auto"/>
        </w:rPr>
        <w:t>, Term SOFR Loans and Daily SOFR Loans.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Rate Day</w:t>
      </w:r>
      <w:r>
        <w:rPr>
          <w:rFonts w:ascii="Arial" w:cs="Arial" w:eastAsia="Arial" w:hAnsi="Arial"/>
          <w:sz w:val="18"/>
          <w:szCs w:val="18"/>
          <w:color w:val="auto"/>
        </w:rPr>
        <w:t>”: has the meaning specified in the definition of “Daily Simple SOFR”.</w:t>
      </w:r>
    </w:p>
    <w:p>
      <w:pPr>
        <w:spacing w:after="0" w:line="21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as to any Person as of any date of determination, that on such date (a) the fair value of the property of such Person is greater than the total amount of liabilities, including contingent liabilities, of such Person, (b) the present fair saleable value of such Person is not less than the amount that will be required to pay the probable liability of such Person on its debts, including contingent debts, as they become absolute and matured, (c) such Person does not intend to, and does not believe that it will, incur debts or liabilities, including contingent debts and liabilities, beyond such Person’s ability to pay such debts and liabilities as they mature in the ordinary course of business and (d) such Person is not engaged in a business or a transaction, and is not about to engage in a business or a transaction, for which such Person’s property would constitute an unreasonably small capital.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8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u w:val="single" w:color="auto"/>
          <w:color w:val="0000FF"/>
          <w:highlight w:val="lightGray"/>
        </w:rPr>
        <w:t>“SONIA”: with respect to any Business Day, a rate per annum equal to the Sterling Overnight Index Average for such Business Day published by the SONIA Administrator on the SONIA Administrator’s Website on the immediately succeeding Business Day.</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“SONIA Administrator”: the Bank of England (or any successor administrator of the Sterling Overnight Index Average).</w:t>
      </w:r>
    </w:p>
    <w:p>
      <w:pPr>
        <w:spacing w:after="0" w:line="21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u w:val="single" w:color="auto"/>
          <w:color w:val="0000FF"/>
          <w:highlight w:val="lightGray"/>
        </w:rPr>
        <w:t>“SONIA Administrator’s Website”: the Bank of England’s website, currently at http://www.bankofengland.co.uk, or any successor source for the Sterling Overnight Index Average identified as such by the SONIA Administrator from time to time.</w:t>
      </w:r>
    </w:p>
    <w:p>
      <w:pPr>
        <w:spacing w:after="0" w:line="171" w:lineRule="exact"/>
        <w:rPr>
          <w:sz w:val="20"/>
          <w:szCs w:val="20"/>
          <w:color w:val="auto"/>
        </w:rPr>
      </w:pPr>
    </w:p>
    <w:p>
      <w:pPr>
        <w:jc w:val="both"/>
        <w:ind w:right="20"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Jurisdictions</w:t>
      </w:r>
      <w:r>
        <w:rPr>
          <w:rFonts w:ascii="Arial" w:cs="Arial" w:eastAsia="Arial" w:hAnsi="Arial"/>
          <w:sz w:val="18"/>
          <w:szCs w:val="18"/>
          <w:color w:val="auto"/>
        </w:rPr>
        <w:t>”: each of Canada, the United Kingdom, Ireland, France, Spain, Italy, Germany, Netherlands, Belgium, Switzerland, Luxembourg, Australia, New Zealand, Japan, Singapore, Sweden, Finland, Norway and such other jurisdictions as may be approved by the Administrative Agent.</w:t>
      </w:r>
    </w:p>
    <w:p>
      <w:pPr>
        <w:spacing w:after="0" w:line="18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xml:space="preserve">”: (a) any incurrence or repayment of Indebtedness (other than for working capital purposes or under any revolving facility), (b) any Investment that results in a Person becoming a Subsidiary of the Borrower, (c) any acquisition that results in a Person becoming a Subsidiary of the Borrower, (d) any disposition that results in a Subsidiary ceasing to be a Subsidiary of Borrower, (e) any acquisition of assets constituting a business unit, line of business or division of another Person or constituting an Investment (other than intercompany Indebtedness or Investments in cash and cash equivalents) or an acquisition of Real Property or interests in Real Property, in each case under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with a fair market value of at least 5% of Total Asset Value or constituting all or substantially all of the assets of a Person and (f) any disposition permitted under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of (i) Real Property or interests in Real Property with a fair market value of at least 5% of Total Asset Value, a business unit, line of business or division of Parent or any of its Subsidiaries or (ii) a Subsidiary or all or substantially all of the assets of a Subsidiary, in each case whether by merger, consolidation, amalgamation or otherwise.</w:t>
      </w:r>
    </w:p>
    <w:p>
      <w:pPr>
        <w:spacing w:after="0" w:line="191"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Swap Agreement</w:t>
      </w:r>
      <w:r>
        <w:rPr>
          <w:rFonts w:ascii="Arial" w:cs="Arial" w:eastAsia="Arial" w:hAnsi="Arial"/>
          <w:sz w:val="17"/>
          <w:szCs w:val="17"/>
          <w:color w:val="auto"/>
        </w:rPr>
        <w:t>”: any Swap Agreement (a) that is in effect on the Closing Date or is entered into after the Closing Date, between (i) the Borrower or any of its Subsidiaries and (ii) the Administrative Agent, any Lender or any Affiliate of the foregoing, or any Person that was the Administrative Agent, a Lender or an Affiliate of the foregoing when such Swap Agreement was entered into (or as of the Closing Date in the case of a Swap Agreement in effect as of the Closing Date) and (b) which has been designated by such Lender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21" w:right="339" w:bottom="1440" w:gutter="0" w:footer="0" w:header="0"/>
        </w:sectPr>
      </w:pPr>
    </w:p>
    <w:bookmarkStart w:id="142" w:name="page143"/>
    <w:bookmarkEnd w:id="142"/>
    <w:p>
      <w:pPr>
        <w:spacing w:after="0" w:line="274" w:lineRule="auto"/>
        <w:rPr>
          <w:sz w:val="20"/>
          <w:szCs w:val="20"/>
          <w:color w:val="auto"/>
        </w:rPr>
      </w:pPr>
      <w:r>
        <w:rPr>
          <w:rFonts w:ascii="Arial" w:cs="Arial" w:eastAsia="Arial" w:hAnsi="Arial"/>
          <w:sz w:val="16"/>
          <w:szCs w:val="16"/>
          <w:color w:val="auto"/>
        </w:rPr>
        <w:t xml:space="preserve">Borrower, by notice to the Administrative Agent not later than 90 days after the execution and delivery thereof (or 90 days after the Closing Date in the case of Swap Agreements in effect as of the Closing Date) by the Borrower or such Subsidiary, as a Specified Swap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w:t>
      </w:r>
    </w:p>
    <w:p>
      <w:pPr>
        <w:spacing w:after="0" w:line="1" w:lineRule="exact"/>
        <w:rPr>
          <w:sz w:val="20"/>
          <w:szCs w:val="20"/>
          <w:color w:val="auto"/>
        </w:rPr>
      </w:pPr>
    </w:p>
    <w:p>
      <w:pPr>
        <w:ind w:right="20" w:firstLine="8"/>
        <w:spacing w:after="0" w:line="243" w:lineRule="auto"/>
        <w:tabs>
          <w:tab w:leader="none" w:pos="259" w:val="left"/>
        </w:tabs>
        <w:numPr>
          <w:ilvl w:val="0"/>
          <w:numId w:val="63"/>
        </w:numPr>
        <w:rPr>
          <w:rFonts w:ascii="Arial" w:cs="Arial" w:eastAsia="Arial" w:hAnsi="Arial"/>
          <w:sz w:val="18"/>
          <w:szCs w:val="18"/>
          <w:u w:val="single" w:color="auto"/>
          <w:color w:val="auto"/>
        </w:rPr>
      </w:pPr>
      <w:r>
        <w:rPr>
          <w:rFonts w:ascii="Arial" w:cs="Arial" w:eastAsia="Arial" w:hAnsi="Arial"/>
          <w:sz w:val="18"/>
          <w:szCs w:val="18"/>
          <w:color w:val="auto"/>
        </w:rPr>
        <w:t>shall not apply to any Swap Agreement that is entered into by (i) the Borrower or any of its Subsidiaries and (ii) the Administrative Agent or any of its Affiliates.</w:t>
      </w:r>
    </w:p>
    <w:p>
      <w:pPr>
        <w:spacing w:after="0" w:line="18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7"/>
          <w:szCs w:val="17"/>
          <w:u w:val="single" w:color="auto"/>
          <w:color w:val="0000FF"/>
          <w:highlight w:val="lightGray"/>
        </w:rPr>
        <w:t>“Statutory Reserve Rate”: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EURIBOR Rate, Adjusted CDOR Rate or Adjusted AUD Rate, as applicable,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“Sterling” or “£”: the lawful currency of the United Kingdom.</w:t>
      </w:r>
    </w:p>
    <w:p>
      <w:pPr>
        <w:spacing w:after="0" w:line="212"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spacing w:after="0" w:line="15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xml:space="preserve">”: each Domestic Subsidiary that is a Required Guarantor and that executes the Guarantee Agreement or a supplement thereto. The Subsidiary Guarantors on the Closing Date are listed on </w:t>
      </w:r>
      <w:r>
        <w:rPr>
          <w:rFonts w:ascii="Arial" w:cs="Arial" w:eastAsia="Arial" w:hAnsi="Arial"/>
          <w:sz w:val="18"/>
          <w:szCs w:val="18"/>
          <w:u w:val="single" w:color="auto"/>
          <w:color w:val="auto"/>
        </w:rPr>
        <w:t>Schedule SG</w:t>
      </w:r>
      <w:r>
        <w:rPr>
          <w:rFonts w:ascii="Arial" w:cs="Arial" w:eastAsia="Arial" w:hAnsi="Arial"/>
          <w:sz w:val="18"/>
          <w:szCs w:val="18"/>
          <w:color w:val="auto"/>
        </w:rPr>
        <w:t>.</w:t>
      </w:r>
    </w:p>
    <w:p>
      <w:pPr>
        <w:spacing w:after="0" w:line="17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Substantial Amount</w:t>
      </w:r>
      <w:r>
        <w:rPr>
          <w:rFonts w:ascii="Arial" w:cs="Arial" w:eastAsia="Arial" w:hAnsi="Arial"/>
          <w:sz w:val="18"/>
          <w:szCs w:val="18"/>
          <w:color w:val="auto"/>
        </w:rPr>
        <w:t>”: at the time of determination thereof, an amount in excess of 20.00% of Total Asset Value at such time of the Borrower and its Subsidiaries determined on a consolidated basis.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10.23</w:t>
      </w:r>
      <w:r>
        <w:rPr>
          <w:rFonts w:ascii="Arial" w:cs="Arial" w:eastAsia="Arial" w:hAnsi="Arial"/>
          <w:sz w:val="18"/>
          <w:szCs w:val="18"/>
          <w:color w:val="auto"/>
        </w:rPr>
        <w:t>.</w:t>
      </w:r>
    </w:p>
    <w:p>
      <w:pPr>
        <w:spacing w:after="0" w:line="212"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that no phantom stock or similar plan providing for payments only on account of services provided by current or former directors, officers, employees or consultants of the Borrower or any of its Subsidiaries shall be a “Swap Agreement”.</w:t>
      </w:r>
    </w:p>
    <w:p>
      <w:pPr>
        <w:spacing w:after="0" w:line="18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with respect to any Person, any and all obligations of such Person, whether absolute or contingent and howsoever and whensoever created, arising, evidenced or acquired (including all renewals, extensions and modifications thereof and substitutions therefor), under (a) any and all Swap Agreements, and (b) any and all cancellations, buy backs, reversals, terminations or assignments of any Swap Agreement transaction, including any obligation to pay or perform under any agreement, contract or transaction that constitutes a “swap” within the meaning of section 1a(47) of the Commodity Exchange Act.</w:t>
      </w:r>
    </w:p>
    <w:p>
      <w:pPr>
        <w:spacing w:after="0" w:line="18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u w:val="single" w:color="auto"/>
          <w:color w:val="0000FF"/>
          <w:highlight w:val="lightGray"/>
        </w:rPr>
        <w:t>“TARGET2”: the Trans-European Automated Real-time Gross Settlement Express Transfer payment system which utilizes a single shared platform and which was launched on November 19,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21" w:right="339" w:bottom="1440" w:gutter="0" w:footer="0" w:header="0"/>
        </w:sectPr>
      </w:pPr>
    </w:p>
    <w:bookmarkStart w:id="143" w:name="page144"/>
    <w:bookmarkEnd w:id="143"/>
    <w:p>
      <w:pPr>
        <w:jc w:val="both"/>
        <w:ind w:firstLine="1296"/>
        <w:spacing w:after="0" w:line="261" w:lineRule="auto"/>
        <w:rPr>
          <w:sz w:val="20"/>
          <w:szCs w:val="20"/>
          <w:color w:val="auto"/>
        </w:rPr>
      </w:pPr>
      <w:r>
        <w:rPr>
          <w:rFonts w:ascii="Arial" w:cs="Arial" w:eastAsia="Arial" w:hAnsi="Arial"/>
          <w:sz w:val="18"/>
          <w:szCs w:val="18"/>
          <w:u w:val="single" w:color="auto"/>
          <w:color w:val="0000FF"/>
          <w:highlight w:val="lightGray"/>
        </w:rPr>
        <w:t>“TARGET Day”: any day on which TARGET2 (or, if such payment system ceases to be operative, such other payment system, if any, determined by the Administrative Agent to be a suitable replacement) is open for the settlement of payments in Euro.</w:t>
      </w:r>
    </w:p>
    <w:p>
      <w:pPr>
        <w:spacing w:after="0" w:line="17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8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Tenancy Lease</w:t>
      </w:r>
      <w:r>
        <w:rPr>
          <w:rFonts w:ascii="Arial" w:cs="Arial" w:eastAsia="Arial" w:hAnsi="Arial"/>
          <w:sz w:val="18"/>
          <w:szCs w:val="18"/>
          <w:color w:val="auto"/>
        </w:rPr>
        <w:t>”: operating leases, subleases, licenses, occupancy agreements and rights-of-use entered into by the Borrower or any of its Restricted Subsidiaries in its capacity as a lessor or a similar capacity in the ordinary course of business that do not materially and adversely affect the use of the real property encumbered thereby for its intended purpose.</w:t>
      </w:r>
    </w:p>
    <w:p>
      <w:pPr>
        <w:spacing w:after="0" w:line="18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Benchmark</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Term SOFR Rate</w:t>
      </w:r>
      <w:r>
        <w:rPr>
          <w:rFonts w:ascii="Arial" w:cs="Arial" w:eastAsia="Arial" w:hAnsi="Arial"/>
          <w:sz w:val="18"/>
          <w:szCs w:val="18"/>
          <w:u w:val="single" w:color="auto"/>
          <w:color w:val="0000FF"/>
          <w:highlight w:val="lightGray"/>
        </w:rPr>
        <w:t>, the Adjusted EURIBOR Rate, the Adjusted AUD Rate</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or the Adjusted CDOR Rate</w:t>
      </w:r>
      <w:r>
        <w:rPr>
          <w:rFonts w:ascii="Arial" w:cs="Arial" w:eastAsia="Arial" w:hAnsi="Arial"/>
          <w:sz w:val="18"/>
          <w:szCs w:val="18"/>
          <w:color w:val="000000"/>
        </w:rPr>
        <w:t>.</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Benchmark Borrowing</w:t>
      </w:r>
      <w:r>
        <w:rPr>
          <w:rFonts w:ascii="Arial" w:cs="Arial" w:eastAsia="Arial" w:hAnsi="Arial"/>
          <w:sz w:val="18"/>
          <w:szCs w:val="18"/>
          <w:color w:val="auto"/>
        </w:rPr>
        <w:t>”: as to any Borrowing, the Term Benchmark Loans comprising such Borrowing.</w:t>
      </w:r>
    </w:p>
    <w:p>
      <w:pPr>
        <w:spacing w:after="0" w:line="21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Benchmark Loan</w:t>
      </w:r>
      <w:r>
        <w:rPr>
          <w:rFonts w:ascii="Arial" w:cs="Arial" w:eastAsia="Arial" w:hAnsi="Arial"/>
          <w:sz w:val="18"/>
          <w:szCs w:val="18"/>
          <w:color w:val="auto"/>
        </w:rPr>
        <w:t>”: a Loan that bears interest at a rate based on the Adjusted Term SOFR Rate</w:t>
      </w:r>
      <w:r>
        <w:rPr>
          <w:rFonts w:ascii="Arial" w:cs="Arial" w:eastAsia="Arial" w:hAnsi="Arial"/>
          <w:sz w:val="18"/>
          <w:szCs w:val="18"/>
          <w:u w:val="single" w:color="auto"/>
          <w:color w:val="0000FF"/>
          <w:highlight w:val="lightGray"/>
        </w:rPr>
        <w:t>, Adjusted EURIBOR Rate,</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Adjusted AUD Rate or Adjusted CDOR Rate</w:t>
      </w:r>
      <w:r>
        <w:rPr>
          <w:rFonts w:ascii="Arial" w:cs="Arial" w:eastAsia="Arial" w:hAnsi="Arial"/>
          <w:sz w:val="18"/>
          <w:szCs w:val="18"/>
          <w:color w:val="000000"/>
        </w:rPr>
        <w:t>.</w:t>
      </w:r>
    </w:p>
    <w:p>
      <w:pPr>
        <w:spacing w:after="0" w:line="17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Benchmark Tranche</w:t>
      </w:r>
      <w:r>
        <w:rPr>
          <w:rFonts w:ascii="Arial" w:cs="Arial" w:eastAsia="Arial" w:hAnsi="Arial"/>
          <w:sz w:val="18"/>
          <w:szCs w:val="18"/>
          <w:color w:val="auto"/>
        </w:rPr>
        <w:t xml:space="preserve">”: the collective reference to Term Benchmark Loans </w:t>
      </w:r>
      <w:r>
        <w:rPr>
          <w:rFonts w:ascii="Arial" w:cs="Arial" w:eastAsia="Arial" w:hAnsi="Arial"/>
          <w:sz w:val="18"/>
          <w:szCs w:val="18"/>
          <w:u w:val="single" w:color="auto"/>
          <w:color w:val="0000FF"/>
          <w:highlight w:val="lightGray"/>
        </w:rPr>
        <w:t>of the same currency</w:t>
      </w:r>
      <w:r>
        <w:rPr>
          <w:rFonts w:ascii="Arial" w:cs="Arial" w:eastAsia="Arial" w:hAnsi="Arial"/>
          <w:sz w:val="18"/>
          <w:szCs w:val="18"/>
          <w:color w:val="auto"/>
        </w:rPr>
        <w:t xml:space="preserve"> the then current Interest Periods with respect to all of which begin on the same date and end on the same later date (whether or not such Loans shall originally have been made on the same day).</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Determination Day</w:t>
      </w:r>
      <w:r>
        <w:rPr>
          <w:rFonts w:ascii="Arial" w:cs="Arial" w:eastAsia="Arial" w:hAnsi="Arial"/>
          <w:sz w:val="18"/>
          <w:szCs w:val="18"/>
          <w:color w:val="auto"/>
        </w:rPr>
        <w:t>”: has the meaning specified in the definition of “Term SOFR Reference Rate”.</w:t>
      </w:r>
    </w:p>
    <w:p>
      <w:pPr>
        <w:spacing w:after="0" w:line="212"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SOFR Rate</w:t>
      </w:r>
      <w:r>
        <w:rPr>
          <w:rFonts w:ascii="Arial" w:cs="Arial" w:eastAsia="Arial" w:hAnsi="Arial"/>
          <w:sz w:val="17"/>
          <w:szCs w:val="17"/>
          <w:color w:val="auto"/>
        </w:rPr>
        <w:t>”: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64"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Reference Rate</w:t>
      </w:r>
      <w:r>
        <w:rPr>
          <w:rFonts w:ascii="Arial" w:cs="Arial" w:eastAsia="Arial" w:hAnsi="Arial"/>
          <w:sz w:val="18"/>
          <w:szCs w:val="18"/>
          <w:color w:val="auto"/>
        </w:rPr>
        <w:t>”: for any day and time (such day, the “</w:t>
      </w:r>
      <w:r>
        <w:rPr>
          <w:rFonts w:ascii="Arial" w:cs="Arial" w:eastAsia="Arial" w:hAnsi="Arial"/>
          <w:sz w:val="18"/>
          <w:szCs w:val="18"/>
          <w:u w:val="single" w:color="auto"/>
          <w:color w:val="auto"/>
        </w:rPr>
        <w:t>Term SOFR Determination Day</w:t>
      </w:r>
      <w:r>
        <w:rPr>
          <w:rFonts w:ascii="Arial" w:cs="Arial" w:eastAsia="Arial" w:hAnsi="Arial"/>
          <w:sz w:val="18"/>
          <w:szCs w:val="18"/>
          <w:color w:val="auto"/>
        </w:rPr>
        <w:t>”), with respect to any Term Benchmark Borrowing denominated in Dollars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9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Asset Value</w:t>
      </w:r>
      <w:r>
        <w:rPr>
          <w:rFonts w:ascii="Arial" w:cs="Arial" w:eastAsia="Arial" w:hAnsi="Arial"/>
          <w:sz w:val="16"/>
          <w:szCs w:val="16"/>
          <w:color w:val="auto"/>
        </w:rPr>
        <w:t xml:space="preserve">”: as of any date of determination, the sum of the following without duplication: (a) the sum of the Asset Values for all assets constituting Income Properties, Development Properties, Redevelopment Properties or undeveloped land owned or leased under an Eligible Ground Lease by the Borrower, its Restricted Subsidiaries and Restricted Joint Ventures as of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an amount (but not less than zero) equal to all unrestricted cash and Cash Equivalents on hand of the Borrower and its Restricted Subsidiaries as of such date that is not netted, without duplication, in the calculation of Total Leverage Ratio or Secured Leverage Ratio,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earnest money deposits associated with potential acquisitions as of such date, </w:t>
      </w:r>
      <w:r>
        <w:rPr>
          <w:rFonts w:ascii="Arial" w:cs="Arial" w:eastAsia="Arial" w:hAnsi="Arial"/>
          <w:sz w:val="16"/>
          <w:szCs w:val="16"/>
          <w:u w:val="single" w:color="auto"/>
          <w:color w:val="auto"/>
        </w:rPr>
        <w:t>plus</w:t>
      </w:r>
    </w:p>
    <w:p>
      <w:pPr>
        <w:spacing w:after="0" w:line="1" w:lineRule="exact"/>
        <w:rPr>
          <w:sz w:val="20"/>
          <w:szCs w:val="20"/>
          <w:color w:val="auto"/>
        </w:rPr>
      </w:pPr>
    </w:p>
    <w:p>
      <w:pPr>
        <w:ind w:firstLine="8"/>
        <w:spacing w:after="0" w:line="243" w:lineRule="auto"/>
        <w:tabs>
          <w:tab w:leader="none" w:pos="2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book value (determined in accordance with GAAP but determined without giving effect to (i) any depreciation or amortization or (ii) any adjustments in respect of unrealized expected credit losses required under FASB ASC 326) of all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21" w:right="339" w:bottom="1440" w:gutter="0" w:footer="0" w:header="0"/>
        </w:sectPr>
      </w:pPr>
    </w:p>
    <w:bookmarkStart w:id="144" w:name="page145"/>
    <w:bookmarkEnd w:id="144"/>
    <w:p>
      <w:pPr>
        <w:jc w:val="both"/>
        <w:spacing w:after="0" w:line="294" w:lineRule="auto"/>
        <w:rPr>
          <w:sz w:val="20"/>
          <w:szCs w:val="20"/>
          <w:color w:val="auto"/>
        </w:rPr>
      </w:pPr>
      <w:r>
        <w:rPr>
          <w:rFonts w:ascii="Arial" w:cs="Arial" w:eastAsia="Arial" w:hAnsi="Arial"/>
          <w:sz w:val="16"/>
          <w:szCs w:val="16"/>
          <w:color w:val="auto"/>
        </w:rPr>
        <w:t>Investments (other than in unconsolidated Restricted Subsidiaries and joint ventures) held by the Borrower and its consolidated Restricted Subsidiaries as of such date (exclusive of goodwill and other intangible assets). Total Asset Value shall be adjusted in the case of assets owned (including unrestricted cash and Cash Equivalents) or leased by unconsolidated Restricted Subsidiaries and Restricted Joint Ventures to reflect the Borrower’s Ownership Share therein.</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Delayed Draw Term Commitment</w:t>
      </w:r>
      <w:r>
        <w:rPr>
          <w:rFonts w:ascii="Arial" w:cs="Arial" w:eastAsia="Arial" w:hAnsi="Arial"/>
          <w:sz w:val="18"/>
          <w:szCs w:val="18"/>
          <w:color w:val="auto"/>
        </w:rPr>
        <w:t>”: the sum of the Delayed Draw Term Commitments of all the Lenders.</w:t>
      </w:r>
    </w:p>
    <w:p>
      <w:pPr>
        <w:spacing w:after="0" w:line="21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EBITDA</w:t>
      </w:r>
      <w:r>
        <w:rPr>
          <w:rFonts w:ascii="Arial" w:cs="Arial" w:eastAsia="Arial" w:hAnsi="Arial"/>
          <w:sz w:val="18"/>
          <w:szCs w:val="18"/>
          <w:color w:val="auto"/>
        </w:rPr>
        <w:t>”: for any fiscal period, total EBITDA of the Borrower and its consolidated Restricted Subsidiaries and the Borrower’s Ownership Share of EBITDA of unconsolidated Restricted Subsidiaries and Restricted Joint Ventures.</w:t>
      </w:r>
    </w:p>
    <w:p>
      <w:pPr>
        <w:spacing w:after="0" w:line="171"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Fixed Charges</w:t>
      </w:r>
      <w:r>
        <w:rPr>
          <w:rFonts w:ascii="Arial" w:cs="Arial" w:eastAsia="Arial" w:hAnsi="Arial"/>
          <w:sz w:val="18"/>
          <w:szCs w:val="18"/>
          <w:color w:val="auto"/>
        </w:rPr>
        <w:t>”: for any fiscal period, an amount equal to the sum of (i) Interest Expense, (ii) regularly scheduled installments of principal payable with respect to all Total Indebtedness (but excluding any balloon, bullet or similar payments due at maturity and principal payments with respect to intercompany Indebtedness) and (iii) all cash dividend payments due to the holders of any preferred shares of beneficial interest of the Borrower other than (a) redemption payments or charges in connection with the redemption of preferred capital stock, (b) prior to and including the date that is 90 days following the closing of the merger with MGM Growth Properties LLC, redemption payments to be made in connection with the MGP Transactions and (c) dividends or distributions paid or payable to the Borrower or any of its Restricted Subsidiaries. For the avoidance of doubt, the components of Total Fixed Charges relating to unconsolidated Restricted Subsidiaries or Restricted Joint Ventures shall be adjusted to reflect the Borrower’s Ownership Share therein.</w:t>
      </w:r>
    </w:p>
    <w:p>
      <w:pPr>
        <w:spacing w:after="0" w:line="194"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Indebtedness</w:t>
      </w:r>
      <w:r>
        <w:rPr>
          <w:rFonts w:ascii="Arial" w:cs="Arial" w:eastAsia="Arial" w:hAnsi="Arial"/>
          <w:sz w:val="18"/>
          <w:szCs w:val="18"/>
          <w:color w:val="auto"/>
        </w:rPr>
        <w:t>”: all Funded Indebtedness of the Borrower and its consolidated Restricted Subsidiaries and the pro rata share of all Funded Indebtedness of unconsolidated Restricted Subsidiaries and Restricted Joint Ventures. Notwithstanding anything to the contrary set forth herein, until the earlier of (A) the consummation of each Significant Acquisition and (B) the date on which the acquisition agreement with respect to such Significant Acquisition terminates or expires, any Funded Indebtedness incurred by the Borrower to finance such Significant Acquisition shall be disregarded for the purpose of determining compliance with the Financial Ratios to the extent that, and so long as, (a) either (x) the cash proceeds of such Funded Indebtedness are held in escrow on customary terms or (y) such Indebtedness is subject to customary special mandatory redemption option in the event such Significant Acquisition is not consummated, and the cash proceeds of such Funded Indebtedness are held by the Borrower as unrestricted cash or cash equivalents and (b) the cash proceeds of such Funded Indebtedness are not otherwise included as cash or Cash Equivalents for any purpose under this Agreement.</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Leverage Ratio</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7.1(a)</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auto"/>
        </w:rPr>
        <w:t xml:space="preserve"> </w:t>
      </w:r>
      <w:r>
        <w:rPr>
          <w:rFonts w:ascii="Arial" w:cs="Arial" w:eastAsia="Arial" w:hAnsi="Arial"/>
          <w:sz w:val="16"/>
          <w:szCs w:val="16"/>
          <w:u w:val="single" w:color="auto"/>
          <w:color w:val="auto"/>
        </w:rPr>
        <w:t>Revolving Commitments</w:t>
      </w:r>
      <w:r>
        <w:rPr>
          <w:rFonts w:ascii="Arial" w:cs="Arial" w:eastAsia="Arial" w:hAnsi="Arial"/>
          <w:sz w:val="16"/>
          <w:szCs w:val="16"/>
          <w:color w:val="auto"/>
        </w:rPr>
        <w:t xml:space="preserve">”: at any time, the aggregate amount of the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auto"/>
        </w:rPr>
        <w:t xml:space="preserve"> Revolving Commitments then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19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Revolving Extensions of Credit</w:t>
      </w:r>
      <w:r>
        <w:rPr>
          <w:rFonts w:ascii="Arial" w:cs="Arial" w:eastAsia="Arial" w:hAnsi="Arial"/>
          <w:sz w:val="18"/>
          <w:szCs w:val="18"/>
          <w:color w:val="auto"/>
        </w:rPr>
        <w:t xml:space="preserve">”: at any time, the aggregate amount of the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Extensions of Credit of the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Lenders outstanding at such time.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“Total USD Revolving Commitments”: at any time, the aggregate amount of the USD Revolving Commitments then in effect.</w:t>
      </w:r>
    </w:p>
    <w:p>
      <w:pPr>
        <w:spacing w:after="0" w:line="21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u w:val="single" w:color="auto"/>
          <w:color w:val="0000FF"/>
          <w:highlight w:val="lightGray"/>
        </w:rPr>
        <w:t>“Total USD Revolving Extensions of Credit”: at any time, the aggregate amount of the USD Revolving Extensions of Credit of the USD Revolving Lenders outstanding at such time.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10.6(f)(i)</w:t>
      </w:r>
      <w:r>
        <w:rPr>
          <w:rFonts w:ascii="Arial" w:cs="Arial" w:eastAsia="Arial" w:hAnsi="Arial"/>
          <w:sz w:val="18"/>
          <w:szCs w:val="18"/>
          <w:color w:val="auto"/>
        </w:rPr>
        <w:t>.</w:t>
      </w:r>
    </w:p>
    <w:p>
      <w:pPr>
        <w:spacing w:after="0" w:line="21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xml:space="preserve">”: when used in reference to any Loan or Borrowing, refers to whether the rate of interest on such Loan, or on the Loans comprising such Borrowing, is determined by reference to the Adjusted Term SOFR Rate, the Alternate Base Rate, the Adjusted </w:t>
      </w:r>
      <w:r>
        <w:rPr>
          <w:rFonts w:ascii="Arial" w:cs="Arial" w:eastAsia="Arial" w:hAnsi="Arial"/>
          <w:sz w:val="18"/>
          <w:szCs w:val="18"/>
          <w:u w:val="single" w:color="auto"/>
          <w:color w:val="0000FF"/>
          <w:highlight w:val="lightGray"/>
        </w:rPr>
        <w:t>EURIBOR Rate, the</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Adjusted AUD Rate, the Adjusted CDOR Rate,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21" w:right="339" w:bottom="1440" w:gutter="0" w:footer="0" w:header="0"/>
        </w:sectPr>
      </w:pPr>
    </w:p>
    <w:bookmarkStart w:id="145" w:name="page146"/>
    <w:bookmarkEnd w:id="145"/>
    <w:p>
      <w:pPr>
        <w:jc w:val="both"/>
        <w:spacing w:after="0" w:line="261" w:lineRule="auto"/>
        <w:rPr>
          <w:sz w:val="20"/>
          <w:szCs w:val="20"/>
          <w:color w:val="auto"/>
        </w:rPr>
      </w:pPr>
      <w:r>
        <w:rPr>
          <w:rFonts w:ascii="Arial" w:cs="Arial" w:eastAsia="Arial" w:hAnsi="Arial"/>
          <w:sz w:val="18"/>
          <w:szCs w:val="18"/>
          <w:u w:val="single" w:color="auto"/>
          <w:color w:val="0000FF"/>
          <w:highlight w:val="lightGray"/>
        </w:rPr>
        <w:t>Adjusted Daily Simple RFR, the Adjusted</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Floating Overnight Daily SOFR Rate or the</w:t>
      </w:r>
      <w:r>
        <w:rPr>
          <w:rFonts w:ascii="Arial" w:cs="Arial" w:eastAsia="Arial" w:hAnsi="Arial"/>
          <w:sz w:val="18"/>
          <w:szCs w:val="18"/>
          <w:color w:val="0000FF"/>
          <w:highlight w:val="lightGray"/>
        </w:rPr>
        <w:t xml:space="preserve"> </w:t>
      </w:r>
      <w:r>
        <w:rPr>
          <w:rFonts w:ascii="Arial" w:cs="Arial" w:eastAsia="Arial" w:hAnsi="Arial"/>
          <w:sz w:val="18"/>
          <w:szCs w:val="18"/>
          <w:color w:val="FF0000"/>
          <w:strike w:val="1"/>
        </w:rPr>
        <w:t>Adjusted Daily Simple SOFR</w:t>
      </w:r>
      <w:r>
        <w:rPr>
          <w:rFonts w:ascii="Arial" w:cs="Arial" w:eastAsia="Arial" w:hAnsi="Arial"/>
          <w:sz w:val="18"/>
          <w:szCs w:val="18"/>
          <w:u w:val="single" w:color="auto"/>
          <w:color w:val="0000FF"/>
          <w:highlight w:val="lightGray"/>
        </w:rPr>
        <w:t>Central Bank Rate for the applicable</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Agreed Currency</w:t>
      </w:r>
      <w:r>
        <w:rPr>
          <w:rFonts w:ascii="Arial" w:cs="Arial" w:eastAsia="Arial" w:hAnsi="Arial"/>
          <w:sz w:val="18"/>
          <w:szCs w:val="18"/>
          <w:color w:val="000000"/>
        </w:rPr>
        <w:t>.</w:t>
      </w:r>
    </w:p>
    <w:p>
      <w:pPr>
        <w:spacing w:after="0" w:line="171"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Institutions</w:t>
      </w:r>
      <w:r>
        <w:rPr>
          <w:rFonts w:ascii="Arial" w:cs="Arial" w:eastAsia="Arial" w:hAnsi="Arial"/>
          <w:sz w:val="18"/>
          <w:szCs w:val="18"/>
          <w:color w:val="auto"/>
        </w:rPr>
        <w:t>”: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8"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the Bank of England or any other public administrative authority having responsibility for the resolution of any UK Financial Institution.</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Unadjusted Benchmark Replacement</w:t>
      </w:r>
      <w:r>
        <w:rPr>
          <w:rFonts w:ascii="Arial" w:cs="Arial" w:eastAsia="Arial" w:hAnsi="Arial"/>
          <w:sz w:val="17"/>
          <w:szCs w:val="17"/>
          <w:color w:val="auto"/>
        </w:rPr>
        <w:t>”: the applicable Benchmark Replacement excluding the related Benchmark Replacement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Adjustment.</w:t>
      </w:r>
    </w:p>
    <w:p>
      <w:pPr>
        <w:spacing w:after="0" w:line="196"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Unencumbered Asset Value</w:t>
      </w:r>
      <w:r>
        <w:rPr>
          <w:rFonts w:ascii="Arial" w:cs="Arial" w:eastAsia="Arial" w:hAnsi="Arial"/>
          <w:sz w:val="16"/>
          <w:szCs w:val="16"/>
          <w:color w:val="auto"/>
        </w:rPr>
        <w:t xml:space="preserve">”: as of any date of determination, the sum of the following without duplication: (a) the sum of the Asset Values of all Unencumbered Properties as of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sum of the book value (determined in accordance with GAAP but without giving effect to (1) any depreciation or amortization or (2) any adjustments in respect of unrealized expected credit losses required under FASB ASC 326) of all other Investments constituting first priority Mortgage Notes held by the Borrower and its Restricted Subsidiaries as of such date so long as (i) the real estate securing such Mortgage Note meets the criteria for an Unencumbered Property (other than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w:t>
      </w:r>
      <w:r>
        <w:rPr>
          <w:rFonts w:ascii="Arial" w:cs="Arial" w:eastAsia="Arial" w:hAnsi="Arial"/>
          <w:sz w:val="16"/>
          <w:szCs w:val="16"/>
          <w:color w:val="auto"/>
        </w:rPr>
        <w:t xml:space="preserve"> of the definition thereof) and (ii) such Mortgage Note is owned by the Borrower, a Subsidiary Guarantor or a Wholly Owned Subsidiary of the Borrower that is not liable for any Recourse Indebtedness in excess of $10,000,000 (other than any unsecured intercompany indebtedness between or among the Borrower and its Restricted Subsidiaries),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an amount (but not less than zero) equal to all unrestricted cash and Cash Equivalents on hand of the Borrower and its consolidated Restricted Subsidiaries as of such date that is not netted in the calculation of Unsecured Leverage Ratio;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portion of the Unencumbered Asset Value attributable to undeveloped land, Redevelopment Properties and Development Properties, in the aggregate, that exceeds 15% of the Unencumbered Asset Value shall be excluded from Unencumbered Asset Value, (ii) the portion of the Unencumbered Asset Value attributable to undeveloped land that exceeds 10% of the Unencumbered Asset Value shall be excluded from Unencumbered Asset Value, (iii) the portion of the Unencumbered Asset Value attributable to assets held by a Controlled JV Subsidiary that, in the aggregate, exceeds 20% of the Unencumbered Asset Value shall be excluded from Unencumbered Asset Value, (iv) the portion of the Unencumbered Asset Value attributable to undeveloped land, Income Properties, Redevelopment Properties or Development Properties, in each case that are (A) not currently and (B) not currently being developed or redeveloped into, Experiential Facilities (the foregoing, “</w:t>
      </w:r>
      <w:r>
        <w:rPr>
          <w:rFonts w:ascii="Arial" w:cs="Arial" w:eastAsia="Arial" w:hAnsi="Arial"/>
          <w:sz w:val="16"/>
          <w:szCs w:val="16"/>
          <w:u w:val="single" w:color="auto"/>
          <w:color w:val="auto"/>
        </w:rPr>
        <w:t>Non-Experiential Facilities Land</w:t>
      </w:r>
      <w:r>
        <w:rPr>
          <w:rFonts w:ascii="Arial" w:cs="Arial" w:eastAsia="Arial" w:hAnsi="Arial"/>
          <w:sz w:val="16"/>
          <w:szCs w:val="16"/>
          <w:color w:val="auto"/>
        </w:rPr>
        <w:t>”) that, in the aggregate, exceeds 20% of the Unencumbered Asset Value shall be excluded from Unencumbered Asset Value, (v) the portion of Unencumbered Asset Value attributable to Mortgage Notes that exceeds 15% of the Unencumbered Asset Value shall be excluded from Unencumbered Asset Value, (vi) the portion of Unencumbered Asset Value attributable to Unencumbered Properties located in Specified Jurisdictions (other than Canada) that exceeds 25% of the Unencumbered Asset Value shall be excluded from Unencumbered Asset Value and (vii) the portion of Unencumbered Asset Value attributable to (w) undeveloped land, Redevelopment Properties and Development Properties, (x) assets held by a Controlled JV Subsidiary, (y) Non-Experiential Facilities Land, and (z) Mortgage Notes that, collectively, exceeds 35% of the Unencumbered Asset Value shall be excluded from Unencumbered Asset Value.</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Unencumbered NOI</w:t>
      </w:r>
      <w:r>
        <w:rPr>
          <w:rFonts w:ascii="Arial" w:cs="Arial" w:eastAsia="Arial" w:hAnsi="Arial"/>
          <w:sz w:val="17"/>
          <w:szCs w:val="17"/>
          <w:color w:val="auto"/>
        </w:rPr>
        <w:t>”: for any fiscal period, the total Adjusted NOI attributable to all Unencumbered Properties for such period.</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Unencumbered Property</w:t>
      </w:r>
      <w:r>
        <w:rPr>
          <w:rFonts w:ascii="Arial" w:cs="Arial" w:eastAsia="Arial" w:hAnsi="Arial"/>
          <w:sz w:val="16"/>
          <w:szCs w:val="16"/>
          <w:color w:val="auto"/>
        </w:rPr>
        <w:t>”: Any Real Property that meets each of the following criteria as of the date of determination (with each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Real Property that meets such criteria being an Unencumbered Property, as designated by the Borrower in any Compliance Certificate):</w:t>
      </w:r>
    </w:p>
    <w:p>
      <w:pPr>
        <w:spacing w:after="0" w:line="196" w:lineRule="exact"/>
        <w:rPr>
          <w:sz w:val="20"/>
          <w:szCs w:val="20"/>
          <w:color w:val="auto"/>
        </w:rPr>
      </w:pPr>
    </w:p>
    <w:p>
      <w:pPr>
        <w:ind w:left="1700" w:hanging="396"/>
        <w:spacing w:after="0"/>
        <w:tabs>
          <w:tab w:leader="none" w:pos="17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Such Real Property is 100% fee owned or subject to an Eligible Ground Lease, by (x) the Borrower, (y) a Subsidiary Guarantor or</w:t>
      </w:r>
    </w:p>
    <w:p>
      <w:pPr>
        <w:spacing w:after="0" w:line="34" w:lineRule="exact"/>
        <w:rPr>
          <w:rFonts w:ascii="Arial" w:cs="Arial" w:eastAsia="Arial" w:hAnsi="Arial"/>
          <w:sz w:val="16"/>
          <w:szCs w:val="16"/>
          <w:color w:val="auto"/>
        </w:rPr>
      </w:pPr>
    </w:p>
    <w:p>
      <w:pPr>
        <w:ind w:left="1620" w:right="20" w:firstLine="8"/>
        <w:spacing w:after="0" w:line="243" w:lineRule="auto"/>
        <w:tabs>
          <w:tab w:leader="none" w:pos="1877"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a Wholly Owned Subsidiary of the Borrower or a Controlled JV Subsidiary, in each case of this </w:t>
      </w:r>
      <w:r>
        <w:rPr>
          <w:rFonts w:ascii="Arial" w:cs="Arial" w:eastAsia="Arial" w:hAnsi="Arial"/>
          <w:sz w:val="18"/>
          <w:szCs w:val="18"/>
          <w:u w:val="single" w:color="auto"/>
          <w:color w:val="auto"/>
        </w:rPr>
        <w:t>clause (z)</w:t>
      </w:r>
      <w:r>
        <w:rPr>
          <w:rFonts w:ascii="Arial" w:cs="Arial" w:eastAsia="Arial" w:hAnsi="Arial"/>
          <w:sz w:val="18"/>
          <w:szCs w:val="18"/>
          <w:color w:val="auto"/>
        </w:rPr>
        <w:t xml:space="preserve"> that is not liable for any Recourse Indebtedness (other than intercompany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that if such Indebtedness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21" w:right="339" w:bottom="1440" w:gutter="0" w:footer="0" w:header="0"/>
        </w:sectPr>
      </w:pPr>
    </w:p>
    <w:bookmarkStart w:id="146" w:name="page147"/>
    <w:bookmarkEnd w:id="146"/>
    <w:p>
      <w:pPr>
        <w:jc w:val="both"/>
        <w:ind w:left="1620"/>
        <w:spacing w:after="0" w:line="241" w:lineRule="auto"/>
        <w:rPr>
          <w:sz w:val="20"/>
          <w:szCs w:val="20"/>
          <w:color w:val="auto"/>
        </w:rPr>
      </w:pPr>
      <w:r>
        <w:rPr>
          <w:rFonts w:ascii="Arial" w:cs="Arial" w:eastAsia="Arial" w:hAnsi="Arial"/>
          <w:sz w:val="18"/>
          <w:szCs w:val="18"/>
          <w:color w:val="auto"/>
        </w:rPr>
        <w:t xml:space="preserve">secured, any associated Liens shall be in favor of the Borrower or a Wholly Owned Subsidiary) or Indebtedness in an amount less than $10,000,000);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property is owned (or, in the case of an Eligible Ground Lease, leased) by any Restricted Subsidiary, the Borrower’s direct and indirect equity interests in such Restricted Subsidiary are not subject to any Lien (other than Permitted Liens) or any negative pledge agreement or other agreement that, in either case, prohibits the creation of a lien to secure the Obligations (other than Negative Pledges permitted by </w:t>
      </w:r>
      <w:r>
        <w:rPr>
          <w:rFonts w:ascii="Arial" w:cs="Arial" w:eastAsia="Arial" w:hAnsi="Arial"/>
          <w:sz w:val="18"/>
          <w:szCs w:val="18"/>
          <w:u w:val="single" w:color="auto"/>
          <w:color w:val="auto"/>
        </w:rPr>
        <w:t>Section 7.9</w:t>
      </w:r>
      <w:r>
        <w:rPr>
          <w:rFonts w:ascii="Arial" w:cs="Arial" w:eastAsia="Arial" w:hAnsi="Arial"/>
          <w:sz w:val="18"/>
          <w:szCs w:val="18"/>
          <w:color w:val="auto"/>
        </w:rPr>
        <w:t>).</w:t>
      </w:r>
    </w:p>
    <w:p>
      <w:pPr>
        <w:spacing w:after="0" w:line="189" w:lineRule="exact"/>
        <w:rPr>
          <w:sz w:val="20"/>
          <w:szCs w:val="20"/>
          <w:color w:val="auto"/>
        </w:rPr>
      </w:pPr>
    </w:p>
    <w:p>
      <w:pPr>
        <w:ind w:left="1660" w:hanging="356"/>
        <w:spacing w:after="0"/>
        <w:tabs>
          <w:tab w:leader="none" w:pos="1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Real Property is an Income Property, a Development Property, a Redevelopment Property or undeveloped land.</w:t>
      </w:r>
    </w:p>
    <w:p>
      <w:pPr>
        <w:spacing w:after="0" w:line="211" w:lineRule="exact"/>
        <w:rPr>
          <w:rFonts w:ascii="Arial" w:cs="Arial" w:eastAsia="Arial" w:hAnsi="Arial"/>
          <w:sz w:val="18"/>
          <w:szCs w:val="18"/>
          <w:color w:val="auto"/>
        </w:rPr>
      </w:pPr>
    </w:p>
    <w:p>
      <w:pPr>
        <w:jc w:val="both"/>
        <w:ind w:left="1620" w:hanging="316"/>
        <w:spacing w:after="0" w:line="248" w:lineRule="auto"/>
        <w:tabs>
          <w:tab w:leader="none" w:pos="1702"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Such Real Property is not otherwise directly or indirectly subject to any Lien (other than Permitted Liens (but not Permitted Liens described in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of such definition)) or any negative pledge agreement or other agreement that prohibits the creation of a Lien to secure the Obligations (other than Negative Pledges permitted by </w:t>
      </w:r>
      <w:r>
        <w:rPr>
          <w:rFonts w:ascii="Arial" w:cs="Arial" w:eastAsia="Arial" w:hAnsi="Arial"/>
          <w:sz w:val="18"/>
          <w:szCs w:val="18"/>
          <w:u w:val="single" w:color="auto"/>
          <w:color w:val="auto"/>
        </w:rPr>
        <w:t>Section 7.9</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620" w:hanging="316"/>
        <w:spacing w:after="0" w:line="261" w:lineRule="auto"/>
        <w:tabs>
          <w:tab w:leader="none" w:pos="1754"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Real Property is free of any material environmental issues and is in material compliance with all environmental laws and regulations, in each case, except as would not materially impact the value of such Real Property.</w:t>
      </w:r>
    </w:p>
    <w:p>
      <w:pPr>
        <w:spacing w:after="0" w:line="170" w:lineRule="exact"/>
        <w:rPr>
          <w:rFonts w:ascii="Arial" w:cs="Arial" w:eastAsia="Arial" w:hAnsi="Arial"/>
          <w:sz w:val="18"/>
          <w:szCs w:val="18"/>
          <w:color w:val="auto"/>
        </w:rPr>
      </w:pPr>
    </w:p>
    <w:p>
      <w:pPr>
        <w:ind w:left="1620" w:hanging="316"/>
        <w:spacing w:after="0" w:line="261" w:lineRule="auto"/>
        <w:tabs>
          <w:tab w:leader="none" w:pos="172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buildings and improvements on such Real Property are free of any material defects which would materially detract from the profitable operation of such Real Property.</w:t>
      </w:r>
    </w:p>
    <w:p>
      <w:pPr>
        <w:spacing w:after="0" w:line="170" w:lineRule="exact"/>
        <w:rPr>
          <w:rFonts w:ascii="Arial" w:cs="Arial" w:eastAsia="Arial" w:hAnsi="Arial"/>
          <w:sz w:val="18"/>
          <w:szCs w:val="18"/>
          <w:color w:val="auto"/>
        </w:rPr>
      </w:pPr>
    </w:p>
    <w:p>
      <w:pPr>
        <w:ind w:left="1660" w:hanging="356"/>
        <w:spacing w:after="0"/>
        <w:tabs>
          <w:tab w:leader="none" w:pos="1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Real Property is located in the United States or a Specified Jurisdiction.</w:t>
      </w:r>
    </w:p>
    <w:p>
      <w:pPr>
        <w:spacing w:after="0" w:line="211" w:lineRule="exact"/>
        <w:rPr>
          <w:rFonts w:ascii="Arial" w:cs="Arial" w:eastAsia="Arial" w:hAnsi="Arial"/>
          <w:sz w:val="18"/>
          <w:szCs w:val="18"/>
          <w:color w:val="auto"/>
        </w:rPr>
      </w:pPr>
    </w:p>
    <w:p>
      <w:pPr>
        <w:ind w:left="1620" w:hanging="316"/>
        <w:spacing w:after="0" w:line="261" w:lineRule="auto"/>
        <w:tabs>
          <w:tab w:leader="none" w:pos="1692"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Such Real Property is owned or leased pursuant to an Eligible Ground Lease by a Person that is not subject to an event of the type described in </w:t>
      </w:r>
      <w:r>
        <w:rPr>
          <w:rFonts w:ascii="Arial" w:cs="Arial" w:eastAsia="Arial" w:hAnsi="Arial"/>
          <w:sz w:val="18"/>
          <w:szCs w:val="18"/>
          <w:u w:val="single" w:color="auto"/>
          <w:color w:val="auto"/>
        </w:rPr>
        <w:t>Section 8(f)</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1620" w:hanging="316"/>
        <w:spacing w:after="0" w:line="270" w:lineRule="auto"/>
        <w:tabs>
          <w:tab w:leader="none" w:pos="173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Such Real Property is not subject to any laws that prohibit, in whole or in part, the owner (or, in the case of an Eligible Ground Lease, the lessee thereunder) from granting a Lien to secure the Obligations (other than notification requirements and requirements to obtain customary Gaming Approvals that would reasonably be expected to be granted in the ordinary course).</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the United States of America.</w:t>
      </w:r>
    </w:p>
    <w:p>
      <w:pPr>
        <w:spacing w:after="0" w:line="21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any Subsidiary of the Borrower designated as such on </w:t>
      </w:r>
      <w:r>
        <w:rPr>
          <w:rFonts w:ascii="Arial" w:cs="Arial" w:eastAsia="Arial" w:hAnsi="Arial"/>
          <w:sz w:val="18"/>
          <w:szCs w:val="18"/>
          <w:u w:val="single" w:color="auto"/>
          <w:color w:val="auto"/>
        </w:rPr>
        <w:t>Schedule 6.15</w:t>
      </w:r>
      <w:r>
        <w:rPr>
          <w:rFonts w:ascii="Arial" w:cs="Arial" w:eastAsia="Arial" w:hAnsi="Arial"/>
          <w:sz w:val="18"/>
          <w:szCs w:val="18"/>
          <w:color w:val="auto"/>
        </w:rPr>
        <w:t xml:space="preserve"> hereto as of the Closing Date, or after the Closing Date pursuant to </w:t>
      </w:r>
      <w:r>
        <w:rPr>
          <w:rFonts w:ascii="Arial" w:cs="Arial" w:eastAsia="Arial" w:hAnsi="Arial"/>
          <w:sz w:val="18"/>
          <w:szCs w:val="18"/>
          <w:u w:val="single" w:color="auto"/>
          <w:color w:val="auto"/>
        </w:rPr>
        <w:t>Section 6.15</w:t>
      </w:r>
      <w:r>
        <w:rPr>
          <w:rFonts w:ascii="Arial" w:cs="Arial" w:eastAsia="Arial" w:hAnsi="Arial"/>
          <w:sz w:val="18"/>
          <w:szCs w:val="18"/>
          <w:color w:val="auto"/>
        </w:rPr>
        <w:t>, and includes any Subsidiary of an Unrestricted Subsidiary.</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Indebtedness</w:t>
      </w:r>
      <w:r>
        <w:rPr>
          <w:rFonts w:ascii="Arial" w:cs="Arial" w:eastAsia="Arial" w:hAnsi="Arial"/>
          <w:sz w:val="18"/>
          <w:szCs w:val="18"/>
          <w:color w:val="auto"/>
        </w:rPr>
        <w:t>”: the outstanding principal amount of Total Indebtedness that is not Secured Indebtedness.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Interest Coverage Ratio</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7.1(e)</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Interest Expense</w:t>
      </w:r>
      <w:r>
        <w:rPr>
          <w:rFonts w:ascii="Arial" w:cs="Arial" w:eastAsia="Arial" w:hAnsi="Arial"/>
          <w:sz w:val="18"/>
          <w:szCs w:val="18"/>
          <w:color w:val="auto"/>
        </w:rPr>
        <w:t>”: for any fiscal period, the amount of actual Interest Expense on Unsecured Indebtedness.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Leverage Ratio</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7.1(d)</w:t>
      </w:r>
      <w:r>
        <w:rPr>
          <w:rFonts w:ascii="Arial" w:cs="Arial" w:eastAsia="Arial" w:hAnsi="Arial"/>
          <w:sz w:val="18"/>
          <w:szCs w:val="18"/>
          <w:color w:val="auto"/>
        </w:rPr>
        <w:t>.</w:t>
      </w:r>
    </w:p>
    <w:p>
      <w:pPr>
        <w:spacing w:after="0" w:line="21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 Business Day</w:t>
      </w:r>
      <w:r>
        <w:rPr>
          <w:rFonts w:ascii="Arial" w:cs="Arial" w:eastAsia="Arial" w:hAnsi="Arial"/>
          <w:sz w:val="18"/>
          <w:szCs w:val="18"/>
          <w:color w:val="auto"/>
        </w:rPr>
        <w:t>”: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a “United States person” within the meaning of Section 7701(a)(30)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21" w:right="339" w:bottom="1440" w:gutter="0" w:footer="0" w:header="0"/>
        </w:sectPr>
      </w:pPr>
    </w:p>
    <w:bookmarkStart w:id="147" w:name="page148"/>
    <w:bookmarkEnd w:id="147"/>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Resolutions Regimes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10.23</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2.17(f)(ii)(B)(3)</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“USD L/C Disbursement”: a payment made by an Issuing Lender pursuant to a USD Letter of Credit.</w:t>
      </w:r>
    </w:p>
    <w:p>
      <w:pPr>
        <w:spacing w:after="0" w:line="212"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18"/>
          <w:szCs w:val="18"/>
          <w:u w:val="single" w:color="auto"/>
          <w:color w:val="0000FF"/>
          <w:highlight w:val="lightGray"/>
        </w:rPr>
        <w:t>“USD L/C Exposure”: at any time, the sum of (a) the aggregate undrawn amount of all outstanding USD Letters of Credit at such time, plus (b) the aggregate amount of all USD L/C Disbursements that have not yet been reimbursed by or on behalf of the Borrower at such time. The USD L/C Exposure of any Lender at any time shall be its USD Revolving Percentage of the USD L/C Exposure at such time. For all purposes of this Agreement, if on any date of determination a USD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USD Letter of Credit itself, or if compliant documents have been presented but not yet honored, such USD Letter of Credit shall be deemed to be “outstanding” and “undrawn” in the amount so remaining available to be paid, and the obligations of the Borrower and each Lender shall remain in full force and effect until the Issuing Lenders and the Lenders shall have no further obligations to make any payments or disbursements under any circumstances with respect to any USD Letter of Credit</w:t>
      </w:r>
    </w:p>
    <w:p>
      <w:pPr>
        <w:spacing w:after="0" w:line="19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u w:val="single" w:color="auto"/>
          <w:color w:val="0000FF"/>
          <w:highlight w:val="lightGray"/>
        </w:rPr>
        <w:t>“USD L/C Obligations”: at any time, an amount equal to the sum of (a) the aggregate then undrawn and unexpired amount of the then outstanding USD Letters of Credit and (b) the aggregate amount of drawings under USD Letters of Credit that have not then been reimbursed pursuant to Section 3.5.</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“USD L/C Participants”: the collective reference to all the USD Revolving Lenders other than the Issuing Lender.</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“USD Letters of Credit”: as defined in Section 3.1(a).</w:t>
      </w:r>
    </w:p>
    <w:p>
      <w:pPr>
        <w:spacing w:after="0" w:line="212"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8"/>
          <w:szCs w:val="18"/>
          <w:u w:val="single" w:color="auto"/>
          <w:color w:val="0000FF"/>
          <w:highlight w:val="lightGray"/>
        </w:rPr>
        <w:t>“USD Revolving Commitment”: as to any Lender, the obligation of such Lender, if any, to make USD Revolving Loans and participate in Letters of Credit in an aggregate principal and/or face amount not to exceed the amount set forth under the heading “USD Revolving Commitment” opposite such Lender’s name on Schedule 1.1A or in the Assignment and Assumption pursuant to which such Lender became a party hereto, as the same may be changed from time to time pursuant to the terms hereof, including Section 2.7 and Section 2.21. The original amount of the Total USD Revolving Commitments is $1,250,000,000.</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“USD Revolving Commitment Period”: the period from and including the Closing Date to the USD Revolving Maturity Date.</w:t>
      </w:r>
    </w:p>
    <w:p>
      <w:pPr>
        <w:spacing w:after="0" w:line="21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u w:val="single" w:color="auto"/>
          <w:color w:val="0000FF"/>
          <w:highlight w:val="lightGray"/>
        </w:rPr>
        <w:t>“USD Revolving Exposure”: with respect to any Lender at any time, the sum of the outstanding principal amount of such Lender’s USD Revolving Loans and its USD L/C Exposure at such time.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“USD Revolving Extension Response Date”: as defined in Section 2.23(c).</w:t>
      </w:r>
    </w:p>
    <w:p>
      <w:pPr>
        <w:spacing w:after="0" w:line="21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u w:val="single" w:color="auto"/>
          <w:color w:val="0000FF"/>
          <w:highlight w:val="lightGray"/>
        </w:rPr>
        <w:t>“USD Revolving Extensions of Credit”: as to any USD Revolving Lender at any time, an amount equal to the sum of (a) the aggregate principal amount of all USD Revolving Loans held by such Lender then outstanding and (b) such Lender’s USD Revolving Percentage of the USD L/C Obligations then outstanding.</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0000FF"/>
          <w:highlight w:val="lightGray"/>
        </w:rPr>
        <w:t>“USD Revolving Facility”: the USD Revolving Commitments and the Loans and extensions of credit made thereunder made thereunder.</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“USD Revolving Facility Fee”: as defined in Section 2.6(a).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21" w:right="339" w:bottom="1440" w:gutter="0" w:footer="0" w:header="0"/>
        </w:sectPr>
      </w:pPr>
    </w:p>
    <w:bookmarkStart w:id="148" w:name="page149"/>
    <w:bookmarkEnd w:id="148"/>
    <w:p>
      <w:pPr>
        <w:ind w:left="1300"/>
        <w:spacing w:after="0"/>
        <w:rPr>
          <w:sz w:val="20"/>
          <w:szCs w:val="20"/>
          <w:color w:val="auto"/>
        </w:rPr>
      </w:pPr>
      <w:r>
        <w:rPr>
          <w:rFonts w:ascii="Arial" w:cs="Arial" w:eastAsia="Arial" w:hAnsi="Arial"/>
          <w:sz w:val="18"/>
          <w:szCs w:val="18"/>
          <w:u w:val="single" w:color="auto"/>
          <w:color w:val="0000FF"/>
          <w:highlight w:val="lightGray"/>
        </w:rPr>
        <w:t>“USD Revolving Lender”: each Lender that has a USD Revolving Commitment or that holds USD Revolving Loans.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“USD Revolving Loans”: as defined in Section 2.4(b).</w:t>
      </w:r>
    </w:p>
    <w:p>
      <w:pPr>
        <w:spacing w:after="0" w:line="212"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7"/>
          <w:szCs w:val="17"/>
          <w:u w:val="single" w:color="auto"/>
          <w:color w:val="0000FF"/>
          <w:highlight w:val="lightGray"/>
        </w:rPr>
        <w:t>“USD Revolving Maturity Date”: March 31, 2026 (the “Initial USD Revolving Maturity Date”), subject to extension as provided in Section 2.23; provided, however, in each case, if such date is not a Business Day, the Maturity Date shall be the next preceding Business Day.</w:t>
      </w:r>
    </w:p>
    <w:p>
      <w:pPr>
        <w:spacing w:after="0" w:line="14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7"/>
          <w:szCs w:val="17"/>
          <w:u w:val="single" w:color="auto"/>
          <w:color w:val="0000FF"/>
          <w:highlight w:val="lightGray"/>
        </w:rPr>
        <w:t>“USD Revolving Percentage”: as to any USD Revolving Lender at any time, the percentage which such Lender’s USD Revolving Commitment then constitutes of the Total USD Revolving Commitments; provided, that in the case of Section 2.22 when a Defaulting Lender which is a USD Revolving Lender shall exist, “USD Revolving Percentage” shall mean the percentage which such Lender’s USD Revolving Commitment then constitutes of the Total USD Revolving Commitment (disregarding any Defaulting Lender’s USD Revolving Commitment). With respect to any USD Revolving Lender whose USD Revolving Commitments shall have expired or terminated, “USD Revolving Percentage” shall mean the percentage which the aggregate principal amount of such Lender’s USD Revolving Loans then outstanding constitutes of the aggregate principal amount of the USD Revolving Loans then outstanding, provided, that in the event that the USD Revolving Loans are paid in full prior to the reduction to zero of the Total USD Revolving Extensions of Credit, the USD Revolving Percentages shall be determined in a manner designed to ensure that the other outstanding USD Revolving Extensions of Credit shall be held by the USD Revolving Lenders on a comparable basis.</w:t>
      </w:r>
    </w:p>
    <w:p>
      <w:pPr>
        <w:spacing w:after="0" w:line="184" w:lineRule="exact"/>
        <w:rPr>
          <w:sz w:val="20"/>
          <w:szCs w:val="20"/>
          <w:color w:val="auto"/>
        </w:rPr>
      </w:pPr>
    </w:p>
    <w:p>
      <w:pPr>
        <w:jc w:val="both"/>
        <w:ind w:right="20" w:firstLine="1296"/>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Venetian Bridge Facility</w:t>
      </w:r>
      <w:r>
        <w:rPr>
          <w:rFonts w:ascii="Arial" w:cs="Arial" w:eastAsia="Arial" w:hAnsi="Arial"/>
          <w:sz w:val="17"/>
          <w:szCs w:val="17"/>
          <w:color w:val="auto"/>
        </w:rPr>
        <w:t>”: the bridge facility referenced in that certain Commitment Letter, dated as of March 2, 2021, among Deutsche Bank Securities Inc., Deutsche Bank AG Cayman Islands Branch, Morgan Stanley Senior Funding, Inc. and VICI Properties 1 LLC.</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Venetian Bridge Facility Funding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6.16(b)</w:t>
      </w:r>
      <w:r>
        <w:rPr>
          <w:rFonts w:ascii="Arial" w:cs="Arial" w:eastAsia="Arial" w:hAnsi="Arial"/>
          <w:sz w:val="18"/>
          <w:szCs w:val="18"/>
          <w:color w:val="auto"/>
        </w:rPr>
        <w:t>.</w:t>
      </w:r>
    </w:p>
    <w:p>
      <w:pPr>
        <w:spacing w:after="0" w:line="21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Venetian Bridge Facility Termination Date</w:t>
      </w:r>
      <w:r>
        <w:rPr>
          <w:rFonts w:ascii="Arial" w:cs="Arial" w:eastAsia="Arial" w:hAnsi="Arial"/>
          <w:sz w:val="18"/>
          <w:szCs w:val="18"/>
          <w:color w:val="auto"/>
        </w:rPr>
        <w:t>”: the date on which (a) the commitments in respect of the Venetian Bridge Facility, and any outstanding loans in respect of the Venetian Bridge Facility (if any), are reduced to zero and (b) any guarantees in respect of, and any liens securing, the Venetian Bridge Facility are terminated.</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VICI</w:t>
      </w:r>
      <w:r>
        <w:rPr>
          <w:rFonts w:ascii="Arial" w:cs="Arial" w:eastAsia="Arial" w:hAnsi="Arial"/>
          <w:sz w:val="18"/>
          <w:szCs w:val="18"/>
          <w:color w:val="auto"/>
        </w:rPr>
        <w:t>”: VICI Properties Inc., a Maryland corporation.</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VICI OP Partners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10.24</w:t>
      </w:r>
      <w:r>
        <w:rPr>
          <w:rFonts w:ascii="Arial" w:cs="Arial" w:eastAsia="Arial" w:hAnsi="Arial"/>
          <w:sz w:val="18"/>
          <w:szCs w:val="18"/>
          <w:color w:val="auto"/>
        </w:rPr>
        <w:t>.</w:t>
      </w:r>
    </w:p>
    <w:p>
      <w:pPr>
        <w:spacing w:after="0" w:line="212"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Wholly Owned Subsidiary</w:t>
      </w:r>
      <w:r>
        <w:rPr>
          <w:rFonts w:ascii="Arial" w:cs="Arial" w:eastAsia="Arial" w:hAnsi="Arial"/>
          <w:sz w:val="16"/>
          <w:szCs w:val="16"/>
          <w:color w:val="auto"/>
        </w:rPr>
        <w:t>”: a Restricted Subsidiary of the Borrower all of the Equity Interests of which (other than directors’ qualifying shares) is owned by the Borrower or another Wholly Owned Subsidiary. In addition, the term “Wholly Owned Subsidiary” means a Subsidiary of the Borrower that has elected to be treated as a “real estate investment trust” in accordance with Section 856 through 860 of the Code and in which either the Borrower or a Subsidiary of the Borrower described in this definition owns 100% of the outstanding common Equity Interests and has management control.</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xml:space="preserve">” </w:t>
      </w:r>
      <w:r>
        <w:rPr>
          <w:rFonts w:ascii="Arial" w:cs="Arial" w:eastAsia="Arial" w:hAnsi="Arial"/>
          <w:sz w:val="18"/>
          <w:szCs w:val="18"/>
          <w:color w:val="FF0000"/>
          <w:strike w:val="1"/>
        </w:rPr>
        <w:t>means</w:t>
      </w:r>
      <w:r>
        <w:rPr>
          <w:rFonts w:ascii="Arial" w:cs="Arial" w:eastAsia="Arial" w:hAnsi="Arial"/>
          <w:sz w:val="18"/>
          <w:szCs w:val="18"/>
          <w:u w:val="single" w:color="auto"/>
          <w:color w:val="0000FF"/>
          <w:highlight w:val="lightGray"/>
        </w:rPr>
        <w:t>:</w:t>
      </w:r>
      <w:r>
        <w:rPr>
          <w:rFonts w:ascii="Arial" w:cs="Arial" w:eastAsia="Arial" w:hAnsi="Arial"/>
          <w:sz w:val="18"/>
          <w:szCs w:val="18"/>
          <w:color w:val="auto"/>
        </w:rPr>
        <w:t xml:space="preserve"> any Loan Party and the Administrative Agent.</w:t>
      </w:r>
    </w:p>
    <w:p>
      <w:pPr>
        <w:spacing w:after="0" w:line="21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21" w:right="339" w:bottom="1440" w:gutter="0" w:footer="0" w:header="0"/>
        </w:sectPr>
      </w:pPr>
    </w:p>
    <w:bookmarkStart w:id="149" w:name="page150"/>
    <w:bookmarkEnd w:id="149"/>
    <w:p>
      <w:pPr>
        <w:jc w:val="both"/>
        <w:ind w:firstLine="648"/>
        <w:spacing w:after="0" w:line="252"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Other Definitional Provisions</w:t>
      </w:r>
      <w:r>
        <w:rPr>
          <w:rFonts w:ascii="Arial" w:cs="Arial" w:eastAsia="Arial" w:hAnsi="Arial"/>
          <w:sz w:val="17"/>
          <w:szCs w:val="17"/>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rule or regulation herein shall, unless otherwise specified, refer to such law, rule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spacing w:after="0" w:line="18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Classifications of Loans and Borrowings</w:t>
      </w:r>
      <w:r>
        <w:rPr>
          <w:rFonts w:ascii="Arial" w:cs="Arial" w:eastAsia="Arial" w:hAnsi="Arial"/>
          <w:sz w:val="16"/>
          <w:szCs w:val="16"/>
          <w:color w:val="auto"/>
        </w:rPr>
        <w:t>. For purposes of this Agreement, Loans may be classified and referred to by Class (e.g., a “Revolving Loan”) or by Type (e.g., a “Term Benchmark Loan” or an “RFR Loan”) or by Class and Type (e.g., a “Term Benchmark Revolving Loan” or an “RFR Revolving Loan”). Borrowings also may be classified and referred to by Class (e.g., a “Revolving Borrowing”) or by Type (e.g., a “Term Benchmark Borrowing” or an “RFR Borrowing”) or by Class and Type (e.g., a “Term Benchmark Revolving Borrowing” or an “RFR Revolving Borrowing”).</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Accounting Terms; GAAP</w:t>
      </w:r>
      <w:r>
        <w:rPr>
          <w:rFonts w:ascii="Arial" w:cs="Arial" w:eastAsia="Arial" w:hAnsi="Arial"/>
          <w:sz w:val="17"/>
          <w:szCs w:val="17"/>
          <w:color w:val="auto"/>
        </w:rPr>
        <w:t xml:space="preserve">. (a) Except as otherwise expressly provided herein, all terms of an accounting or financial nature shall be construed in accordance with GAAP,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(1) any election under Financial Accounting Standards Board Accounting Standards Codification 825 (or any other Financial Accounting Standard having a similar result or effect) to value any Indebtedness or other liabilities of the Borrower or any Subsidiary at “fair value”, as defined therein and (2) any treatment of Indebtedness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80" w:lineRule="exact"/>
        <w:rPr>
          <w:sz w:val="20"/>
          <w:szCs w:val="20"/>
          <w:color w:val="auto"/>
        </w:rPr>
      </w:pPr>
    </w:p>
    <w:p>
      <w:pPr>
        <w:jc w:val="both"/>
        <w:ind w:firstLine="656"/>
        <w:spacing w:after="0"/>
        <w:tabs>
          <w:tab w:leader="none" w:pos="1077"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1.4(a)</w:t>
      </w:r>
      <w:r>
        <w:rPr>
          <w:rFonts w:ascii="Arial" w:cs="Arial" w:eastAsia="Arial" w:hAnsi="Arial"/>
          <w:sz w:val="18"/>
          <w:szCs w:val="18"/>
          <w:color w:val="auto"/>
        </w:rPr>
        <w:t xml:space="preserve"> or in the definition of “Finance Lease,” any change in accounting for leases pursuant to GAAP resulting from the adoption of Financial Accounting Standards Board Accounting Standards Update No. 2016-02, Leases (Topic 842), to the extent such adoption would require treating any lease (or similar arrangement conveying the right to use) as a Finance Lease where such lease (or similar arrangement) would not have been required to be so treated under GAAP as in effect on December 31, 2015, such lease shall not be considered a Finance Lease, and all calculations and deliverables under this Agreement or any other Loan Document shall be made or delivered, as applicable, in accordance therewith.</w:t>
      </w:r>
    </w:p>
    <w:p>
      <w:pPr>
        <w:spacing w:after="0" w:line="18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Interest Rates; Benchmark Notification</w:t>
      </w:r>
      <w:r>
        <w:rPr>
          <w:rFonts w:ascii="Arial" w:cs="Arial" w:eastAsia="Arial" w:hAnsi="Arial"/>
          <w:sz w:val="18"/>
          <w:szCs w:val="18"/>
          <w:color w:val="auto"/>
        </w:rPr>
        <w:t xml:space="preserve">. The interest rate on a Loan denominated in Dollars </w:t>
      </w:r>
      <w:r>
        <w:rPr>
          <w:rFonts w:ascii="Arial" w:cs="Arial" w:eastAsia="Arial" w:hAnsi="Arial"/>
          <w:sz w:val="18"/>
          <w:szCs w:val="18"/>
          <w:u w:val="single" w:color="auto"/>
          <w:color w:val="0000FF"/>
          <w:highlight w:val="lightGray"/>
        </w:rPr>
        <w:t>or an Alternative Currency</w:t>
      </w:r>
      <w:r>
        <w:rPr>
          <w:rFonts w:ascii="Arial" w:cs="Arial" w:eastAsia="Arial" w:hAnsi="Arial"/>
          <w:sz w:val="18"/>
          <w:szCs w:val="18"/>
          <w:color w:val="auto"/>
        </w:rPr>
        <w:t xml:space="preserve"> may be derived from an interest rate benchmark that may be discontinued or is, or may in the future become, the subject of regulatory reform. Upon the occurrence of a Benchmark Transition Event, </w:t>
      </w:r>
      <w:r>
        <w:rPr>
          <w:rFonts w:ascii="Arial" w:cs="Arial" w:eastAsia="Arial" w:hAnsi="Arial"/>
          <w:sz w:val="18"/>
          <w:szCs w:val="18"/>
          <w:u w:val="single" w:color="auto"/>
          <w:color w:val="auto"/>
        </w:rPr>
        <w:t>Section 2.14(b)</w:t>
      </w:r>
      <w:r>
        <w:rPr>
          <w:rFonts w:ascii="Arial" w:cs="Arial" w:eastAsia="Arial" w:hAnsi="Arial"/>
          <w:sz w:val="18"/>
          <w:szCs w:val="18"/>
          <w:color w:val="auto"/>
        </w:rPr>
        <w:t xml:space="preserve">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21" w:right="339" w:bottom="1440" w:gutter="0" w:footer="0" w:header="0"/>
        </w:sectPr>
      </w:pPr>
    </w:p>
    <w:bookmarkStart w:id="150" w:name="page151"/>
    <w:bookmarkEnd w:id="150"/>
    <w:p>
      <w:pPr>
        <w:ind w:right="20"/>
        <w:spacing w:after="0" w:line="271" w:lineRule="auto"/>
        <w:rPr>
          <w:sz w:val="20"/>
          <w:szCs w:val="20"/>
          <w:color w:val="auto"/>
        </w:rPr>
      </w:pPr>
      <w:r>
        <w:rPr>
          <w:rFonts w:ascii="Arial" w:cs="Arial" w:eastAsia="Arial" w:hAnsi="Arial"/>
          <w:sz w:val="16"/>
          <w:szCs w:val="16"/>
          <w:color w:val="auto"/>
        </w:rPr>
        <w:t>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(a) all references herein to times of day shall be references to Eastern time (daylight or standard, as applicable) and (b) when any date specified herein as the due date for a notice or other deliverable is not a Business Day, such due date shall be extended to the next following Business Day.</w:t>
      </w:r>
    </w:p>
    <w:p>
      <w:pPr>
        <w:spacing w:after="0" w:line="18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Letter of Credit Amounts</w:t>
      </w:r>
      <w:r>
        <w:rPr>
          <w:rFonts w:ascii="Arial" w:cs="Arial" w:eastAsia="Arial" w:hAnsi="Arial"/>
          <w:sz w:val="18"/>
          <w:szCs w:val="18"/>
          <w:color w:val="auto"/>
        </w:rPr>
        <w:t xml:space="preserve">. Unless otherwise specified herein, the amount of a Letter of Credit at any time shall be deemed to be the </w:t>
      </w:r>
      <w:r>
        <w:rPr>
          <w:rFonts w:ascii="Arial" w:cs="Arial" w:eastAsia="Arial" w:hAnsi="Arial"/>
          <w:sz w:val="18"/>
          <w:szCs w:val="18"/>
          <w:u w:val="single" w:color="auto"/>
          <w:color w:val="0000FF"/>
          <w:highlight w:val="lightGray"/>
        </w:rPr>
        <w:t>Dollar</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Equivalent of the</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stated amount of such Letter of Credit available to be drawn at such time;</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that with respect to any Letter of Credit that, by its</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 xml:space="preserve">terms or the terms of any Letter of Credit Agreement related thereto, provides for one or more automatic increases in the available amount thereof, the amount of such Letter of Credit shall be deemed to be the </w:t>
      </w:r>
      <w:r>
        <w:rPr>
          <w:rFonts w:ascii="Arial" w:cs="Arial" w:eastAsia="Arial" w:hAnsi="Arial"/>
          <w:sz w:val="18"/>
          <w:szCs w:val="18"/>
          <w:u w:val="single" w:color="auto"/>
          <w:color w:val="0000FF"/>
          <w:highlight w:val="lightGray"/>
        </w:rPr>
        <w:t>Dollar Equivalent of the</w:t>
      </w:r>
      <w:r>
        <w:rPr>
          <w:rFonts w:ascii="Arial" w:cs="Arial" w:eastAsia="Arial" w:hAnsi="Arial"/>
          <w:sz w:val="18"/>
          <w:szCs w:val="18"/>
          <w:color w:val="000000"/>
        </w:rPr>
        <w:t xml:space="preserve"> maximum amount of such Letter of Credit after giving effect to all such increases, whether or not such maximum amount is available to be drawn at such time.</w:t>
      </w:r>
    </w:p>
    <w:p>
      <w:pPr>
        <w:spacing w:after="0" w:line="18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u w:val="single" w:color="auto"/>
          <w:color w:val="auto"/>
        </w:rPr>
        <w:t>Pro Forma Calculations</w:t>
      </w:r>
      <w:r>
        <w:rPr>
          <w:rFonts w:ascii="Arial" w:cs="Arial" w:eastAsia="Arial" w:hAnsi="Arial"/>
          <w:sz w:val="17"/>
          <w:szCs w:val="17"/>
          <w:color w:val="auto"/>
        </w:rPr>
        <w:t xml:space="preserve">. (a) Notwithstanding anything to the contrary herein, the Financial Ratios shall be calculated in the manner prescribed by this </w:t>
      </w:r>
      <w:r>
        <w:rPr>
          <w:rFonts w:ascii="Arial" w:cs="Arial" w:eastAsia="Arial" w:hAnsi="Arial"/>
          <w:sz w:val="17"/>
          <w:szCs w:val="17"/>
          <w:u w:val="single" w:color="auto"/>
          <w:color w:val="auto"/>
        </w:rPr>
        <w:t>Section 1.9</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to the contrary in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1.9</w:t>
      </w:r>
      <w:r>
        <w:rPr>
          <w:rFonts w:ascii="Arial" w:cs="Arial" w:eastAsia="Arial" w:hAnsi="Arial"/>
          <w:sz w:val="17"/>
          <w:szCs w:val="17"/>
          <w:color w:val="auto"/>
        </w:rPr>
        <w:t xml:space="preserve">, when calculating the Financial Ratios, as applicable, for purposes of determining actual compliance (and not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compliance or compliance on a </w:t>
      </w:r>
      <w:r>
        <w:rPr>
          <w:rFonts w:ascii="Arial" w:cs="Arial" w:eastAsia="Arial" w:hAnsi="Arial"/>
          <w:sz w:val="17"/>
          <w:szCs w:val="17"/>
          <w:i w:val="1"/>
          <w:iCs w:val="1"/>
          <w:color w:val="auto"/>
        </w:rPr>
        <w:t>pro</w:t>
      </w:r>
      <w:r>
        <w:rPr>
          <w:rFonts w:ascii="Arial" w:cs="Arial" w:eastAsia="Arial" w:hAnsi="Arial"/>
          <w:sz w:val="17"/>
          <w:szCs w:val="17"/>
          <w:color w:val="auto"/>
        </w:rPr>
        <w:t xml:space="preserve"> forma basis) with any covenant pursuant to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(Financial Condition Covenants), the events described in this </w:t>
      </w:r>
      <w:r>
        <w:rPr>
          <w:rFonts w:ascii="Arial" w:cs="Arial" w:eastAsia="Arial" w:hAnsi="Arial"/>
          <w:sz w:val="17"/>
          <w:szCs w:val="17"/>
          <w:u w:val="single" w:color="auto"/>
          <w:color w:val="auto"/>
        </w:rPr>
        <w:t>Section 1.9</w:t>
      </w:r>
      <w:r>
        <w:rPr>
          <w:rFonts w:ascii="Arial" w:cs="Arial" w:eastAsia="Arial" w:hAnsi="Arial"/>
          <w:sz w:val="17"/>
          <w:szCs w:val="17"/>
          <w:color w:val="auto"/>
        </w:rPr>
        <w:t xml:space="preserve"> that occurred subsequent to the end of the applicable period of four consecutive fiscal quarters of the Borrower shall not be given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w:t>
      </w:r>
    </w:p>
    <w:p>
      <w:pPr>
        <w:spacing w:after="0" w:line="174" w:lineRule="exact"/>
        <w:rPr>
          <w:sz w:val="20"/>
          <w:szCs w:val="20"/>
          <w:color w:val="auto"/>
        </w:rPr>
      </w:pPr>
    </w:p>
    <w:p>
      <w:pPr>
        <w:jc w:val="both"/>
        <w:ind w:firstLine="1304"/>
        <w:spacing w:after="0" w:line="252" w:lineRule="auto"/>
        <w:tabs>
          <w:tab w:leader="none" w:pos="1735"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For purposes of calculating the Financial Ratios, Specified Transactions (and the incurrence or repayment of any Indebtedness in connection therewith) that have been made (i) during the applicable period of four consecutive fiscal quarters of the Borrower and (ii) subsequent to such period of four consecutive fiscal quarters of the Borrower and in connection with the event for which the calculation of any such ratio is made shall be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assuming that all such Specified Transactions (and any increase or decrease in Total EBITDA, Unencumbered Asset Value, Total Asset Value or Unencumbered NOI and the component financial definitions used therein attributable to any Specified Transaction) had occurred on the first day of the applicable period of four consecutive fiscal quarters of the Borrower (whether or not occurring concurrently with the event for which the calculation is made) (it being understood that no such increase shall be reflected with respect to Unencumbered Asset Value, Total Asset Value or Unencumbered NOI as a result of this </w:t>
      </w:r>
      <w:r>
        <w:rPr>
          <w:rFonts w:ascii="Arial" w:cs="Arial" w:eastAsia="Arial" w:hAnsi="Arial"/>
          <w:sz w:val="17"/>
          <w:szCs w:val="17"/>
          <w:u w:val="single" w:color="auto"/>
          <w:color w:val="auto"/>
        </w:rPr>
        <w:t>Section 1.9(b)</w:t>
      </w:r>
      <w:r>
        <w:rPr>
          <w:rFonts w:ascii="Arial" w:cs="Arial" w:eastAsia="Arial" w:hAnsi="Arial"/>
          <w:sz w:val="17"/>
          <w:szCs w:val="17"/>
          <w:color w:val="auto"/>
        </w:rPr>
        <w:t xml:space="preserve"> to the extent that such defined terms (or the component financial definitions used therein) separately provide a mechanism for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increase (or annualization) as a result of such Specified Transaction). If since the beginning of any applicable period of four consecutive fiscal quarters of the Borrower any Person that subsequently became a Subsidiary of the Borrower or was merged, amalgamated or consolidated with or into the Borrower or any of its Subsidiaries since the beginning of such period of four consecutive fiscal quarters shall have made any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21" w:right="339" w:bottom="1440" w:gutter="0" w:footer="0" w:header="0"/>
        </w:sectPr>
      </w:pPr>
    </w:p>
    <w:bookmarkStart w:id="151" w:name="page152"/>
    <w:bookmarkEnd w:id="151"/>
    <w:p>
      <w:pPr>
        <w:spacing w:after="0" w:line="261" w:lineRule="auto"/>
        <w:rPr>
          <w:sz w:val="20"/>
          <w:szCs w:val="20"/>
          <w:color w:val="auto"/>
        </w:rPr>
      </w:pPr>
      <w:r>
        <w:rPr>
          <w:rFonts w:ascii="Arial" w:cs="Arial" w:eastAsia="Arial" w:hAnsi="Arial"/>
          <w:sz w:val="18"/>
          <w:szCs w:val="18"/>
          <w:color w:val="auto"/>
        </w:rPr>
        <w:t xml:space="preserve">Transaction that would have required adjustment pursuant to this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then the Financial Ratios shall be calculated to give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in accordance with this </w:t>
      </w:r>
      <w:r>
        <w:rPr>
          <w:rFonts w:ascii="Arial" w:cs="Arial" w:eastAsia="Arial" w:hAnsi="Arial"/>
          <w:sz w:val="18"/>
          <w:szCs w:val="18"/>
          <w:u w:val="single" w:color="auto"/>
          <w:color w:val="auto"/>
        </w:rPr>
        <w:t>Section 1.9</w:t>
      </w:r>
      <w:r>
        <w:rPr>
          <w:rFonts w:ascii="Arial" w:cs="Arial" w:eastAsia="Arial" w:hAnsi="Arial"/>
          <w:sz w:val="18"/>
          <w:szCs w:val="18"/>
          <w:color w:val="auto"/>
        </w:rPr>
        <w:t>.</w:t>
      </w:r>
    </w:p>
    <w:p>
      <w:pPr>
        <w:spacing w:after="0" w:line="171" w:lineRule="exact"/>
        <w:rPr>
          <w:sz w:val="20"/>
          <w:szCs w:val="20"/>
          <w:color w:val="auto"/>
        </w:rPr>
      </w:pPr>
    </w:p>
    <w:p>
      <w:pPr>
        <w:jc w:val="both"/>
        <w:ind w:firstLine="1304"/>
        <w:spacing w:after="0" w:line="267" w:lineRule="auto"/>
        <w:tabs>
          <w:tab w:leader="none" w:pos="1786"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In the event that the Borrower or any of its Restricted Subsidiaries incurs (including by assumption or guarantees) or repays (including by redemption, repayment, prepayment, retirement, exchange or extinguishment or Discharge) any Indebtedness included in the calculations of any of the Financial Ratios (in each case, other than Indebtedness incurred or repaid under any revolving credit facility), (i) during the applicable period of four consecutive fiscal quarters of the Borrower and/or (ii) subsequent to the end of the applicable period of four consecutive fiscal quarters of the Borrower and prior to or simultaneously with the event for which the calculation of any such ratio is made, then the Financial Ratios shall be calculated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such incurrence or repayment or Discharge of Indebtedness, to the extent required, as if the same had occurred on (A) the last day of the applicable period of four consecutive fiscal quarters of the Borrower in the case of the Total Leverage Ratio, the Secured Leverage Ratio and the Unsecured Leverage Ratio and (B) the first day of the applicable period of four consecutive fiscal quarters of the Borrower in the case of the Fixed Charge Coverage Ratio and the Unsecured Interest Coverage Ratio. If any Indebtedness bears a floating rate of interest and is being given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 interest on such Indebtedness shall be calculated as if the rate in effect on the date of the event for which the calculation of the Fixed Charge Coverage Ratio or the Unsecured Interest Coverage Ratio, as applicable, is made had been the applicable rate for the entire period (taking into account any hedging obligations applicable to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repayment of any Indebtedness, to the extent actual interest related thereto was included during all or any portion of the applicable period of four consecutive fiscal quarters of the Borrower, the actual interest may be used for the applicable portion of such period of four consecutive fiscal quarters of the Borrower and to give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such repayment. Interest in respect of a Finance Lease shall be deemed to accrue at an interest rate reasonably determined by a responsible financial or accounting officer of the Borrower to be the rate of interest implicit in such related Finance Lease in accordance with GAAP. Interest on Indebtedness that may optionally be determined at an interest rate based upon a factor of a prime or similar rate, a risk free or risk adjusted rate, or other rate, shall be determined to have been based upon the rate actually chosen, or if none, then based upon such optional rate chosen as the Borrower may designate.</w:t>
      </w:r>
    </w:p>
    <w:p>
      <w:pPr>
        <w:spacing w:after="0" w:line="176" w:lineRule="exact"/>
        <w:rPr>
          <w:rFonts w:ascii="Arial" w:cs="Arial" w:eastAsia="Arial" w:hAnsi="Arial"/>
          <w:sz w:val="16"/>
          <w:szCs w:val="16"/>
          <w:color w:val="auto"/>
        </w:rPr>
      </w:pPr>
    </w:p>
    <w:p>
      <w:pPr>
        <w:jc w:val="both"/>
        <w:ind w:firstLine="656"/>
        <w:spacing w:after="0" w:line="238" w:lineRule="auto"/>
        <w:tabs>
          <w:tab w:leader="none" w:pos="1073"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When used in reference to the calculation of Financial Ratios for purposes of determining actual compliance with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not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forma </w:t>
      </w:r>
      <w:r>
        <w:rPr>
          <w:rFonts w:ascii="Arial" w:cs="Arial" w:eastAsia="Arial" w:hAnsi="Arial"/>
          <w:sz w:val="18"/>
          <w:szCs w:val="18"/>
          <w:color w:val="auto"/>
        </w:rPr>
        <w:t>compliance or compliance on a</w:t>
      </w:r>
      <w:r>
        <w:rPr>
          <w:rFonts w:ascii="Arial" w:cs="Arial" w:eastAsia="Arial" w:hAnsi="Arial"/>
          <w:sz w:val="18"/>
          <w:szCs w:val="18"/>
          <w:i w:val="1"/>
          <w:iCs w:val="1"/>
          <w:color w:val="auto"/>
        </w:rPr>
        <w:t xml:space="preserve"> pro forma </w:t>
      </w:r>
      <w:r>
        <w:rPr>
          <w:rFonts w:ascii="Arial" w:cs="Arial" w:eastAsia="Arial" w:hAnsi="Arial"/>
          <w:sz w:val="18"/>
          <w:szCs w:val="18"/>
          <w:color w:val="auto"/>
        </w:rPr>
        <w:t>basis), references to the date of determination shall mean the last day of the relevant fiscal quarter then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being tested. When used in reference to the calculation of Financial Ratios for purposes of determining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compliance or compliance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(other than for purposes of actual compliance with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references to the date of determination shall mean the calculation of Financial Ratios as of the last day of the most recent period of four consecutive fiscal quarters of the Borrower for which financial statements have been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For purposes of determining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compliance or compliance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with covenants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prior to the date on which such covenants would otherwise apply, the covenants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shall be deemed to be applicable for purposes of such test.</w:t>
      </w:r>
    </w:p>
    <w:p>
      <w:pPr>
        <w:spacing w:after="0" w:line="19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u w:val="single" w:color="auto"/>
          <w:color w:val="0000FF"/>
          <w:highlight w:val="lightGray"/>
        </w:rPr>
        <w:t>1.10</w:t>
      </w:r>
      <w:r>
        <w:rPr>
          <w:sz w:val="20"/>
          <w:szCs w:val="20"/>
          <w:color w:val="auto"/>
        </w:rPr>
        <w:tab/>
      </w:r>
      <w:r>
        <w:rPr>
          <w:rFonts w:ascii="Arial" w:cs="Arial" w:eastAsia="Arial" w:hAnsi="Arial"/>
          <w:sz w:val="16"/>
          <w:szCs w:val="16"/>
          <w:u w:val="single" w:color="auto"/>
          <w:color w:val="0000FF"/>
          <w:highlight w:val="lightGray"/>
        </w:rPr>
        <w:t>Exchange Rates; Currency Equivalents.</w:t>
      </w:r>
    </w:p>
    <w:p>
      <w:pPr>
        <w:spacing w:after="0" w:line="212" w:lineRule="exact"/>
        <w:rPr>
          <w:sz w:val="20"/>
          <w:szCs w:val="20"/>
          <w:color w:val="auto"/>
        </w:rPr>
      </w:pPr>
    </w:p>
    <w:p>
      <w:pPr>
        <w:jc w:val="both"/>
        <w:ind w:firstLine="656"/>
        <w:spacing w:after="0" w:line="257" w:lineRule="auto"/>
        <w:tabs>
          <w:tab w:leader="none" w:pos="1176" w:val="left"/>
        </w:tabs>
        <w:numPr>
          <w:ilvl w:val="0"/>
          <w:numId w:val="71"/>
        </w:numPr>
        <w:rPr>
          <w:rFonts w:ascii="Arial" w:cs="Arial" w:eastAsia="Arial" w:hAnsi="Arial"/>
          <w:sz w:val="17"/>
          <w:szCs w:val="17"/>
          <w:u w:val="single" w:color="auto"/>
          <w:color w:val="0000FF"/>
          <w:highlight w:val="lightGray"/>
        </w:rPr>
      </w:pPr>
      <w:r>
        <w:rPr>
          <w:rFonts w:ascii="Arial" w:cs="Arial" w:eastAsia="Arial" w:hAnsi="Arial"/>
          <w:sz w:val="17"/>
          <w:szCs w:val="17"/>
          <w:u w:val="single" w:color="auto"/>
          <w:color w:val="0000FF"/>
          <w:highlight w:val="lightGray"/>
        </w:rPr>
        <w:t>The Administrative Agent or the Issuing Lender, as applicable, shall determine the Dollar Equivalent amounts of Term Benchmark Borrowings, RFR Borrowings or Letter of Credit extensions denominated in Alternative Currencies as of each Revaluation Date. Such Dollar Equivalent shall become effective as of such Revaluation Date and shall be the Dollar Equivalent of such amounts until the next Revaluation Date to occur. Except for purposes of financial statements delivered by the Borrower hereunder or calculating financial covenants hereunder or except as otherwise provided herein, the applicable amount of any Agreed Currency (other than Dollars) for purposes of the Loan Documents shall be such Dollar Equivalent amount as so determined by the Administrative Agent or the Issuing Lender, as applicable.</w:t>
      </w:r>
    </w:p>
    <w:p>
      <w:pPr>
        <w:spacing w:after="0" w:line="202" w:lineRule="exact"/>
        <w:rPr>
          <w:rFonts w:ascii="Arial" w:cs="Arial" w:eastAsia="Arial" w:hAnsi="Arial"/>
          <w:sz w:val="17"/>
          <w:szCs w:val="17"/>
          <w:u w:val="single" w:color="auto"/>
          <w:color w:val="0000FF"/>
          <w:highlight w:val="lightGray"/>
        </w:rPr>
      </w:pPr>
    </w:p>
    <w:p>
      <w:pPr>
        <w:jc w:val="both"/>
        <w:ind w:firstLine="656"/>
        <w:spacing w:after="0" w:line="241" w:lineRule="auto"/>
        <w:tabs>
          <w:tab w:leader="none" w:pos="1038" w:val="left"/>
        </w:tabs>
        <w:numPr>
          <w:ilvl w:val="0"/>
          <w:numId w:val="71"/>
        </w:numPr>
        <w:rPr>
          <w:rFonts w:ascii="Arial" w:cs="Arial" w:eastAsia="Arial" w:hAnsi="Arial"/>
          <w:sz w:val="18"/>
          <w:szCs w:val="18"/>
          <w:u w:val="single" w:color="auto"/>
          <w:color w:val="0000FF"/>
          <w:highlight w:val="lightGray"/>
        </w:rPr>
      </w:pPr>
      <w:r>
        <w:rPr>
          <w:rFonts w:ascii="Arial" w:cs="Arial" w:eastAsia="Arial" w:hAnsi="Arial"/>
          <w:sz w:val="18"/>
          <w:szCs w:val="18"/>
          <w:u w:val="single" w:color="auto"/>
          <w:color w:val="0000FF"/>
          <w:highlight w:val="lightGray"/>
        </w:rPr>
        <w:t>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or Loan is denominated in an Alternative Currency, such amount shall be the Dollar Equivalent of such amount (rounded to the nearest unit of such Alternative Currency, with 0.5 of a unit being rounded upward), as determined by the Administrative Agent or the Issuing Lender,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21" w:right="339" w:bottom="1440" w:gutter="0" w:footer="0" w:header="0"/>
        </w:sectPr>
      </w:pPr>
    </w:p>
    <w:bookmarkStart w:id="152" w:name="page153"/>
    <w:bookmarkEnd w:id="152"/>
    <w:p>
      <w:pPr>
        <w:jc w:val="center"/>
        <w:spacing w:after="0"/>
        <w:tabs>
          <w:tab w:leader="none" w:pos="1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color w:val="auto"/>
        </w:rPr>
        <w:t>AMOUNT AND TERMS OF COMMITMENTS</w:t>
      </w:r>
    </w:p>
    <w:p>
      <w:pPr>
        <w:spacing w:after="0" w:line="2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Delayed Draw Term Commitments</w:t>
      </w:r>
      <w:r>
        <w:rPr>
          <w:rFonts w:ascii="Arial" w:cs="Arial" w:eastAsia="Arial" w:hAnsi="Arial"/>
          <w:sz w:val="17"/>
          <w:szCs w:val="17"/>
          <w:color w:val="auto"/>
        </w:rPr>
        <w:t>. Subject to the terms and conditions hereof, each Delayed Draw Term Lender severally agrees to make a term loan or term loans in Dollars (each, a “</w:t>
      </w:r>
      <w:r>
        <w:rPr>
          <w:rFonts w:ascii="Arial" w:cs="Arial" w:eastAsia="Arial" w:hAnsi="Arial"/>
          <w:sz w:val="17"/>
          <w:szCs w:val="17"/>
          <w:u w:val="single" w:color="auto"/>
          <w:color w:val="auto"/>
        </w:rPr>
        <w:t>Delayed Draw Term Loan</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Delayed Draw Term Loans</w:t>
      </w:r>
      <w:r>
        <w:rPr>
          <w:rFonts w:ascii="Arial" w:cs="Arial" w:eastAsia="Arial" w:hAnsi="Arial"/>
          <w:sz w:val="17"/>
          <w:szCs w:val="17"/>
          <w:color w:val="auto"/>
        </w:rPr>
        <w:t xml:space="preserve">”) to the Borrower from time to time after the Closing Date until, but not including, the Delayed Draw Term Commitment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there shall not be more than three drawings of the Delayed Draw Term Loans, (ii) each drawing of Delayed Draw Term Loans shall not exceed, for any Delayed Draw Term Lender, the Available Delayed Draw Term Commitment of such Lender at such time and (iii) the Delayed Draw Term Loans shall not exceed, in the aggregate, the Total Delayed Draw Term Commitment. The Delayed Draw Term Loans may from time to time be Term Benchmark Loans, RFR Loans, ABR Loans or Daily SOFR Loans, as determined by the Borrower and notified to the Administrative Agent in accordance with </w:t>
      </w:r>
      <w:r>
        <w:rPr>
          <w:rFonts w:ascii="Arial" w:cs="Arial" w:eastAsia="Arial" w:hAnsi="Arial"/>
          <w:sz w:val="17"/>
          <w:szCs w:val="17"/>
          <w:u w:val="single" w:color="auto"/>
          <w:color w:val="auto"/>
        </w:rPr>
        <w:t>Sections 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2.10</w:t>
      </w:r>
      <w:r>
        <w:rPr>
          <w:rFonts w:ascii="Arial" w:cs="Arial" w:eastAsia="Arial" w:hAnsi="Arial"/>
          <w:sz w:val="17"/>
          <w:szCs w:val="17"/>
          <w:color w:val="auto"/>
        </w:rPr>
        <w:t>. Amounts paid or prepaid in respect of Delayed Draw Term Loans may not be reborrowed.</w:t>
      </w:r>
    </w:p>
    <w:p>
      <w:pPr>
        <w:spacing w:after="0" w:line="18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Procedure for Delayed Draw Term Loan Borrowing</w:t>
      </w:r>
      <w:r>
        <w:rPr>
          <w:rFonts w:ascii="Arial" w:cs="Arial" w:eastAsia="Arial" w:hAnsi="Arial"/>
          <w:sz w:val="17"/>
          <w:szCs w:val="17"/>
          <w:color w:val="auto"/>
        </w:rPr>
        <w:t xml:space="preserve">. The Borrower shall give the Administrative Agent irrevocable notice in the form of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(which notice must be received by the Administrative Agent prior to 11:00 A.M., New York City time, (a) three (3) Business Days prior to the requested Borrowing Date, in the case of Term Benchmark Loans, (b) five (5) Business Days prior to the requested Borrowing Date, in the case of RFR Loans or (c) on the requested Borrowing Date, in the case of Daily SOFR Loans or ABR Loans) requesting that the Delayed Draw Term Lenders make the Delayed Draw Term Loans on the applicable Delayed Draw Funding Date, specifying the amount to be borrowed, the requested Borrowing Date and whether such Delayed Draw Term Loans shall be Term Benchmark Loans, RFR Loans, Daily SOFR Loans or ABR Loans and, in the case of Term Benchmark Loans, the initial Interest Period applicable thereto, which shall be a period contemplated by the definition of “Interest Period”, and certifying that the conditions set forth in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are satisfied. Upon receipt of such notice the Administrative Agent shall promptly notify each Delayed Draw Term Lender thereof. Not later than 11:00 A.M., New York City time, on the applicable Delayed Draw Funding Date (or in the case of Daily SOFR Loans or ABR Loans for which the applicable borrowing notice was given on the requested Delayed Draw Funding Date, not later than 2:00 P.M., New York City time on such Delayed Draw Funding Date) each Delayed Draw Term Lender shall make available to the Administrative Agent at the Funding Office an amount in immediately available funds equal to the Delayed Draw Term Loan to be made by such Lender. The Administrative Agent shall credit the account of the Borrower on the books of such office of the Administrative Agent with the aggregate of the amounts made available to the Administrative Agent by the Delayed Draw Term Lenders in immediately available funds.</w:t>
      </w:r>
    </w:p>
    <w:p>
      <w:pPr>
        <w:spacing w:after="0" w:line="18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 xml:space="preserve">If no election as to the Type of Delayed Draw Term Loan is specified, then the requested Delayed Draw Term Loan shall be Term Benchmark Loan with an Interest Period of one month. Promptly following receipt of a Borrowing Request and in accordance with this </w:t>
      </w:r>
      <w:r>
        <w:rPr>
          <w:rFonts w:ascii="Arial" w:cs="Arial" w:eastAsia="Arial" w:hAnsi="Arial"/>
          <w:sz w:val="18"/>
          <w:szCs w:val="18"/>
          <w:u w:val="single" w:color="auto"/>
          <w:color w:val="auto"/>
        </w:rPr>
        <w:t>Section 2.2</w:t>
      </w:r>
      <w:r>
        <w:rPr>
          <w:rFonts w:ascii="Arial" w:cs="Arial" w:eastAsia="Arial" w:hAnsi="Arial"/>
          <w:sz w:val="18"/>
          <w:szCs w:val="18"/>
          <w:color w:val="auto"/>
        </w:rPr>
        <w:t>, the Administrative Agent shall advise each Delayed Draw Term Lender of the details thereof and of the amount of such Delayed Draw Term Lender’s Delayed Draw Term Loans to be made.</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 xml:space="preserve">Each Delayed Draw Term Loan shall be made by the Delayed Draw Term Lenders ratably in accordance with their applicable Delayed Draw Term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that the failure of any Delayed Draw Term Lender to make its Delayed Draw Term Loan shall not in itself relieve any other Delayed Draw Term Lender of its obligation to lend hereunder (it being understood, however, that no Delayed Draw Term Lender shall be responsible for the failure of any other Delayed Draw Term Lender to make any Delayed Draw Term Loan required to be made by such other Delayed Draw Term Lender). Each drawing of Delayed Draw Term Loans shall be in an aggregate principal amount that is an integral multiple of $1,000,000 and not less than $50,000,000. ABR Loans, RFR Loans and Daily SOFR Loans that are Delayed Draw Term Loans shall be in an aggregate principal amount that is an integral multiple of $1,000,000 and not less than $5,000,000. Term Benchmark Loans that are Delayed Draw Term Loans shall be in an aggregate principal amount that is an integral multiple of $1,000,000 and not less than $5,000,000.</w:t>
      </w:r>
    </w:p>
    <w:p>
      <w:pPr>
        <w:spacing w:after="0" w:line="18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2.14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each borrowing of Delayed Draw Term Loans shall be comprised entirely of ABR Loans, Term Benchmark Loans, Daily SOFR Loans or RFR Loans as the Borrower may request in accordance herewith. Each Delayed Draw Term Lender may at its option make any Term Benchmark Loan by causing any domestic or foreign branch or Affiliate of such Delayed Draw Term Lender to make such Delayed Draw Term Loan; </w:t>
      </w:r>
      <w:r>
        <w:rPr>
          <w:rFonts w:ascii="Arial" w:cs="Arial" w:eastAsia="Arial" w:hAnsi="Arial"/>
          <w:sz w:val="18"/>
          <w:szCs w:val="18"/>
          <w:u w:val="single" w:color="auto"/>
          <w:color w:val="auto"/>
        </w:rPr>
        <w:t>provided</w:t>
      </w:r>
      <w:r>
        <w:rPr>
          <w:rFonts w:ascii="Arial" w:cs="Arial" w:eastAsia="Arial" w:hAnsi="Arial"/>
          <w:sz w:val="18"/>
          <w:szCs w:val="18"/>
          <w:color w:val="auto"/>
        </w:rPr>
        <w:t>, that any exercise of such option shall not affect the obligation of the Borrower to repay such Delayed Draw Term Loan in accordance with the terms of this Agreement. Borrowings of Delayed Draw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21" w:right="339" w:bottom="1440" w:gutter="0" w:footer="0" w:header="0"/>
        </w:sectPr>
      </w:pPr>
    </w:p>
    <w:bookmarkStart w:id="153" w:name="page154"/>
    <w:bookmarkEnd w:id="153"/>
    <w:p>
      <w:pPr>
        <w:jc w:val="both"/>
        <w:spacing w:after="0" w:line="291" w:lineRule="auto"/>
        <w:rPr>
          <w:sz w:val="20"/>
          <w:szCs w:val="20"/>
          <w:color w:val="auto"/>
        </w:rPr>
      </w:pPr>
      <w:r>
        <w:rPr>
          <w:rFonts w:ascii="Arial" w:cs="Arial" w:eastAsia="Arial" w:hAnsi="Arial"/>
          <w:sz w:val="17"/>
          <w:szCs w:val="17"/>
          <w:color w:val="auto"/>
        </w:rPr>
        <w:t xml:space="preserve">Loans of more than one Type may be outstanding at the same time, subject to </w:t>
      </w:r>
      <w:r>
        <w:rPr>
          <w:rFonts w:ascii="Arial" w:cs="Arial" w:eastAsia="Arial" w:hAnsi="Arial"/>
          <w:sz w:val="17"/>
          <w:szCs w:val="17"/>
          <w:u w:val="single" w:color="auto"/>
          <w:color w:val="auto"/>
        </w:rPr>
        <w:t>Section 2.10</w:t>
      </w:r>
      <w:r>
        <w:rPr>
          <w:rFonts w:ascii="Arial" w:cs="Arial" w:eastAsia="Arial" w:hAnsi="Arial"/>
          <w:sz w:val="17"/>
          <w:szCs w:val="17"/>
          <w:color w:val="auto"/>
        </w:rPr>
        <w:t>. For purposes of the foregoing, Term Benchmark Tranches having different Interest Periods, regardless of whether they commence on the same date, shall be considered separate borrowings.</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Termination or Reduction of Delayed Draw Term Commitments</w:t>
      </w:r>
      <w:r>
        <w:rPr>
          <w:rFonts w:ascii="Arial" w:cs="Arial" w:eastAsia="Arial" w:hAnsi="Arial"/>
          <w:sz w:val="16"/>
          <w:szCs w:val="16"/>
          <w:color w:val="auto"/>
        </w:rPr>
        <w:t xml:space="preserve">. The Borrower shall have the right to terminate the unused Delayed Draw Term Commitments or, from time to time, to reduce the amount of the unused Delayed Draw Term Commitments. Any such reduction shall be in an amount equal to $1,000,000, or a whole multiple thereof, and shall reduce permanently the Available Delayed Draw Term Commitment then in effect. The Borrower shall notify the Administrative Agent of any election to terminate or reduce the Delayed Draw Term Commitments under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at least three (3) Business Days prior to the effective date of such termination or reduction, specifying such election and the effective date thereof. Promptly following receipt of any notice, the Administrative Agent shall advise the Delayed Draw Term Lenders of the contents thereof. Each notice delivered by the Borrower pursuant to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that a notice of termination of the Delayed Draw Term Commitments delivered by the Borrower may state that such notice is conditioned upon the effectiveness of other credit facilities or a specified transaction, in which case such notice may be revoked by the Borrower (by notice to the Administrative Agent on or prior to the specified effective date) if such condition is not satisfied. Any termination or reduction of the Delayed Draw Term Commitments shall be permanent. Each reduction of the Delayed Draw Term Commitments shall be made ratably among the Delayed Draw Term Lenders in accordance with their respective Delayed Draw Term Commitments.</w:t>
      </w:r>
    </w:p>
    <w:p>
      <w:pPr>
        <w:spacing w:after="0" w:line="16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Revolving Commitments</w:t>
      </w:r>
      <w:r>
        <w:rPr>
          <w:rFonts w:ascii="Arial" w:cs="Arial" w:eastAsia="Arial" w:hAnsi="Arial"/>
          <w:sz w:val="16"/>
          <w:szCs w:val="16"/>
          <w:color w:val="auto"/>
        </w:rPr>
        <w:t>.</w:t>
      </w:r>
    </w:p>
    <w:p>
      <w:pPr>
        <w:spacing w:after="0" w:line="212" w:lineRule="exact"/>
        <w:rPr>
          <w:sz w:val="20"/>
          <w:szCs w:val="20"/>
          <w:color w:val="auto"/>
        </w:rPr>
      </w:pPr>
    </w:p>
    <w:p>
      <w:pPr>
        <w:jc w:val="both"/>
        <w:ind w:firstLine="656"/>
        <w:spacing w:after="0" w:line="247" w:lineRule="auto"/>
        <w:tabs>
          <w:tab w:leader="none" w:pos="1050"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hereof, each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Lender severally agrees to make revolving credit loans in Dollars </w:t>
      </w:r>
      <w:r>
        <w:rPr>
          <w:rFonts w:ascii="Arial" w:cs="Arial" w:eastAsia="Arial" w:hAnsi="Arial"/>
          <w:sz w:val="17"/>
          <w:szCs w:val="17"/>
          <w:color w:val="FF0000"/>
          <w:strike w:val="1"/>
        </w:rPr>
        <w:t>(“</w:t>
      </w:r>
      <w:r>
        <w:rPr>
          <w:rFonts w:ascii="Arial" w:cs="Arial" w:eastAsia="Arial" w:hAnsi="Arial"/>
          <w:sz w:val="17"/>
          <w:szCs w:val="17"/>
          <w:u w:val="single" w:color="auto"/>
          <w:color w:val="0000FF"/>
          <w:highlight w:val="lightGray"/>
        </w:rPr>
        <w:t>or in one or more Alternative Currencies (“Multicurrency</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Revolving Loans</w:t>
      </w:r>
      <w:r>
        <w:rPr>
          <w:rFonts w:ascii="Arial" w:cs="Arial" w:eastAsia="Arial" w:hAnsi="Arial"/>
          <w:sz w:val="17"/>
          <w:szCs w:val="17"/>
          <w:color w:val="000000"/>
        </w:rPr>
        <w:t>”) to the Borrower from time to time during the</w:t>
      </w:r>
      <w:r>
        <w:rPr>
          <w:rFonts w:ascii="Arial" w:cs="Arial" w:eastAsia="Arial" w:hAnsi="Arial"/>
          <w:sz w:val="17"/>
          <w:szCs w:val="17"/>
          <w:color w:val="FF0000"/>
        </w:rPr>
        <w:t xml:space="preserv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FF0000"/>
        </w:rPr>
        <w:t xml:space="preserve"> </w:t>
      </w:r>
      <w:r>
        <w:rPr>
          <w:rFonts w:ascii="Arial" w:cs="Arial" w:eastAsia="Arial" w:hAnsi="Arial"/>
          <w:sz w:val="17"/>
          <w:szCs w:val="17"/>
          <w:color w:val="000000"/>
        </w:rPr>
        <w:t>Revolving</w:t>
      </w:r>
      <w:r>
        <w:rPr>
          <w:rFonts w:ascii="Arial" w:cs="Arial" w:eastAsia="Arial" w:hAnsi="Arial"/>
          <w:sz w:val="17"/>
          <w:szCs w:val="17"/>
          <w:color w:val="FF0000"/>
        </w:rPr>
        <w:t xml:space="preserve"> </w:t>
      </w:r>
      <w:r>
        <w:rPr>
          <w:rFonts w:ascii="Arial" w:cs="Arial" w:eastAsia="Arial" w:hAnsi="Arial"/>
          <w:sz w:val="17"/>
          <w:szCs w:val="17"/>
          <w:color w:val="000000"/>
        </w:rPr>
        <w:t xml:space="preserve">Commitment Period in an aggregate principal amount at any one time outstanding which, when </w:t>
      </w:r>
      <w:r>
        <w:rPr>
          <w:rFonts w:ascii="Arial" w:cs="Arial" w:eastAsia="Arial" w:hAnsi="Arial"/>
          <w:sz w:val="17"/>
          <w:szCs w:val="17"/>
          <w:u w:val="single" w:color="auto"/>
          <w:color w:val="0000FF"/>
          <w:highlight w:val="lightGray"/>
        </w:rPr>
        <w:t>the Dollar Equivalent thereof is</w:t>
      </w:r>
      <w:r>
        <w:rPr>
          <w:rFonts w:ascii="Arial" w:cs="Arial" w:eastAsia="Arial" w:hAnsi="Arial"/>
          <w:sz w:val="17"/>
          <w:szCs w:val="17"/>
          <w:color w:val="000000"/>
        </w:rPr>
        <w:t xml:space="preserve"> added to such Lender’s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Percentage of the</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L/C Obligations then outstanding, does not exceed the amount of such Lender’s</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Revolving Commitment;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after giving effect to any such Revolving Loans, </w:t>
      </w:r>
      <w:r>
        <w:rPr>
          <w:rFonts w:ascii="Arial" w:cs="Arial" w:eastAsia="Arial" w:hAnsi="Arial"/>
          <w:sz w:val="17"/>
          <w:szCs w:val="17"/>
          <w:u w:val="single" w:color="auto"/>
          <w:color w:val="0000FF"/>
          <w:highlight w:val="lightGray"/>
        </w:rPr>
        <w:t>(a)</w:t>
      </w:r>
      <w:r>
        <w:rPr>
          <w:rFonts w:ascii="Arial" w:cs="Arial" w:eastAsia="Arial" w:hAnsi="Arial"/>
          <w:sz w:val="17"/>
          <w:szCs w:val="17"/>
          <w:color w:val="000000"/>
        </w:rPr>
        <w:t xml:space="preserve"> the Total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Extensions of Credit shall not exceed the Total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Commitments </w:t>
      </w:r>
      <w:r>
        <w:rPr>
          <w:rFonts w:ascii="Arial" w:cs="Arial" w:eastAsia="Arial" w:hAnsi="Arial"/>
          <w:sz w:val="17"/>
          <w:szCs w:val="17"/>
          <w:color w:val="0000FF"/>
        </w:rPr>
        <w:t>and (b)</w:t>
      </w:r>
      <w:r>
        <w:rPr>
          <w:rFonts w:ascii="Arial" w:cs="Arial" w:eastAsia="Arial" w:hAnsi="Arial"/>
          <w:sz w:val="1"/>
          <w:szCs w:val="1"/>
          <w:color w:val="auto"/>
        </w:rPr>
        <w:drawing>
          <wp:inline distT="0" distB="0" distL="0" distR="0">
            <wp:extent cx="34290" cy="13716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34290" cy="137160"/>
                    </a:xfrm>
                    <a:prstGeom prst="rect">
                      <a:avLst/>
                    </a:prstGeom>
                    <a:noFill/>
                    <a:ln>
                      <a:noFill/>
                    </a:ln>
                  </pic:spPr>
                </pic:pic>
              </a:graphicData>
            </a:graphic>
          </wp:inline>
        </w:drawing>
      </w:r>
      <w:r>
        <w:rPr>
          <w:rFonts w:ascii="Arial" w:cs="Arial" w:eastAsia="Arial" w:hAnsi="Arial"/>
          <w:sz w:val="17"/>
          <w:szCs w:val="17"/>
          <w:color w:val="0000FF"/>
          <w:highlight w:val="lightGray"/>
        </w:rPr>
        <w:t xml:space="preserve">the Total Multicurrency Revolving Extensions of Credit denominated in Alternative </w:t>
      </w:r>
      <w:r>
        <w:rPr>
          <w:rFonts w:ascii="Arial" w:cs="Arial" w:eastAsia="Arial" w:hAnsi="Arial"/>
          <w:sz w:val="17"/>
          <w:szCs w:val="17"/>
          <w:u w:val="single" w:color="auto"/>
          <w:color w:val="0000FF"/>
          <w:highlight w:val="lightGray"/>
        </w:rPr>
        <w:t>Currencies shall not exceed the Alternative Currency Sublimit</w:t>
      </w:r>
      <w:r>
        <w:rPr>
          <w:rFonts w:ascii="Arial" w:cs="Arial" w:eastAsia="Arial" w:hAnsi="Arial"/>
          <w:sz w:val="17"/>
          <w:szCs w:val="17"/>
          <w:color w:val="000000"/>
        </w:rPr>
        <w:t>. During the</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Commitment Period the Borrower may use the</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Commitments by borrowing, prepaying the</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Loans in whole or in part, and reborrowing, all in</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accordance with the terms and conditions hereof. The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Loans may from time to time be Term Benchmark Loans, RFR Loans, Daily SOFR Loans </w:t>
      </w:r>
      <w:r>
        <w:rPr>
          <w:rFonts w:ascii="Arial" w:cs="Arial" w:eastAsia="Arial" w:hAnsi="Arial"/>
          <w:sz w:val="17"/>
          <w:szCs w:val="17"/>
          <w:color w:val="FF0000"/>
        </w:rPr>
        <w:t>or</w:t>
      </w:r>
      <w:r>
        <w:rPr>
          <w:rFonts w:ascii="Arial" w:cs="Arial" w:eastAsia="Arial" w:hAnsi="Arial"/>
          <w:sz w:val="17"/>
          <w:szCs w:val="17"/>
          <w:u w:val="single" w:color="auto"/>
          <w:color w:val="0000FF"/>
          <w:highlight w:val="lightGray"/>
        </w:rPr>
        <w:t>,</w:t>
      </w:r>
      <w:r>
        <w:rPr>
          <w:rFonts w:ascii="Arial" w:cs="Arial" w:eastAsia="Arial" w:hAnsi="Arial"/>
          <w:sz w:val="17"/>
          <w:szCs w:val="17"/>
          <w:color w:val="000000"/>
        </w:rPr>
        <w:t xml:space="preserve"> ABR Loans </w:t>
      </w:r>
      <w:r>
        <w:rPr>
          <w:rFonts w:ascii="Arial" w:cs="Arial" w:eastAsia="Arial" w:hAnsi="Arial"/>
          <w:sz w:val="17"/>
          <w:szCs w:val="17"/>
          <w:color w:val="0000FF"/>
        </w:rPr>
        <w:t>or (subject to Section 2.10 or 2.14, as applicable) Canadian Prime Rate Loans</w:t>
      </w:r>
      <w:r>
        <w:rPr>
          <w:rFonts w:ascii="Arial" w:cs="Arial" w:eastAsia="Arial" w:hAnsi="Arial"/>
          <w:sz w:val="17"/>
          <w:szCs w:val="17"/>
          <w:color w:val="000000"/>
        </w:rPr>
        <w:t xml:space="preserve">, as determined by the Borrower and notified to the Administrative Agent in accordance with </w:t>
      </w:r>
      <w:r>
        <w:rPr>
          <w:rFonts w:ascii="Arial" w:cs="Arial" w:eastAsia="Arial" w:hAnsi="Arial"/>
          <w:sz w:val="17"/>
          <w:szCs w:val="17"/>
          <w:u w:val="single" w:color="auto"/>
          <w:color w:val="000000"/>
        </w:rPr>
        <w:t>Sections 2.5</w:t>
      </w:r>
      <w:r>
        <w:rPr>
          <w:rFonts w:ascii="Arial" w:cs="Arial" w:eastAsia="Arial" w:hAnsi="Arial"/>
          <w:sz w:val="17"/>
          <w:szCs w:val="17"/>
          <w:color w:val="000000"/>
        </w:rPr>
        <w:t xml:space="preserve"> and </w:t>
      </w:r>
      <w:r>
        <w:rPr>
          <w:rFonts w:ascii="Arial" w:cs="Arial" w:eastAsia="Arial" w:hAnsi="Arial"/>
          <w:sz w:val="17"/>
          <w:szCs w:val="17"/>
          <w:u w:val="single" w:color="auto"/>
          <w:color w:val="000000"/>
        </w:rPr>
        <w:t>2.10</w:t>
      </w:r>
      <w:r>
        <w:rPr>
          <w:rFonts w:ascii="Arial" w:cs="Arial" w:eastAsia="Arial" w:hAnsi="Arial"/>
          <w:sz w:val="17"/>
          <w:szCs w:val="17"/>
          <w:color w:val="000000"/>
        </w:rPr>
        <w:t>.</w:t>
      </w:r>
    </w:p>
    <w:p>
      <w:pPr>
        <w:spacing w:after="0" w:line="187" w:lineRule="exact"/>
        <w:rPr>
          <w:rFonts w:ascii="Arial" w:cs="Arial" w:eastAsia="Arial" w:hAnsi="Arial"/>
          <w:sz w:val="17"/>
          <w:szCs w:val="17"/>
          <w:color w:val="auto"/>
        </w:rPr>
      </w:pPr>
    </w:p>
    <w:p>
      <w:pPr>
        <w:jc w:val="both"/>
        <w:ind w:firstLine="656"/>
        <w:spacing w:after="0" w:line="254" w:lineRule="auto"/>
        <w:tabs>
          <w:tab w:leader="none" w:pos="1078" w:val="left"/>
        </w:tabs>
        <w:numPr>
          <w:ilvl w:val="0"/>
          <w:numId w:val="72"/>
        </w:numPr>
        <w:rPr>
          <w:rFonts w:ascii="Arial" w:cs="Arial" w:eastAsia="Arial" w:hAnsi="Arial"/>
          <w:sz w:val="17"/>
          <w:szCs w:val="17"/>
          <w:u w:val="single" w:color="auto"/>
          <w:color w:val="0000FF"/>
          <w:highlight w:val="lightGray"/>
        </w:rPr>
      </w:pPr>
      <w:r>
        <w:rPr>
          <w:rFonts w:ascii="Arial" w:cs="Arial" w:eastAsia="Arial" w:hAnsi="Arial"/>
          <w:sz w:val="17"/>
          <w:szCs w:val="17"/>
          <w:u w:val="single" w:color="auto"/>
          <w:color w:val="0000FF"/>
          <w:highlight w:val="lightGray"/>
        </w:rPr>
        <w:t>Subject to the terms and conditions hereof, each USD Revolving Lender severally agrees to make revolving credit loans in Dollars (“USD Revolving Loans”) to the Borrower from time to time during the USD Revolving Commitment Period in an aggregate principal amount at any one time outstanding which, when added to such Lender’s USD Revolving Percentage of the USD L/C Obligations then outstanding, does not exceed the amount of such Lender’s USD Revolving Commitment; provided, that after giving effect to any such USD Revolving Loans, the Total USD Revolving Extensions of Credit shall not exceed the Total USD Revolving Commitments. During the USD Revolving Commitment Period the Borrower may use the USD Revolving Commitments by borrowing, prepaying the USD Revolving Loans in whole or in part, and reborrowing, all in accordance with the terms and conditions hereof. The USD Revolving Loans may from time to time be Term Benchmark Loans, Daily SOFR Loans, or ABR Loans, as determined by the Borrower and notified to the Administrative Agent in accordance with Sections 2.5 and 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-1950085</wp:posOffset>
            </wp:positionV>
            <wp:extent cx="4306570"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4306570" cy="128905"/>
                    </a:xfrm>
                    <a:prstGeom prst="rect">
                      <a:avLst/>
                    </a:prstGeom>
                    <a:noFill/>
                  </pic:spPr>
                </pic:pic>
              </a:graphicData>
            </a:graphic>
          </wp:anchor>
        </w:drawing>
        <w:drawing>
          <wp:anchor simplePos="0" relativeHeight="251657728" behindDoc="1" locked="0" layoutInCell="0" allowOverlap="1">
            <wp:simplePos x="0" y="0"/>
            <wp:positionH relativeFrom="column">
              <wp:posOffset>897890</wp:posOffset>
            </wp:positionH>
            <wp:positionV relativeFrom="paragraph">
              <wp:posOffset>-1435735</wp:posOffset>
            </wp:positionV>
            <wp:extent cx="449135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4491355" cy="128905"/>
                    </a:xfrm>
                    <a:prstGeom prst="rect">
                      <a:avLst/>
                    </a:prstGeom>
                    <a:noFill/>
                  </pic:spPr>
                </pic:pic>
              </a:graphicData>
            </a:graphic>
          </wp:anchor>
        </w:drawing>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FF0000"/>
          <w:strike w:val="1"/>
        </w:rPr>
        <w:t>b</w:t>
      </w:r>
      <w:r>
        <w:rPr>
          <w:rFonts w:ascii="Arial" w:cs="Arial" w:eastAsia="Arial" w:hAnsi="Arial"/>
          <w:sz w:val="17"/>
          <w:szCs w:val="17"/>
          <w:u w:val="single" w:color="auto"/>
          <w:color w:val="0000FF"/>
          <w:highlight w:val="lightGray"/>
        </w:rPr>
        <w:t>c</w:t>
      </w:r>
      <w:r>
        <w:rPr>
          <w:rFonts w:ascii="Arial" w:cs="Arial" w:eastAsia="Arial" w:hAnsi="Arial"/>
          <w:sz w:val="17"/>
          <w:szCs w:val="17"/>
          <w:color w:val="auto"/>
        </w:rPr>
        <w:t xml:space="preserve">) Unless previously terminated, the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Commitments shall terminate on the </w:t>
      </w:r>
      <w:r>
        <w:rPr>
          <w:rFonts w:ascii="Arial" w:cs="Arial" w:eastAsia="Arial" w:hAnsi="Arial"/>
          <w:sz w:val="17"/>
          <w:szCs w:val="17"/>
          <w:u w:val="single" w:color="auto"/>
          <w:color w:val="0000FF"/>
          <w:highlight w:val="lightGray"/>
        </w:rPr>
        <w:t>Multicurrency Revolving Maturity Date</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and the USD Revolving Commitments shall terminate on the USD</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Maturity Date. The Borrower shall repay all outstanding</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(i) 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Revolving Loans on the </w:t>
      </w:r>
      <w:r>
        <w:rPr>
          <w:rFonts w:ascii="Arial" w:cs="Arial" w:eastAsia="Arial" w:hAnsi="Arial"/>
          <w:sz w:val="17"/>
          <w:szCs w:val="17"/>
          <w:u w:val="single" w:color="auto"/>
          <w:color w:val="0000FF"/>
          <w:highlight w:val="lightGray"/>
        </w:rPr>
        <w:t>Multicurrency Revolving Maturity Date and (ii) USD Revolving Loans on the USD</w:t>
      </w:r>
      <w:r>
        <w:rPr>
          <w:rFonts w:ascii="Arial" w:cs="Arial" w:eastAsia="Arial" w:hAnsi="Arial"/>
          <w:sz w:val="17"/>
          <w:szCs w:val="17"/>
          <w:color w:val="000000"/>
        </w:rPr>
        <w:t xml:space="preserve"> Revolving Maturity Date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21" w:right="339" w:bottom="1440" w:gutter="0" w:footer="0" w:header="0"/>
        </w:sectPr>
      </w:pPr>
    </w:p>
    <w:bookmarkStart w:id="154" w:name="page155"/>
    <w:bookmarkEnd w:id="154"/>
    <w:p>
      <w:pPr>
        <w:jc w:val="both"/>
        <w:ind w:firstLine="648"/>
        <w:spacing w:after="0" w:line="266"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Procedure for Revolving Loan Borrowing</w:t>
      </w:r>
      <w:r>
        <w:rPr>
          <w:rFonts w:ascii="Arial" w:cs="Arial" w:eastAsia="Arial" w:hAnsi="Arial"/>
          <w:sz w:val="16"/>
          <w:szCs w:val="16"/>
          <w:color w:val="auto"/>
        </w:rPr>
        <w:t xml:space="preserve">. The Borrower may borrow under </w:t>
      </w:r>
      <w:r>
        <w:rPr>
          <w:rFonts w:ascii="Arial" w:cs="Arial" w:eastAsia="Arial" w:hAnsi="Arial"/>
          <w:sz w:val="16"/>
          <w:szCs w:val="16"/>
          <w:u w:val="single" w:color="auto"/>
          <w:color w:val="0000FF"/>
          <w:highlight w:val="lightGray"/>
        </w:rPr>
        <w:t>(i)</w:t>
      </w:r>
      <w:r>
        <w:rPr>
          <w:rFonts w:ascii="Arial" w:cs="Arial" w:eastAsia="Arial" w:hAnsi="Arial"/>
          <w:sz w:val="16"/>
          <w:szCs w:val="16"/>
          <w:color w:val="auto"/>
        </w:rPr>
        <w:t xml:space="preserve"> the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auto"/>
        </w:rPr>
        <w:t xml:space="preserve"> Revolving Commitments during the </w:t>
      </w:r>
      <w:r>
        <w:rPr>
          <w:rFonts w:ascii="Arial" w:cs="Arial" w:eastAsia="Arial" w:hAnsi="Arial"/>
          <w:sz w:val="16"/>
          <w:szCs w:val="16"/>
          <w:u w:val="single" w:color="auto"/>
          <w:color w:val="0000FF"/>
          <w:highlight w:val="lightGray"/>
        </w:rPr>
        <w:t>Multicurrency Revolving Commitment Period and (ii) the USD Revolving Commitments during the USD</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Revolving Commitment Period on any Business</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Day;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Borrower shall give the Administrative Agent irrevocable notice in the form of a Borrowing Request (which notice must be received by the Administrative Agent prior to 11:00 A.M., New York City time, (a) three (3) </w:t>
      </w:r>
      <w:r>
        <w:rPr>
          <w:rFonts w:ascii="Arial" w:cs="Arial" w:eastAsia="Arial" w:hAnsi="Arial"/>
          <w:sz w:val="16"/>
          <w:szCs w:val="16"/>
          <w:u w:val="single" w:color="auto"/>
          <w:color w:val="0000FF"/>
          <w:highlight w:val="lightGray"/>
        </w:rPr>
        <w:t>U.S. Government Securities</w:t>
      </w:r>
      <w:r>
        <w:rPr>
          <w:rFonts w:ascii="Arial" w:cs="Arial" w:eastAsia="Arial" w:hAnsi="Arial"/>
          <w:sz w:val="16"/>
          <w:szCs w:val="16"/>
          <w:color w:val="000000"/>
        </w:rPr>
        <w:t xml:space="preserve"> Business Days prior to the requested Borrowing Date, in the case of Term Benchmark Loans</w:t>
      </w:r>
      <w:r>
        <w:rPr>
          <w:rFonts w:ascii="Arial" w:cs="Arial" w:eastAsia="Arial" w:hAnsi="Arial"/>
          <w:sz w:val="16"/>
          <w:szCs w:val="16"/>
          <w:color w:val="FF0000"/>
          <w:strike w:val="1"/>
        </w:rPr>
        <w:t>, (b</w:t>
      </w:r>
      <w:r>
        <w:rPr>
          <w:rFonts w:ascii="Arial" w:cs="Arial" w:eastAsia="Arial" w:hAnsi="Arial"/>
          <w:sz w:val="16"/>
          <w:szCs w:val="16"/>
          <w:color w:val="000000"/>
        </w:rPr>
        <w:t xml:space="preserve"> </w:t>
      </w:r>
      <w:r>
        <w:rPr>
          <w:rFonts w:ascii="Arial" w:cs="Arial" w:eastAsia="Arial" w:hAnsi="Arial"/>
          <w:sz w:val="16"/>
          <w:szCs w:val="16"/>
          <w:u w:val="single" w:color="auto"/>
          <w:color w:val="0000FF"/>
          <w:highlight w:val="lightGray"/>
        </w:rPr>
        <w:t>denominated in Dollars, (b) three (3) Business Days prior to the requested Borrowing</w:t>
      </w:r>
      <w:r>
        <w:rPr>
          <w:rFonts w:ascii="Arial" w:cs="Arial" w:eastAsia="Arial" w:hAnsi="Arial"/>
          <w:sz w:val="16"/>
          <w:szCs w:val="16"/>
          <w:color w:val="000000"/>
        </w:rPr>
        <w:t xml:space="preserve"> </w:t>
      </w:r>
      <w:r>
        <w:rPr>
          <w:rFonts w:ascii="Arial" w:cs="Arial" w:eastAsia="Arial" w:hAnsi="Arial"/>
          <w:sz w:val="16"/>
          <w:szCs w:val="16"/>
          <w:u w:val="single" w:color="auto"/>
          <w:color w:val="0000FF"/>
          <w:highlight w:val="lightGray"/>
        </w:rPr>
        <w:t>Date, in the case of Term Benchmark Loans denominated in Canadian Dollars and Euros, (c) four (4) Business Days prior to the requested Borrowing Date, in the case of Term Benchmark Loans denominated in Australian Dollars, (d</w:t>
      </w:r>
      <w:r>
        <w:rPr>
          <w:rFonts w:ascii="Arial" w:cs="Arial" w:eastAsia="Arial" w:hAnsi="Arial"/>
          <w:sz w:val="16"/>
          <w:szCs w:val="16"/>
          <w:color w:val="000000"/>
        </w:rPr>
        <w:t>) five (5) Business Days prior to the requested Borrowing Date, in the case of</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RFR Loans or (</w:t>
      </w:r>
      <w:r>
        <w:rPr>
          <w:rFonts w:ascii="Arial" w:cs="Arial" w:eastAsia="Arial" w:hAnsi="Arial"/>
          <w:sz w:val="16"/>
          <w:szCs w:val="16"/>
          <w:color w:val="FF0000"/>
          <w:strike w:val="1"/>
        </w:rPr>
        <w:t>c</w:t>
      </w:r>
      <w:r>
        <w:rPr>
          <w:rFonts w:ascii="Arial" w:cs="Arial" w:eastAsia="Arial" w:hAnsi="Arial"/>
          <w:sz w:val="16"/>
          <w:szCs w:val="16"/>
          <w:u w:val="single" w:color="auto"/>
          <w:color w:val="0000FF"/>
          <w:highlight w:val="lightGray"/>
        </w:rPr>
        <w:t>e</w:t>
      </w:r>
      <w:r>
        <w:rPr>
          <w:rFonts w:ascii="Arial" w:cs="Arial" w:eastAsia="Arial" w:hAnsi="Arial"/>
          <w:sz w:val="16"/>
          <w:szCs w:val="16"/>
          <w:color w:val="000000"/>
        </w:rPr>
        <w:t xml:space="preserve">) on the requested Borrowing Date, in the case of Daily SOFR Loans or ABR Loans), specifying (i) the </w:t>
      </w:r>
      <w:r>
        <w:rPr>
          <w:rFonts w:ascii="Arial" w:cs="Arial" w:eastAsia="Arial" w:hAnsi="Arial"/>
          <w:sz w:val="16"/>
          <w:szCs w:val="16"/>
          <w:u w:val="single" w:color="auto"/>
          <w:color w:val="0000FF"/>
          <w:highlight w:val="lightGray"/>
        </w:rPr>
        <w:t>applicable Facility under which</w:t>
      </w:r>
      <w:r>
        <w:rPr>
          <w:rFonts w:ascii="Arial" w:cs="Arial" w:eastAsia="Arial" w:hAnsi="Arial"/>
          <w:sz w:val="16"/>
          <w:szCs w:val="16"/>
          <w:color w:val="000000"/>
        </w:rPr>
        <w:t xml:space="preserve"> </w:t>
      </w:r>
      <w:r>
        <w:rPr>
          <w:rFonts w:ascii="Arial" w:cs="Arial" w:eastAsia="Arial" w:hAnsi="Arial"/>
          <w:sz w:val="16"/>
          <w:szCs w:val="16"/>
          <w:u w:val="single" w:color="auto"/>
          <w:color w:val="0000FF"/>
          <w:highlight w:val="lightGray"/>
        </w:rPr>
        <w:t>such Loan is to be made, (ii) the Agreed Currency and the</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amount and Type of Revolving Loans to be borrowed, (ii</w:t>
      </w:r>
      <w:r>
        <w:rPr>
          <w:rFonts w:ascii="Arial" w:cs="Arial" w:eastAsia="Arial" w:hAnsi="Arial"/>
          <w:sz w:val="16"/>
          <w:szCs w:val="16"/>
          <w:u w:val="single" w:color="auto"/>
          <w:color w:val="0000FF"/>
        </w:rPr>
        <w:t>i</w:t>
      </w:r>
      <w:r>
        <w:rPr>
          <w:rFonts w:ascii="Arial" w:cs="Arial" w:eastAsia="Arial" w:hAnsi="Arial"/>
          <w:sz w:val="16"/>
          <w:szCs w:val="16"/>
          <w:color w:val="000000"/>
        </w:rPr>
        <w:t>) the requested Borrowing Date and</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w:t>
      </w:r>
      <w:r>
        <w:rPr>
          <w:rFonts w:ascii="Arial" w:cs="Arial" w:eastAsia="Arial" w:hAnsi="Arial"/>
          <w:sz w:val="16"/>
          <w:szCs w:val="16"/>
          <w:color w:val="FF0000"/>
          <w:strike w:val="1"/>
        </w:rPr>
        <w:t>iii</w:t>
      </w:r>
      <w:r>
        <w:rPr>
          <w:rFonts w:ascii="Arial" w:cs="Arial" w:eastAsia="Arial" w:hAnsi="Arial"/>
          <w:sz w:val="16"/>
          <w:szCs w:val="16"/>
          <w:u w:val="single" w:color="auto"/>
          <w:color w:val="0000FF"/>
          <w:highlight w:val="lightGray"/>
        </w:rPr>
        <w:t>iv</w:t>
      </w:r>
      <w:r>
        <w:rPr>
          <w:rFonts w:ascii="Arial" w:cs="Arial" w:eastAsia="Arial" w:hAnsi="Arial"/>
          <w:sz w:val="16"/>
          <w:szCs w:val="16"/>
          <w:color w:val="000000"/>
        </w:rPr>
        <w:t xml:space="preserve">) in the case of Term Benchmark Loans, the respective amounts of each such Type of Loan and the respective lengths of the initial Interest Period therefor, and certifying that the conditions set forth in </w:t>
      </w:r>
      <w:r>
        <w:rPr>
          <w:rFonts w:ascii="Arial" w:cs="Arial" w:eastAsia="Arial" w:hAnsi="Arial"/>
          <w:sz w:val="16"/>
          <w:szCs w:val="16"/>
          <w:u w:val="single" w:color="auto"/>
          <w:color w:val="000000"/>
        </w:rPr>
        <w:t>Section 5.2</w:t>
      </w:r>
      <w:r>
        <w:rPr>
          <w:rFonts w:ascii="Arial" w:cs="Arial" w:eastAsia="Arial" w:hAnsi="Arial"/>
          <w:sz w:val="16"/>
          <w:szCs w:val="16"/>
          <w:color w:val="000000"/>
        </w:rPr>
        <w:t xml:space="preserve"> are satisfied</w:t>
      </w:r>
      <w:r>
        <w:rPr>
          <w:rFonts w:ascii="Arial" w:cs="Arial" w:eastAsia="Arial" w:hAnsi="Arial"/>
          <w:sz w:val="16"/>
          <w:szCs w:val="16"/>
          <w:u w:val="single" w:color="auto"/>
          <w:color w:val="0000FF"/>
          <w:highlight w:val="lightGray"/>
        </w:rPr>
        <w:t>; provided, further, that (x) if no election as to the currency of a Borrowing is</w:t>
      </w:r>
      <w:r>
        <w:rPr>
          <w:rFonts w:ascii="Arial" w:cs="Arial" w:eastAsia="Arial" w:hAnsi="Arial"/>
          <w:sz w:val="16"/>
          <w:szCs w:val="16"/>
          <w:color w:val="000000"/>
        </w:rPr>
        <w:t xml:space="preserve"> </w:t>
      </w:r>
      <w:r>
        <w:rPr>
          <w:rFonts w:ascii="Arial" w:cs="Arial" w:eastAsia="Arial" w:hAnsi="Arial"/>
          <w:sz w:val="16"/>
          <w:szCs w:val="16"/>
          <w:u w:val="single" w:color="auto"/>
          <w:color w:val="0000FF"/>
          <w:highlight w:val="lightGray"/>
        </w:rPr>
        <w:t>specified, then the requested Revolving Borrowing shall be made in Dollars, (y) if no election as to the Type of Revolving Borrowing is specified, then the requested Revolving Borrowing shall be a Daily SOFR Borrowing made in Dollars and (z) if no Interest Period is specified with respect to any requested Term Benchmark Revolving Borrowing, then the Borrower shall be deemed to have selected an Interest Period of one month’s duration</w:t>
      </w:r>
      <w:r>
        <w:rPr>
          <w:rFonts w:ascii="Arial" w:cs="Arial" w:eastAsia="Arial" w:hAnsi="Arial"/>
          <w:sz w:val="16"/>
          <w:szCs w:val="16"/>
          <w:color w:val="000000"/>
        </w:rPr>
        <w:t>. Each borrowing</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under the </w:t>
      </w:r>
      <w:r>
        <w:rPr>
          <w:rFonts w:ascii="Arial" w:cs="Arial" w:eastAsia="Arial" w:hAnsi="Arial"/>
          <w:sz w:val="16"/>
          <w:szCs w:val="16"/>
          <w:u w:val="single" w:color="auto"/>
          <w:color w:val="0000FF"/>
          <w:highlight w:val="lightGray"/>
        </w:rPr>
        <w:t>Multicurrency Revolving Commitments or USD</w:t>
      </w:r>
      <w:r>
        <w:rPr>
          <w:rFonts w:ascii="Arial" w:cs="Arial" w:eastAsia="Arial" w:hAnsi="Arial"/>
          <w:sz w:val="16"/>
          <w:szCs w:val="16"/>
          <w:color w:val="000000"/>
        </w:rPr>
        <w:t xml:space="preserve"> Revolving Commitments shall be in an amount equal to (x) in the case of ABR Loans, RFR Loans and/or Daily SOFR Loans, </w:t>
      </w:r>
      <w:r>
        <w:rPr>
          <w:rFonts w:ascii="Arial" w:cs="Arial" w:eastAsia="Arial" w:hAnsi="Arial"/>
          <w:sz w:val="16"/>
          <w:szCs w:val="16"/>
          <w:u w:val="single" w:color="auto"/>
          <w:color w:val="0000FF"/>
          <w:highlight w:val="lightGray"/>
        </w:rPr>
        <w:t>the Dollar Equivalent of</w:t>
      </w:r>
      <w:r>
        <w:rPr>
          <w:rFonts w:ascii="Arial" w:cs="Arial" w:eastAsia="Arial" w:hAnsi="Arial"/>
          <w:sz w:val="16"/>
          <w:szCs w:val="16"/>
          <w:color w:val="000000"/>
        </w:rPr>
        <w:t xml:space="preserve"> $1,000,000 or a whole multiple thereof (or, if the then aggregate Available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000000"/>
        </w:rPr>
        <w:t xml:space="preserve"> Revolving Commitments </w:t>
      </w:r>
      <w:r>
        <w:rPr>
          <w:rFonts w:ascii="Arial" w:cs="Arial" w:eastAsia="Arial" w:hAnsi="Arial"/>
          <w:sz w:val="16"/>
          <w:szCs w:val="16"/>
          <w:u w:val="single" w:color="auto"/>
          <w:color w:val="0000FF"/>
          <w:highlight w:val="lightGray"/>
        </w:rPr>
        <w:t>or USD Revolving Commitments, as applicable,</w:t>
      </w:r>
      <w:r>
        <w:rPr>
          <w:rFonts w:ascii="Arial" w:cs="Arial" w:eastAsia="Arial" w:hAnsi="Arial"/>
          <w:sz w:val="16"/>
          <w:szCs w:val="16"/>
          <w:color w:val="000000"/>
        </w:rPr>
        <w:t xml:space="preserve"> are less than $1,000,000, such lesser amount) and (y) in the case of Term Benchmark Loans, </w:t>
      </w:r>
      <w:r>
        <w:rPr>
          <w:rFonts w:ascii="Arial" w:cs="Arial" w:eastAsia="Arial" w:hAnsi="Arial"/>
          <w:sz w:val="16"/>
          <w:szCs w:val="16"/>
          <w:u w:val="single" w:color="auto"/>
          <w:color w:val="0000FF"/>
          <w:highlight w:val="lightGray"/>
        </w:rPr>
        <w:t>the Dollar of Equivalent of</w:t>
      </w:r>
      <w:r>
        <w:rPr>
          <w:rFonts w:ascii="Arial" w:cs="Arial" w:eastAsia="Arial" w:hAnsi="Arial"/>
          <w:sz w:val="16"/>
          <w:szCs w:val="16"/>
          <w:color w:val="000000"/>
        </w:rPr>
        <w:t xml:space="preserve"> $5,000,000 or a whole multiple </w:t>
      </w:r>
      <w:r>
        <w:rPr>
          <w:rFonts w:ascii="Arial" w:cs="Arial" w:eastAsia="Arial" w:hAnsi="Arial"/>
          <w:sz w:val="16"/>
          <w:szCs w:val="16"/>
          <w:u w:val="single" w:color="auto"/>
          <w:color w:val="0000FF"/>
          <w:highlight w:val="lightGray"/>
        </w:rPr>
        <w:t>of the Dollar Equivalent</w:t>
      </w:r>
      <w:r>
        <w:rPr>
          <w:rFonts w:ascii="Arial" w:cs="Arial" w:eastAsia="Arial" w:hAnsi="Arial"/>
          <w:sz w:val="16"/>
          <w:szCs w:val="16"/>
          <w:color w:val="000000"/>
        </w:rPr>
        <w:t xml:space="preserve"> of $1,000,000 in excess thereof. Upon receipt of any such notice from the Borrower, the Administrative Agent shall promptly notify each </w:t>
      </w:r>
      <w:r>
        <w:rPr>
          <w:rFonts w:ascii="Arial" w:cs="Arial" w:eastAsia="Arial" w:hAnsi="Arial"/>
          <w:sz w:val="16"/>
          <w:szCs w:val="16"/>
          <w:u w:val="single" w:color="auto"/>
          <w:color w:val="0000FF"/>
          <w:highlight w:val="lightGray"/>
        </w:rPr>
        <w:t>applicable</w:t>
      </w:r>
      <w:r>
        <w:rPr>
          <w:rFonts w:ascii="Arial" w:cs="Arial" w:eastAsia="Arial" w:hAnsi="Arial"/>
          <w:sz w:val="16"/>
          <w:szCs w:val="16"/>
          <w:color w:val="000000"/>
        </w:rPr>
        <w:t xml:space="preserve"> Revolving Lender thereof. Each </w:t>
      </w:r>
      <w:r>
        <w:rPr>
          <w:rFonts w:ascii="Arial" w:cs="Arial" w:eastAsia="Arial" w:hAnsi="Arial"/>
          <w:sz w:val="16"/>
          <w:szCs w:val="16"/>
          <w:u w:val="single" w:color="auto"/>
          <w:color w:val="0000FF"/>
          <w:highlight w:val="lightGray"/>
        </w:rPr>
        <w:t>applicable</w:t>
      </w:r>
      <w:r>
        <w:rPr>
          <w:rFonts w:ascii="Arial" w:cs="Arial" w:eastAsia="Arial" w:hAnsi="Arial"/>
          <w:sz w:val="16"/>
          <w:szCs w:val="16"/>
          <w:color w:val="000000"/>
        </w:rPr>
        <w:t xml:space="preserve"> Revolving Lender will make the amount of its pro rata share of each borrowing available to the Administrative Agent in funds immediately available to the Administrative Agent for the account of the Borrower at the Funding Office prior to 12:00 Noon, New York City time on the Borrowing Date requested by the Borrower (or in the case of Daily SOFR Loans or ABR Loans for which the applicable borrowing notice was given on the requested Borrowing Date, 2:00 P.M., New York City time on such Borrowing Date). Such borrowing will then be made available to the Borrower by the Administrative Agent crediting the account of the Borrower on the books of such office with the aggregate of the amounts made available to the Administrative Agent by the </w:t>
      </w:r>
      <w:r>
        <w:rPr>
          <w:rFonts w:ascii="Arial" w:cs="Arial" w:eastAsia="Arial" w:hAnsi="Arial"/>
          <w:sz w:val="16"/>
          <w:szCs w:val="16"/>
          <w:u w:val="single" w:color="auto"/>
          <w:color w:val="0000FF"/>
          <w:highlight w:val="lightGray"/>
        </w:rPr>
        <w:t>applicable</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Revolving Lenders and in like funds as received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-2069465</wp:posOffset>
            </wp:positionV>
            <wp:extent cx="25400"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3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Sections 2.14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each borrowing of Revolving Loans shall be comprised </w:t>
      </w:r>
      <w:r>
        <w:rPr>
          <w:rFonts w:ascii="Arial" w:cs="Arial" w:eastAsia="Arial" w:hAnsi="Arial"/>
          <w:sz w:val="17"/>
          <w:szCs w:val="17"/>
          <w:u w:val="single" w:color="auto"/>
          <w:color w:val="0000FF"/>
          <w:highlight w:val="lightGray"/>
        </w:rPr>
        <w:t>(a) in the case of Borrowings in Dollars,</w:t>
      </w:r>
      <w:r>
        <w:rPr>
          <w:rFonts w:ascii="Arial" w:cs="Arial" w:eastAsia="Arial" w:hAnsi="Arial"/>
          <w:sz w:val="17"/>
          <w:szCs w:val="17"/>
          <w:color w:val="auto"/>
        </w:rPr>
        <w:t xml:space="preserve"> entirely of ABR Loans, Term Benchmark Loans, Daily SOFR Loans or RFR Loans </w:t>
      </w:r>
      <w:r>
        <w:rPr>
          <w:rFonts w:ascii="Arial" w:cs="Arial" w:eastAsia="Arial" w:hAnsi="Arial"/>
          <w:sz w:val="17"/>
          <w:szCs w:val="17"/>
          <w:u w:val="single" w:color="auto"/>
          <w:color w:val="0000FF"/>
          <w:highlight w:val="lightGray"/>
        </w:rPr>
        <w:t>as the Borrower may request in accordance herewith and (b) in the case of</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Borrowings in any other Alternative Currency, entirely of Term Benchmark Loans or RFR Loans (or, subject to Section 2.10 or 2.14, as applicable, in the case of Loans denominated in Canadian Dollars, Canadian Prime Rate Loans), as applicable, in each case of the same Alternative 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as the</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Borrower may request in accordance herewith. Each Revolving Lender may at its option make any Term Benchmark Loan by causing any domestic or foreign branch or Affiliate of such Revolving Lender to make such Revolving Loan;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any exercise of such option shall not affect the obligation of the Borrower to repay such Revolving Loan in accordance with the terms of this Agreement. Borrowings of Revolving Loans of more than one Type may be outstanding at the same time, subject to </w:t>
      </w:r>
      <w:r>
        <w:rPr>
          <w:rFonts w:ascii="Arial" w:cs="Arial" w:eastAsia="Arial" w:hAnsi="Arial"/>
          <w:sz w:val="17"/>
          <w:szCs w:val="17"/>
          <w:u w:val="single" w:color="auto"/>
          <w:color w:val="000000"/>
        </w:rPr>
        <w:t>Section 2.10</w:t>
      </w:r>
      <w:r>
        <w:rPr>
          <w:rFonts w:ascii="Arial" w:cs="Arial" w:eastAsia="Arial" w:hAnsi="Arial"/>
          <w:sz w:val="17"/>
          <w:szCs w:val="17"/>
          <w:color w:val="000000"/>
        </w:rPr>
        <w:t>. For purposes of the foregoing, Term Benchmark Tranches having different Interest Periods, regardless of whether they commence on the same date, shall be considered separate borrowings.</w:t>
      </w:r>
    </w:p>
    <w:p>
      <w:pPr>
        <w:spacing w:after="0" w:line="18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u w:val="single" w:color="auto"/>
          <w:color w:val="auto"/>
        </w:rPr>
        <w:t>2.6</w:t>
      </w:r>
      <w:r>
        <w:rPr>
          <w:sz w:val="20"/>
          <w:szCs w:val="20"/>
          <w:color w:val="auto"/>
        </w:rPr>
        <w:tab/>
      </w:r>
      <w:r>
        <w:rPr>
          <w:rFonts w:ascii="Arial" w:cs="Arial" w:eastAsia="Arial" w:hAnsi="Arial"/>
          <w:sz w:val="16"/>
          <w:szCs w:val="16"/>
          <w:u w:val="single" w:color="auto"/>
          <w:color w:val="auto"/>
        </w:rPr>
        <w:t>Facility Fees, Etc.</w:t>
      </w:r>
      <w:r>
        <w:rPr>
          <w:rFonts w:ascii="Arial" w:cs="Arial" w:eastAsia="Arial" w:hAnsi="Arial"/>
          <w:sz w:val="16"/>
          <w:szCs w:val="16"/>
          <w:color w:val="FF0000"/>
          <w:strike w:val="1"/>
        </w:rPr>
        <w:t>.</w:t>
      </w:r>
    </w:p>
    <w:p>
      <w:pPr>
        <w:spacing w:after="0" w:line="212" w:lineRule="exact"/>
        <w:rPr>
          <w:sz w:val="20"/>
          <w:szCs w:val="20"/>
          <w:color w:val="auto"/>
        </w:rPr>
      </w:pPr>
    </w:p>
    <w:p>
      <w:pPr>
        <w:jc w:val="both"/>
        <w:ind w:firstLine="656"/>
        <w:spacing w:after="0"/>
        <w:tabs>
          <w:tab w:leader="none" w:pos="1083"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Borrower agrees to pay the Administrative Agent, </w:t>
      </w:r>
      <w:r>
        <w:rPr>
          <w:rFonts w:ascii="Arial" w:cs="Arial" w:eastAsia="Arial" w:hAnsi="Arial"/>
          <w:sz w:val="18"/>
          <w:szCs w:val="18"/>
          <w:u w:val="single" w:color="auto"/>
          <w:color w:val="0000FF"/>
          <w:highlight w:val="lightGray"/>
        </w:rPr>
        <w:t>(i)</w:t>
      </w:r>
      <w:r>
        <w:rPr>
          <w:rFonts w:ascii="Arial" w:cs="Arial" w:eastAsia="Arial" w:hAnsi="Arial"/>
          <w:sz w:val="18"/>
          <w:szCs w:val="18"/>
          <w:color w:val="auto"/>
        </w:rPr>
        <w:t xml:space="preserve"> for the account of each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Lender (in each case pro rata according to the respective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Commitments of all such </w:t>
      </w:r>
      <w:r>
        <w:rPr>
          <w:rFonts w:ascii="Arial" w:cs="Arial" w:eastAsia="Arial" w:hAnsi="Arial"/>
          <w:sz w:val="18"/>
          <w:szCs w:val="18"/>
          <w:u w:val="single" w:color="auto"/>
          <w:color w:val="0000FF"/>
          <w:highlight w:val="lightGray"/>
        </w:rPr>
        <w:t>Multicurrency Revolving</w:t>
      </w:r>
      <w:r>
        <w:rPr>
          <w:rFonts w:ascii="Arial" w:cs="Arial" w:eastAsia="Arial" w:hAnsi="Arial"/>
          <w:sz w:val="18"/>
          <w:szCs w:val="18"/>
          <w:color w:val="auto"/>
        </w:rPr>
        <w:t xml:space="preserve"> Lenders), a facility fee (the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Revolving</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00"/>
        </w:rPr>
        <w:t>Facility Fee</w:t>
      </w:r>
      <w:r>
        <w:rPr>
          <w:rFonts w:ascii="Arial" w:cs="Arial" w:eastAsia="Arial" w:hAnsi="Arial"/>
          <w:sz w:val="18"/>
          <w:szCs w:val="18"/>
          <w:color w:val="000000"/>
        </w:rPr>
        <w:t>”) in Dollars in amount equal to the then applicable Facility Fee Percentage for Revolving Loans multiplied by the actual daily</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 xml:space="preserve">amount of the Total </w:t>
      </w:r>
      <w:r>
        <w:rPr>
          <w:rFonts w:ascii="Arial" w:cs="Arial" w:eastAsia="Arial" w:hAnsi="Arial"/>
          <w:sz w:val="18"/>
          <w:szCs w:val="18"/>
          <w:u w:val="single" w:color="auto"/>
          <w:color w:val="0000FF"/>
          <w:highlight w:val="lightGray"/>
        </w:rPr>
        <w:t>Multicurrency Revolving Commitments, such fee being payable quarterly in arrears on each Fee Payment Date, commencing on the</w:t>
      </w:r>
      <w:r>
        <w:rPr>
          <w:rFonts w:ascii="Arial" w:cs="Arial" w:eastAsia="Arial" w:hAnsi="Arial"/>
          <w:sz w:val="18"/>
          <w:szCs w:val="18"/>
          <w:color w:val="000000"/>
        </w:rPr>
        <w:t xml:space="preserve"> </w:t>
      </w:r>
      <w:r>
        <w:rPr>
          <w:rFonts w:ascii="Arial" w:cs="Arial" w:eastAsia="Arial" w:hAnsi="Arial"/>
          <w:sz w:val="18"/>
          <w:szCs w:val="18"/>
          <w:u w:val="single" w:color="auto"/>
          <w:color w:val="0000FF"/>
          <w:highlight w:val="lightGray"/>
        </w:rPr>
        <w:t>first such date to occur after the Closing Date and (ii) for the account of each USD Revolving Lender (in each case pro rata according to the respective USD Revolving Commitments of all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21" w:right="339" w:bottom="1440" w:gutter="0" w:footer="0" w:header="0"/>
        </w:sectPr>
      </w:pPr>
    </w:p>
    <w:bookmarkStart w:id="155" w:name="page156"/>
    <w:bookmarkEnd w:id="155"/>
    <w:p>
      <w:pPr>
        <w:jc w:val="both"/>
        <w:spacing w:after="0" w:line="248" w:lineRule="auto"/>
        <w:rPr>
          <w:sz w:val="20"/>
          <w:szCs w:val="20"/>
          <w:color w:val="auto"/>
        </w:rPr>
      </w:pPr>
      <w:r>
        <w:rPr>
          <w:rFonts w:ascii="Arial" w:cs="Arial" w:eastAsia="Arial" w:hAnsi="Arial"/>
          <w:sz w:val="18"/>
          <w:szCs w:val="18"/>
          <w:u w:val="single" w:color="auto"/>
          <w:color w:val="0000FF"/>
          <w:highlight w:val="lightGray"/>
        </w:rPr>
        <w:t>USD Revolving Lenders), a facility fee (the “USD Revolving Facility Fee”) in Dollars in amount equal to the then applicable Facility Fee Percentage for USD Revolving Loans multiplied by the actual daily amount of the Total USD Multicurrency</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Revolving Commitments, such fee being payable quarterly in</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arrears on each Fee Payment Date, commencing on the first such date to occur after the Closing Date.</w:t>
      </w:r>
    </w:p>
    <w:p>
      <w:pPr>
        <w:spacing w:after="0" w:line="182" w:lineRule="exact"/>
        <w:rPr>
          <w:sz w:val="20"/>
          <w:szCs w:val="20"/>
          <w:color w:val="auto"/>
        </w:rPr>
      </w:pPr>
    </w:p>
    <w:p>
      <w:pPr>
        <w:ind w:right="20" w:firstLine="656"/>
        <w:spacing w:after="0" w:line="261" w:lineRule="auto"/>
        <w:tabs>
          <w:tab w:leader="none" w:pos="105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the fees in the amounts and on the dates as set forth in any fee agreements with the Administrative Agent and to perform any other obligations contained therein.</w:t>
      </w:r>
    </w:p>
    <w:p>
      <w:pPr>
        <w:spacing w:after="0" w:line="170" w:lineRule="exact"/>
        <w:rPr>
          <w:rFonts w:ascii="Arial" w:cs="Arial" w:eastAsia="Arial" w:hAnsi="Arial"/>
          <w:sz w:val="18"/>
          <w:szCs w:val="18"/>
          <w:color w:val="auto"/>
        </w:rPr>
      </w:pPr>
    </w:p>
    <w:p>
      <w:pPr>
        <w:jc w:val="both"/>
        <w:ind w:firstLine="656"/>
        <w:spacing w:after="0" w:line="272" w:lineRule="auto"/>
        <w:tabs>
          <w:tab w:leader="none" w:pos="1074"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The Borrower agrees to pay to the Administrative Agent, for the account of each Lender (other than a Defaulting Lender) with a Delayed Draw Term Commitment (in each case pro rata according to the respective Delayed Draw Term Commitments of all such Lenders), a commitment fee in an amount equal to the Facility Fee Percentage for Delayed Draw Term Loans then in effect, </w:t>
      </w:r>
      <w:r>
        <w:rPr>
          <w:rFonts w:ascii="Arial" w:cs="Arial" w:eastAsia="Arial" w:hAnsi="Arial"/>
          <w:sz w:val="16"/>
          <w:szCs w:val="16"/>
          <w:u w:val="single" w:color="auto"/>
          <w:color w:val="auto"/>
        </w:rPr>
        <w:t>multiplied</w:t>
      </w:r>
      <w:r>
        <w:rPr>
          <w:rFonts w:ascii="Arial" w:cs="Arial" w:eastAsia="Arial" w:hAnsi="Arial"/>
          <w:sz w:val="16"/>
          <w:szCs w:val="16"/>
          <w:color w:val="auto"/>
        </w:rPr>
        <w:t xml:space="preserve"> by the actual daily amount of the Available Delayed Draw Term Commitment of such Lenders (such commitment fees, the “</w:t>
      </w:r>
      <w:r>
        <w:rPr>
          <w:rFonts w:ascii="Arial" w:cs="Arial" w:eastAsia="Arial" w:hAnsi="Arial"/>
          <w:sz w:val="16"/>
          <w:szCs w:val="16"/>
          <w:u w:val="single" w:color="auto"/>
          <w:color w:val="auto"/>
        </w:rPr>
        <w:t>Delayed Draw Commitment Fee</w:t>
      </w:r>
      <w:r>
        <w:rPr>
          <w:rFonts w:ascii="Arial" w:cs="Arial" w:eastAsia="Arial" w:hAnsi="Arial"/>
          <w:sz w:val="16"/>
          <w:szCs w:val="16"/>
          <w:color w:val="auto"/>
        </w:rPr>
        <w:t>”), which shall accrue from the Closing Date to and including the Delayed Draw Term Commitment Termination Date. The Delayed Draw Commitment Fee shall be payable (x) quarterly in arrears on the last Business Day of each March, June, September and December, as applicable for the quarterly period (or portion thereof) ended on such day, commencing on the first such date to occur after the Closing Date and (y) on the Delayed Draw Term Commitment Termination Date. The Delayed Draw Commitment Fee shall be calculated on the basis of a 360-day year for the number of days elapsed.</w:t>
      </w:r>
    </w:p>
    <w:p>
      <w:pPr>
        <w:spacing w:after="0" w:line="1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Termination or Reduction of Revolving Commitments</w:t>
      </w:r>
      <w:r>
        <w:rPr>
          <w:rFonts w:ascii="Arial" w:cs="Arial" w:eastAsia="Arial" w:hAnsi="Arial"/>
          <w:sz w:val="17"/>
          <w:szCs w:val="17"/>
          <w:color w:val="auto"/>
        </w:rPr>
        <w:t xml:space="preserve">. The Borrower shall have the right to terminate the </w:t>
      </w:r>
      <w:r>
        <w:rPr>
          <w:rFonts w:ascii="Arial" w:cs="Arial" w:eastAsia="Arial" w:hAnsi="Arial"/>
          <w:sz w:val="17"/>
          <w:szCs w:val="17"/>
          <w:u w:val="single" w:color="auto"/>
          <w:color w:val="0000FF"/>
          <w:highlight w:val="lightGray"/>
        </w:rPr>
        <w:t>Multicurrency Revolving</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Commitments or USD</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Commitments or, from time to time, to reduce the amount of the</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Commitments</w:t>
      </w:r>
      <w:r>
        <w:rPr>
          <w:rFonts w:ascii="Arial" w:cs="Arial" w:eastAsia="Arial" w:hAnsi="Arial"/>
          <w:sz w:val="17"/>
          <w:szCs w:val="17"/>
          <w:color w:val="0000FF"/>
          <w:highlight w:val="lightGray"/>
        </w:rPr>
        <w:t xml:space="preserve"> </w:t>
      </w:r>
      <w:r>
        <w:rPr>
          <w:rFonts w:ascii="Arial" w:cs="Arial" w:eastAsia="Arial" w:hAnsi="Arial"/>
          <w:sz w:val="17"/>
          <w:szCs w:val="17"/>
          <w:color w:val="0000FF"/>
        </w:rPr>
        <w:t>or USD</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Revolving Commitments (but shall not be applied to the Alternative Currency Sublimit except as specified by the Borrower or except as specified in the last sentence of this paragraph)</w:t>
      </w:r>
      <w:r>
        <w:rPr>
          <w:rFonts w:ascii="Arial" w:cs="Arial" w:eastAsia="Arial" w:hAnsi="Arial"/>
          <w:sz w:val="17"/>
          <w:szCs w:val="17"/>
          <w:color w:val="000000"/>
        </w:rPr>
        <w:t>;</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00"/>
        </w:rPr>
        <w:t>provided</w:t>
      </w:r>
      <w:r>
        <w:rPr>
          <w:rFonts w:ascii="Arial" w:cs="Arial" w:eastAsia="Arial" w:hAnsi="Arial"/>
          <w:sz w:val="17"/>
          <w:szCs w:val="17"/>
          <w:color w:val="000000"/>
        </w:rPr>
        <w:t>, that no such termination or reduction of Revolving Commitments shall be permitted if, after giving effect thereto</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and to any prepayments of the Revolving Loans made on the effective date thereof, the </w:t>
      </w:r>
      <w:r>
        <w:rPr>
          <w:rFonts w:ascii="Arial" w:cs="Arial" w:eastAsia="Arial" w:hAnsi="Arial"/>
          <w:sz w:val="17"/>
          <w:szCs w:val="17"/>
          <w:u w:val="single" w:color="auto"/>
          <w:color w:val="0000FF"/>
          <w:highlight w:val="lightGray"/>
        </w:rPr>
        <w:t>(a)</w:t>
      </w:r>
      <w:r>
        <w:rPr>
          <w:rFonts w:ascii="Arial" w:cs="Arial" w:eastAsia="Arial" w:hAnsi="Arial"/>
          <w:sz w:val="17"/>
          <w:szCs w:val="17"/>
          <w:color w:val="000000"/>
        </w:rPr>
        <w:t xml:space="preserve"> Total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Extensions of Credit would exceed the Total </w:t>
      </w:r>
      <w:r>
        <w:rPr>
          <w:rFonts w:ascii="Arial" w:cs="Arial" w:eastAsia="Arial" w:hAnsi="Arial"/>
          <w:sz w:val="17"/>
          <w:szCs w:val="17"/>
          <w:color w:val="FF0000"/>
          <w:strike w:val="1"/>
        </w:rPr>
        <w:t>Revolving</w:t>
      </w:r>
      <w:r>
        <w:rPr>
          <w:rFonts w:ascii="Arial" w:cs="Arial" w:eastAsia="Arial" w:hAnsi="Arial"/>
          <w:sz w:val="17"/>
          <w:szCs w:val="17"/>
          <w:u w:val="single" w:color="auto"/>
          <w:color w:val="0000FF"/>
          <w:highlight w:val="lightGray"/>
        </w:rPr>
        <w:t>Multicurrency Revolving Commitments or (b) Total USD Revolving Extensions of Credit would exceed the Total USD</w:t>
      </w:r>
      <w:r>
        <w:rPr>
          <w:rFonts w:ascii="Arial" w:cs="Arial" w:eastAsia="Arial" w:hAnsi="Arial"/>
          <w:sz w:val="17"/>
          <w:szCs w:val="17"/>
          <w:color w:val="000000"/>
        </w:rPr>
        <w:t xml:space="preserve"> </w:t>
      </w:r>
      <w:r>
        <w:rPr>
          <w:rFonts w:ascii="Arial" w:cs="Arial" w:eastAsia="Arial" w:hAnsi="Arial"/>
          <w:sz w:val="17"/>
          <w:szCs w:val="17"/>
          <w:u w:val="single" w:color="auto"/>
          <w:color w:val="0000FF"/>
          <w:highlight w:val="lightGray"/>
        </w:rPr>
        <w:t>Revolving</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Commitments. Any such reduction shall be in an amount equal to $1,000,000, or a whole multiple thereof, and shall reduce permanently the</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Revolving Commitments then in effect. The Borrower shall notify the Administrative Agent of any election to terminate or reduce the Revolving Commitments under this </w:t>
      </w:r>
      <w:r>
        <w:rPr>
          <w:rFonts w:ascii="Arial" w:cs="Arial" w:eastAsia="Arial" w:hAnsi="Arial"/>
          <w:sz w:val="17"/>
          <w:szCs w:val="17"/>
          <w:u w:val="single" w:color="auto"/>
          <w:color w:val="000000"/>
        </w:rPr>
        <w:t>Section 2.7</w:t>
      </w:r>
      <w:r>
        <w:rPr>
          <w:rFonts w:ascii="Arial" w:cs="Arial" w:eastAsia="Arial" w:hAnsi="Arial"/>
          <w:sz w:val="17"/>
          <w:szCs w:val="17"/>
          <w:color w:val="000000"/>
        </w:rPr>
        <w:t xml:space="preserve"> at least three (3) Business Days prior to the effective date of such termination or reduction, specifying such election and the effective date thereof. Promptly following receipt of any notice, the Administrative Agent shall advise the </w:t>
      </w:r>
      <w:r>
        <w:rPr>
          <w:rFonts w:ascii="Arial" w:cs="Arial" w:eastAsia="Arial" w:hAnsi="Arial"/>
          <w:sz w:val="17"/>
          <w:szCs w:val="17"/>
          <w:u w:val="single" w:color="auto"/>
          <w:color w:val="0000FF"/>
          <w:highlight w:val="lightGray"/>
        </w:rPr>
        <w:t>applicable</w:t>
      </w:r>
      <w:r>
        <w:rPr>
          <w:rFonts w:ascii="Arial" w:cs="Arial" w:eastAsia="Arial" w:hAnsi="Arial"/>
          <w:sz w:val="17"/>
          <w:szCs w:val="17"/>
          <w:color w:val="000000"/>
        </w:rPr>
        <w:t xml:space="preserve"> Revolving Lenders of the contents thereof. Each notice delivered by the Borrower pursuant to this </w:t>
      </w:r>
      <w:r>
        <w:rPr>
          <w:rFonts w:ascii="Arial" w:cs="Arial" w:eastAsia="Arial" w:hAnsi="Arial"/>
          <w:sz w:val="17"/>
          <w:szCs w:val="17"/>
          <w:u w:val="single" w:color="auto"/>
          <w:color w:val="000000"/>
        </w:rPr>
        <w:t>Section 2.7</w:t>
      </w:r>
      <w:r>
        <w:rPr>
          <w:rFonts w:ascii="Arial" w:cs="Arial" w:eastAsia="Arial" w:hAnsi="Arial"/>
          <w:sz w:val="17"/>
          <w:szCs w:val="17"/>
          <w:color w:val="000000"/>
        </w:rPr>
        <w:t xml:space="preserve"> shall be irrevocable;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 notice of termination of the Revolving Commitments delivered by the Borrower may state that such notice is conditioned upon the effectiveness of other credit facilities or a specified transaction, in which case such notice may be revoked by the Borrower (by notice to the Administrative Agent on or prior to the specified effective date) if such condition is not satisfied. Any termination or reduction of the Revolving Commitments shall be permanent. Each reduction of the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Commitments shall be made ratably among the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Lenders in accordance with their respective </w:t>
      </w:r>
      <w:r>
        <w:rPr>
          <w:rFonts w:ascii="Arial" w:cs="Arial" w:eastAsia="Arial" w:hAnsi="Arial"/>
          <w:sz w:val="17"/>
          <w:szCs w:val="17"/>
          <w:u w:val="single" w:color="auto"/>
          <w:color w:val="0000FF"/>
          <w:highlight w:val="lightGray"/>
        </w:rPr>
        <w:t>Multicurrency Revolving</w:t>
      </w:r>
      <w:r>
        <w:rPr>
          <w:rFonts w:ascii="Arial" w:cs="Arial" w:eastAsia="Arial" w:hAnsi="Arial"/>
          <w:sz w:val="17"/>
          <w:szCs w:val="17"/>
          <w:color w:val="000000"/>
        </w:rPr>
        <w:t xml:space="preserve"> </w:t>
      </w:r>
      <w:r>
        <w:rPr>
          <w:rFonts w:ascii="Arial" w:cs="Arial" w:eastAsia="Arial" w:hAnsi="Arial"/>
          <w:sz w:val="17"/>
          <w:szCs w:val="17"/>
          <w:u w:val="single" w:color="auto"/>
          <w:color w:val="0000FF"/>
          <w:highlight w:val="lightGray"/>
        </w:rPr>
        <w:t>Commitments and each reduction of the USD Revolving Commitments shall be made ratably among the USD Revolving Lenders in accordance with their respective USD</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Commitments.</w:t>
      </w:r>
      <w:r>
        <w:rPr>
          <w:rFonts w:ascii="Arial" w:cs="Arial" w:eastAsia="Arial" w:hAnsi="Arial"/>
          <w:sz w:val="17"/>
          <w:szCs w:val="17"/>
          <w:color w:val="0000FF"/>
          <w:highlight w:val="lightGray"/>
        </w:rPr>
        <w:t xml:space="preserve"> </w:t>
      </w:r>
      <w:r>
        <w:rPr>
          <w:rFonts w:ascii="Arial" w:cs="Arial" w:eastAsia="Arial" w:hAnsi="Arial"/>
          <w:sz w:val="17"/>
          <w:szCs w:val="17"/>
          <w:color w:val="0000FF"/>
        </w:rPr>
        <w:t>Any such reduction in the Multicurrency Revolving Commitments below the Alternative Currency Sublimit</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shall result in a corresponding reduction of the Alternative Currency Sublimit.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-2198370</wp:posOffset>
            </wp:positionV>
            <wp:extent cx="42354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423545" cy="12890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-269240</wp:posOffset>
            </wp:positionV>
            <wp:extent cx="5163820"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5163820" cy="128905"/>
                    </a:xfrm>
                    <a:prstGeom prst="rect">
                      <a:avLst/>
                    </a:prstGeom>
                    <a:noFill/>
                  </pic:spPr>
                </pic:pic>
              </a:graphicData>
            </a:graphic>
          </wp:anchor>
        </w:drawing>
      </w:r>
    </w:p>
    <w:p>
      <w:pPr>
        <w:spacing w:after="0" w:line="16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5"/>
          <w:szCs w:val="15"/>
          <w:u w:val="single" w:color="auto"/>
          <w:color w:val="auto"/>
        </w:rPr>
        <w:t>Prepayments</w:t>
      </w:r>
      <w:r>
        <w:rPr>
          <w:rFonts w:ascii="Arial" w:cs="Arial" w:eastAsia="Arial" w:hAnsi="Arial"/>
          <w:sz w:val="15"/>
          <w:szCs w:val="15"/>
          <w:color w:val="auto"/>
        </w:rPr>
        <w:t>.</w:t>
      </w:r>
    </w:p>
    <w:p>
      <w:pPr>
        <w:spacing w:after="0" w:line="212" w:lineRule="exact"/>
        <w:rPr>
          <w:sz w:val="20"/>
          <w:szCs w:val="20"/>
          <w:color w:val="auto"/>
        </w:rPr>
      </w:pPr>
    </w:p>
    <w:p>
      <w:pPr>
        <w:jc w:val="both"/>
        <w:ind w:firstLine="656"/>
        <w:spacing w:after="0" w:line="255" w:lineRule="auto"/>
        <w:tabs>
          <w:tab w:leader="none" w:pos="1046"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The Borrower may at any time and from time to time prepay the Loans, in whole or in part, without premium or penalty (except as set forth below), upon irrevocable notice delivered to the Administrative Agent no later than 11:00 A.M., New York City time, (i) three (3) </w:t>
      </w:r>
      <w:r>
        <w:rPr>
          <w:rFonts w:ascii="Arial" w:cs="Arial" w:eastAsia="Arial" w:hAnsi="Arial"/>
          <w:sz w:val="17"/>
          <w:szCs w:val="17"/>
          <w:u w:val="single" w:color="auto"/>
          <w:color w:val="0000FF"/>
          <w:highlight w:val="lightGray"/>
        </w:rPr>
        <w:t>U.S. Government</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Securities</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Business Days prior thereto, in the case of Term Benchmark Loans</w:t>
      </w:r>
      <w:r>
        <w:rPr>
          <w:rFonts w:ascii="Arial" w:cs="Arial" w:eastAsia="Arial" w:hAnsi="Arial"/>
          <w:sz w:val="17"/>
          <w:szCs w:val="17"/>
          <w:color w:val="FF0000"/>
          <w:strike w:val="1"/>
        </w:rPr>
        <w:t>, (ii)</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denominated in Dollars, (ii) three (3) Business Days prior thereto, in the</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case of Term Benchmark Loans denominated in Australian Dollars, Canadian Dollars and Euros, (iii)</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five (5) Business Days prior thereto, in the case of</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RFR Loans and (</w:t>
      </w:r>
      <w:r>
        <w:rPr>
          <w:rFonts w:ascii="Arial" w:cs="Arial" w:eastAsia="Arial" w:hAnsi="Arial"/>
          <w:sz w:val="17"/>
          <w:szCs w:val="17"/>
          <w:color w:val="FF0000"/>
          <w:strike w:val="1"/>
        </w:rPr>
        <w:t>iii</w:t>
      </w:r>
      <w:r>
        <w:rPr>
          <w:rFonts w:ascii="Arial" w:cs="Arial" w:eastAsia="Arial" w:hAnsi="Arial"/>
          <w:sz w:val="17"/>
          <w:szCs w:val="17"/>
          <w:u w:val="single" w:color="auto"/>
          <w:color w:val="0000FF"/>
          <w:highlight w:val="lightGray"/>
        </w:rPr>
        <w:t>iv</w:t>
      </w:r>
      <w:r>
        <w:rPr>
          <w:rFonts w:ascii="Arial" w:cs="Arial" w:eastAsia="Arial" w:hAnsi="Arial"/>
          <w:sz w:val="17"/>
          <w:szCs w:val="17"/>
          <w:color w:val="000000"/>
        </w:rPr>
        <w:t xml:space="preserve">) one (1) Business Day prior thereto, in the case of ABR </w:t>
      </w:r>
      <w:r>
        <w:rPr>
          <w:rFonts w:ascii="Arial" w:cs="Arial" w:eastAsia="Arial" w:hAnsi="Arial"/>
          <w:sz w:val="17"/>
          <w:szCs w:val="17"/>
          <w:u w:val="single" w:color="auto"/>
          <w:color w:val="0000FF"/>
          <w:highlight w:val="lightGray"/>
        </w:rPr>
        <w:t>Loans, Canadian Prime Rate</w:t>
      </w:r>
      <w:r>
        <w:rPr>
          <w:rFonts w:ascii="Arial" w:cs="Arial" w:eastAsia="Arial" w:hAnsi="Arial"/>
          <w:sz w:val="17"/>
          <w:szCs w:val="17"/>
          <w:color w:val="000000"/>
        </w:rPr>
        <w:t xml:space="preserve"> Loans or Daily SOFR Loans, which notice shall specify the date and amount of prepayment and whether the prepayment is of Term Benchmark Loans, RFR Loans, Daily SOFR Loans</w:t>
      </w:r>
      <w:r>
        <w:rPr>
          <w:rFonts w:ascii="Arial" w:cs="Arial" w:eastAsia="Arial" w:hAnsi="Arial"/>
          <w:sz w:val="17"/>
          <w:szCs w:val="17"/>
          <w:u w:val="single" w:color="auto"/>
          <w:color w:val="0000FF"/>
          <w:highlight w:val="lightGray"/>
        </w:rPr>
        <w:t>, Canadian Prime</w:t>
      </w:r>
      <w:r>
        <w:rPr>
          <w:rFonts w:ascii="Arial" w:cs="Arial" w:eastAsia="Arial" w:hAnsi="Arial"/>
          <w:sz w:val="17"/>
          <w:szCs w:val="17"/>
          <w:color w:val="000000"/>
        </w:rPr>
        <w:t xml:space="preserve"> </w:t>
      </w:r>
      <w:r>
        <w:rPr>
          <w:rFonts w:ascii="Arial" w:cs="Arial" w:eastAsia="Arial" w:hAnsi="Arial"/>
          <w:sz w:val="17"/>
          <w:szCs w:val="17"/>
          <w:u w:val="single" w:color="auto"/>
          <w:color w:val="0000FF"/>
          <w:highlight w:val="lightGray"/>
        </w:rPr>
        <w:t>Rate Loans</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or ABR Loans;</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00"/>
        </w:rPr>
        <w:t>provided</w:t>
      </w:r>
      <w:r>
        <w:rPr>
          <w:rFonts w:ascii="Arial" w:cs="Arial" w:eastAsia="Arial" w:hAnsi="Arial"/>
          <w:sz w:val="17"/>
          <w:szCs w:val="17"/>
          <w:color w:val="000000"/>
        </w:rPr>
        <w:t>, that if a Term Benchmark Loan is prepaid on any day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21" w:right="339" w:bottom="1440" w:gutter="0" w:footer="0" w:header="0"/>
        </w:sectPr>
      </w:pPr>
    </w:p>
    <w:bookmarkStart w:id="156" w:name="page157"/>
    <w:bookmarkEnd w:id="156"/>
    <w:p>
      <w:pPr>
        <w:jc w:val="both"/>
        <w:spacing w:after="0" w:line="272" w:lineRule="auto"/>
        <w:rPr>
          <w:sz w:val="20"/>
          <w:szCs w:val="20"/>
          <w:color w:val="auto"/>
        </w:rPr>
      </w:pPr>
      <w:r>
        <w:rPr>
          <w:rFonts w:ascii="Arial" w:cs="Arial" w:eastAsia="Arial" w:hAnsi="Arial"/>
          <w:sz w:val="16"/>
          <w:szCs w:val="16"/>
          <w:color w:val="auto"/>
        </w:rPr>
        <w:t xml:space="preserve">than the last day of the Interest Period applicable thereto, the Borrower shall also pay any amounts owing pursuant to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Upon receipt of any such notice the Administrative Agent shall promptly notify each relevant Lender thereof. If any such notice is given, the amount specified in such notice shall be due and payable on the date specified therein, together with (except in the case of Revolving Loans that are ABR Loans) accrued interest to such date on the amount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prepayment of the Revolving Loans in full delivered by the Borrower may state that such notice is conditioned upon the effectiveness of other credit facilities or a specified transaction, in which case such notice may be revoked by the Borrower (by notice to the Administrative Agent on or prior to the specified effective date) if such condition is not satisfied. Partial prepayments of </w:t>
      </w:r>
      <w:r>
        <w:rPr>
          <w:rFonts w:ascii="Arial" w:cs="Arial" w:eastAsia="Arial" w:hAnsi="Arial"/>
          <w:sz w:val="16"/>
          <w:szCs w:val="16"/>
          <w:u w:val="single" w:color="auto"/>
          <w:color w:val="0000FF"/>
          <w:highlight w:val="lightGray"/>
        </w:rPr>
        <w:t>Multicurrency Revolving</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Loans, USD</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Revolving Loans or Delayed Draw Term Loans shall be in an aggregate principal amount of</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the Dollar Equivalent of</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$1,000,000 or a whole</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multiple of </w:t>
      </w:r>
      <w:r>
        <w:rPr>
          <w:rFonts w:ascii="Arial" w:cs="Arial" w:eastAsia="Arial" w:hAnsi="Arial"/>
          <w:sz w:val="16"/>
          <w:szCs w:val="16"/>
          <w:u w:val="single" w:color="auto"/>
          <w:color w:val="0000FF"/>
          <w:highlight w:val="lightGray"/>
        </w:rPr>
        <w:t>the Dollar Equivalent of</w:t>
      </w:r>
      <w:r>
        <w:rPr>
          <w:rFonts w:ascii="Arial" w:cs="Arial" w:eastAsia="Arial" w:hAnsi="Arial"/>
          <w:sz w:val="16"/>
          <w:szCs w:val="16"/>
          <w:color w:val="000000"/>
        </w:rPr>
        <w:t xml:space="preserve"> $100,000 in excess thereof or, in each case, if less, the entire principal amount thereof then outstanding.</w:t>
      </w:r>
    </w:p>
    <w:p>
      <w:pPr>
        <w:spacing w:after="0" w:line="16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u w:val="single" w:color="auto"/>
          <w:color w:val="auto"/>
        </w:rPr>
        <w:t>Repayment of Loans</w:t>
      </w:r>
      <w:r>
        <w:rPr>
          <w:rFonts w:ascii="Arial" w:cs="Arial" w:eastAsia="Arial" w:hAnsi="Arial"/>
          <w:sz w:val="16"/>
          <w:szCs w:val="16"/>
          <w:color w:val="auto"/>
        </w:rPr>
        <w:t>.</w:t>
      </w:r>
    </w:p>
    <w:p>
      <w:pPr>
        <w:spacing w:after="0" w:line="212" w:lineRule="exact"/>
        <w:rPr>
          <w:sz w:val="20"/>
          <w:szCs w:val="20"/>
          <w:color w:val="auto"/>
        </w:rPr>
      </w:pPr>
    </w:p>
    <w:p>
      <w:pPr>
        <w:jc w:val="both"/>
        <w:ind w:firstLine="656"/>
        <w:spacing w:after="0" w:line="294" w:lineRule="auto"/>
        <w:tabs>
          <w:tab w:leader="none" w:pos="1059"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The Borrower promises to repay all outstanding </w:t>
      </w:r>
      <w:r>
        <w:rPr>
          <w:rFonts w:ascii="Arial" w:cs="Arial" w:eastAsia="Arial" w:hAnsi="Arial"/>
          <w:sz w:val="16"/>
          <w:szCs w:val="16"/>
          <w:u w:val="single" w:color="auto"/>
          <w:color w:val="0000FF"/>
          <w:highlight w:val="lightGray"/>
        </w:rPr>
        <w:t>(i) Multicurrency</w:t>
      </w:r>
      <w:r>
        <w:rPr>
          <w:rFonts w:ascii="Arial" w:cs="Arial" w:eastAsia="Arial" w:hAnsi="Arial"/>
          <w:sz w:val="16"/>
          <w:szCs w:val="16"/>
          <w:color w:val="auto"/>
        </w:rPr>
        <w:t xml:space="preserve"> Revolving Loans on the </w:t>
      </w:r>
      <w:r>
        <w:rPr>
          <w:rFonts w:ascii="Arial" w:cs="Arial" w:eastAsia="Arial" w:hAnsi="Arial"/>
          <w:sz w:val="16"/>
          <w:szCs w:val="16"/>
          <w:u w:val="single" w:color="auto"/>
          <w:color w:val="0000FF"/>
          <w:highlight w:val="lightGray"/>
        </w:rPr>
        <w:t>Multicurrency Revolving Maturity Date or such</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earlier date as required herein and (ii) USD Revolving Loans on the USD</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Revolving Maturity Date or such earlier date as required herein. The Borrower</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promises to repay all outstanding Delayed Draw Term Loans on the Delayed Draw Term Maturity Date or such earlier date as required herein.</w:t>
      </w:r>
    </w:p>
    <w:p>
      <w:pPr>
        <w:spacing w:after="0" w:line="147" w:lineRule="exact"/>
        <w:rPr>
          <w:rFonts w:ascii="Arial" w:cs="Arial" w:eastAsia="Arial" w:hAnsi="Arial"/>
          <w:sz w:val="16"/>
          <w:szCs w:val="16"/>
          <w:color w:val="auto"/>
        </w:rPr>
      </w:pPr>
    </w:p>
    <w:p>
      <w:pPr>
        <w:jc w:val="both"/>
        <w:ind w:firstLine="656"/>
        <w:spacing w:after="0" w:line="252" w:lineRule="auto"/>
        <w:tabs>
          <w:tab w:leader="none" w:pos="1044"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Amounts to be applied in connection with prepayments of </w:t>
      </w:r>
      <w:r>
        <w:rPr>
          <w:rFonts w:ascii="Arial" w:cs="Arial" w:eastAsia="Arial" w:hAnsi="Arial"/>
          <w:sz w:val="17"/>
          <w:szCs w:val="17"/>
          <w:u w:val="single" w:color="auto"/>
          <w:color w:val="0000FF"/>
          <w:highlight w:val="lightGray"/>
        </w:rPr>
        <w:t>(i) Multicurrency</w:t>
      </w:r>
      <w:r>
        <w:rPr>
          <w:rFonts w:ascii="Arial" w:cs="Arial" w:eastAsia="Arial" w:hAnsi="Arial"/>
          <w:sz w:val="17"/>
          <w:szCs w:val="17"/>
          <w:color w:val="auto"/>
        </w:rPr>
        <w:t xml:space="preserve"> Revolving Loans made pursuant to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shall be applied, first, to the prepayment of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Loans (without any corresponding reduction of the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Commitments), and second, if an Event of Default has occurred and is continuing, to cash collateralize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Letters of Credit by depositing an amount in cash in a cash collateral account established with the Administrative Agent for the benefit of the </w:t>
      </w:r>
      <w:r>
        <w:rPr>
          <w:rFonts w:ascii="Arial" w:cs="Arial" w:eastAsia="Arial" w:hAnsi="Arial"/>
          <w:sz w:val="17"/>
          <w:szCs w:val="17"/>
          <w:u w:val="single" w:color="auto"/>
          <w:color w:val="0000FF"/>
          <w:highlight w:val="lightGray"/>
        </w:rPr>
        <w:t>Multicurrency Revolving Lenders on terms and conditions</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satisfactory to the Administrative Agent and (ii) USD Revolving Loans made pursuant to Section 2.8 shall be applied, first, to the prepayment of USD Revolving Loans (without any corresponding reduction of the USD Revolving Commitments), and second, if an Event of Default has occurred and is continuing, to cash collateralize USD Letters of Credit by depositing an amount in cash in a cash collateral account established with the Administrative Agent for the benefit of the USD</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Lenders on terms and conditions satisfactory to the Administrative Agent. The application of any prepayment</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pursuant to </w:t>
      </w:r>
      <w:r>
        <w:rPr>
          <w:rFonts w:ascii="Arial" w:cs="Arial" w:eastAsia="Arial" w:hAnsi="Arial"/>
          <w:sz w:val="17"/>
          <w:szCs w:val="17"/>
          <w:u w:val="single" w:color="auto"/>
          <w:color w:val="000000"/>
        </w:rPr>
        <w:t>Section 2.8</w:t>
      </w:r>
      <w:r>
        <w:rPr>
          <w:rFonts w:ascii="Arial" w:cs="Arial" w:eastAsia="Arial" w:hAnsi="Arial"/>
          <w:sz w:val="17"/>
          <w:szCs w:val="17"/>
          <w:color w:val="000000"/>
        </w:rPr>
        <w:t xml:space="preserve"> of Loans shall be made, </w:t>
      </w:r>
      <w:r>
        <w:rPr>
          <w:rFonts w:ascii="Arial" w:cs="Arial" w:eastAsia="Arial" w:hAnsi="Arial"/>
          <w:sz w:val="17"/>
          <w:szCs w:val="17"/>
          <w:u w:val="single" w:color="auto"/>
          <w:color w:val="000000"/>
        </w:rPr>
        <w:t>first</w:t>
      </w:r>
      <w:r>
        <w:rPr>
          <w:rFonts w:ascii="Arial" w:cs="Arial" w:eastAsia="Arial" w:hAnsi="Arial"/>
          <w:sz w:val="17"/>
          <w:szCs w:val="17"/>
          <w:color w:val="000000"/>
        </w:rPr>
        <w:t xml:space="preserve">, to ABR Loans, </w:t>
      </w:r>
      <w:r>
        <w:rPr>
          <w:rFonts w:ascii="Arial" w:cs="Arial" w:eastAsia="Arial" w:hAnsi="Arial"/>
          <w:sz w:val="17"/>
          <w:szCs w:val="17"/>
          <w:u w:val="single" w:color="auto"/>
          <w:color w:val="000000"/>
        </w:rPr>
        <w:t>second</w:t>
      </w:r>
      <w:r>
        <w:rPr>
          <w:rFonts w:ascii="Arial" w:cs="Arial" w:eastAsia="Arial" w:hAnsi="Arial"/>
          <w:sz w:val="17"/>
          <w:szCs w:val="17"/>
          <w:color w:val="000000"/>
        </w:rPr>
        <w:t xml:space="preserve">, to Daily SOFR Loans, </w:t>
      </w:r>
      <w:r>
        <w:rPr>
          <w:rFonts w:ascii="Arial" w:cs="Arial" w:eastAsia="Arial" w:hAnsi="Arial"/>
          <w:sz w:val="17"/>
          <w:szCs w:val="17"/>
          <w:u w:val="single" w:color="auto"/>
          <w:color w:val="000000"/>
        </w:rPr>
        <w:t>third</w:t>
      </w:r>
      <w:r>
        <w:rPr>
          <w:rFonts w:ascii="Arial" w:cs="Arial" w:eastAsia="Arial" w:hAnsi="Arial"/>
          <w:sz w:val="17"/>
          <w:szCs w:val="17"/>
          <w:color w:val="000000"/>
        </w:rPr>
        <w:t xml:space="preserve">, to RFR Loans and, </w:t>
      </w:r>
      <w:r>
        <w:rPr>
          <w:rFonts w:ascii="Arial" w:cs="Arial" w:eastAsia="Arial" w:hAnsi="Arial"/>
          <w:sz w:val="17"/>
          <w:szCs w:val="17"/>
          <w:u w:val="single" w:color="auto"/>
          <w:color w:val="000000"/>
        </w:rPr>
        <w:t>fourth</w:t>
      </w:r>
      <w:r>
        <w:rPr>
          <w:rFonts w:ascii="Arial" w:cs="Arial" w:eastAsia="Arial" w:hAnsi="Arial"/>
          <w:sz w:val="17"/>
          <w:szCs w:val="17"/>
          <w:color w:val="000000"/>
        </w:rPr>
        <w:t xml:space="preserve">, to Term Benchmark Loans. Each prepayment of the Loans under </w:t>
      </w:r>
      <w:r>
        <w:rPr>
          <w:rFonts w:ascii="Arial" w:cs="Arial" w:eastAsia="Arial" w:hAnsi="Arial"/>
          <w:sz w:val="17"/>
          <w:szCs w:val="17"/>
          <w:u w:val="single" w:color="auto"/>
          <w:color w:val="000000"/>
        </w:rPr>
        <w:t>Section 2.8</w:t>
      </w:r>
      <w:r>
        <w:rPr>
          <w:rFonts w:ascii="Arial" w:cs="Arial" w:eastAsia="Arial" w:hAnsi="Arial"/>
          <w:sz w:val="17"/>
          <w:szCs w:val="17"/>
          <w:color w:val="000000"/>
        </w:rPr>
        <w:t xml:space="preserve"> (except in the case of Revolving Loans that are ABR Loans) shall be accompanied by accrued interest to the date of such prepayment on the amount prepaid.</w:t>
      </w:r>
    </w:p>
    <w:p>
      <w:pPr>
        <w:spacing w:after="0" w:line="185" w:lineRule="exact"/>
        <w:rPr>
          <w:rFonts w:ascii="Arial" w:cs="Arial" w:eastAsia="Arial" w:hAnsi="Arial"/>
          <w:sz w:val="17"/>
          <w:szCs w:val="17"/>
          <w:color w:val="auto"/>
        </w:rPr>
      </w:pPr>
    </w:p>
    <w:p>
      <w:pPr>
        <w:jc w:val="both"/>
        <w:ind w:firstLine="656"/>
        <w:spacing w:after="0" w:line="268" w:lineRule="auto"/>
        <w:tabs>
          <w:tab w:leader="none" w:pos="1041" w:val="left"/>
        </w:tabs>
        <w:numPr>
          <w:ilvl w:val="1"/>
          <w:numId w:val="76"/>
        </w:numPr>
        <w:rPr>
          <w:rFonts w:ascii="Arial" w:cs="Arial" w:eastAsia="Arial" w:hAnsi="Arial"/>
          <w:sz w:val="16"/>
          <w:szCs w:val="16"/>
          <w:u w:val="single" w:color="auto"/>
          <w:color w:val="0000FF"/>
          <w:highlight w:val="lightGray"/>
        </w:rPr>
      </w:pPr>
      <w:r>
        <w:rPr>
          <w:rFonts w:ascii="Arial" w:cs="Arial" w:eastAsia="Arial" w:hAnsi="Arial"/>
          <w:sz w:val="16"/>
          <w:szCs w:val="16"/>
          <w:u w:val="single" w:color="auto"/>
          <w:color w:val="0000FF"/>
          <w:highlight w:val="lightGray"/>
        </w:rPr>
        <w:t>If the Administrative Agent notifies the Borrower at any time that (i) as of any Revaluation Date, the aggregate amount of all Multicurrency Revolving Loans and Multicurrency L/C Obligations denominated in Alternative Currencies at such time exceeds an amount equal to 105% of the Alternative Currency Sublimit then in effect, then, within two Business Days after receipt of such notice, the Borrower shall prepay Multicurrency Revolving Loans and/or cash collateralize Multicurrency Letters of Credit on a basis reasonably acceptable to the Administrative Agent, in an aggregate amount sufficient to reduce such amount as of such date of payment to an amount not to exceed 100% of the Alternative Currency Sublimit then in effect,</w:t>
      </w:r>
    </w:p>
    <w:p>
      <w:pPr>
        <w:spacing w:after="0" w:line="1" w:lineRule="exact"/>
        <w:rPr>
          <w:rFonts w:ascii="Arial" w:cs="Arial" w:eastAsia="Arial" w:hAnsi="Arial"/>
          <w:sz w:val="16"/>
          <w:szCs w:val="16"/>
          <w:u w:val="single" w:color="auto"/>
          <w:color w:val="0000FF"/>
          <w:highlight w:val="lightGray"/>
        </w:rPr>
      </w:pPr>
    </w:p>
    <w:p>
      <w:pPr>
        <w:jc w:val="both"/>
        <w:ind w:firstLine="8"/>
        <w:spacing w:after="0" w:line="270" w:lineRule="auto"/>
        <w:tabs>
          <w:tab w:leader="none" w:pos="271" w:val="left"/>
        </w:tabs>
        <w:numPr>
          <w:ilvl w:val="0"/>
          <w:numId w:val="77"/>
        </w:numPr>
        <w:rPr>
          <w:rFonts w:ascii="Arial" w:cs="Arial" w:eastAsia="Arial" w:hAnsi="Arial"/>
          <w:sz w:val="16"/>
          <w:szCs w:val="16"/>
          <w:u w:val="single" w:color="auto"/>
          <w:color w:val="0000FF"/>
          <w:highlight w:val="lightGray"/>
        </w:rPr>
      </w:pPr>
      <w:r>
        <w:rPr>
          <w:rFonts w:ascii="Arial" w:cs="Arial" w:eastAsia="Arial" w:hAnsi="Arial"/>
          <w:sz w:val="16"/>
          <w:szCs w:val="16"/>
          <w:u w:val="single" w:color="auto"/>
          <w:color w:val="0000FF"/>
          <w:highlight w:val="lightGray"/>
        </w:rPr>
        <w:t>the Total Multicurrency Revolving Extensions of Credit at such time exceeds the Total Multicurrency Revolving Commitments, on such Business Day after receipt of such notice, the Borrower shall prepay Multicurrency Revolving Loans and/or cash collateralize Multicurrency Letters of Credit on a basis reasonably acceptable to the Administrative Agent, in an aggregate amount sufficient to reduce such amount as of such date of payment to an amount not to exceed 100% of the Total Multicurrency Revolving Commitments then in effect and (iii) the Total USD Revolving Extensions of Credit at such time exceeds the Total USD Revolving Commitments, on such Business Day after receipt of such notice, the Borrower shall prepay USD Revolving Loans and/or cash collateralize USD Letters of Credit on a basis reasonably acceptable to the Administrative Agent, in an aggregate amount sufficient to reduce such amount as of such date of payment to an amount not to exceed 100% of the Total USD Revolving Commitments then in effect.</w:t>
      </w:r>
    </w:p>
    <w:p>
      <w:pPr>
        <w:spacing w:after="0" w:line="16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Conversion and Continuation Options</w:t>
      </w:r>
      <w:r>
        <w:rPr>
          <w:rFonts w:ascii="Arial" w:cs="Arial" w:eastAsia="Arial" w:hAnsi="Arial"/>
          <w:sz w:val="16"/>
          <w:szCs w:val="16"/>
          <w:color w:val="auto"/>
        </w:rPr>
        <w:t>.</w:t>
      </w:r>
    </w:p>
    <w:p>
      <w:pPr>
        <w:spacing w:after="0" w:line="212" w:lineRule="exact"/>
        <w:rPr>
          <w:sz w:val="20"/>
          <w:szCs w:val="20"/>
          <w:color w:val="auto"/>
        </w:rPr>
      </w:pPr>
    </w:p>
    <w:p>
      <w:pPr>
        <w:jc w:val="both"/>
        <w:ind w:firstLine="656"/>
        <w:spacing w:after="0" w:line="248" w:lineRule="auto"/>
        <w:tabs>
          <w:tab w:leader="none" w:pos="1075"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Borrower may elect from time to time to convert Term Benchmark Loans </w:t>
      </w:r>
      <w:r>
        <w:rPr>
          <w:rFonts w:ascii="Arial" w:cs="Arial" w:eastAsia="Arial" w:hAnsi="Arial"/>
          <w:sz w:val="18"/>
          <w:szCs w:val="18"/>
          <w:u w:val="single" w:color="auto"/>
          <w:color w:val="0000FF"/>
          <w:highlight w:val="lightGray"/>
        </w:rPr>
        <w:t>denominated in Dollars</w:t>
      </w:r>
      <w:r>
        <w:rPr>
          <w:rFonts w:ascii="Arial" w:cs="Arial" w:eastAsia="Arial" w:hAnsi="Arial"/>
          <w:sz w:val="18"/>
          <w:szCs w:val="18"/>
          <w:color w:val="auto"/>
        </w:rPr>
        <w:t xml:space="preserve">, Daily SOFR Loans or RFR Loans </w:t>
      </w:r>
      <w:r>
        <w:rPr>
          <w:rFonts w:ascii="Arial" w:cs="Arial" w:eastAsia="Arial" w:hAnsi="Arial"/>
          <w:sz w:val="18"/>
          <w:szCs w:val="18"/>
          <w:u w:val="single" w:color="auto"/>
          <w:color w:val="0000FF"/>
          <w:highlight w:val="lightGray"/>
        </w:rPr>
        <w:t>denominated in Dollars</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to ABR Loans by giving the Administrative Agent prior irrevocable notice of such election no later than 11:00 A.M., New York</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City time, on the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21" w:right="339" w:bottom="1440" w:gutter="0" w:footer="0" w:header="0"/>
        </w:sectPr>
      </w:pPr>
    </w:p>
    <w:bookmarkStart w:id="157" w:name="page158"/>
    <w:bookmarkEnd w:id="157"/>
    <w:p>
      <w:pPr>
        <w:jc w:val="both"/>
        <w:spacing w:after="0" w:line="267" w:lineRule="auto"/>
        <w:rPr>
          <w:sz w:val="20"/>
          <w:szCs w:val="20"/>
          <w:color w:val="auto"/>
        </w:rPr>
      </w:pPr>
      <w:r>
        <w:rPr>
          <w:rFonts w:ascii="Arial" w:cs="Arial" w:eastAsia="Arial" w:hAnsi="Arial"/>
          <w:sz w:val="16"/>
          <w:szCs w:val="16"/>
          <w:color w:val="auto"/>
        </w:rPr>
        <w:t xml:space="preserve">preceding the proposed conversion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conversion of Term Benchmark Loans </w:t>
      </w:r>
      <w:r>
        <w:rPr>
          <w:rFonts w:ascii="Arial" w:cs="Arial" w:eastAsia="Arial" w:hAnsi="Arial"/>
          <w:sz w:val="16"/>
          <w:szCs w:val="16"/>
          <w:u w:val="single" w:color="auto"/>
          <w:color w:val="0000FF"/>
          <w:highlight w:val="lightGray"/>
        </w:rPr>
        <w:t>denominated in Dollars</w:t>
      </w:r>
      <w:r>
        <w:rPr>
          <w:rFonts w:ascii="Arial" w:cs="Arial" w:eastAsia="Arial" w:hAnsi="Arial"/>
          <w:sz w:val="16"/>
          <w:szCs w:val="16"/>
          <w:color w:val="auto"/>
        </w:rPr>
        <w:t xml:space="preserve"> may only be made on the last day of an Interest Period with respect thereto. The Borrower may elect from time to time to convert Term Benchmark Loans </w:t>
      </w:r>
      <w:r>
        <w:rPr>
          <w:rFonts w:ascii="Arial" w:cs="Arial" w:eastAsia="Arial" w:hAnsi="Arial"/>
          <w:sz w:val="16"/>
          <w:szCs w:val="16"/>
          <w:u w:val="single" w:color="auto"/>
          <w:color w:val="0000FF"/>
          <w:highlight w:val="lightGray"/>
        </w:rPr>
        <w:t>denominated in Dollars</w:t>
      </w:r>
      <w:r>
        <w:rPr>
          <w:rFonts w:ascii="Arial" w:cs="Arial" w:eastAsia="Arial" w:hAnsi="Arial"/>
          <w:sz w:val="16"/>
          <w:szCs w:val="16"/>
          <w:color w:val="auto"/>
        </w:rPr>
        <w:t xml:space="preserve">, ABR Loans or RFR Loans </w:t>
      </w:r>
      <w:r>
        <w:rPr>
          <w:rFonts w:ascii="Arial" w:cs="Arial" w:eastAsia="Arial" w:hAnsi="Arial"/>
          <w:sz w:val="16"/>
          <w:szCs w:val="16"/>
          <w:u w:val="single" w:color="auto"/>
          <w:color w:val="0000FF"/>
          <w:highlight w:val="lightGray"/>
        </w:rPr>
        <w:t>denominated in Dollars</w:t>
      </w:r>
      <w:r>
        <w:rPr>
          <w:rFonts w:ascii="Arial" w:cs="Arial" w:eastAsia="Arial" w:hAnsi="Arial"/>
          <w:sz w:val="16"/>
          <w:szCs w:val="16"/>
          <w:color w:val="auto"/>
        </w:rPr>
        <w:t xml:space="preserve"> to Daily SOFR Loans by giving the Administrative Agent irrevocable notice of such election no later than 11:00 A.M., New York City time, on the Business Day preceding the proposed conversion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conversion of Term Benchmark Loans may only be made on the last day of an Interest Period with respect thereto. The Borrower may elect from time to time to convert ABR Loans or Daily SOFR Loans to (i) RFR Loans </w:t>
      </w:r>
      <w:r>
        <w:rPr>
          <w:rFonts w:ascii="Arial" w:cs="Arial" w:eastAsia="Arial" w:hAnsi="Arial"/>
          <w:sz w:val="16"/>
          <w:szCs w:val="16"/>
          <w:u w:val="single" w:color="auto"/>
          <w:color w:val="0000FF"/>
          <w:highlight w:val="lightGray"/>
        </w:rPr>
        <w:t>denominated in Dollars</w:t>
      </w:r>
      <w:r>
        <w:rPr>
          <w:rFonts w:ascii="Arial" w:cs="Arial" w:eastAsia="Arial" w:hAnsi="Arial"/>
          <w:sz w:val="16"/>
          <w:szCs w:val="16"/>
          <w:color w:val="auto"/>
        </w:rPr>
        <w:t xml:space="preserve"> by giving the Administrative Agent prior irrevocable notice of such election no later than 11:00 A.M., New York City time, on the fifth (5th) Business Day preceding the proposed conversion date or (ii) Term Benchmark Loans </w:t>
      </w:r>
      <w:r>
        <w:rPr>
          <w:rFonts w:ascii="Arial" w:cs="Arial" w:eastAsia="Arial" w:hAnsi="Arial"/>
          <w:sz w:val="16"/>
          <w:szCs w:val="16"/>
          <w:u w:val="single" w:color="auto"/>
          <w:color w:val="0000FF"/>
          <w:highlight w:val="lightGray"/>
        </w:rPr>
        <w:t>denominated</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in Dollars</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by giving the Administrative Agent prior irrevocable notice of such election no later than 11:00 A.M., New York City time, on the third (3rd)</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Business Day preceding the proposed conversion date (which notice shall specify the length of the initial Interest Period therefor in the case of Term Benchmark Loans);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no ABR Loan or Daily SOFR Loan under a particular Facility may be converted into a Term Benchmark Loan or RFR Loan when any Event of Default has occurred and is continuing and the Administrative Agent or the Majority Facility Lenders in respect of such Facility have determined in its or their sole discretion not to permit such conversions. The Borrower may elect from time to time to convert Term Benchmark Loans </w:t>
      </w:r>
      <w:r>
        <w:rPr>
          <w:rFonts w:ascii="Arial" w:cs="Arial" w:eastAsia="Arial" w:hAnsi="Arial"/>
          <w:sz w:val="16"/>
          <w:szCs w:val="16"/>
          <w:u w:val="single" w:color="auto"/>
          <w:color w:val="0000FF"/>
          <w:highlight w:val="lightGray"/>
        </w:rPr>
        <w:t>denominated in Dollars</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to RFR Loans</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denominated in Dollars</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by giving the Administrative Agent prior irrevocable notice of such election no later than</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11:00 A.M., New York City time, on the fifth (5th) Business Day preceding the proposed conversion date;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no Term Benchmark Loan under a particular Facility may be converted into an RFR Loan when any Event of Default has occurred and is continuing and the Administrative Agent or the Majority Facility Lenders in respect of such Facility have determined in its or their sole discretion not to permit such conversions. The Borrower may elect from time to time to convert RFR Loans </w:t>
      </w:r>
      <w:r>
        <w:rPr>
          <w:rFonts w:ascii="Arial" w:cs="Arial" w:eastAsia="Arial" w:hAnsi="Arial"/>
          <w:sz w:val="16"/>
          <w:szCs w:val="16"/>
          <w:u w:val="single" w:color="auto"/>
          <w:color w:val="0000FF"/>
          <w:highlight w:val="lightGray"/>
        </w:rPr>
        <w:t>denominated in Dollars</w:t>
      </w:r>
      <w:r>
        <w:rPr>
          <w:rFonts w:ascii="Arial" w:cs="Arial" w:eastAsia="Arial" w:hAnsi="Arial"/>
          <w:sz w:val="16"/>
          <w:szCs w:val="16"/>
          <w:color w:val="000000"/>
        </w:rPr>
        <w:t xml:space="preserve"> to Term Benchmark Loans </w:t>
      </w:r>
      <w:r>
        <w:rPr>
          <w:rFonts w:ascii="Arial" w:cs="Arial" w:eastAsia="Arial" w:hAnsi="Arial"/>
          <w:sz w:val="16"/>
          <w:szCs w:val="16"/>
          <w:u w:val="single" w:color="auto"/>
          <w:color w:val="0000FF"/>
          <w:highlight w:val="lightGray"/>
        </w:rPr>
        <w:t>denominated in Dollars</w:t>
      </w:r>
      <w:r>
        <w:rPr>
          <w:rFonts w:ascii="Arial" w:cs="Arial" w:eastAsia="Arial" w:hAnsi="Arial"/>
          <w:sz w:val="16"/>
          <w:szCs w:val="16"/>
          <w:color w:val="000000"/>
        </w:rPr>
        <w:t xml:space="preserve"> by giving the Administrative Agent prior irrevocable notice of such election no later than 11:00 A.M., New York City time, on the third (3rd) Business Day preceding the proposed conversion date (which notice shall specify the length of the initial Interest Period therefor); </w:t>
      </w:r>
      <w:r>
        <w:rPr>
          <w:rFonts w:ascii="Arial" w:cs="Arial" w:eastAsia="Arial" w:hAnsi="Arial"/>
          <w:sz w:val="16"/>
          <w:szCs w:val="16"/>
          <w:u w:val="single" w:color="auto"/>
          <w:color w:val="000000"/>
        </w:rPr>
        <w:t>provided</w:t>
      </w:r>
      <w:r>
        <w:rPr>
          <w:rFonts w:ascii="Arial" w:cs="Arial" w:eastAsia="Arial" w:hAnsi="Arial"/>
          <w:sz w:val="16"/>
          <w:szCs w:val="16"/>
          <w:color w:val="000000"/>
        </w:rPr>
        <w:t>, that no RFR Loan under a particular Facility may be converted into a Term Benchmark Loan when any Event of Default has occurred and is continuing and the Administrative Agent or the Majority Facility Lenders in respect of such Facility have determined in its or their sole discretion not to permit such conversions. Upon receipt of any such notice the Administrative Agent shall promptly notify each relevant Lender thereof.</w:t>
      </w:r>
    </w:p>
    <w:p>
      <w:pPr>
        <w:spacing w:after="0" w:line="373" w:lineRule="exact"/>
        <w:rPr>
          <w:sz w:val="20"/>
          <w:szCs w:val="20"/>
          <w:color w:val="auto"/>
        </w:rPr>
      </w:pPr>
    </w:p>
    <w:p>
      <w:pPr>
        <w:jc w:val="both"/>
        <w:ind w:firstLine="656"/>
        <w:spacing w:after="0" w:line="267" w:lineRule="auto"/>
        <w:tabs>
          <w:tab w:leader="none" w:pos="1092"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Any Term Benchmark Loan may be continued as such upon the expiration of the then current Interest Period with respect thereto by the Borrower giving irrevocable notice to the Administrative Agent, in accordance with the applicable provisions of the term “Interest Period”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the length of the next Interest Period to be applicable to such Loans (or, if none is specified, one month);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Term Benchmark Loan under a particular Facility may be continued as such when any Event of Default has occurred and is continuing and the Administrative Agent has or the Majority Facility Lenders in respect of such Facility have determined in its or their sole discretion not to permit such continuations;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the Borrower shall fail to give any required notice as described above in this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or if such continuation is not permitted pursuant to the preceding proviso then such Loans shall be automatically continued as Term Benchmark Loans with an Interest Period of one month on the last day of such then expiring Interest Period (unless such continuation is not permitted pursuant to the preceding proviso, in which case such Loans </w:t>
      </w:r>
      <w:r>
        <w:rPr>
          <w:rFonts w:ascii="Arial" w:cs="Arial" w:eastAsia="Arial" w:hAnsi="Arial"/>
          <w:sz w:val="16"/>
          <w:szCs w:val="16"/>
          <w:u w:val="single" w:color="auto"/>
          <w:color w:val="0000FF"/>
          <w:highlight w:val="lightGray"/>
        </w:rPr>
        <w:t>denominated in (i)</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Dollars</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shall be automatically converted to ABR Loans</w:t>
      </w:r>
      <w:r>
        <w:rPr>
          <w:rFonts w:ascii="Arial" w:cs="Arial" w:eastAsia="Arial" w:hAnsi="Arial"/>
          <w:sz w:val="16"/>
          <w:szCs w:val="16"/>
          <w:u w:val="single" w:color="auto"/>
          <w:color w:val="0000FF"/>
          <w:highlight w:val="lightGray"/>
        </w:rPr>
        <w:t>, (ii) Canadian Dollars shall be automatically converted into Canadian Prime Rate Loans and (iii) an</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Alternative Currency (other than Canadian Dollars) shall be automatically converted into CBR Loans, in each case</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on the last day of such then expiring</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Interest Period</w:t>
      </w:r>
      <w:r>
        <w:rPr>
          <w:rFonts w:ascii="Arial" w:cs="Arial" w:eastAsia="Arial" w:hAnsi="Arial"/>
          <w:sz w:val="16"/>
          <w:szCs w:val="16"/>
          <w:color w:val="FF0000"/>
          <w:strike w:val="1"/>
        </w:rPr>
        <w:t>). Upon receipt of any such notice (or any such automatic conversion or continuation) the Administrative Agent shall promptly notify each</w:t>
      </w:r>
      <w:r>
        <w:rPr>
          <w:rFonts w:ascii="Arial" w:cs="Arial" w:eastAsia="Arial" w:hAnsi="Arial"/>
          <w:sz w:val="16"/>
          <w:szCs w:val="16"/>
          <w:color w:val="000000"/>
        </w:rPr>
        <w:t xml:space="preserve"> </w:t>
      </w:r>
      <w:r>
        <w:rPr>
          <w:rFonts w:ascii="Arial" w:cs="Arial" w:eastAsia="Arial" w:hAnsi="Arial"/>
          <w:sz w:val="16"/>
          <w:szCs w:val="16"/>
          <w:color w:val="FF0000"/>
          <w:strike w:val="1"/>
        </w:rPr>
        <w:t>relevant Lender thereof.</w:t>
      </w:r>
      <w:r>
        <w:rPr>
          <w:rFonts w:ascii="Arial" w:cs="Arial" w:eastAsia="Arial" w:hAnsi="Arial"/>
          <w:sz w:val="16"/>
          <w:szCs w:val="16"/>
          <w:u w:val="single" w:color="auto"/>
          <w:color w:val="0000FF"/>
          <w:highlight w:val="lightGray"/>
          <w:strike w:val="1"/>
        </w:rPr>
        <w:t>; provided, further, that if the Administrative Agent determines (which determination shall be conclusive and binding absent</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highlight w:val="lightGray"/>
          <w:strike w:val="1"/>
        </w:rPr>
        <w:t>manifest error) that the Central Bank Rate for the applicable Agreed Currency cannot be determined, any outstanding affected Term Benchmark Loans denominated in any Agreed Currency other than Dollars or Canadian Dollars shall either be (A) converted to an ABR Borrowing denominated in Dollars (in an amount equal to the Dollar Equivalent of such Alternative Currency) at the end of the Interest Period, as applicable, therefor or (B) prepaid at the end of the applicable Interest Period, as applicable, in full; provided, further, that if no election is made by the Borrower by the earlier of (x) the date that is three Business Days after receipt by the Borrower of such notice and (y) the last day of the current Interest Period for the applicable Term Benchmark Loan, the Borrower shall be deemed to have elected clause (A) above; provided, further, that notwithstanding the foregoing, during the existence and continuance of an Event of Default, the Majority Facility Lenders in respect of Multicurrency Revolving Facility may demand that any or all of the then outstanding Term Benchmark Loans denominated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21" w:right="339" w:bottom="1440" w:gutter="0" w:footer="0" w:header="0"/>
        </w:sectPr>
      </w:pPr>
    </w:p>
    <w:bookmarkStart w:id="158" w:name="page159"/>
    <w:bookmarkEnd w:id="158"/>
    <w:p>
      <w:pPr>
        <w:ind w:right="20"/>
        <w:spacing w:after="0" w:line="261" w:lineRule="auto"/>
        <w:rPr>
          <w:sz w:val="20"/>
          <w:szCs w:val="20"/>
          <w:color w:val="auto"/>
        </w:rPr>
      </w:pPr>
      <w:r>
        <w:rPr>
          <w:rFonts w:ascii="Arial" w:cs="Arial" w:eastAsia="Arial" w:hAnsi="Arial"/>
          <w:sz w:val="18"/>
          <w:szCs w:val="18"/>
          <w:u w:val="single" w:color="auto"/>
          <w:color w:val="0000FF"/>
          <w:highlight w:val="lightGray"/>
        </w:rPr>
        <w:t>Alternative Currency be redenominated into Dollars in the amount of the Dollar Equivalent thereof, on the last day of the then current Interest Period with respect thereto.</w:t>
      </w:r>
    </w:p>
    <w:p>
      <w:pPr>
        <w:spacing w:after="0" w:line="17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u w:val="single" w:color="auto"/>
          <w:color w:val="auto"/>
        </w:rPr>
        <w:t>Interest Rates and Payment Dates</w:t>
      </w:r>
      <w:r>
        <w:rPr>
          <w:rFonts w:ascii="Arial" w:cs="Arial" w:eastAsia="Arial" w:hAnsi="Arial"/>
          <w:sz w:val="15"/>
          <w:szCs w:val="15"/>
          <w:color w:val="auto"/>
        </w:rPr>
        <w:t>.</w:t>
      </w:r>
    </w:p>
    <w:p>
      <w:pPr>
        <w:spacing w:after="0" w:line="212" w:lineRule="exact"/>
        <w:rPr>
          <w:sz w:val="20"/>
          <w:szCs w:val="20"/>
          <w:color w:val="auto"/>
        </w:rPr>
      </w:pPr>
    </w:p>
    <w:p>
      <w:pPr>
        <w:jc w:val="both"/>
        <w:ind w:firstLine="656"/>
        <w:spacing w:after="0" w:line="248" w:lineRule="auto"/>
        <w:tabs>
          <w:tab w:leader="none" w:pos="1045"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Term Benchmark Loan shall bear interest for each day during each Interest Period with respect thereto at a rate per annum equal to the Adjusted Term SOFR Rate</w:t>
      </w:r>
      <w:r>
        <w:rPr>
          <w:rFonts w:ascii="Arial" w:cs="Arial" w:eastAsia="Arial" w:hAnsi="Arial"/>
          <w:sz w:val="18"/>
          <w:szCs w:val="18"/>
          <w:u w:val="single" w:color="auto"/>
          <w:color w:val="0000FF"/>
          <w:highlight w:val="lightGray"/>
        </w:rPr>
        <w:t>, Adjusted EURIBOR Rate, Adjusted CDOR Rate or Adjusted AUD Rate, as applicable,</w:t>
      </w:r>
      <w:r>
        <w:rPr>
          <w:rFonts w:ascii="Arial" w:cs="Arial" w:eastAsia="Arial" w:hAnsi="Arial"/>
          <w:sz w:val="18"/>
          <w:szCs w:val="18"/>
          <w:color w:val="auto"/>
        </w:rPr>
        <w:t xml:space="preserve"> determined for such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Each RFR Loan shall bear interest at a rate per annum equal to the Adjusted Daily Simple </w:t>
      </w:r>
      <w:r>
        <w:rPr>
          <w:rFonts w:ascii="Arial" w:cs="Arial" w:eastAsia="Arial" w:hAnsi="Arial"/>
          <w:sz w:val="18"/>
          <w:szCs w:val="18"/>
          <w:color w:val="FF0000"/>
          <w:strike w:val="1"/>
        </w:rPr>
        <w:t>SO</w:t>
      </w:r>
      <w:r>
        <w:rPr>
          <w:rFonts w:ascii="Arial" w:cs="Arial" w:eastAsia="Arial" w:hAnsi="Arial"/>
          <w:sz w:val="18"/>
          <w:szCs w:val="18"/>
          <w:u w:val="single" w:color="auto"/>
          <w:color w:val="0000FF"/>
          <w:highlight w:val="lightGray"/>
        </w:rPr>
        <w:t>R</w:t>
      </w:r>
      <w:r>
        <w:rPr>
          <w:rFonts w:ascii="Arial" w:cs="Arial" w:eastAsia="Arial" w:hAnsi="Arial"/>
          <w:sz w:val="18"/>
          <w:szCs w:val="18"/>
          <w:color w:val="auto"/>
        </w:rPr>
        <w:t xml:space="preserve">FR,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211" w:lineRule="exact"/>
        <w:rPr>
          <w:rFonts w:ascii="Arial" w:cs="Arial" w:eastAsia="Arial" w:hAnsi="Arial"/>
          <w:sz w:val="18"/>
          <w:szCs w:val="18"/>
          <w:color w:val="auto"/>
        </w:rPr>
      </w:pPr>
    </w:p>
    <w:p>
      <w:pPr>
        <w:ind w:left="1040" w:hanging="384"/>
        <w:spacing w:after="0"/>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Each ABR Loan shall bear interest at a rate per annum equal to the ABR,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211" w:lineRule="exact"/>
        <w:rPr>
          <w:rFonts w:ascii="Arial" w:cs="Arial" w:eastAsia="Arial" w:hAnsi="Arial"/>
          <w:sz w:val="18"/>
          <w:szCs w:val="18"/>
          <w:color w:val="auto"/>
        </w:rPr>
      </w:pPr>
    </w:p>
    <w:p>
      <w:pPr>
        <w:ind w:firstLine="656"/>
        <w:spacing w:after="0" w:line="261" w:lineRule="auto"/>
        <w:tabs>
          <w:tab w:leader="none" w:pos="1157"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Each Daily SOFR Loan shall bear interest at a rate per annum equal to the Adjusted Floating Overnight Daily SOFR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80"/>
        </w:numPr>
        <w:rPr>
          <w:rFonts w:ascii="Arial" w:cs="Arial" w:eastAsia="Arial" w:hAnsi="Arial"/>
          <w:sz w:val="17"/>
          <w:szCs w:val="17"/>
          <w:u w:val="single" w:color="auto"/>
          <w:color w:val="0000FF"/>
          <w:highlight w:val="lightGray"/>
        </w:rPr>
      </w:pPr>
      <w:r>
        <w:rPr>
          <w:rFonts w:ascii="Arial" w:cs="Arial" w:eastAsia="Arial" w:hAnsi="Arial"/>
          <w:sz w:val="17"/>
          <w:szCs w:val="17"/>
          <w:u w:val="single" w:color="auto"/>
          <w:color w:val="0000FF"/>
          <w:highlight w:val="lightGray"/>
        </w:rPr>
        <w:t>Each Canadian Prime Rate Loan shall bear interest at a rate per annum equal to the Canadian Prime Rate, plus the Applicable Margin.</w:t>
      </w:r>
    </w:p>
    <w:p>
      <w:pPr>
        <w:spacing w:after="0" w:line="2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FF0000"/>
          <w:strike w:val="1"/>
        </w:rPr>
        <w:t>e</w:t>
      </w:r>
      <w:r>
        <w:rPr>
          <w:rFonts w:ascii="Arial" w:cs="Arial" w:eastAsia="Arial" w:hAnsi="Arial"/>
          <w:sz w:val="17"/>
          <w:szCs w:val="17"/>
          <w:u w:val="single" w:color="auto"/>
          <w:color w:val="0000FF"/>
          <w:highlight w:val="lightGray"/>
        </w:rPr>
        <w:t>f</w:t>
      </w:r>
      <w:r>
        <w:rPr>
          <w:rFonts w:ascii="Arial" w:cs="Arial" w:eastAsia="Arial" w:hAnsi="Arial"/>
          <w:sz w:val="17"/>
          <w:szCs w:val="17"/>
          <w:color w:val="auto"/>
        </w:rPr>
        <w:t xml:space="preserve">) (i) If all or a portion of the principal amount of any Loan or Reimbursement Obligation shall not be paid when due (whether at the stated maturity, by acceleration or otherwise), all overdue outstanding Loans and Reimbursement Obligations shall bear interest at a rate per annum equal to (x) in the case of the Loans, the rate that would otherwise be applicable thereto pursuant to the foregoing provisions of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or (y) in the case of Reimbursement Obligations, the rate applicable to Term Benchmark Loans under the </w:t>
      </w:r>
      <w:r>
        <w:rPr>
          <w:rFonts w:ascii="Arial" w:cs="Arial" w:eastAsia="Arial" w:hAnsi="Arial"/>
          <w:sz w:val="17"/>
          <w:szCs w:val="17"/>
          <w:u w:val="single" w:color="auto"/>
          <w:color w:val="0000FF"/>
          <w:highlight w:val="lightGray"/>
        </w:rPr>
        <w:t>USD</w:t>
      </w:r>
      <w:r>
        <w:rPr>
          <w:rFonts w:ascii="Arial" w:cs="Arial" w:eastAsia="Arial" w:hAnsi="Arial"/>
          <w:sz w:val="17"/>
          <w:szCs w:val="17"/>
          <w:color w:val="auto"/>
        </w:rPr>
        <w:t xml:space="preserve"> Revolving Facility,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and (ii) if all or a portion of any interest payable on any Loan or any commitment fee or other amount payable hereunder shall not be paid when due (whether at the stated maturity, by acceleration or otherwise), such overdue amount shall bear interest at a rate per annum equal to the rate then applicable to ABR Loans under the relevant Facility,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(or, in the case of any such other amounts that do not relate to a particular Facility, the rate then applicable to ABR Loans under the </w:t>
      </w:r>
      <w:r>
        <w:rPr>
          <w:rFonts w:ascii="Arial" w:cs="Arial" w:eastAsia="Arial" w:hAnsi="Arial"/>
          <w:sz w:val="17"/>
          <w:szCs w:val="17"/>
          <w:u w:val="single" w:color="auto"/>
          <w:color w:val="0000FF"/>
          <w:highlight w:val="lightGray"/>
        </w:rPr>
        <w:t>USD</w:t>
      </w:r>
      <w:r>
        <w:rPr>
          <w:rFonts w:ascii="Arial" w:cs="Arial" w:eastAsia="Arial" w:hAnsi="Arial"/>
          <w:sz w:val="17"/>
          <w:szCs w:val="17"/>
          <w:color w:val="auto"/>
        </w:rPr>
        <w:t xml:space="preserve"> Revolving Facility,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in each case, with respect to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from the date of such non-payment until such amount is paid in full (as well after as before judgment).</w:t>
      </w:r>
    </w:p>
    <w:p>
      <w:pPr>
        <w:spacing w:after="0" w:line="184"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f</w:t>
      </w:r>
      <w:r>
        <w:rPr>
          <w:rFonts w:ascii="Arial" w:cs="Arial" w:eastAsia="Arial" w:hAnsi="Arial"/>
          <w:sz w:val="18"/>
          <w:szCs w:val="18"/>
          <w:u w:val="single" w:color="auto"/>
          <w:color w:val="0000FF"/>
          <w:highlight w:val="lightGray"/>
        </w:rPr>
        <w:t>g</w:t>
      </w:r>
      <w:r>
        <w:rPr>
          <w:rFonts w:ascii="Arial" w:cs="Arial" w:eastAsia="Arial" w:hAnsi="Arial"/>
          <w:sz w:val="18"/>
          <w:szCs w:val="18"/>
          <w:color w:val="auto"/>
        </w:rPr>
        <w:t xml:space="preserve">) 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interest accruing pursuant to </w:t>
      </w:r>
      <w:r>
        <w:rPr>
          <w:rFonts w:ascii="Arial" w:cs="Arial" w:eastAsia="Arial" w:hAnsi="Arial"/>
          <w:sz w:val="18"/>
          <w:szCs w:val="18"/>
          <w:u w:val="single" w:color="auto"/>
          <w:color w:val="auto"/>
        </w:rPr>
        <w:t>paragraph (</w:t>
      </w:r>
      <w:r>
        <w:rPr>
          <w:rFonts w:ascii="Arial" w:cs="Arial" w:eastAsia="Arial" w:hAnsi="Arial"/>
          <w:sz w:val="18"/>
          <w:szCs w:val="18"/>
          <w:u w:val="single" w:color="auto"/>
          <w:color w:val="FF0000"/>
          <w:strike w:val="1"/>
        </w:rPr>
        <w:t>e</w:t>
      </w:r>
      <w:r>
        <w:rPr>
          <w:rFonts w:ascii="Arial" w:cs="Arial" w:eastAsia="Arial" w:hAnsi="Arial"/>
          <w:sz w:val="18"/>
          <w:szCs w:val="18"/>
          <w:u w:val="single" w:color="auto"/>
          <w:color w:val="0000FF"/>
          <w:highlight w:val="lightGray"/>
        </w:rPr>
        <w:t>f</w:t>
      </w:r>
      <w:r>
        <w:rPr>
          <w:rFonts w:ascii="Arial" w:cs="Arial" w:eastAsia="Arial" w:hAnsi="Arial"/>
          <w:sz w:val="18"/>
          <w:szCs w:val="18"/>
          <w:u w:val="single" w:color="auto"/>
          <w:color w:val="auto"/>
        </w:rPr>
        <w:t>)</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2.12</w:t>
      </w:r>
      <w:r>
        <w:rPr>
          <w:rFonts w:ascii="Arial" w:cs="Arial" w:eastAsia="Arial" w:hAnsi="Arial"/>
          <w:sz w:val="18"/>
          <w:szCs w:val="18"/>
          <w:color w:val="auto"/>
        </w:rPr>
        <w:t xml:space="preserve"> shall be payable from time to time on demand of the Administrative Agent.</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w:t>
      </w:r>
    </w:p>
    <w:p>
      <w:pPr>
        <w:spacing w:after="0" w:line="212" w:lineRule="exact"/>
        <w:rPr>
          <w:sz w:val="20"/>
          <w:szCs w:val="20"/>
          <w:color w:val="auto"/>
        </w:rPr>
      </w:pPr>
    </w:p>
    <w:p>
      <w:pPr>
        <w:jc w:val="both"/>
        <w:ind w:firstLine="656"/>
        <w:spacing w:after="0"/>
        <w:tabs>
          <w:tab w:leader="none" w:pos="1114"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Interest computed by reference to the Term SOFR Rate, Daily Effective SOFR </w:t>
      </w:r>
      <w:r>
        <w:rPr>
          <w:rFonts w:ascii="Arial" w:cs="Arial" w:eastAsia="Arial" w:hAnsi="Arial"/>
          <w:sz w:val="18"/>
          <w:szCs w:val="18"/>
          <w:color w:val="FF0000"/>
        </w:rPr>
        <w:t>or</w:t>
      </w:r>
      <w:r>
        <w:rPr>
          <w:rFonts w:ascii="Arial" w:cs="Arial" w:eastAsia="Arial" w:hAnsi="Arial"/>
          <w:sz w:val="18"/>
          <w:szCs w:val="18"/>
          <w:u w:val="single" w:color="auto"/>
          <w:color w:val="0000FF"/>
        </w:rPr>
        <w:t>,</w:t>
      </w:r>
      <w:r>
        <w:rPr>
          <w:rFonts w:ascii="Arial" w:cs="Arial" w:eastAsia="Arial" w:hAnsi="Arial"/>
          <w:sz w:val="18"/>
          <w:szCs w:val="18"/>
          <w:color w:val="auto"/>
        </w:rPr>
        <w:t xml:space="preserve"> Daily Simple </w:t>
      </w:r>
      <w:r>
        <w:rPr>
          <w:rFonts w:ascii="Arial" w:cs="Arial" w:eastAsia="Arial" w:hAnsi="Arial"/>
          <w:sz w:val="18"/>
          <w:szCs w:val="18"/>
          <w:color w:val="FF0000"/>
          <w:strike w:val="1"/>
        </w:rPr>
        <w:t>SO</w:t>
      </w:r>
      <w:r>
        <w:rPr>
          <w:rFonts w:ascii="Arial" w:cs="Arial" w:eastAsia="Arial" w:hAnsi="Arial"/>
          <w:sz w:val="18"/>
          <w:szCs w:val="18"/>
          <w:u w:val="single" w:color="auto"/>
          <w:color w:val="0000FF"/>
          <w:highlight w:val="lightGray"/>
        </w:rPr>
        <w:t>R</w:t>
      </w:r>
      <w:r>
        <w:rPr>
          <w:rFonts w:ascii="Arial" w:cs="Arial" w:eastAsia="Arial" w:hAnsi="Arial"/>
          <w:sz w:val="18"/>
          <w:szCs w:val="18"/>
          <w:color w:val="auto"/>
        </w:rPr>
        <w:t xml:space="preserve">FR </w:t>
      </w:r>
      <w:r>
        <w:rPr>
          <w:rFonts w:ascii="Arial" w:cs="Arial" w:eastAsia="Arial" w:hAnsi="Arial"/>
          <w:sz w:val="18"/>
          <w:szCs w:val="18"/>
          <w:u w:val="single" w:color="auto"/>
          <w:color w:val="0000FF"/>
          <w:highlight w:val="lightGray"/>
        </w:rPr>
        <w:t>with respect to Dollars or the</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EURIBOR Rate</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hereunder shall be computed on the basis of a year of 360 days. Interest computed by reference to the</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Daily Simple RFR with respect to</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Sterling, CDOR Rate, Canadian Prime Rate, AUD Rate or the</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Alternate Base Rate at times when the Alternate Base Rate is based on the Prime Rate shall</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w:t>
      </w:r>
    </w:p>
    <w:p>
      <w:pPr>
        <w:spacing w:after="0" w:line="189" w:lineRule="exact"/>
        <w:rPr>
          <w:rFonts w:ascii="Arial" w:cs="Arial" w:eastAsia="Arial" w:hAnsi="Arial"/>
          <w:sz w:val="18"/>
          <w:szCs w:val="18"/>
          <w:color w:val="auto"/>
        </w:rPr>
      </w:pPr>
    </w:p>
    <w:p>
      <w:pPr>
        <w:ind w:firstLine="656"/>
        <w:spacing w:after="0" w:line="261" w:lineRule="auto"/>
        <w:tabs>
          <w:tab w:leader="none" w:pos="1112"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determination of an interest rate by the Administrative Agent pursuant to any provision of this Agreement shall be conclusive and binding on the Borrower and the Lenders in the absence of manifest error.</w:t>
      </w:r>
    </w:p>
    <w:p>
      <w:pPr>
        <w:spacing w:after="0" w:line="170" w:lineRule="exact"/>
        <w:rPr>
          <w:rFonts w:ascii="Arial" w:cs="Arial" w:eastAsia="Arial" w:hAnsi="Arial"/>
          <w:sz w:val="18"/>
          <w:szCs w:val="18"/>
          <w:color w:val="auto"/>
        </w:rPr>
      </w:pPr>
    </w:p>
    <w:p>
      <w:pPr>
        <w:ind w:right="20" w:firstLine="656"/>
        <w:spacing w:after="0" w:line="261" w:lineRule="auto"/>
        <w:tabs>
          <w:tab w:leader="none" w:pos="1068" w:val="left"/>
        </w:tabs>
        <w:numPr>
          <w:ilvl w:val="0"/>
          <w:numId w:val="81"/>
        </w:numPr>
        <w:rPr>
          <w:rFonts w:ascii="Arial" w:cs="Arial" w:eastAsia="Arial" w:hAnsi="Arial"/>
          <w:sz w:val="18"/>
          <w:szCs w:val="18"/>
          <w:u w:val="single" w:color="auto"/>
          <w:color w:val="0000FF"/>
          <w:highlight w:val="lightGray"/>
        </w:rPr>
      </w:pPr>
      <w:r>
        <w:rPr>
          <w:rFonts w:ascii="Arial" w:cs="Arial" w:eastAsia="Arial" w:hAnsi="Arial"/>
          <w:sz w:val="18"/>
          <w:szCs w:val="18"/>
          <w:u w:val="single" w:color="auto"/>
          <w:color w:val="0000FF"/>
          <w:highlight w:val="lightGray"/>
        </w:rPr>
        <w:t>For purposes of disclosure pursuant to the Interest Act (Canada), the yearly rate of interest to which any rate of interest payable under this Agreement, which is to be calculated on any basis other than a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-1579245</wp:posOffset>
            </wp:positionV>
            <wp:extent cx="15938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15938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21" w:right="339" w:bottom="1440" w:gutter="0" w:footer="0" w:header="0"/>
        </w:sectPr>
      </w:pPr>
    </w:p>
    <w:bookmarkStart w:id="159" w:name="page160"/>
    <w:bookmarkEnd w:id="159"/>
    <w:p>
      <w:pPr>
        <w:jc w:val="both"/>
        <w:spacing w:after="0" w:line="248" w:lineRule="auto"/>
        <w:rPr>
          <w:sz w:val="20"/>
          <w:szCs w:val="20"/>
          <w:color w:val="auto"/>
        </w:rPr>
      </w:pPr>
      <w:r>
        <w:rPr>
          <w:rFonts w:ascii="Arial" w:cs="Arial" w:eastAsia="Arial" w:hAnsi="Arial"/>
          <w:sz w:val="18"/>
          <w:szCs w:val="18"/>
          <w:u w:val="single" w:color="auto"/>
          <w:color w:val="0000FF"/>
          <w:highlight w:val="lightGray"/>
        </w:rPr>
        <w:t>calendar year, shall be determined by multiplying such rate of interest (expressed as a percentage) by a fraction, the numerator of which is the number of days in the calendar year commencing on the first day of the period for which interest at such rate is payable to the end thereof and the denominator of which is the number of days comprising such other basis.</w:t>
      </w:r>
    </w:p>
    <w:p>
      <w:pPr>
        <w:spacing w:after="0" w:line="18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Inability to Determine Interest Rate</w:t>
      </w:r>
      <w:r>
        <w:rPr>
          <w:rFonts w:ascii="Arial" w:cs="Arial" w:eastAsia="Arial" w:hAnsi="Arial"/>
          <w:sz w:val="16"/>
          <w:szCs w:val="16"/>
          <w:color w:val="auto"/>
        </w:rPr>
        <w:t>. (a) Subject to</w:t>
      </w:r>
      <w:r>
        <w:rPr>
          <w:rFonts w:ascii="Arial" w:cs="Arial" w:eastAsia="Arial" w:hAnsi="Arial"/>
          <w:sz w:val="16"/>
          <w:szCs w:val="16"/>
          <w:u w:val="single" w:color="auto"/>
          <w:color w:val="auto"/>
        </w:rPr>
        <w:t xml:space="preserve"> clauses (b)</w:t>
      </w:r>
      <w:r>
        <w:rPr>
          <w:rFonts w:ascii="Arial" w:cs="Arial" w:eastAsia="Arial" w:hAnsi="Arial"/>
          <w:sz w:val="16"/>
          <w:szCs w:val="16"/>
          <w:color w:val="auto"/>
        </w:rPr>
        <w:t>,</w:t>
      </w:r>
      <w:r>
        <w:rPr>
          <w:rFonts w:ascii="Arial" w:cs="Arial" w:eastAsia="Arial" w:hAnsi="Arial"/>
          <w:sz w:val="16"/>
          <w:szCs w:val="16"/>
          <w:u w:val="single" w:color="auto"/>
          <w:color w:val="auto"/>
        </w:rPr>
        <w:t xml:space="preserve"> (c)</w:t>
      </w:r>
      <w:r>
        <w:rPr>
          <w:rFonts w:ascii="Arial" w:cs="Arial" w:eastAsia="Arial" w:hAnsi="Arial"/>
          <w:sz w:val="16"/>
          <w:szCs w:val="16"/>
          <w:color w:val="auto"/>
        </w:rPr>
        <w:t>,</w:t>
      </w:r>
      <w:r>
        <w:rPr>
          <w:rFonts w:ascii="Arial" w:cs="Arial" w:eastAsia="Arial" w:hAnsi="Arial"/>
          <w:sz w:val="16"/>
          <w:szCs w:val="16"/>
          <w:u w:val="single" w:color="auto"/>
          <w:color w:val="auto"/>
        </w:rPr>
        <w:t xml:space="preserve"> (d)</w:t>
      </w:r>
      <w:r>
        <w:rPr>
          <w:rFonts w:ascii="Arial" w:cs="Arial" w:eastAsia="Arial" w:hAnsi="Arial"/>
          <w:sz w:val="16"/>
          <w:szCs w:val="16"/>
          <w:color w:val="auto"/>
        </w:rPr>
        <w:t>,</w:t>
      </w:r>
      <w:r>
        <w:rPr>
          <w:rFonts w:ascii="Arial" w:cs="Arial" w:eastAsia="Arial" w:hAnsi="Arial"/>
          <w:sz w:val="16"/>
          <w:szCs w:val="16"/>
          <w:u w:val="single" w:color="auto"/>
          <w:color w:val="auto"/>
        </w:rPr>
        <w:t xml:space="preserve"> (e) </w:t>
      </w:r>
      <w:r>
        <w:rPr>
          <w:rFonts w:ascii="Arial" w:cs="Arial" w:eastAsia="Arial" w:hAnsi="Arial"/>
          <w:sz w:val="16"/>
          <w:szCs w:val="16"/>
          <w:color w:val="auto"/>
        </w:rPr>
        <w:t>and</w:t>
      </w:r>
      <w:r>
        <w:rPr>
          <w:rFonts w:ascii="Arial" w:cs="Arial" w:eastAsia="Arial" w:hAnsi="Arial"/>
          <w:sz w:val="16"/>
          <w:szCs w:val="16"/>
          <w:u w:val="single" w:color="auto"/>
          <w:color w:val="auto"/>
        </w:rPr>
        <w:t xml:space="preserve"> (f) </w:t>
      </w:r>
      <w:r>
        <w:rPr>
          <w:rFonts w:ascii="Arial" w:cs="Arial" w:eastAsia="Arial" w:hAnsi="Arial"/>
          <w:sz w:val="16"/>
          <w:szCs w:val="16"/>
          <w:color w:val="auto"/>
        </w:rPr>
        <w:t>of this</w:t>
      </w:r>
      <w:r>
        <w:rPr>
          <w:rFonts w:ascii="Arial" w:cs="Arial" w:eastAsia="Arial" w:hAnsi="Arial"/>
          <w:sz w:val="16"/>
          <w:szCs w:val="16"/>
          <w:u w:val="single" w:color="auto"/>
          <w:color w:val="auto"/>
        </w:rPr>
        <w:t xml:space="preserve"> Section 2.14</w:t>
      </w:r>
      <w:r>
        <w:rPr>
          <w:rFonts w:ascii="Arial" w:cs="Arial" w:eastAsia="Arial" w:hAnsi="Arial"/>
          <w:sz w:val="16"/>
          <w:szCs w:val="16"/>
          <w:color w:val="auto"/>
        </w:rPr>
        <w:t>, if:</w:t>
      </w:r>
    </w:p>
    <w:p>
      <w:pPr>
        <w:spacing w:after="0" w:line="212" w:lineRule="exact"/>
        <w:rPr>
          <w:sz w:val="20"/>
          <w:szCs w:val="20"/>
          <w:color w:val="auto"/>
        </w:rPr>
      </w:pPr>
    </w:p>
    <w:p>
      <w:pPr>
        <w:jc w:val="both"/>
        <w:ind w:left="660" w:firstLine="644"/>
        <w:spacing w:after="0" w:line="255" w:lineRule="auto"/>
        <w:tabs>
          <w:tab w:leader="none" w:pos="1899"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the Administrative Agent determines (which determination shall be conclusive absent manifest error) (A) prior to the commencement of any Interest Period for a Term Benchmark Borrowing, that adequate and reasonable means do not exist for ascertaining the Adjusted Term SOFR Rate </w:t>
      </w:r>
      <w:r>
        <w:rPr>
          <w:rFonts w:ascii="Arial" w:cs="Arial" w:eastAsia="Arial" w:hAnsi="Arial"/>
          <w:sz w:val="17"/>
          <w:szCs w:val="17"/>
          <w:color w:val="FF0000"/>
        </w:rPr>
        <w:t>or</w:t>
      </w:r>
      <w:r>
        <w:rPr>
          <w:rFonts w:ascii="Arial" w:cs="Arial" w:eastAsia="Arial" w:hAnsi="Arial"/>
          <w:sz w:val="17"/>
          <w:szCs w:val="17"/>
          <w:u w:val="single" w:color="auto"/>
          <w:color w:val="0000FF"/>
          <w:highlight w:val="lightGray"/>
        </w:rPr>
        <w:t>,</w:t>
      </w:r>
      <w:r>
        <w:rPr>
          <w:rFonts w:ascii="Arial" w:cs="Arial" w:eastAsia="Arial" w:hAnsi="Arial"/>
          <w:sz w:val="17"/>
          <w:szCs w:val="17"/>
          <w:color w:val="auto"/>
        </w:rPr>
        <w:t xml:space="preserve"> the Term SOFR Rate</w:t>
      </w:r>
      <w:r>
        <w:rPr>
          <w:rFonts w:ascii="Arial" w:cs="Arial" w:eastAsia="Arial" w:hAnsi="Arial"/>
          <w:sz w:val="17"/>
          <w:szCs w:val="17"/>
          <w:u w:val="single" w:color="auto"/>
          <w:color w:val="0000FF"/>
          <w:highlight w:val="lightGray"/>
        </w:rPr>
        <w:t>, the Adjusted EURIBOR Rate, the EURIBOR Rate, the Adjusted CDOR Rate, the CDOR</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Rate, the Adjusted AUD Rate or the AUD Rate</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(including because the</w:t>
      </w:r>
      <w:r>
        <w:rPr>
          <w:rFonts w:ascii="Arial" w:cs="Arial" w:eastAsia="Arial" w:hAnsi="Arial"/>
          <w:sz w:val="17"/>
          <w:szCs w:val="17"/>
          <w:color w:val="0000FF"/>
          <w:highlight w:val="lightGray"/>
        </w:rPr>
        <w:t xml:space="preserve"> </w:t>
      </w:r>
      <w:r>
        <w:rPr>
          <w:rFonts w:ascii="Arial" w:cs="Arial" w:eastAsia="Arial" w:hAnsi="Arial"/>
          <w:sz w:val="17"/>
          <w:szCs w:val="17"/>
          <w:color w:val="FF0000"/>
          <w:strike w:val="1"/>
        </w:rPr>
        <w:t>Term SOFR Reference</w:t>
      </w:r>
      <w:r>
        <w:rPr>
          <w:rFonts w:ascii="Arial" w:cs="Arial" w:eastAsia="Arial" w:hAnsi="Arial"/>
          <w:sz w:val="17"/>
          <w:szCs w:val="17"/>
          <w:u w:val="single" w:color="auto"/>
          <w:color w:val="0000FF"/>
          <w:highlight w:val="lightGray"/>
        </w:rPr>
        <w:t>Relevant Screen</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Rate is not available or published</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on a current basis), for </w:t>
      </w:r>
      <w:r>
        <w:rPr>
          <w:rFonts w:ascii="Arial" w:cs="Arial" w:eastAsia="Arial" w:hAnsi="Arial"/>
          <w:sz w:val="17"/>
          <w:szCs w:val="17"/>
          <w:u w:val="single" w:color="auto"/>
          <w:color w:val="0000FF"/>
          <w:highlight w:val="lightGray"/>
        </w:rPr>
        <w:t>the applicable Agreed Currency and</w:t>
      </w:r>
      <w:r>
        <w:rPr>
          <w:rFonts w:ascii="Arial" w:cs="Arial" w:eastAsia="Arial" w:hAnsi="Arial"/>
          <w:sz w:val="17"/>
          <w:szCs w:val="17"/>
          <w:color w:val="000000"/>
        </w:rPr>
        <w:t xml:space="preserve"> such Interest Period or (B) at any time, that adequate and reasonable means do not exist for ascertaining the applicable Adjusted Daily Simple </w:t>
      </w:r>
      <w:r>
        <w:rPr>
          <w:rFonts w:ascii="Arial" w:cs="Arial" w:eastAsia="Arial" w:hAnsi="Arial"/>
          <w:sz w:val="17"/>
          <w:szCs w:val="17"/>
          <w:color w:val="FF0000"/>
          <w:strike w:val="1"/>
        </w:rPr>
        <w:t>SO</w:t>
      </w:r>
      <w:r>
        <w:rPr>
          <w:rFonts w:ascii="Arial" w:cs="Arial" w:eastAsia="Arial" w:hAnsi="Arial"/>
          <w:sz w:val="17"/>
          <w:szCs w:val="17"/>
          <w:u w:val="single" w:color="auto"/>
          <w:color w:val="0000FF"/>
          <w:highlight w:val="lightGray"/>
        </w:rPr>
        <w:t>R</w:t>
      </w:r>
      <w:r>
        <w:rPr>
          <w:rFonts w:ascii="Arial" w:cs="Arial" w:eastAsia="Arial" w:hAnsi="Arial"/>
          <w:sz w:val="17"/>
          <w:szCs w:val="17"/>
          <w:color w:val="000000"/>
        </w:rPr>
        <w:t xml:space="preserve">FR, Daily Simple SOFR, </w:t>
      </w:r>
      <w:r>
        <w:rPr>
          <w:rFonts w:ascii="Arial" w:cs="Arial" w:eastAsia="Arial" w:hAnsi="Arial"/>
          <w:sz w:val="17"/>
          <w:szCs w:val="17"/>
          <w:u w:val="single" w:color="auto"/>
          <w:color w:val="0000FF"/>
          <w:highlight w:val="lightGray"/>
        </w:rPr>
        <w:t>SONIA,</w:t>
      </w:r>
      <w:r>
        <w:rPr>
          <w:rFonts w:ascii="Arial" w:cs="Arial" w:eastAsia="Arial" w:hAnsi="Arial"/>
          <w:sz w:val="17"/>
          <w:szCs w:val="17"/>
          <w:color w:val="000000"/>
        </w:rPr>
        <w:t xml:space="preserve"> Adjusted Floating Overnight Daily SOFR Rate or Daily Effective SOFR </w:t>
      </w:r>
      <w:r>
        <w:rPr>
          <w:rFonts w:ascii="Arial" w:cs="Arial" w:eastAsia="Arial" w:hAnsi="Arial"/>
          <w:sz w:val="17"/>
          <w:szCs w:val="17"/>
          <w:color w:val="0000FF"/>
        </w:rPr>
        <w:t>for the applicable Agreed Currency</w:t>
      </w:r>
      <w:r>
        <w:rPr>
          <w:rFonts w:ascii="Arial" w:cs="Arial" w:eastAsia="Arial" w:hAnsi="Arial"/>
          <w:sz w:val="17"/>
          <w:szCs w:val="17"/>
          <w:color w:val="000000"/>
        </w:rPr>
        <w:t>; or</w:t>
      </w:r>
    </w:p>
    <w:p>
      <w:pPr>
        <w:spacing w:after="0" w:line="179" w:lineRule="exact"/>
        <w:rPr>
          <w:rFonts w:ascii="Arial" w:cs="Arial" w:eastAsia="Arial" w:hAnsi="Arial"/>
          <w:sz w:val="17"/>
          <w:szCs w:val="17"/>
          <w:color w:val="auto"/>
        </w:rPr>
      </w:pPr>
    </w:p>
    <w:p>
      <w:pPr>
        <w:jc w:val="both"/>
        <w:ind w:left="660" w:firstLine="644"/>
        <w:spacing w:after="0" w:line="257" w:lineRule="auto"/>
        <w:tabs>
          <w:tab w:leader="none" w:pos="1721"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the Administrative Agent is advised by the Required Lenders that (A) prior to the commencement of any Interest Period for a Term Benchmark Borrowing, the Adjusted Term SOFR Rate </w:t>
      </w:r>
      <w:r>
        <w:rPr>
          <w:rFonts w:ascii="Arial" w:cs="Arial" w:eastAsia="Arial" w:hAnsi="Arial"/>
          <w:sz w:val="17"/>
          <w:szCs w:val="17"/>
          <w:color w:val="FF0000"/>
        </w:rPr>
        <w:t>for</w:t>
      </w:r>
      <w:r>
        <w:rPr>
          <w:rFonts w:ascii="Arial" w:cs="Arial" w:eastAsia="Arial" w:hAnsi="Arial"/>
          <w:sz w:val="17"/>
          <w:szCs w:val="17"/>
          <w:u w:val="single" w:color="auto"/>
          <w:color w:val="0000FF"/>
          <w:highlight w:val="lightGray"/>
        </w:rPr>
        <w:t>, Adjusted EURIBOR Rate, Adjusted CDOR Rate or Adjusted AUD Rate for the</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applicable Agreed Currency and</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such Interest Period will not adequately and fairly reflect the cost to such Lenders (or Lender) of making or</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maintaining their Loans (or its Loan) included in such Borrowing for such Interest Period or (B) at any time, Adjusted Daily Simple </w:t>
      </w:r>
      <w:r>
        <w:rPr>
          <w:rFonts w:ascii="Arial" w:cs="Arial" w:eastAsia="Arial" w:hAnsi="Arial"/>
          <w:sz w:val="17"/>
          <w:szCs w:val="17"/>
          <w:color w:val="FF0000"/>
          <w:strike w:val="1"/>
        </w:rPr>
        <w:t>SO</w:t>
      </w:r>
      <w:r>
        <w:rPr>
          <w:rFonts w:ascii="Arial" w:cs="Arial" w:eastAsia="Arial" w:hAnsi="Arial"/>
          <w:sz w:val="17"/>
          <w:szCs w:val="17"/>
          <w:u w:val="single" w:color="auto"/>
          <w:color w:val="0000FF"/>
          <w:highlight w:val="lightGray"/>
        </w:rPr>
        <w:t>R</w:t>
      </w:r>
      <w:r>
        <w:rPr>
          <w:rFonts w:ascii="Arial" w:cs="Arial" w:eastAsia="Arial" w:hAnsi="Arial"/>
          <w:sz w:val="17"/>
          <w:szCs w:val="17"/>
          <w:color w:val="000000"/>
        </w:rPr>
        <w:t xml:space="preserve">FR or Adjusted Floating Overnight Daily SOFR Rate </w:t>
      </w:r>
      <w:r>
        <w:rPr>
          <w:rFonts w:ascii="Arial" w:cs="Arial" w:eastAsia="Arial" w:hAnsi="Arial"/>
          <w:sz w:val="17"/>
          <w:szCs w:val="17"/>
          <w:u w:val="single" w:color="auto"/>
          <w:color w:val="0000FF"/>
          <w:highlight w:val="lightGray"/>
        </w:rPr>
        <w:t>for the applicable Agreed Currency</w:t>
      </w:r>
      <w:r>
        <w:rPr>
          <w:rFonts w:ascii="Arial" w:cs="Arial" w:eastAsia="Arial" w:hAnsi="Arial"/>
          <w:sz w:val="17"/>
          <w:szCs w:val="17"/>
          <w:color w:val="000000"/>
        </w:rPr>
        <w:t xml:space="preserve"> will not adequately and fairly reflect the cost to such Lenders (or Lender) of making or maintaining their Loans (or its Loan) included in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-1499235</wp:posOffset>
            </wp:positionV>
            <wp:extent cx="1301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1553845</wp:posOffset>
            </wp:positionH>
            <wp:positionV relativeFrom="paragraph">
              <wp:posOffset>-1053465</wp:posOffset>
            </wp:positionV>
            <wp:extent cx="164909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1649095" cy="12890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-590550</wp:posOffset>
            </wp:positionV>
            <wp:extent cx="1746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174625" cy="8255"/>
                    </a:xfrm>
                    <a:prstGeom prst="rect">
                      <a:avLst/>
                    </a:prstGeom>
                    <a:noFill/>
                  </pic:spPr>
                </pic:pic>
              </a:graphicData>
            </a:graphic>
          </wp:anchor>
        </w:drawing>
      </w:r>
    </w:p>
    <w:p>
      <w:pPr>
        <w:spacing w:after="0" w:line="15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or a new Borrowing Request in accordance with the terms of </w:t>
      </w:r>
      <w:r>
        <w:rPr>
          <w:rFonts w:ascii="Arial" w:cs="Arial" w:eastAsia="Arial" w:hAnsi="Arial"/>
          <w:sz w:val="16"/>
          <w:szCs w:val="16"/>
          <w:u w:val="single" w:color="auto"/>
          <w:color w:val="auto"/>
        </w:rPr>
        <w:t>Sections 2.2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2.5</w:t>
      </w:r>
      <w:r>
        <w:rPr>
          <w:rFonts w:ascii="Arial" w:cs="Arial" w:eastAsia="Arial" w:hAnsi="Arial"/>
          <w:sz w:val="16"/>
          <w:szCs w:val="16"/>
          <w:color w:val="auto"/>
        </w:rPr>
        <w:t>, as applicable, (</w:t>
      </w:r>
      <w:r>
        <w:rPr>
          <w:rFonts w:ascii="Arial" w:cs="Arial" w:eastAsia="Arial" w:hAnsi="Arial"/>
          <w:sz w:val="16"/>
          <w:szCs w:val="16"/>
          <w:u w:val="single" w:color="auto"/>
          <w:color w:val="0000FF"/>
          <w:highlight w:val="lightGray"/>
        </w:rPr>
        <w:t>A) for Loans denominated in Dollars, (</w:t>
      </w:r>
      <w:r>
        <w:rPr>
          <w:rFonts w:ascii="Arial" w:cs="Arial" w:eastAsia="Arial" w:hAnsi="Arial"/>
          <w:sz w:val="16"/>
          <w:szCs w:val="16"/>
          <w:color w:val="auto"/>
        </w:rPr>
        <w:t>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w:t>
      </w:r>
    </w:p>
    <w:p>
      <w:pPr>
        <w:spacing w:after="0" w:line="3" w:lineRule="exact"/>
        <w:rPr>
          <w:sz w:val="20"/>
          <w:szCs w:val="20"/>
          <w:color w:val="auto"/>
        </w:rPr>
      </w:pPr>
    </w:p>
    <w:p>
      <w:pPr>
        <w:jc w:val="both"/>
        <w:ind w:firstLine="8"/>
        <w:spacing w:after="0" w:line="257" w:lineRule="auto"/>
        <w:tabs>
          <w:tab w:leader="none" w:pos="265"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an RFR Borrowing </w:t>
      </w:r>
      <w:r>
        <w:rPr>
          <w:rFonts w:ascii="Arial" w:cs="Arial" w:eastAsia="Arial" w:hAnsi="Arial"/>
          <w:sz w:val="16"/>
          <w:szCs w:val="16"/>
          <w:u w:val="single" w:color="auto"/>
          <w:color w:val="0000FF"/>
          <w:highlight w:val="lightGray"/>
        </w:rPr>
        <w:t>in Dollars</w:t>
      </w:r>
      <w:r>
        <w:rPr>
          <w:rFonts w:ascii="Arial" w:cs="Arial" w:eastAsia="Arial" w:hAnsi="Arial"/>
          <w:sz w:val="16"/>
          <w:szCs w:val="16"/>
          <w:color w:val="auto"/>
        </w:rPr>
        <w:t xml:space="preserve"> so long as the Adjusted Daily Simple </w:t>
      </w:r>
      <w:r>
        <w:rPr>
          <w:rFonts w:ascii="Arial" w:cs="Arial" w:eastAsia="Arial" w:hAnsi="Arial"/>
          <w:sz w:val="16"/>
          <w:szCs w:val="16"/>
          <w:color w:val="FF0000"/>
          <w:strike w:val="1"/>
        </w:rPr>
        <w:t>SO</w:t>
      </w:r>
      <w:r>
        <w:rPr>
          <w:rFonts w:ascii="Arial" w:cs="Arial" w:eastAsia="Arial" w:hAnsi="Arial"/>
          <w:sz w:val="16"/>
          <w:szCs w:val="16"/>
          <w:u w:val="single" w:color="auto"/>
          <w:color w:val="0000FF"/>
          <w:highlight w:val="lightGray"/>
        </w:rPr>
        <w:t>R</w:t>
      </w:r>
      <w:r>
        <w:rPr>
          <w:rFonts w:ascii="Arial" w:cs="Arial" w:eastAsia="Arial" w:hAnsi="Arial"/>
          <w:sz w:val="16"/>
          <w:szCs w:val="16"/>
          <w:color w:val="auto"/>
        </w:rPr>
        <w:t xml:space="preserve">FR </w:t>
      </w:r>
      <w:r>
        <w:rPr>
          <w:rFonts w:ascii="Arial" w:cs="Arial" w:eastAsia="Arial" w:hAnsi="Arial"/>
          <w:sz w:val="16"/>
          <w:szCs w:val="16"/>
          <w:u w:val="single" w:color="auto"/>
          <w:color w:val="0000FF"/>
          <w:highlight w:val="lightGray"/>
        </w:rPr>
        <w:t>for Dollar Borrowings</w:t>
      </w:r>
      <w:r>
        <w:rPr>
          <w:rFonts w:ascii="Arial" w:cs="Arial" w:eastAsia="Arial" w:hAnsi="Arial"/>
          <w:sz w:val="16"/>
          <w:szCs w:val="16"/>
          <w:color w:val="auto"/>
        </w:rPr>
        <w:t xml:space="preserve"> is not also the subject of </w:t>
      </w:r>
      <w:r>
        <w:rPr>
          <w:rFonts w:ascii="Arial" w:cs="Arial" w:eastAsia="Arial" w:hAnsi="Arial"/>
          <w:sz w:val="16"/>
          <w:szCs w:val="16"/>
          <w:u w:val="single" w:color="auto"/>
          <w:color w:val="auto"/>
        </w:rPr>
        <w:t>Section 2.14(a)(i)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(y) a Daily SOFR Borrowing if the Adjusted Daily Simple </w:t>
      </w:r>
      <w:r>
        <w:rPr>
          <w:rFonts w:ascii="Arial" w:cs="Arial" w:eastAsia="Arial" w:hAnsi="Arial"/>
          <w:sz w:val="16"/>
          <w:szCs w:val="16"/>
          <w:color w:val="FF0000"/>
          <w:strike w:val="1"/>
        </w:rPr>
        <w:t>SO</w:t>
      </w:r>
      <w:r>
        <w:rPr>
          <w:rFonts w:ascii="Arial" w:cs="Arial" w:eastAsia="Arial" w:hAnsi="Arial"/>
          <w:sz w:val="16"/>
          <w:szCs w:val="16"/>
          <w:u w:val="single" w:color="auto"/>
          <w:color w:val="0000FF"/>
          <w:highlight w:val="lightGray"/>
        </w:rPr>
        <w:t>R</w:t>
      </w:r>
      <w:r>
        <w:rPr>
          <w:rFonts w:ascii="Arial" w:cs="Arial" w:eastAsia="Arial" w:hAnsi="Arial"/>
          <w:sz w:val="16"/>
          <w:szCs w:val="16"/>
          <w:color w:val="auto"/>
        </w:rPr>
        <w:t xml:space="preserve">FR </w:t>
      </w:r>
      <w:r>
        <w:rPr>
          <w:rFonts w:ascii="Arial" w:cs="Arial" w:eastAsia="Arial" w:hAnsi="Arial"/>
          <w:sz w:val="16"/>
          <w:szCs w:val="16"/>
          <w:u w:val="single" w:color="auto"/>
          <w:color w:val="0000FF"/>
          <w:highlight w:val="lightGray"/>
        </w:rPr>
        <w:t>for Dollar Borrowings</w:t>
      </w:r>
      <w:r>
        <w:rPr>
          <w:rFonts w:ascii="Arial" w:cs="Arial" w:eastAsia="Arial" w:hAnsi="Arial"/>
          <w:sz w:val="16"/>
          <w:szCs w:val="16"/>
          <w:color w:val="auto"/>
        </w:rPr>
        <w:t xml:space="preserve"> is also the subject to </w:t>
      </w:r>
      <w:r>
        <w:rPr>
          <w:rFonts w:ascii="Arial" w:cs="Arial" w:eastAsia="Arial" w:hAnsi="Arial"/>
          <w:sz w:val="16"/>
          <w:szCs w:val="16"/>
          <w:u w:val="single" w:color="auto"/>
          <w:color w:val="auto"/>
        </w:rPr>
        <w:t>Section 2.14(a)(i)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but the Adjusted Floating Overnight Daily SOFR is not or (z) an ABR Borrowing if the Adjusted Daily Simple </w:t>
      </w:r>
      <w:r>
        <w:rPr>
          <w:rFonts w:ascii="Arial" w:cs="Arial" w:eastAsia="Arial" w:hAnsi="Arial"/>
          <w:sz w:val="16"/>
          <w:szCs w:val="16"/>
          <w:color w:val="FF0000"/>
          <w:strike w:val="1"/>
        </w:rPr>
        <w:t>SO</w:t>
      </w:r>
      <w:r>
        <w:rPr>
          <w:rFonts w:ascii="Arial" w:cs="Arial" w:eastAsia="Arial" w:hAnsi="Arial"/>
          <w:sz w:val="16"/>
          <w:szCs w:val="16"/>
          <w:u w:val="single" w:color="auto"/>
          <w:color w:val="0000FF"/>
          <w:highlight w:val="lightGray"/>
        </w:rPr>
        <w:t>R</w:t>
      </w:r>
      <w:r>
        <w:rPr>
          <w:rFonts w:ascii="Arial" w:cs="Arial" w:eastAsia="Arial" w:hAnsi="Arial"/>
          <w:sz w:val="16"/>
          <w:szCs w:val="16"/>
          <w:color w:val="auto"/>
        </w:rPr>
        <w:t xml:space="preserve">FR </w:t>
      </w:r>
      <w:r>
        <w:rPr>
          <w:rFonts w:ascii="Arial" w:cs="Arial" w:eastAsia="Arial" w:hAnsi="Arial"/>
          <w:sz w:val="16"/>
          <w:szCs w:val="16"/>
          <w:u w:val="single" w:color="auto"/>
          <w:color w:val="0000FF"/>
          <w:highlight w:val="lightGray"/>
        </w:rPr>
        <w:t>for Dollar Borrowings</w:t>
      </w:r>
      <w:r>
        <w:rPr>
          <w:rFonts w:ascii="Arial" w:cs="Arial" w:eastAsia="Arial" w:hAnsi="Arial"/>
          <w:sz w:val="16"/>
          <w:szCs w:val="16"/>
          <w:color w:val="auto"/>
        </w:rPr>
        <w:t xml:space="preserve"> and Adjusted Floating Overnight Daily SOFR are each also the subject of </w:t>
      </w:r>
      <w:r>
        <w:rPr>
          <w:rFonts w:ascii="Arial" w:cs="Arial" w:eastAsia="Arial" w:hAnsi="Arial"/>
          <w:sz w:val="16"/>
          <w:szCs w:val="16"/>
          <w:u w:val="single" w:color="auto"/>
          <w:color w:val="auto"/>
        </w:rPr>
        <w:t>Section 2.14(a)(i)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(2) any Borrowing Request that requests an RFR Borrowing </w:t>
      </w:r>
      <w:r>
        <w:rPr>
          <w:rFonts w:ascii="Arial" w:cs="Arial" w:eastAsia="Arial" w:hAnsi="Arial"/>
          <w:sz w:val="16"/>
          <w:szCs w:val="16"/>
          <w:u w:val="single" w:color="auto"/>
          <w:color w:val="0000FF"/>
          <w:highlight w:val="lightGray"/>
        </w:rPr>
        <w:t>in</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Dollars</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shall instead be deemed to be a Borrowing Request for (x) a Daily SOFR Borrowing if the Adjusted Floating Overnight Daily SOFR is not also the</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subject to </w:t>
      </w:r>
      <w:r>
        <w:rPr>
          <w:rFonts w:ascii="Arial" w:cs="Arial" w:eastAsia="Arial" w:hAnsi="Arial"/>
          <w:sz w:val="16"/>
          <w:szCs w:val="16"/>
          <w:u w:val="single" w:color="auto"/>
          <w:color w:val="000000"/>
        </w:rPr>
        <w:t>Section 2.14(a)(i)</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(ii)</w:t>
      </w:r>
      <w:r>
        <w:rPr>
          <w:rFonts w:ascii="Arial" w:cs="Arial" w:eastAsia="Arial" w:hAnsi="Arial"/>
          <w:sz w:val="16"/>
          <w:szCs w:val="16"/>
          <w:color w:val="000000"/>
        </w:rPr>
        <w:t xml:space="preserve"> above and (y) otherwise an ABR Borrowing and (3) any Borrowing Request that requests a Daily SOFR Loan shall instead be deemed to be a Borrowing Request for an ABR Borrowing </w:t>
      </w:r>
      <w:r>
        <w:rPr>
          <w:rFonts w:ascii="Arial" w:cs="Arial" w:eastAsia="Arial" w:hAnsi="Arial"/>
          <w:sz w:val="16"/>
          <w:szCs w:val="16"/>
          <w:color w:val="0000FF"/>
        </w:rPr>
        <w:t>and (B) for Loans denominated in an Alternative Currency, (1)</w:t>
      </w:r>
      <w:r>
        <w:rPr>
          <w:rFonts w:ascii="Arial" w:cs="Arial" w:eastAsia="Arial" w:hAnsi="Arial"/>
          <w:sz w:val="1"/>
          <w:szCs w:val="1"/>
          <w:color w:val="auto"/>
        </w:rPr>
        <w:drawing>
          <wp:inline distT="0" distB="0" distL="0" distR="0">
            <wp:extent cx="34290" cy="13716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34290" cy="137160"/>
                    </a:xfrm>
                    <a:prstGeom prst="rect">
                      <a:avLst/>
                    </a:prstGeom>
                    <a:noFill/>
                    <a:ln>
                      <a:noFill/>
                    </a:ln>
                  </pic:spPr>
                </pic:pic>
              </a:graphicData>
            </a:graphic>
          </wp:inline>
        </w:drawing>
      </w:r>
      <w:r>
        <w:rPr>
          <w:rFonts w:ascii="Arial" w:cs="Arial" w:eastAsia="Arial" w:hAnsi="Arial"/>
          <w:sz w:val="16"/>
          <w:szCs w:val="16"/>
          <w:color w:val="0000FF"/>
          <w:highlight w:val="lightGray"/>
        </w:rPr>
        <w:t xml:space="preserve">any Term Benchmark </w:t>
      </w:r>
      <w:r>
        <w:rPr>
          <w:rFonts w:ascii="Arial" w:cs="Arial" w:eastAsia="Arial" w:hAnsi="Arial"/>
          <w:sz w:val="16"/>
          <w:szCs w:val="16"/>
          <w:u w:val="single" w:color="auto"/>
          <w:color w:val="0000FF"/>
          <w:highlight w:val="lightGray"/>
        </w:rPr>
        <w:t>Loan denominated in an Alternative Currency (other than Canadian Dollars) shall, on the last day of the Interest Period applicable to such Loan bear interest at the Central Bank Rate for the applicable Alternative Currency, plus the CBR Spread; provided, that if the Administrative Agent determines (which determination shall be conclusive and binding absent manifest error) that the Central Bank Rate for the applicable Alternative Currency cannot be determined, any outstanding affected Term Benchmark Loans denominated in any Alternative Currency shall, at the Borrower’s election prior to such day:</w:t>
      </w:r>
    </w:p>
    <w:p>
      <w:pPr>
        <w:spacing w:after="0" w:line="7" w:lineRule="exact"/>
        <w:rPr>
          <w:rFonts w:ascii="Arial" w:cs="Arial" w:eastAsia="Arial" w:hAnsi="Arial"/>
          <w:sz w:val="16"/>
          <w:szCs w:val="16"/>
          <w:color w:val="auto"/>
        </w:rPr>
      </w:pPr>
    </w:p>
    <w:p>
      <w:pPr>
        <w:jc w:val="both"/>
        <w:ind w:firstLine="8"/>
        <w:spacing w:after="0" w:line="237" w:lineRule="auto"/>
        <w:tabs>
          <w:tab w:leader="none" w:pos="230" w:val="left"/>
        </w:tabs>
        <w:numPr>
          <w:ilvl w:val="0"/>
          <w:numId w:val="84"/>
        </w:numPr>
        <w:rPr>
          <w:rFonts w:ascii="Arial" w:cs="Arial" w:eastAsia="Arial" w:hAnsi="Arial"/>
          <w:sz w:val="18"/>
          <w:szCs w:val="18"/>
          <w:u w:val="single" w:color="auto"/>
          <w:color w:val="0000FF"/>
          <w:highlight w:val="lightGray"/>
        </w:rPr>
      </w:pPr>
      <w:r>
        <w:rPr>
          <w:rFonts w:ascii="Arial" w:cs="Arial" w:eastAsia="Arial" w:hAnsi="Arial"/>
          <w:sz w:val="18"/>
          <w:szCs w:val="18"/>
          <w:u w:val="single" w:color="auto"/>
          <w:color w:val="0000FF"/>
          <w:highlight w:val="lightGray"/>
        </w:rPr>
        <w:t>be prepaid by the Borrower on such day or (ii) solely for the purpose of calculating the interest rate applicable to such Term Benchmark Loan, such Term Benchmark Loan denominated in any Alternative Currency (other than Canadian Dollars) shall be deemed to be a Term Benchmark Loan denominated in Dollars and shall accrue interest at the same interest rate applicable to Term Benchmark Loans denominated in Dollars at such time, (2) any Term Benchmark Loan denominated in Canadian Dollars shall, on the last day of the Interest Period applicable to such Loan, shall be converted by the Administrative Agent to, and shall constitute, a Canadian Prime Rate Loan denominated in Canadian Dollars on such day and (3) any RFR Loan denominated in any Alternative Currency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-1422400</wp:posOffset>
            </wp:positionV>
            <wp:extent cx="394271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394271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21" w:right="339" w:bottom="1440" w:gutter="0" w:footer="0" w:header="0"/>
        </w:sectPr>
      </w:pPr>
    </w:p>
    <w:bookmarkStart w:id="160" w:name="page161"/>
    <w:bookmarkEnd w:id="160"/>
    <w:p>
      <w:pPr>
        <w:jc w:val="both"/>
        <w:spacing w:after="0" w:line="265" w:lineRule="auto"/>
        <w:rPr>
          <w:sz w:val="20"/>
          <w:szCs w:val="20"/>
          <w:color w:val="auto"/>
        </w:rPr>
      </w:pPr>
      <w:r>
        <w:rPr>
          <w:rFonts w:ascii="Arial" w:cs="Arial" w:eastAsia="Arial" w:hAnsi="Arial"/>
          <w:sz w:val="16"/>
          <w:szCs w:val="16"/>
          <w:u w:val="single" w:color="auto"/>
          <w:color w:val="0000FF"/>
          <w:highlight w:val="lightGray"/>
        </w:rPr>
        <w:t>bear interest at the Central Bank Rate for the applicable Alternative Currency, plus the CBR Spread; provided, that if the Administrative Agent determines (which determination shall be conclusive and binding absent manifest error) that the Central Bank Rate for the applicable Alternative Currency cannot be determined, any outstanding affected RFR Loans denominated in any Alternative Currency, at the Borrower’s election, shall either (I) be converted into ABR Loans denominated in Dollars (in an amount equal to the Dollar Equivalent of such Alternative Currency) immediately or (II) be prepaid in full immediately</w:t>
      </w:r>
      <w:r>
        <w:rPr>
          <w:rFonts w:ascii="Arial" w:cs="Arial" w:eastAsia="Arial" w:hAnsi="Arial"/>
          <w:sz w:val="16"/>
          <w:szCs w:val="16"/>
          <w:color w:val="000000"/>
        </w:rPr>
        <w:t>;</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that if the circumstances giving rise to such notice affect only one Type of Borrowings, then all other Types of Borrowings shall be</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permitted. Furthermore, if any Term Benchmark Loan, RFR Loan or Daily SOFR Loan is outstanding on the date of the Borrower’s receipt of the notice from the Administrative Agent referred to in this </w:t>
      </w:r>
      <w:r>
        <w:rPr>
          <w:rFonts w:ascii="Arial" w:cs="Arial" w:eastAsia="Arial" w:hAnsi="Arial"/>
          <w:sz w:val="16"/>
          <w:szCs w:val="16"/>
          <w:u w:val="single" w:color="auto"/>
          <w:color w:val="000000"/>
        </w:rPr>
        <w:t>Section 2.14(a)</w:t>
      </w:r>
      <w:r>
        <w:rPr>
          <w:rFonts w:ascii="Arial" w:cs="Arial" w:eastAsia="Arial" w:hAnsi="Arial"/>
          <w:sz w:val="16"/>
          <w:szCs w:val="16"/>
          <w:color w:val="000000"/>
        </w:rPr>
        <w:t xml:space="preserve"> with respect to a Relevant Rate applicable to such Term Benchmark Loan, RFR Loan or Daily SOFR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w:t>
      </w:r>
      <w:r>
        <w:rPr>
          <w:rFonts w:ascii="Arial" w:cs="Arial" w:eastAsia="Arial" w:hAnsi="Arial"/>
          <w:sz w:val="16"/>
          <w:szCs w:val="16"/>
          <w:u w:val="single" w:color="auto"/>
          <w:color w:val="000000"/>
        </w:rPr>
        <w:t>Section 2.10</w:t>
      </w:r>
      <w:r>
        <w:rPr>
          <w:rFonts w:ascii="Arial" w:cs="Arial" w:eastAsia="Arial" w:hAnsi="Arial"/>
          <w:sz w:val="16"/>
          <w:szCs w:val="16"/>
          <w:color w:val="000000"/>
        </w:rPr>
        <w:t xml:space="preserve"> or a new Borrowing Request in accordance with the terms of </w:t>
      </w:r>
      <w:r>
        <w:rPr>
          <w:rFonts w:ascii="Arial" w:cs="Arial" w:eastAsia="Arial" w:hAnsi="Arial"/>
          <w:sz w:val="16"/>
          <w:szCs w:val="16"/>
          <w:u w:val="single" w:color="auto"/>
          <w:color w:val="000000"/>
        </w:rPr>
        <w:t>Sections 2.2</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2.5</w:t>
      </w:r>
      <w:r>
        <w:rPr>
          <w:rFonts w:ascii="Arial" w:cs="Arial" w:eastAsia="Arial" w:hAnsi="Arial"/>
          <w:sz w:val="16"/>
          <w:szCs w:val="16"/>
          <w:color w:val="000000"/>
        </w:rPr>
        <w:t>, as applicable, (</w:t>
      </w:r>
      <w:r>
        <w:rPr>
          <w:rFonts w:ascii="Arial" w:cs="Arial" w:eastAsia="Arial" w:hAnsi="Arial"/>
          <w:sz w:val="16"/>
          <w:szCs w:val="16"/>
          <w:u w:val="single" w:color="auto"/>
          <w:color w:val="0000FF"/>
          <w:highlight w:val="lightGray"/>
        </w:rPr>
        <w:t>A) for Loans denominated in Dollars (</w:t>
      </w:r>
      <w:r>
        <w:rPr>
          <w:rFonts w:ascii="Arial" w:cs="Arial" w:eastAsia="Arial" w:hAnsi="Arial"/>
          <w:sz w:val="16"/>
          <w:szCs w:val="16"/>
          <w:color w:val="000000"/>
        </w:rPr>
        <w:t xml:space="preserve">1) any Term Benchmark Loan shall on the last day of the Interest Period applicable to such Loan (or the next succeeding Business Day if such day is not a Business Day), be converted by the Administrative Agent to, and shall constitute, (x) an RFR Borrowing </w:t>
      </w:r>
      <w:r>
        <w:rPr>
          <w:rFonts w:ascii="Arial" w:cs="Arial" w:eastAsia="Arial" w:hAnsi="Arial"/>
          <w:sz w:val="16"/>
          <w:szCs w:val="16"/>
          <w:u w:val="single" w:color="auto"/>
          <w:color w:val="0000FF"/>
          <w:highlight w:val="lightGray"/>
        </w:rPr>
        <w:t>in Dollars</w:t>
      </w:r>
      <w:r>
        <w:rPr>
          <w:rFonts w:ascii="Arial" w:cs="Arial" w:eastAsia="Arial" w:hAnsi="Arial"/>
          <w:sz w:val="16"/>
          <w:szCs w:val="16"/>
          <w:color w:val="000000"/>
        </w:rPr>
        <w:t xml:space="preserve"> so long as the Adjusted Daily Simple </w:t>
      </w:r>
      <w:r>
        <w:rPr>
          <w:rFonts w:ascii="Arial" w:cs="Arial" w:eastAsia="Arial" w:hAnsi="Arial"/>
          <w:sz w:val="16"/>
          <w:szCs w:val="16"/>
          <w:color w:val="FF0000"/>
          <w:strike w:val="1"/>
        </w:rPr>
        <w:t>SO</w:t>
      </w:r>
      <w:r>
        <w:rPr>
          <w:rFonts w:ascii="Arial" w:cs="Arial" w:eastAsia="Arial" w:hAnsi="Arial"/>
          <w:sz w:val="16"/>
          <w:szCs w:val="16"/>
          <w:u w:val="single" w:color="auto"/>
          <w:color w:val="0000FF"/>
          <w:highlight w:val="lightGray"/>
        </w:rPr>
        <w:t>R</w:t>
      </w:r>
      <w:r>
        <w:rPr>
          <w:rFonts w:ascii="Arial" w:cs="Arial" w:eastAsia="Arial" w:hAnsi="Arial"/>
          <w:sz w:val="16"/>
          <w:szCs w:val="16"/>
          <w:color w:val="000000"/>
        </w:rPr>
        <w:t xml:space="preserve">FR </w:t>
      </w:r>
      <w:r>
        <w:rPr>
          <w:rFonts w:ascii="Arial" w:cs="Arial" w:eastAsia="Arial" w:hAnsi="Arial"/>
          <w:sz w:val="16"/>
          <w:szCs w:val="16"/>
          <w:u w:val="single" w:color="auto"/>
          <w:color w:val="0000FF"/>
          <w:highlight w:val="lightGray"/>
        </w:rPr>
        <w:t>for</w:t>
      </w:r>
      <w:r>
        <w:rPr>
          <w:rFonts w:ascii="Arial" w:cs="Arial" w:eastAsia="Arial" w:hAnsi="Arial"/>
          <w:sz w:val="16"/>
          <w:szCs w:val="16"/>
          <w:color w:val="000000"/>
        </w:rPr>
        <w:t xml:space="preserve"> </w:t>
      </w:r>
      <w:r>
        <w:rPr>
          <w:rFonts w:ascii="Arial" w:cs="Arial" w:eastAsia="Arial" w:hAnsi="Arial"/>
          <w:sz w:val="16"/>
          <w:szCs w:val="16"/>
          <w:u w:val="single" w:color="auto"/>
          <w:color w:val="0000FF"/>
          <w:highlight w:val="lightGray"/>
        </w:rPr>
        <w:t>Dollar Borrowings</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is not also the subject of</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00"/>
        </w:rPr>
        <w:t>Section 2.14(a)(i)</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or</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00"/>
        </w:rPr>
        <w:t>(ii)</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above, (y) a Daily SOFR Borrowing if the Adjusted Daily Simple</w:t>
      </w:r>
      <w:r>
        <w:rPr>
          <w:rFonts w:ascii="Arial" w:cs="Arial" w:eastAsia="Arial" w:hAnsi="Arial"/>
          <w:sz w:val="16"/>
          <w:szCs w:val="16"/>
          <w:color w:val="0000FF"/>
          <w:highlight w:val="lightGray"/>
        </w:rPr>
        <w:t xml:space="preserve"> </w:t>
      </w:r>
      <w:r>
        <w:rPr>
          <w:rFonts w:ascii="Arial" w:cs="Arial" w:eastAsia="Arial" w:hAnsi="Arial"/>
          <w:sz w:val="16"/>
          <w:szCs w:val="16"/>
          <w:color w:val="FF0000"/>
          <w:strike w:val="1"/>
        </w:rPr>
        <w:t>SO</w:t>
      </w:r>
      <w:r>
        <w:rPr>
          <w:rFonts w:ascii="Arial" w:cs="Arial" w:eastAsia="Arial" w:hAnsi="Arial"/>
          <w:sz w:val="16"/>
          <w:szCs w:val="16"/>
          <w:u w:val="single" w:color="auto"/>
          <w:color w:val="0000FF"/>
          <w:highlight w:val="lightGray"/>
        </w:rPr>
        <w:t>R</w:t>
      </w:r>
      <w:r>
        <w:rPr>
          <w:rFonts w:ascii="Arial" w:cs="Arial" w:eastAsia="Arial" w:hAnsi="Arial"/>
          <w:sz w:val="16"/>
          <w:szCs w:val="16"/>
          <w:color w:val="000000"/>
        </w:rPr>
        <w:t>FR</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for Dollar</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Borrowings</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is also the subject to</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00"/>
        </w:rPr>
        <w:t>Section 2.14(a)(i)</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or</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00"/>
        </w:rPr>
        <w:t>(ii)</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above but the Adjusted Floating Overnight Daily SOFR is not, or (z) an ABR Loan if the</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Adjusted Daily Simple </w:t>
      </w:r>
      <w:r>
        <w:rPr>
          <w:rFonts w:ascii="Arial" w:cs="Arial" w:eastAsia="Arial" w:hAnsi="Arial"/>
          <w:sz w:val="16"/>
          <w:szCs w:val="16"/>
          <w:color w:val="FF0000"/>
          <w:strike w:val="1"/>
        </w:rPr>
        <w:t>SO</w:t>
      </w:r>
      <w:r>
        <w:rPr>
          <w:rFonts w:ascii="Arial" w:cs="Arial" w:eastAsia="Arial" w:hAnsi="Arial"/>
          <w:sz w:val="16"/>
          <w:szCs w:val="16"/>
          <w:u w:val="single" w:color="auto"/>
          <w:color w:val="0000FF"/>
          <w:highlight w:val="lightGray"/>
        </w:rPr>
        <w:t>R</w:t>
      </w:r>
      <w:r>
        <w:rPr>
          <w:rFonts w:ascii="Arial" w:cs="Arial" w:eastAsia="Arial" w:hAnsi="Arial"/>
          <w:sz w:val="16"/>
          <w:szCs w:val="16"/>
          <w:color w:val="000000"/>
        </w:rPr>
        <w:t xml:space="preserve">FR </w:t>
      </w:r>
      <w:r>
        <w:rPr>
          <w:rFonts w:ascii="Arial" w:cs="Arial" w:eastAsia="Arial" w:hAnsi="Arial"/>
          <w:sz w:val="16"/>
          <w:szCs w:val="16"/>
          <w:u w:val="single" w:color="auto"/>
          <w:color w:val="0000FF"/>
          <w:highlight w:val="lightGray"/>
        </w:rPr>
        <w:t>for Dollar Borrowings</w:t>
      </w:r>
      <w:r>
        <w:rPr>
          <w:rFonts w:ascii="Arial" w:cs="Arial" w:eastAsia="Arial" w:hAnsi="Arial"/>
          <w:sz w:val="16"/>
          <w:szCs w:val="16"/>
          <w:color w:val="000000"/>
        </w:rPr>
        <w:t xml:space="preserve"> and Adjusted Floating Overnight Daily SOFR are each also the subject of </w:t>
      </w:r>
      <w:r>
        <w:rPr>
          <w:rFonts w:ascii="Arial" w:cs="Arial" w:eastAsia="Arial" w:hAnsi="Arial"/>
          <w:sz w:val="16"/>
          <w:szCs w:val="16"/>
          <w:u w:val="single" w:color="auto"/>
          <w:color w:val="000000"/>
        </w:rPr>
        <w:t>Section 2.14(a)(i)</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(ii)</w:t>
      </w:r>
      <w:r>
        <w:rPr>
          <w:rFonts w:ascii="Arial" w:cs="Arial" w:eastAsia="Arial" w:hAnsi="Arial"/>
          <w:sz w:val="16"/>
          <w:szCs w:val="16"/>
          <w:color w:val="000000"/>
        </w:rPr>
        <w:t xml:space="preserve"> above, on such day, (2) any RFR Loan </w:t>
      </w:r>
      <w:r>
        <w:rPr>
          <w:rFonts w:ascii="Arial" w:cs="Arial" w:eastAsia="Arial" w:hAnsi="Arial"/>
          <w:sz w:val="16"/>
          <w:szCs w:val="16"/>
          <w:u w:val="single" w:color="auto"/>
          <w:color w:val="0000FF"/>
          <w:highlight w:val="lightGray"/>
        </w:rPr>
        <w:t>denominated in Dollars</w:t>
      </w:r>
      <w:r>
        <w:rPr>
          <w:rFonts w:ascii="Arial" w:cs="Arial" w:eastAsia="Arial" w:hAnsi="Arial"/>
          <w:sz w:val="16"/>
          <w:szCs w:val="16"/>
          <w:color w:val="000000"/>
        </w:rPr>
        <w:t xml:space="preserve"> shall on and from such day be converted by the Administrative Agent to, and shall constitute</w:t>
      </w:r>
    </w:p>
    <w:p>
      <w:pPr>
        <w:spacing w:after="0" w:line="6" w:lineRule="exact"/>
        <w:rPr>
          <w:sz w:val="20"/>
          <w:szCs w:val="20"/>
          <w:color w:val="auto"/>
        </w:rPr>
      </w:pPr>
    </w:p>
    <w:p>
      <w:pPr>
        <w:jc w:val="both"/>
        <w:ind w:firstLine="8"/>
        <w:spacing w:after="0" w:line="269" w:lineRule="auto"/>
        <w:tabs>
          <w:tab w:leader="none" w:pos="255"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a Daily SOFR Borrowing if the Adjusted Floating Overnight Daily SOFR is not also the subject of </w:t>
      </w:r>
      <w:r>
        <w:rPr>
          <w:rFonts w:ascii="Arial" w:cs="Arial" w:eastAsia="Arial" w:hAnsi="Arial"/>
          <w:sz w:val="16"/>
          <w:szCs w:val="16"/>
          <w:u w:val="single" w:color="auto"/>
          <w:color w:val="auto"/>
        </w:rPr>
        <w:t>Section 2.14(a)(i)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on such day or (z) an ABR Loan if the Adjusted Floating Overnight Daily SOFR also is the subject of </w:t>
      </w:r>
      <w:r>
        <w:rPr>
          <w:rFonts w:ascii="Arial" w:cs="Arial" w:eastAsia="Arial" w:hAnsi="Arial"/>
          <w:sz w:val="16"/>
          <w:szCs w:val="16"/>
          <w:u w:val="single" w:color="auto"/>
          <w:color w:val="auto"/>
        </w:rPr>
        <w:t>Section 2.14(a)(i)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and (3) any Daily SOFR Loan shall on and from such day be converted by the Administrative Agent to, and shall constitute an ABR Loan</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and (B) for Loans denominated in an Alternative Currency,</w:t>
      </w:r>
    </w:p>
    <w:p>
      <w:pPr>
        <w:jc w:val="both"/>
        <w:spacing w:after="0" w:line="267" w:lineRule="auto"/>
        <w:rPr>
          <w:rFonts w:ascii="Arial" w:cs="Arial" w:eastAsia="Arial" w:hAnsi="Arial"/>
          <w:sz w:val="16"/>
          <w:szCs w:val="16"/>
          <w:color w:val="auto"/>
        </w:rPr>
      </w:pPr>
      <w:r>
        <w:rPr>
          <w:rFonts w:ascii="Arial" w:cs="Arial" w:eastAsia="Arial" w:hAnsi="Arial"/>
          <w:sz w:val="16"/>
          <w:szCs w:val="16"/>
          <w:u w:val="single" w:color="auto"/>
          <w:color w:val="0000FF"/>
          <w:highlight w:val="lightGray"/>
        </w:rPr>
        <w:t>(1) any Term Benchmark Loan denominated in an Alternative Currency (other than Canadian Dollars) shall, on the last day of the Interest Period applicable to such Loan bear interest at the Central Bank Rate for the applicable Alternative Currency, plus the CBR Spread; provided, that if the Administrative Agent determines (which determination shall be conclusive and binding absent manifest error) that the Central Bank Rate for the applicable Alternative Currency cannot be determined, any outstanding affected Term Benchmark Loans denominated in any Alternative Currency (other than Canadian Dollars) shall, at the Borrower’s election prior to such day: (i) be prepaid by the Borrower on such day or (ii) solely for the purpose of calculating the interest rate applicable to such Term Benchmark Loan, such Term Benchmark Loan denominated in any Alternative Currency (other than Canadian Dollars) shall be deemed to be a Term Benchmark Loan denominated in Dollars and shall accrue interest at the same interest rate applicable to Term Benchmark Loans denominated in Dollars at such time, (2) any Term Benchmark Loan denominated in Canadian Dollars shall, on the last day of the Interest Period applicable to such Loan, be converted by the Administrative Agent to, and shall constitute, a Canadian Prime Rate Loan denominated in Canadian Dollars on such day and (3) any RFR Loan denominated in an Alternative Currency shall bear interest at the Central Bank Rate for the applicable Alternative Currency, plus the CBR Spread; provided that, if the Administrative Agent determines (which determination shall be conclusive and binding absent manifest error) that the Central Bank Rate for the applicable Alternative Currency cannot be determined, any outstanding affected RFR Loans denominated in any Alternative Currency, at the Borrower’s election, shall either (I) be converted into ABR Loans denominated in Dollars (in an amount equal to the Dollar Equivalent of such Alternative Currency) immediately or (II) be prepaid in full immediately.</w:t>
      </w:r>
    </w:p>
    <w:p>
      <w:pPr>
        <w:spacing w:after="0" w:line="171" w:lineRule="exact"/>
        <w:rPr>
          <w:rFonts w:ascii="Arial" w:cs="Arial" w:eastAsia="Arial" w:hAnsi="Arial"/>
          <w:sz w:val="16"/>
          <w:szCs w:val="16"/>
          <w:color w:val="auto"/>
        </w:rPr>
      </w:pPr>
    </w:p>
    <w:p>
      <w:pPr>
        <w:jc w:val="both"/>
        <w:ind w:firstLine="656"/>
        <w:spacing w:after="0" w:line="255" w:lineRule="auto"/>
        <w:tabs>
          <w:tab w:leader="none" w:pos="1049" w:val="left"/>
        </w:tabs>
        <w:numPr>
          <w:ilvl w:val="1"/>
          <w:numId w:val="85"/>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or in any other Loan Document (and any Specified Swap Agreement shall be deemed not to be a “Loan Document” for purposes of this </w:t>
      </w:r>
      <w:r>
        <w:rPr>
          <w:rFonts w:ascii="Arial" w:cs="Arial" w:eastAsia="Arial" w:hAnsi="Arial"/>
          <w:sz w:val="17"/>
          <w:szCs w:val="17"/>
          <w:u w:val="single" w:color="auto"/>
          <w:color w:val="auto"/>
        </w:rPr>
        <w:t>Section 2.14</w:t>
      </w:r>
      <w:r>
        <w:rPr>
          <w:rFonts w:ascii="Arial" w:cs="Arial" w:eastAsia="Arial" w:hAnsi="Arial"/>
          <w:sz w:val="17"/>
          <w:szCs w:val="17"/>
          <w:color w:val="auto"/>
        </w:rPr>
        <w:t>), if a Benchmark Transition Event and its related Benchmark Replacement Date have occurred prior to the Reference Time in respect of any setting of the then-current Benchmark, then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affected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-2859405</wp:posOffset>
            </wp:positionV>
            <wp:extent cx="2540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2540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21" w:right="339" w:bottom="1440" w:gutter="0" w:footer="0" w:header="0"/>
        </w:sectPr>
      </w:pPr>
    </w:p>
    <w:bookmarkStart w:id="161" w:name="page162"/>
    <w:bookmarkEnd w:id="161"/>
    <w:p>
      <w:pPr>
        <w:jc w:val="both"/>
        <w:ind w:firstLine="656"/>
        <w:spacing w:after="0" w:line="243" w:lineRule="auto"/>
        <w:tabs>
          <w:tab w:leader="none" w:pos="1115"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7" w:lineRule="exact"/>
        <w:rPr>
          <w:rFonts w:ascii="Arial" w:cs="Arial" w:eastAsia="Arial" w:hAnsi="Arial"/>
          <w:sz w:val="18"/>
          <w:szCs w:val="18"/>
          <w:color w:val="auto"/>
        </w:rPr>
      </w:pPr>
    </w:p>
    <w:p>
      <w:pPr>
        <w:jc w:val="both"/>
        <w:ind w:firstLine="850"/>
        <w:spacing w:after="0" w:line="238" w:lineRule="auto"/>
        <w:tabs>
          <w:tab w:leader="none" w:pos="1249"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below and (v) the commencement or conclusion of any Benchmark Unavailability Period. Any determination, decision or election that may be made by the Administrative Agent or, if applicable, any Lender (or group of Lenders) pursuant to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firstLine="850"/>
        <w:spacing w:after="0" w:line="253" w:lineRule="auto"/>
        <w:tabs>
          <w:tab w:leader="none" w:pos="1379" w:val="left"/>
        </w:tabs>
        <w:numPr>
          <w:ilvl w:val="1"/>
          <w:numId w:val="86"/>
        </w:numPr>
        <w:rPr>
          <w:rFonts w:ascii="Arial" w:cs="Arial" w:eastAsia="Arial" w:hAnsi="Arial"/>
          <w:sz w:val="17"/>
          <w:szCs w:val="17"/>
          <w:color w:val="auto"/>
        </w:rPr>
      </w:pPr>
      <w:r>
        <w:rPr>
          <w:rFonts w:ascii="Arial" w:cs="Arial" w:eastAsia="Arial" w:hAnsi="Arial"/>
          <w:sz w:val="17"/>
          <w:szCs w:val="17"/>
          <w:color w:val="auto"/>
        </w:rPr>
        <w:t>Notwithstanding anything to the contrary herein or in any other Loan Document, at any time (including in connection with the implementation of a Benchmark Replacement), (i) if the then-current Benchmark is a term rate (including the Term SOFR Rate</w:t>
      </w:r>
      <w:r>
        <w:rPr>
          <w:rFonts w:ascii="Arial" w:cs="Arial" w:eastAsia="Arial" w:hAnsi="Arial"/>
          <w:sz w:val="17"/>
          <w:szCs w:val="17"/>
          <w:u w:val="single" w:color="auto"/>
          <w:color w:val="0000FF"/>
          <w:highlight w:val="lightGray"/>
        </w:rPr>
        <w:t>, EURIBOR Rate, AUD</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Rate or CDOR Rate</w:t>
      </w:r>
      <w:r>
        <w:rPr>
          <w:rFonts w:ascii="Arial" w:cs="Arial" w:eastAsia="Arial" w:hAnsi="Arial"/>
          <w:sz w:val="17"/>
          <w:szCs w:val="17"/>
          <w:color w:val="000000"/>
        </w:rPr>
        <w:t>) and either (A) any tenor for such Benchmark is not displayed on a screen or other information service that publishes such rate from</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Arial" w:cs="Arial" w:eastAsia="Arial" w:hAnsi="Arial"/>
          <w:sz w:val="17"/>
          <w:szCs w:val="17"/>
          <w:u w:val="single" w:color="auto"/>
          <w:color w:val="000000"/>
        </w:rPr>
        <w:t>clause (i)</w:t>
      </w:r>
      <w:r>
        <w:rPr>
          <w:rFonts w:ascii="Arial" w:cs="Arial" w:eastAsia="Arial" w:hAnsi="Arial"/>
          <w:sz w:val="17"/>
          <w:szCs w:val="17"/>
          <w:color w:val="000000"/>
        </w:rPr>
        <w:t xml:space="preserve">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80" w:lineRule="exact"/>
        <w:rPr>
          <w:rFonts w:ascii="Arial" w:cs="Arial" w:eastAsia="Arial" w:hAnsi="Arial"/>
          <w:sz w:val="17"/>
          <w:szCs w:val="17"/>
          <w:color w:val="auto"/>
        </w:rPr>
      </w:pPr>
    </w:p>
    <w:p>
      <w:pPr>
        <w:jc w:val="both"/>
        <w:ind w:firstLine="850"/>
        <w:spacing w:after="0" w:line="250" w:lineRule="auto"/>
        <w:tabs>
          <w:tab w:leader="none" w:pos="1211" w:val="left"/>
        </w:tabs>
        <w:numPr>
          <w:ilvl w:val="1"/>
          <w:numId w:val="86"/>
        </w:numPr>
        <w:rPr>
          <w:rFonts w:ascii="Arial" w:cs="Arial" w:eastAsia="Arial" w:hAnsi="Arial"/>
          <w:sz w:val="17"/>
          <w:szCs w:val="17"/>
          <w:color w:val="auto"/>
        </w:rPr>
      </w:pPr>
      <w:r>
        <w:rPr>
          <w:rFonts w:ascii="Arial" w:cs="Arial" w:eastAsia="Arial" w:hAnsi="Arial"/>
          <w:sz w:val="17"/>
          <w:szCs w:val="17"/>
          <w:color w:val="auto"/>
        </w:rPr>
        <w:t xml:space="preserve">Upon the Borrower’s receipt of notice of the commencement of a Benchmark Unavailability Period, the Borrower may revoke any request for </w:t>
      </w:r>
      <w:r>
        <w:rPr>
          <w:rFonts w:ascii="Arial" w:cs="Arial" w:eastAsia="Arial" w:hAnsi="Arial"/>
          <w:sz w:val="17"/>
          <w:szCs w:val="17"/>
          <w:color w:val="FF0000"/>
          <w:strike w:val="1"/>
        </w:rPr>
        <w:t>a</w:t>
      </w:r>
      <w:r>
        <w:rPr>
          <w:rFonts w:ascii="Arial" w:cs="Arial" w:eastAsia="Arial" w:hAnsi="Arial"/>
          <w:sz w:val="17"/>
          <w:szCs w:val="17"/>
          <w:u w:val="single" w:color="auto"/>
          <w:color w:val="0000FF"/>
          <w:highlight w:val="lightGray"/>
        </w:rPr>
        <w:t>any affected</w:t>
      </w:r>
      <w:r>
        <w:rPr>
          <w:rFonts w:ascii="Arial" w:cs="Arial" w:eastAsia="Arial" w:hAnsi="Arial"/>
          <w:sz w:val="17"/>
          <w:szCs w:val="17"/>
          <w:color w:val="auto"/>
        </w:rPr>
        <w:t xml:space="preserve"> Term Benchmark Borrowing or RFR Borrowing of, conversion to or continuation of </w:t>
      </w:r>
      <w:r>
        <w:rPr>
          <w:rFonts w:ascii="Arial" w:cs="Arial" w:eastAsia="Arial" w:hAnsi="Arial"/>
          <w:sz w:val="17"/>
          <w:szCs w:val="17"/>
          <w:u w:val="single" w:color="auto"/>
          <w:color w:val="0000FF"/>
          <w:highlight w:val="lightGray"/>
        </w:rPr>
        <w:t>any affected</w:t>
      </w:r>
      <w:r>
        <w:rPr>
          <w:rFonts w:ascii="Arial" w:cs="Arial" w:eastAsia="Arial" w:hAnsi="Arial"/>
          <w:sz w:val="17"/>
          <w:szCs w:val="17"/>
          <w:color w:val="auto"/>
        </w:rPr>
        <w:t xml:space="preserve"> Term Benchmark Loans to be made, converted or continued during any Benchmark Unavailability Period and, failing that, </w:t>
      </w:r>
      <w:r>
        <w:rPr>
          <w:rFonts w:ascii="Arial" w:cs="Arial" w:eastAsia="Arial" w:hAnsi="Arial"/>
          <w:sz w:val="17"/>
          <w:szCs w:val="17"/>
          <w:u w:val="single" w:color="auto"/>
          <w:color w:val="0000FF"/>
          <w:highlight w:val="lightGray"/>
        </w:rPr>
        <w:t>either (x)</w:t>
      </w:r>
      <w:r>
        <w:rPr>
          <w:rFonts w:ascii="Arial" w:cs="Arial" w:eastAsia="Arial" w:hAnsi="Arial"/>
          <w:sz w:val="17"/>
          <w:szCs w:val="17"/>
          <w:color w:val="auto"/>
        </w:rPr>
        <w:t xml:space="preserve"> the Borrower will be deemed to have converted any request for</w:t>
      </w:r>
      <w:r>
        <w:rPr>
          <w:rFonts w:ascii="Arial" w:cs="Arial" w:eastAsia="Arial" w:hAnsi="Arial"/>
          <w:sz w:val="17"/>
          <w:szCs w:val="17"/>
          <w:u w:val="single" w:color="auto"/>
          <w:color w:val="0000FF"/>
          <w:highlight w:val="lightGray"/>
        </w:rPr>
        <w:t>, to the extent applicable with respect to such unavailability, (1)</w:t>
      </w:r>
      <w:r>
        <w:rPr>
          <w:rFonts w:ascii="Arial" w:cs="Arial" w:eastAsia="Arial" w:hAnsi="Arial"/>
          <w:sz w:val="17"/>
          <w:szCs w:val="17"/>
          <w:color w:val="auto"/>
        </w:rPr>
        <w:t xml:space="preserve"> a Term Benchmark Borrowing </w:t>
      </w:r>
      <w:r>
        <w:rPr>
          <w:rFonts w:ascii="Arial" w:cs="Arial" w:eastAsia="Arial" w:hAnsi="Arial"/>
          <w:sz w:val="17"/>
          <w:szCs w:val="17"/>
          <w:u w:val="single" w:color="auto"/>
          <w:color w:val="0000FF"/>
          <w:highlight w:val="lightGray"/>
        </w:rPr>
        <w:t>denominated in Dollars</w:t>
      </w:r>
      <w:r>
        <w:rPr>
          <w:rFonts w:ascii="Arial" w:cs="Arial" w:eastAsia="Arial" w:hAnsi="Arial"/>
          <w:sz w:val="17"/>
          <w:szCs w:val="17"/>
          <w:color w:val="auto"/>
        </w:rPr>
        <w:t xml:space="preserve"> into a request for a Borrowing of or conversion to (A) an RFR Borrowing </w:t>
      </w:r>
      <w:r>
        <w:rPr>
          <w:rFonts w:ascii="Arial" w:cs="Arial" w:eastAsia="Arial" w:hAnsi="Arial"/>
          <w:sz w:val="17"/>
          <w:szCs w:val="17"/>
          <w:u w:val="single" w:color="auto"/>
          <w:color w:val="0000FF"/>
          <w:highlight w:val="lightGray"/>
        </w:rPr>
        <w:t>denominated in Dollars</w:t>
      </w:r>
      <w:r>
        <w:rPr>
          <w:rFonts w:ascii="Arial" w:cs="Arial" w:eastAsia="Arial" w:hAnsi="Arial"/>
          <w:sz w:val="17"/>
          <w:szCs w:val="17"/>
          <w:color w:val="auto"/>
        </w:rPr>
        <w:t xml:space="preserve"> so long as the Adjusted Daily Simple </w:t>
      </w:r>
      <w:r>
        <w:rPr>
          <w:rFonts w:ascii="Arial" w:cs="Arial" w:eastAsia="Arial" w:hAnsi="Arial"/>
          <w:sz w:val="17"/>
          <w:szCs w:val="17"/>
          <w:color w:val="FF0000"/>
          <w:strike w:val="1"/>
        </w:rPr>
        <w:t>SO</w:t>
      </w:r>
      <w:r>
        <w:rPr>
          <w:rFonts w:ascii="Arial" w:cs="Arial" w:eastAsia="Arial" w:hAnsi="Arial"/>
          <w:sz w:val="17"/>
          <w:szCs w:val="17"/>
          <w:u w:val="single" w:color="auto"/>
          <w:color w:val="0000FF"/>
          <w:highlight w:val="lightGray"/>
        </w:rPr>
        <w:t>R</w:t>
      </w:r>
      <w:r>
        <w:rPr>
          <w:rFonts w:ascii="Arial" w:cs="Arial" w:eastAsia="Arial" w:hAnsi="Arial"/>
          <w:sz w:val="17"/>
          <w:szCs w:val="17"/>
          <w:color w:val="auto"/>
        </w:rPr>
        <w:t xml:space="preserve">FR </w:t>
      </w:r>
      <w:r>
        <w:rPr>
          <w:rFonts w:ascii="Arial" w:cs="Arial" w:eastAsia="Arial" w:hAnsi="Arial"/>
          <w:sz w:val="17"/>
          <w:szCs w:val="17"/>
          <w:u w:val="single" w:color="auto"/>
          <w:color w:val="0000FF"/>
          <w:highlight w:val="lightGray"/>
        </w:rPr>
        <w:t>for Dollar Borrowings</w:t>
      </w:r>
      <w:r>
        <w:rPr>
          <w:rFonts w:ascii="Arial" w:cs="Arial" w:eastAsia="Arial" w:hAnsi="Arial"/>
          <w:sz w:val="17"/>
          <w:szCs w:val="17"/>
          <w:color w:val="auto"/>
        </w:rPr>
        <w:t xml:space="preserve"> is not the subject of a Benchmark Transition Event, (B) if the Adjusted Daily Simple </w:t>
      </w:r>
      <w:r>
        <w:rPr>
          <w:rFonts w:ascii="Arial" w:cs="Arial" w:eastAsia="Arial" w:hAnsi="Arial"/>
          <w:sz w:val="17"/>
          <w:szCs w:val="17"/>
          <w:color w:val="FF0000"/>
          <w:strike w:val="1"/>
        </w:rPr>
        <w:t>SO</w:t>
      </w:r>
      <w:r>
        <w:rPr>
          <w:rFonts w:ascii="Arial" w:cs="Arial" w:eastAsia="Arial" w:hAnsi="Arial"/>
          <w:sz w:val="17"/>
          <w:szCs w:val="17"/>
          <w:u w:val="single" w:color="auto"/>
          <w:color w:val="0000FF"/>
          <w:highlight w:val="lightGray"/>
        </w:rPr>
        <w:t>R</w:t>
      </w:r>
      <w:r>
        <w:rPr>
          <w:rFonts w:ascii="Arial" w:cs="Arial" w:eastAsia="Arial" w:hAnsi="Arial"/>
          <w:sz w:val="17"/>
          <w:szCs w:val="17"/>
          <w:color w:val="auto"/>
        </w:rPr>
        <w:t xml:space="preserve">FR </w:t>
      </w:r>
      <w:r>
        <w:rPr>
          <w:rFonts w:ascii="Arial" w:cs="Arial" w:eastAsia="Arial" w:hAnsi="Arial"/>
          <w:sz w:val="17"/>
          <w:szCs w:val="17"/>
          <w:u w:val="single" w:color="auto"/>
          <w:color w:val="0000FF"/>
          <w:highlight w:val="lightGray"/>
        </w:rPr>
        <w:t>for Dollar Borrowings</w:t>
      </w:r>
      <w:r>
        <w:rPr>
          <w:rFonts w:ascii="Arial" w:cs="Arial" w:eastAsia="Arial" w:hAnsi="Arial"/>
          <w:sz w:val="17"/>
          <w:szCs w:val="17"/>
          <w:color w:val="auto"/>
        </w:rPr>
        <w:t xml:space="preserve"> is the subject of a Benchmark Transition Event, a Daily SOFR Borrowing so long as the Adjusted Floating Overnight Daily SOFR is not the subject of a Benchmark Transition Event or (C) otherwise, an ABR Borrowing</w:t>
      </w:r>
      <w:r>
        <w:rPr>
          <w:rFonts w:ascii="Arial" w:cs="Arial" w:eastAsia="Arial" w:hAnsi="Arial"/>
          <w:sz w:val="17"/>
          <w:szCs w:val="17"/>
          <w:u w:val="single" w:color="auto"/>
          <w:color w:val="0000FF"/>
          <w:highlight w:val="lightGray"/>
        </w:rPr>
        <w:t>, (y) a Term Benchmark Borrowing denominated in Canadian Dollars into a request for a Borrowing of or conversion to a Canadian Prime Rate</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Borrowing or (z) any Term Benchmark Borrowing or RFR Borrowing denominated in an Alternative Currency (other than Canadian Dollars) shall be ineffective</w:t>
      </w:r>
      <w:r>
        <w:rPr>
          <w:rFonts w:ascii="Arial" w:cs="Arial" w:eastAsia="Arial" w:hAnsi="Arial"/>
          <w:sz w:val="17"/>
          <w:szCs w:val="17"/>
          <w:color w:val="000000"/>
        </w:rPr>
        <w:t>. During any Benchmark Unavailability Period or at any time that a tenor for the then-current Benchmark is not an Available Tenor, the</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component of ABR based upon the then-current Benchmark or such tenor for such Benchmark, as applicable, will not be used in any determination of ABR. Furthermore, if any Term Benchmark Loan or RFR Loan </w:t>
      </w:r>
      <w:r>
        <w:rPr>
          <w:rFonts w:ascii="Arial" w:cs="Arial" w:eastAsia="Arial" w:hAnsi="Arial"/>
          <w:sz w:val="17"/>
          <w:szCs w:val="17"/>
          <w:u w:val="single" w:color="auto"/>
          <w:color w:val="0000FF"/>
          <w:highlight w:val="lightGray"/>
        </w:rPr>
        <w:t>in any Agreed Currency</w:t>
      </w:r>
      <w:r>
        <w:rPr>
          <w:rFonts w:ascii="Arial" w:cs="Arial" w:eastAsia="Arial" w:hAnsi="Arial"/>
          <w:sz w:val="17"/>
          <w:szCs w:val="17"/>
          <w:color w:val="000000"/>
        </w:rPr>
        <w:t xml:space="preserve"> is outstanding on the date of the Borrower’s receipt of notice of the commencement of a Benchmark Unavailability Period with respect to a Relevant Rate applicable to such Term Benchmark Loan or RFR Loan, then until such time as a Benchmark Replacement </w:t>
      </w:r>
      <w:r>
        <w:rPr>
          <w:rFonts w:ascii="Arial" w:cs="Arial" w:eastAsia="Arial" w:hAnsi="Arial"/>
          <w:sz w:val="17"/>
          <w:szCs w:val="17"/>
          <w:u w:val="single" w:color="auto"/>
          <w:color w:val="0000FF"/>
          <w:highlight w:val="lightGray"/>
        </w:rPr>
        <w:t>for such Agreed Currency</w:t>
      </w:r>
      <w:r>
        <w:rPr>
          <w:rFonts w:ascii="Arial" w:cs="Arial" w:eastAsia="Arial" w:hAnsi="Arial"/>
          <w:sz w:val="17"/>
          <w:szCs w:val="17"/>
          <w:color w:val="000000"/>
        </w:rPr>
        <w:t xml:space="preserve"> is implemented pursuant to this </w:t>
      </w:r>
      <w:r>
        <w:rPr>
          <w:rFonts w:ascii="Arial" w:cs="Arial" w:eastAsia="Arial" w:hAnsi="Arial"/>
          <w:sz w:val="17"/>
          <w:szCs w:val="17"/>
          <w:u w:val="single" w:color="auto"/>
          <w:color w:val="000000"/>
        </w:rPr>
        <w:t>Section 2.14</w:t>
      </w:r>
      <w:r>
        <w:rPr>
          <w:rFonts w:ascii="Arial" w:cs="Arial" w:eastAsia="Arial" w:hAnsi="Arial"/>
          <w:sz w:val="17"/>
          <w:szCs w:val="17"/>
          <w:color w:val="000000"/>
        </w:rPr>
        <w:t>, (</w:t>
      </w:r>
      <w:r>
        <w:rPr>
          <w:rFonts w:ascii="Arial" w:cs="Arial" w:eastAsia="Arial" w:hAnsi="Arial"/>
          <w:sz w:val="17"/>
          <w:szCs w:val="17"/>
          <w:u w:val="single" w:color="auto"/>
          <w:color w:val="0000FF"/>
          <w:highlight w:val="lightGray"/>
        </w:rPr>
        <w:t>A) for affected Loans denominated in</w:t>
      </w:r>
      <w:r>
        <w:rPr>
          <w:rFonts w:ascii="Arial" w:cs="Arial" w:eastAsia="Arial" w:hAnsi="Arial"/>
          <w:sz w:val="17"/>
          <w:szCs w:val="17"/>
          <w:color w:val="000000"/>
        </w:rPr>
        <w:t xml:space="preserve"> </w:t>
      </w:r>
      <w:r>
        <w:rPr>
          <w:rFonts w:ascii="Arial" w:cs="Arial" w:eastAsia="Arial" w:hAnsi="Arial"/>
          <w:sz w:val="17"/>
          <w:szCs w:val="17"/>
          <w:u w:val="single" w:color="auto"/>
          <w:color w:val="0000FF"/>
          <w:highlight w:val="lightGray"/>
        </w:rPr>
        <w:t>Dollars (</w:t>
      </w:r>
      <w:r>
        <w:rPr>
          <w:rFonts w:ascii="Arial" w:cs="Arial" w:eastAsia="Arial" w:hAnsi="Arial"/>
          <w:sz w:val="17"/>
          <w:szCs w:val="17"/>
          <w:color w:val="000000"/>
        </w:rPr>
        <w:t>1) any Term Benchmark Loan</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denominated in Dollars</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shall on the last day of the Interest Period applicable to such Loan (or the next succeeding</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Business Day if such day is not a Business Day), be converted by the Administrative Agent to, and shall constitute, (x) an RFR Borrowing </w:t>
      </w:r>
      <w:r>
        <w:rPr>
          <w:rFonts w:ascii="Arial" w:cs="Arial" w:eastAsia="Arial" w:hAnsi="Arial"/>
          <w:sz w:val="17"/>
          <w:szCs w:val="17"/>
          <w:u w:val="single" w:color="auto"/>
          <w:color w:val="0000FF"/>
          <w:highlight w:val="lightGray"/>
        </w:rPr>
        <w:t>in Dollars</w:t>
      </w:r>
      <w:r>
        <w:rPr>
          <w:rFonts w:ascii="Arial" w:cs="Arial" w:eastAsia="Arial" w:hAnsi="Arial"/>
          <w:sz w:val="17"/>
          <w:szCs w:val="17"/>
          <w:color w:val="000000"/>
        </w:rPr>
        <w:t xml:space="preserve"> so long as the Adjusted Daily Simple </w:t>
      </w:r>
      <w:r>
        <w:rPr>
          <w:rFonts w:ascii="Arial" w:cs="Arial" w:eastAsia="Arial" w:hAnsi="Arial"/>
          <w:sz w:val="17"/>
          <w:szCs w:val="17"/>
          <w:color w:val="FF0000"/>
          <w:strike w:val="1"/>
        </w:rPr>
        <w:t>SO</w:t>
      </w:r>
      <w:r>
        <w:rPr>
          <w:rFonts w:ascii="Arial" w:cs="Arial" w:eastAsia="Arial" w:hAnsi="Arial"/>
          <w:sz w:val="17"/>
          <w:szCs w:val="17"/>
          <w:u w:val="single" w:color="auto"/>
          <w:color w:val="0000FF"/>
          <w:highlight w:val="lightGray"/>
        </w:rPr>
        <w:t>R</w:t>
      </w:r>
      <w:r>
        <w:rPr>
          <w:rFonts w:ascii="Arial" w:cs="Arial" w:eastAsia="Arial" w:hAnsi="Arial"/>
          <w:sz w:val="17"/>
          <w:szCs w:val="17"/>
          <w:color w:val="000000"/>
        </w:rPr>
        <w:t xml:space="preserve">FR </w:t>
      </w:r>
      <w:r>
        <w:rPr>
          <w:rFonts w:ascii="Arial" w:cs="Arial" w:eastAsia="Arial" w:hAnsi="Arial"/>
          <w:sz w:val="17"/>
          <w:szCs w:val="17"/>
          <w:u w:val="single" w:color="auto"/>
          <w:color w:val="0000FF"/>
          <w:highlight w:val="lightGray"/>
        </w:rPr>
        <w:t>for Dollar Borrowings</w:t>
      </w:r>
      <w:r>
        <w:rPr>
          <w:rFonts w:ascii="Arial" w:cs="Arial" w:eastAsia="Arial" w:hAnsi="Arial"/>
          <w:sz w:val="17"/>
          <w:szCs w:val="17"/>
          <w:color w:val="000000"/>
        </w:rPr>
        <w:t xml:space="preserve"> is not the subject of a Benchmark Transition Event, (y) if the Adjusted Daily Simple </w:t>
      </w:r>
      <w:r>
        <w:rPr>
          <w:rFonts w:ascii="Arial" w:cs="Arial" w:eastAsia="Arial" w:hAnsi="Arial"/>
          <w:sz w:val="17"/>
          <w:szCs w:val="17"/>
          <w:color w:val="FF0000"/>
          <w:strike w:val="1"/>
        </w:rPr>
        <w:t>SO</w:t>
      </w:r>
      <w:r>
        <w:rPr>
          <w:rFonts w:ascii="Arial" w:cs="Arial" w:eastAsia="Arial" w:hAnsi="Arial"/>
          <w:sz w:val="17"/>
          <w:szCs w:val="17"/>
          <w:u w:val="single" w:color="auto"/>
          <w:color w:val="0000FF"/>
          <w:highlight w:val="lightGray"/>
        </w:rPr>
        <w:t>R</w:t>
      </w:r>
      <w:r>
        <w:rPr>
          <w:rFonts w:ascii="Arial" w:cs="Arial" w:eastAsia="Arial" w:hAnsi="Arial"/>
          <w:sz w:val="17"/>
          <w:szCs w:val="17"/>
          <w:color w:val="000000"/>
        </w:rPr>
        <w:t>FR</w:t>
      </w:r>
      <w:r>
        <w:rPr>
          <w:rFonts w:ascii="Arial" w:cs="Arial" w:eastAsia="Arial" w:hAnsi="Arial"/>
          <w:sz w:val="17"/>
          <w:szCs w:val="17"/>
          <w:color w:val="FF0000"/>
        </w:rPr>
        <w:t xml:space="preserve"> </w:t>
      </w:r>
      <w:r>
        <w:rPr>
          <w:rFonts w:ascii="Arial" w:cs="Arial" w:eastAsia="Arial" w:hAnsi="Arial"/>
          <w:sz w:val="17"/>
          <w:szCs w:val="17"/>
          <w:u w:val="single" w:color="auto"/>
          <w:color w:val="0000FF"/>
          <w:highlight w:val="lightGray"/>
        </w:rPr>
        <w:t>for Dollar Borrowings</w:t>
      </w:r>
      <w:r>
        <w:rPr>
          <w:rFonts w:ascii="Arial" w:cs="Arial" w:eastAsia="Arial" w:hAnsi="Arial"/>
          <w:sz w:val="17"/>
          <w:szCs w:val="17"/>
          <w:color w:val="FF0000"/>
        </w:rPr>
        <w:t xml:space="preserve"> </w:t>
      </w:r>
      <w:r>
        <w:rPr>
          <w:rFonts w:ascii="Arial" w:cs="Arial" w:eastAsia="Arial" w:hAnsi="Arial"/>
          <w:sz w:val="17"/>
          <w:szCs w:val="17"/>
          <w:color w:val="000000"/>
        </w:rPr>
        <w:t>is the subject of a Benchmark Transition Event, a Daily SOFR Borrowing so long as the Adjusted Floating Overnight Daily</w:t>
      </w:r>
      <w:r>
        <w:rPr>
          <w:rFonts w:ascii="Arial" w:cs="Arial" w:eastAsia="Arial" w:hAnsi="Arial"/>
          <w:sz w:val="17"/>
          <w:szCs w:val="17"/>
          <w:color w:val="FF0000"/>
        </w:rPr>
        <w:t xml:space="preserve"> </w:t>
      </w:r>
      <w:r>
        <w:rPr>
          <w:rFonts w:ascii="Arial" w:cs="Arial" w:eastAsia="Arial" w:hAnsi="Arial"/>
          <w:sz w:val="17"/>
          <w:szCs w:val="17"/>
          <w:color w:val="000000"/>
        </w:rPr>
        <w:t>SOFR is not the subject of a Benchmark Transition Event or (z) otherwise, an ABR Loan, on such day and (2) any RFR Loan shall on and from such day be converted by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21" w:right="339" w:bottom="1440" w:gutter="0" w:footer="0" w:header="0"/>
        </w:sectPr>
      </w:pPr>
    </w:p>
    <w:bookmarkStart w:id="162" w:name="page163"/>
    <w:bookmarkEnd w:id="162"/>
    <w:p>
      <w:pPr>
        <w:jc w:val="both"/>
        <w:spacing w:after="0" w:line="251" w:lineRule="auto"/>
        <w:rPr>
          <w:sz w:val="20"/>
          <w:szCs w:val="20"/>
          <w:color w:val="auto"/>
        </w:rPr>
      </w:pPr>
      <w:r>
        <w:rPr>
          <w:rFonts w:ascii="Arial" w:cs="Arial" w:eastAsia="Arial" w:hAnsi="Arial"/>
          <w:sz w:val="17"/>
          <w:szCs w:val="17"/>
          <w:color w:val="auto"/>
        </w:rPr>
        <w:t>Agent to, and shall constitute, (y) a Daily SOFR Borrowing so long as the Adjusted Floating Overnight Daily SOFR is not the subject of a Benchmark Transition Event or (z) otherwise, an ABR Loan</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and (B) for affected Loans denominated in an Alternative Currency, (1) any such Term Benchmark Loan</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denominated in an Alternative Currency (other than Canadian Dollars) shall, on the last day of the Interest Period applicable to such Loan bear interest at the Central Bank Rate for the applicable Alternative Currency, plus the CBR Spread; provided, that if the Administrative Agent determines (which determination shall be conclusive and binding absent manifest error) that the Central Bank Rate for the applicable Alternative Currency cannot be determined, any outstanding affected Term Benchmark Loans denominated in any Alternative Currency (other than Canadian Dollars) shall, at the Borrower’s election prior to such day: (i) be prepaid by the Borrower on such day or (ii) solely for the purpose of calculating the interest rate applicable to such Term Benchmark Loan, such Term Benchmark Loan denominated in any Alternative Currency (other than Canadian Dollars) shall be deemed to be a Term Benchmark Loan denominated in Dollars and shall accrue interest at the same interest rate applicable to Term Benchmark Loans denominated in Dollars at such time, (2) any such Term Benchmark Loan denominated in Canadian Dollars shall, on the last day of the Interest Period applicable to such Loan, be converted by the Administrative Agent to, and shall constitute, a Canadian Prime Rate Loan denominated in Canadian Dollars on such day and (3) any such RFR Loan shall bear interest at the Central Bank Rate for the applicable Alternative Currency plus the CBR Spread; provided, that if the Administrative Agent determines (which determination shall be conclusive and binding absent manifest error) that the Central Bank Rate (for the applicable Alternative Currency cannot be determined, any outstanding affected RFR Loans denominated in any Alternative Currency, at the Borrower’s election, shall either (A) be converted into ABR Loans denominated in Dollars (in an amount equal to the Dollar Equivalent of such Alternative Currency) immediately or (B) be prepaid in full immediately.</w:t>
      </w:r>
    </w:p>
    <w:p>
      <w:pPr>
        <w:spacing w:after="0" w:line="1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Pro Rata Treatment; Payments; Sharing of Setoffs</w:t>
      </w:r>
      <w:r>
        <w:rPr>
          <w:rFonts w:ascii="Arial" w:cs="Arial" w:eastAsia="Arial" w:hAnsi="Arial"/>
          <w:sz w:val="16"/>
          <w:szCs w:val="16"/>
          <w:color w:val="auto"/>
        </w:rPr>
        <w:t>.</w:t>
      </w:r>
    </w:p>
    <w:p>
      <w:pPr>
        <w:spacing w:after="0" w:line="212" w:lineRule="exact"/>
        <w:rPr>
          <w:sz w:val="20"/>
          <w:szCs w:val="20"/>
          <w:color w:val="auto"/>
        </w:rPr>
      </w:pPr>
    </w:p>
    <w:p>
      <w:pPr>
        <w:jc w:val="both"/>
        <w:ind w:firstLine="656"/>
        <w:spacing w:after="0" w:line="248" w:lineRule="auto"/>
        <w:tabs>
          <w:tab w:leader="none" w:pos="1077"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Each borrowing by the Borrower from the Lenders hereunder, each payment by the Borrower on account of any commitment fee and any reduction of the Commitments of the Lenders shall be made pro rata according to the respective applicable Delayed Draw Term Percentages </w:t>
      </w:r>
      <w:r>
        <w:rPr>
          <w:rFonts w:ascii="Arial" w:cs="Arial" w:eastAsia="Arial" w:hAnsi="Arial"/>
          <w:sz w:val="18"/>
          <w:szCs w:val="18"/>
          <w:color w:val="FF0000"/>
        </w:rPr>
        <w:t>or</w:t>
      </w:r>
      <w:r>
        <w:rPr>
          <w:rFonts w:ascii="Arial" w:cs="Arial" w:eastAsia="Arial" w:hAnsi="Arial"/>
          <w:sz w:val="18"/>
          <w:szCs w:val="18"/>
          <w:u w:val="single" w:color="auto"/>
          <w:color w:val="0000FF"/>
          <w:highlight w:val="lightGray"/>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Revolving Percentage</w:t>
      </w:r>
      <w:r>
        <w:rPr>
          <w:rFonts w:ascii="Arial" w:cs="Arial" w:eastAsia="Arial" w:hAnsi="Arial"/>
          <w:sz w:val="18"/>
          <w:szCs w:val="18"/>
          <w:color w:val="FF0000"/>
          <w:strike w:val="1"/>
        </w:rPr>
        <w:t>s</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or USD Revolving Percentage, as the case may be,</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of the applicable Lenders.</w:t>
      </w:r>
    </w:p>
    <w:p>
      <w:pPr>
        <w:spacing w:after="0" w:line="181" w:lineRule="exact"/>
        <w:rPr>
          <w:rFonts w:ascii="Arial" w:cs="Arial" w:eastAsia="Arial" w:hAnsi="Arial"/>
          <w:sz w:val="18"/>
          <w:szCs w:val="18"/>
          <w:color w:val="auto"/>
        </w:rPr>
      </w:pPr>
    </w:p>
    <w:p>
      <w:pPr>
        <w:jc w:val="both"/>
        <w:ind w:firstLine="656"/>
        <w:spacing w:after="0"/>
        <w:tabs>
          <w:tab w:leader="none" w:pos="1066"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payment (including each prepayment) by the Borrower on account of principal of and interest on the Delayed Draw Term Loans shall be made pro rata according to the respective outstanding principal amounts of the Delayed Draw Term Loans then held by the Delayed Draw Term Lenders. Amounts repaid or prepaid on account of the Delayed Draw Term Loans may not be reborrowed. Each payment (including each prepayment) by the Borrower on account of principal of and interest on the Delayed Draw Term Loans shall be made pro rata according to the respective outstanding principal amounts of the Delayed Draw Term Loans then held by the Delayed Draw Term Lenders. Amounts repaid or prepaid on account of the Delayed Draw Term Loans may not be reborrowed.</w:t>
      </w:r>
    </w:p>
    <w:p>
      <w:pPr>
        <w:spacing w:after="0" w:line="189" w:lineRule="exact"/>
        <w:rPr>
          <w:rFonts w:ascii="Arial" w:cs="Arial" w:eastAsia="Arial" w:hAnsi="Arial"/>
          <w:sz w:val="18"/>
          <w:szCs w:val="18"/>
          <w:color w:val="auto"/>
        </w:rPr>
      </w:pPr>
    </w:p>
    <w:p>
      <w:pPr>
        <w:jc w:val="both"/>
        <w:ind w:firstLine="656"/>
        <w:spacing w:after="0" w:line="248" w:lineRule="auto"/>
        <w:tabs>
          <w:tab w:leader="none" w:pos="1071"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Each payment (including each prepayment) by the Borrower on account of principal of and interest on </w:t>
      </w:r>
      <w:r>
        <w:rPr>
          <w:rFonts w:ascii="Arial" w:cs="Arial" w:eastAsia="Arial" w:hAnsi="Arial"/>
          <w:sz w:val="18"/>
          <w:szCs w:val="18"/>
          <w:color w:val="FF0000"/>
          <w:strike w:val="1"/>
        </w:rPr>
        <w:t>the</w:t>
      </w:r>
      <w:r>
        <w:rPr>
          <w:rFonts w:ascii="Arial" w:cs="Arial" w:eastAsia="Arial" w:hAnsi="Arial"/>
          <w:sz w:val="18"/>
          <w:szCs w:val="18"/>
          <w:u w:val="single" w:color="auto"/>
          <w:color w:val="0000FF"/>
          <w:highlight w:val="lightGray"/>
        </w:rPr>
        <w:t>any</w:t>
      </w:r>
      <w:r>
        <w:rPr>
          <w:rFonts w:ascii="Arial" w:cs="Arial" w:eastAsia="Arial" w:hAnsi="Arial"/>
          <w:sz w:val="18"/>
          <w:szCs w:val="18"/>
          <w:color w:val="auto"/>
        </w:rPr>
        <w:t xml:space="preserve"> Revolving Loans </w:t>
      </w:r>
      <w:r>
        <w:rPr>
          <w:rFonts w:ascii="Arial" w:cs="Arial" w:eastAsia="Arial" w:hAnsi="Arial"/>
          <w:sz w:val="18"/>
          <w:szCs w:val="18"/>
          <w:u w:val="single" w:color="auto"/>
          <w:color w:val="0000FF"/>
          <w:highlight w:val="lightGray"/>
        </w:rPr>
        <w:t>under any</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Revolving Facility</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shall be made pro rata according to the respective outstanding principal amounts of the Revolving Loans</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under such Revolving Facility</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 xml:space="preserve">then held by the Revolving Lenders </w:t>
      </w:r>
      <w:r>
        <w:rPr>
          <w:rFonts w:ascii="Arial" w:cs="Arial" w:eastAsia="Arial" w:hAnsi="Arial"/>
          <w:sz w:val="18"/>
          <w:szCs w:val="18"/>
          <w:u w:val="single" w:color="auto"/>
          <w:color w:val="0000FF"/>
          <w:highlight w:val="lightGray"/>
        </w:rPr>
        <w:t>under such Revolving Facility</w:t>
      </w:r>
      <w:r>
        <w:rPr>
          <w:rFonts w:ascii="Arial" w:cs="Arial" w:eastAsia="Arial" w:hAnsi="Arial"/>
          <w:sz w:val="18"/>
          <w:szCs w:val="18"/>
          <w:color w:val="000000"/>
        </w:rPr>
        <w:t>.</w:t>
      </w:r>
    </w:p>
    <w:p>
      <w:pPr>
        <w:spacing w:after="0" w:line="181" w:lineRule="exact"/>
        <w:rPr>
          <w:rFonts w:ascii="Arial" w:cs="Arial" w:eastAsia="Arial" w:hAnsi="Arial"/>
          <w:sz w:val="18"/>
          <w:szCs w:val="18"/>
          <w:color w:val="auto"/>
        </w:rPr>
      </w:pPr>
    </w:p>
    <w:p>
      <w:pPr>
        <w:jc w:val="both"/>
        <w:ind w:firstLine="656"/>
        <w:spacing w:after="0" w:line="252" w:lineRule="auto"/>
        <w:tabs>
          <w:tab w:leader="none" w:pos="1070"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All payments (including prepayments) to be made by the Borrower hereunder, whether on account of principal, interest, fees or otherwise, shall be made without setoff or counterclaim. All payments shall be made </w:t>
      </w:r>
      <w:r>
        <w:rPr>
          <w:rFonts w:ascii="Arial" w:cs="Arial" w:eastAsia="Arial" w:hAnsi="Arial"/>
          <w:sz w:val="17"/>
          <w:szCs w:val="17"/>
          <w:u w:val="single" w:color="auto"/>
          <w:color w:val="0000FF"/>
          <w:highlight w:val="lightGray"/>
        </w:rPr>
        <w:t>(i) with respect to Loans denominated in Dollars,</w:t>
      </w:r>
      <w:r>
        <w:rPr>
          <w:rFonts w:ascii="Arial" w:cs="Arial" w:eastAsia="Arial" w:hAnsi="Arial"/>
          <w:sz w:val="17"/>
          <w:szCs w:val="17"/>
          <w:color w:val="auto"/>
        </w:rPr>
        <w:t xml:space="preserve"> prior to 12:00 Noon, New York City time, on the due date thereof to the Administrative Agent, for the account of the Lenders, at the Funding Office, in Dollars and </w:t>
      </w:r>
      <w:r>
        <w:rPr>
          <w:rFonts w:ascii="Arial" w:cs="Arial" w:eastAsia="Arial" w:hAnsi="Arial"/>
          <w:sz w:val="17"/>
          <w:szCs w:val="17"/>
          <w:u w:val="single" w:color="auto"/>
          <w:color w:val="0000FF"/>
          <w:highlight w:val="lightGray"/>
        </w:rPr>
        <w:t>(ii) with respect to</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Loans denominated in an Alternative Currency prior to the Applicable Time specified by the Administrative Agent on the dates specified herein, for the account of the Lenders, at the Funding Office, in such Alternative Currency, in each case,</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in immediately available funds. Without limiting the generality of</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the foregoing, the Administrative Agent may require that any payments due under this Agreement be made in the United States. The Administrative Agent shall distribute such payments to the </w:t>
      </w:r>
      <w:r>
        <w:rPr>
          <w:rFonts w:ascii="Arial" w:cs="Arial" w:eastAsia="Arial" w:hAnsi="Arial"/>
          <w:sz w:val="17"/>
          <w:szCs w:val="17"/>
          <w:u w:val="single" w:color="auto"/>
          <w:color w:val="0000FF"/>
          <w:highlight w:val="lightGray"/>
        </w:rPr>
        <w:t>applicable</w:t>
      </w:r>
      <w:r>
        <w:rPr>
          <w:rFonts w:ascii="Arial" w:cs="Arial" w:eastAsia="Arial" w:hAnsi="Arial"/>
          <w:sz w:val="17"/>
          <w:szCs w:val="17"/>
          <w:color w:val="000000"/>
        </w:rPr>
        <w:t xml:space="preserve"> Lenders promptly upon receipt in like funds as received. If any payment hereunder (other than payments on the Term Benchmark Loans) becomes due and payable on a day other than a Business Day, such payment shall be extended to the next succeeding Business Day.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6949440</wp:posOffset>
            </wp:positionH>
            <wp:positionV relativeFrom="paragraph">
              <wp:posOffset>-3181350</wp:posOffset>
            </wp:positionV>
            <wp:extent cx="1581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158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21" w:right="339" w:bottom="1440" w:gutter="0" w:footer="0" w:header="0"/>
        </w:sectPr>
      </w:pPr>
    </w:p>
    <w:bookmarkStart w:id="163" w:name="page164"/>
    <w:bookmarkEnd w:id="163"/>
    <w:p>
      <w:pPr>
        <w:jc w:val="both"/>
        <w:ind w:right="20"/>
        <w:spacing w:after="0" w:line="284" w:lineRule="auto"/>
        <w:rPr>
          <w:sz w:val="20"/>
          <w:szCs w:val="20"/>
          <w:color w:val="auto"/>
        </w:rPr>
      </w:pPr>
      <w:r>
        <w:rPr>
          <w:rFonts w:ascii="Arial" w:cs="Arial" w:eastAsia="Arial" w:hAnsi="Arial"/>
          <w:sz w:val="16"/>
          <w:szCs w:val="16"/>
          <w:color w:val="auto"/>
        </w:rPr>
        <w:t xml:space="preserve">Day. In the case of any extension of any payment of principal pursuant to the preceding two sentences, interest thereon shall be payable at the then applicable rate during such extension. </w:t>
      </w:r>
      <w:r>
        <w:rPr>
          <w:rFonts w:ascii="Arial" w:cs="Arial" w:eastAsia="Arial" w:hAnsi="Arial"/>
          <w:sz w:val="16"/>
          <w:szCs w:val="16"/>
          <w:u w:val="single" w:color="auto"/>
          <w:color w:val="0000FF"/>
          <w:highlight w:val="lightGray"/>
        </w:rPr>
        <w:t>Without limiting the generality of the foregoing, the Administrative Agent may require that any payments due under</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this Agreement be made in the United States. If, for any reason, the Borrower is prohibited by any law from making any required payment hereunder in an Alternative Currency, such Borrower shall make such payment in Dollars in the Dollar Equivalent of the Alternative Currency payment amount.</w:t>
      </w:r>
    </w:p>
    <w:p>
      <w:pPr>
        <w:spacing w:after="0" w:line="155" w:lineRule="exact"/>
        <w:rPr>
          <w:sz w:val="20"/>
          <w:szCs w:val="20"/>
          <w:color w:val="auto"/>
        </w:rPr>
      </w:pPr>
    </w:p>
    <w:p>
      <w:pPr>
        <w:jc w:val="both"/>
        <w:ind w:firstLine="656"/>
        <w:spacing w:after="0" w:line="270" w:lineRule="auto"/>
        <w:tabs>
          <w:tab w:leader="none" w:pos="1058"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greater of (i) the Federal Funds Effective Rate and (ii) a rate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ABR Loans </w:t>
      </w:r>
      <w:r>
        <w:rPr>
          <w:rFonts w:ascii="Arial" w:cs="Arial" w:eastAsia="Arial" w:hAnsi="Arial"/>
          <w:sz w:val="16"/>
          <w:szCs w:val="16"/>
          <w:color w:val="0000FF"/>
        </w:rPr>
        <w:t>or in the case of Alternative</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Currencies, in accordance with such market practice, in each case, as applicable</w:t>
      </w:r>
      <w:r>
        <w:rPr>
          <w:rFonts w:ascii="Arial" w:cs="Arial" w:eastAsia="Arial" w:hAnsi="Arial"/>
          <w:sz w:val="16"/>
          <w:szCs w:val="16"/>
          <w:color w:val="000000"/>
        </w:rPr>
        <w:t>, on demand, from the Borrower.</w:t>
      </w:r>
    </w:p>
    <w:p>
      <w:pPr>
        <w:spacing w:after="0" w:line="166" w:lineRule="exact"/>
        <w:rPr>
          <w:rFonts w:ascii="Arial" w:cs="Arial" w:eastAsia="Arial" w:hAnsi="Arial"/>
          <w:sz w:val="16"/>
          <w:szCs w:val="16"/>
          <w:color w:val="auto"/>
        </w:rPr>
      </w:pPr>
    </w:p>
    <w:p>
      <w:pPr>
        <w:jc w:val="both"/>
        <w:ind w:firstLine="656"/>
        <w:spacing w:after="0" w:line="274" w:lineRule="auto"/>
        <w:tabs>
          <w:tab w:leader="none" w:pos="1026" w:val="left"/>
        </w:tabs>
        <w:numPr>
          <w:ilvl w:val="0"/>
          <w:numId w:val="88"/>
        </w:numPr>
        <w:rPr>
          <w:rFonts w:ascii="Arial" w:cs="Arial" w:eastAsia="Arial" w:hAnsi="Arial"/>
          <w:sz w:val="16"/>
          <w:szCs w:val="16"/>
          <w:color w:val="auto"/>
        </w:rPr>
      </w:pPr>
      <w:r>
        <w:rPr>
          <w:rFonts w:ascii="Arial" w:cs="Arial" w:eastAsia="Arial" w:hAnsi="Arial"/>
          <w:sz w:val="16"/>
          <w:szCs w:val="16"/>
          <w:color w:val="auto"/>
        </w:rPr>
        <w:t>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pro rata shares of a corresponding amount. If such payment is not made to the Administrative Agent by the Borrower within three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163" w:lineRule="exact"/>
        <w:rPr>
          <w:rFonts w:ascii="Arial" w:cs="Arial" w:eastAsia="Arial" w:hAnsi="Arial"/>
          <w:sz w:val="16"/>
          <w:szCs w:val="16"/>
          <w:color w:val="auto"/>
        </w:rPr>
      </w:pPr>
    </w:p>
    <w:p>
      <w:pPr>
        <w:jc w:val="both"/>
        <w:ind w:firstLine="656"/>
        <w:spacing w:after="0" w:line="279" w:lineRule="auto"/>
        <w:tabs>
          <w:tab w:leader="none" w:pos="1094"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If any Lender shall fail to make any payment required to be made by it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2.15(d)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2.15(e)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3.4(a)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9.7</w:t>
      </w:r>
      <w:r>
        <w:rPr>
          <w:rFonts w:ascii="Arial" w:cs="Arial" w:eastAsia="Arial" w:hAnsi="Arial"/>
          <w:sz w:val="16"/>
          <w:szCs w:val="16"/>
          <w:color w:val="auto"/>
        </w:rPr>
        <w:t xml:space="preserve">, then the Administrative Agent may, in its discretion (notwithstanding any contrary provision hereof), (i) apply any amounts thereafter received by the Administrative Agent for the account of such Lender to satisfy such Lender’s obligations under such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until all such unsatisfied obligations are fully paid and/or (ii) hold any such amounts in a segregated account as cash collateral for, and application to, any future funding obligations of such Lender under such </w:t>
      </w:r>
      <w:r>
        <w:rPr>
          <w:rFonts w:ascii="Arial" w:cs="Arial" w:eastAsia="Arial" w:hAnsi="Arial"/>
          <w:sz w:val="16"/>
          <w:szCs w:val="16"/>
          <w:u w:val="single" w:color="auto"/>
          <w:color w:val="auto"/>
        </w:rPr>
        <w:t>Sections</w:t>
      </w:r>
      <w:r>
        <w:rPr>
          <w:rFonts w:ascii="Arial" w:cs="Arial" w:eastAsia="Arial" w:hAnsi="Arial"/>
          <w:sz w:val="16"/>
          <w:szCs w:val="16"/>
          <w:color w:val="auto"/>
        </w:rPr>
        <w:t>; in the case of each of (i) and (ii) above, in any order as determined by the Administrative Agent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-2101215</wp:posOffset>
            </wp:positionV>
            <wp:extent cx="1380490"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1380490" cy="128905"/>
                    </a:xfrm>
                    <a:prstGeom prst="rect">
                      <a:avLst/>
                    </a:prstGeom>
                    <a:noFill/>
                  </pic:spPr>
                </pic:pic>
              </a:graphicData>
            </a:graphic>
          </wp:anchor>
        </w:drawing>
      </w:r>
    </w:p>
    <w:p>
      <w:pPr>
        <w:spacing w:after="0" w:line="13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u w:val="single" w:color="auto"/>
          <w:color w:val="auto"/>
        </w:rPr>
        <w:t>Requirements of Law</w:t>
      </w:r>
      <w:r>
        <w:rPr>
          <w:rFonts w:ascii="Arial" w:cs="Arial" w:eastAsia="Arial" w:hAnsi="Arial"/>
          <w:sz w:val="16"/>
          <w:szCs w:val="16"/>
          <w:color w:val="auto"/>
        </w:rPr>
        <w:t>.</w:t>
      </w:r>
    </w:p>
    <w:p>
      <w:pPr>
        <w:spacing w:after="0" w:line="212" w:lineRule="exact"/>
        <w:rPr>
          <w:sz w:val="20"/>
          <w:szCs w:val="20"/>
          <w:color w:val="auto"/>
        </w:rPr>
      </w:pPr>
    </w:p>
    <w:p>
      <w:pPr>
        <w:ind w:left="1040" w:hanging="384"/>
        <w:spacing w:after="0"/>
        <w:tabs>
          <w:tab w:leader="none" w:pos="10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any Change in Law:</w:t>
      </w:r>
    </w:p>
    <w:p>
      <w:pPr>
        <w:spacing w:after="0" w:line="211" w:lineRule="exact"/>
        <w:rPr>
          <w:rFonts w:ascii="Arial" w:cs="Arial" w:eastAsia="Arial" w:hAnsi="Arial"/>
          <w:sz w:val="18"/>
          <w:szCs w:val="18"/>
          <w:color w:val="auto"/>
        </w:rPr>
      </w:pPr>
    </w:p>
    <w:p>
      <w:pPr>
        <w:jc w:val="both"/>
        <w:ind w:left="660" w:firstLine="644"/>
        <w:spacing w:after="0" w:line="248" w:lineRule="auto"/>
        <w:tabs>
          <w:tab w:leader="none" w:pos="1712"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shall subject any Recipient to any Taxes (other than (A) Indemnified Taxes, (B) Taxes described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w:t>
      </w:r>
    </w:p>
    <w:p>
      <w:pPr>
        <w:spacing w:after="0" w:line="181" w:lineRule="exact"/>
        <w:rPr>
          <w:rFonts w:ascii="Arial" w:cs="Arial" w:eastAsia="Arial" w:hAnsi="Arial"/>
          <w:sz w:val="18"/>
          <w:szCs w:val="18"/>
          <w:color w:val="auto"/>
        </w:rPr>
      </w:pPr>
    </w:p>
    <w:p>
      <w:pPr>
        <w:jc w:val="both"/>
        <w:ind w:left="660" w:firstLine="644"/>
        <w:spacing w:after="0" w:line="243" w:lineRule="auto"/>
        <w:tabs>
          <w:tab w:leader="none" w:pos="1832" w:val="left"/>
        </w:tabs>
        <w:numPr>
          <w:ilvl w:val="1"/>
          <w:numId w:val="89"/>
        </w:numPr>
        <w:rPr>
          <w:rFonts w:ascii="Arial" w:cs="Arial" w:eastAsia="Arial" w:hAnsi="Arial"/>
          <w:sz w:val="18"/>
          <w:szCs w:val="18"/>
          <w:color w:val="auto"/>
        </w:rPr>
      </w:pPr>
      <w:r>
        <w:rPr>
          <w:rFonts w:ascii="Arial" w:cs="Arial" w:eastAsia="Arial" w:hAnsi="Arial"/>
          <w:sz w:val="18"/>
          <w:szCs w:val="18"/>
          <w:color w:val="auto"/>
        </w:rPr>
        <w:t>shall impose, modify or hold applicable any reserve, special deposit, insurance charge, liquidity, compulsory loan or similar requirement against assets held by, deposits or other liabilities in or for the account of, advances, loans or other extensions of credit by, or any other acquisition of funds by, any office of such Lender or such Issuing Lender that is not otherwise included in the determination of the Term Benchmark;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21" w:right="339" w:bottom="1440" w:gutter="0" w:footer="0" w:header="0"/>
        </w:sectPr>
      </w:pPr>
    </w:p>
    <w:bookmarkStart w:id="164" w:name="page165"/>
    <w:bookmarkEnd w:id="164"/>
    <w:p>
      <w:pPr>
        <w:ind w:left="1760" w:hanging="456"/>
        <w:spacing w:after="0"/>
        <w:tabs>
          <w:tab w:leader="none" w:pos="17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shall impose on such Lender or such Issuing Lender or the applicable interbank market any other condition, cost or expense (other</w:t>
      </w:r>
    </w:p>
    <w:p>
      <w:pPr>
        <w:spacing w:after="0" w:line="3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than Taxes);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and the result of any of the foregoing is to increase the cost to such Lender or such Issuing Lender, by an amount that such Lender or such Issuing Lender deems to be material, of making, converting into, continuing or maintaining Term Benchmark Loans or issuing or participating in Letters of Credit, or to reduce any amount receivable hereunder in respect thereof, then, in any such case, the Borrower shall promptly pay such Lender or such Issuing Lender, upon its demand, any additional amounts necessary to compensate such Lender or such Issuing Lender for such increased cost or reduced amount receivable. If any Lender or any Issuing Lender becomes entitled to claim any additional amounts pursuant to this paragraph, it shall promptly notify the Borrower (with a copy to the Administrative Agent) of the event by reason of which it has become so entitled.</w:t>
      </w:r>
    </w:p>
    <w:p>
      <w:pPr>
        <w:spacing w:after="0" w:line="175" w:lineRule="exact"/>
        <w:rPr>
          <w:sz w:val="20"/>
          <w:szCs w:val="20"/>
          <w:color w:val="auto"/>
        </w:rPr>
      </w:pPr>
    </w:p>
    <w:p>
      <w:pPr>
        <w:jc w:val="both"/>
        <w:ind w:firstLine="656"/>
        <w:spacing w:after="0" w:line="272" w:lineRule="auto"/>
        <w:tabs>
          <w:tab w:leader="none" w:pos="1087" w:val="left"/>
        </w:tabs>
        <w:numPr>
          <w:ilvl w:val="0"/>
          <w:numId w:val="91"/>
        </w:numPr>
        <w:rPr>
          <w:rFonts w:ascii="Arial" w:cs="Arial" w:eastAsia="Arial" w:hAnsi="Arial"/>
          <w:sz w:val="16"/>
          <w:szCs w:val="16"/>
          <w:color w:val="auto"/>
        </w:rPr>
      </w:pPr>
      <w:r>
        <w:rPr>
          <w:rFonts w:ascii="Arial" w:cs="Arial" w:eastAsia="Arial" w:hAnsi="Arial"/>
          <w:sz w:val="16"/>
          <w:szCs w:val="16"/>
          <w:color w:val="auto"/>
        </w:rPr>
        <w:t>If any Lender or any Issuing Lender shall have determined that any Change in Law regarding capital, reserve or liquidity requirements or ratios shall have the effect of reducing the rate of return on such Lender’s or such Issuing Lender’s capital or on the capital of such Lender’s or Issuing Lender’s holding company, if any, as a consequence of its obligations hereunder or under or in respect of any Letters of Credit to a level below that which such Lender or such Issuing Lender or such Lender’s or Issuing Lender’s holding company could have achieved but for such Change in Law (taking into consideration such Lender’s or such Issuing Lender’s or such holding company’s policies with respect to capital adequacy) by an amount deemed by such Lender or such Issuing Lender to be material, then from time to time, after submission by such Lender or such Issuing Lender to the Borrower (with a copy to the Administrative Agent) of a written request therefor, the Borrower shall pay to such Lender or such Issuing Lender such additional amount or amounts as will compensate such Lender or such Issuing Lender or such holding company for such reduction.</w:t>
      </w:r>
    </w:p>
    <w:p>
      <w:pPr>
        <w:spacing w:after="0" w:line="167" w:lineRule="exact"/>
        <w:rPr>
          <w:rFonts w:ascii="Arial" w:cs="Arial" w:eastAsia="Arial" w:hAnsi="Arial"/>
          <w:sz w:val="16"/>
          <w:szCs w:val="16"/>
          <w:color w:val="auto"/>
        </w:rPr>
      </w:pPr>
    </w:p>
    <w:p>
      <w:pPr>
        <w:jc w:val="both"/>
        <w:ind w:firstLine="656"/>
        <w:spacing w:after="0" w:line="261" w:lineRule="auto"/>
        <w:tabs>
          <w:tab w:leader="none" w:pos="1108"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A certificate as to any additional amounts payable pursuant to this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submitted by any Lender or any Issuing Lender to the Borrower (with a copy to the Administrative Agent) shall be conclusive in the absence of manifest error. Notwithstanding anything to the contrary in this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the Borrower shall not be required to compensate a Lender or an Issuing Lender pursuant to this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for any amounts incurred more than six months prior to the date that such Lender or such Issuing Lender notifies the Borrower of such Lender’s or such Issuing Lender’s intention to claim compensation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circumstances giving rise to such claim have a retroactive effect, then such six-month period shall be extended to include the period of such retroactive effect. The obligations of the Borrower pursuant to this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shall survive the termination of this Agreement and the payment of the Loans and all other amounts payable hereunder. The Borrower shall pay such Lender or Issuing Lender, as the case may be, the amount shown as due on any such certificate within 10 Business Days after receipt thereof.</w:t>
      </w:r>
    </w:p>
    <w:p>
      <w:pPr>
        <w:spacing w:after="0" w:line="175" w:lineRule="exact"/>
        <w:rPr>
          <w:rFonts w:ascii="Arial" w:cs="Arial" w:eastAsia="Arial" w:hAnsi="Arial"/>
          <w:sz w:val="17"/>
          <w:szCs w:val="17"/>
          <w:color w:val="auto"/>
        </w:rPr>
      </w:pPr>
    </w:p>
    <w:p>
      <w:pPr>
        <w:jc w:val="both"/>
        <w:ind w:firstLine="656"/>
        <w:spacing w:after="0" w:line="253" w:lineRule="auto"/>
        <w:tabs>
          <w:tab w:leader="none" w:pos="1078"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2.16</w:t>
      </w:r>
      <w:r>
        <w:rPr>
          <w:rFonts w:ascii="Arial" w:cs="Arial" w:eastAsia="Arial" w:hAnsi="Arial"/>
          <w:sz w:val="17"/>
          <w:szCs w:val="17"/>
          <w:color w:val="auto"/>
        </w:rPr>
        <w:t>,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be deemed to have been introduced and adopted after the date of this Agreement. Notwithstanding the foregoing, no Lender shall be entitled to seek compensation for costs imposed pursuant to the Dodd-Frank Wall Street Reform and Consumer Protection Act or Basel III if it shall not be the general policy of such Lender at such time to seek compensation from other investment grade borrowers with the same or similar ratings under yield protection provisions in credit agreements with such borrowers that provide for such compensation and the applicable Lender is in fact generally seeking such compensation from such borrowers (and, upon any request by such Lender for payment, certifies to the Borrower to the effect of the foregoing).</w:t>
      </w:r>
    </w:p>
    <w:p>
      <w:pPr>
        <w:spacing w:after="0" w:line="18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12" w:lineRule="exact"/>
        <w:rPr>
          <w:sz w:val="20"/>
          <w:szCs w:val="20"/>
          <w:color w:val="auto"/>
        </w:rPr>
      </w:pPr>
    </w:p>
    <w:p>
      <w:pPr>
        <w:jc w:val="both"/>
        <w:ind w:firstLine="656"/>
        <w:spacing w:after="0" w:line="243" w:lineRule="auto"/>
        <w:tabs>
          <w:tab w:leader="none" w:pos="1081"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21" w:right="339" w:bottom="1440" w:gutter="0" w:footer="0" w:header="0"/>
        </w:sectPr>
      </w:pPr>
    </w:p>
    <w:bookmarkStart w:id="165" w:name="page166"/>
    <w:bookmarkEnd w:id="165"/>
    <w:p>
      <w:pPr>
        <w:jc w:val="both"/>
        <w:spacing w:after="0" w:line="243" w:lineRule="auto"/>
        <w:rPr>
          <w:sz w:val="20"/>
          <w:szCs w:val="20"/>
          <w:color w:val="auto"/>
        </w:rPr>
      </w:pPr>
      <w:r>
        <w:rPr>
          <w:rFonts w:ascii="Arial" w:cs="Arial" w:eastAsia="Arial" w:hAnsi="Arial"/>
          <w:sz w:val="18"/>
          <w:szCs w:val="18"/>
          <w:color w:val="auto"/>
        </w:rPr>
        <w:t xml:space="preserve">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the applicable Recipient receives an amount equal to the sum it would have received had no such deduction or withholding been made.</w:t>
      </w:r>
    </w:p>
    <w:p>
      <w:pPr>
        <w:spacing w:after="0" w:line="188" w:lineRule="exact"/>
        <w:rPr>
          <w:sz w:val="20"/>
          <w:szCs w:val="20"/>
          <w:color w:val="auto"/>
        </w:rPr>
      </w:pPr>
    </w:p>
    <w:p>
      <w:pPr>
        <w:ind w:firstLine="656"/>
        <w:spacing w:after="0" w:line="261" w:lineRule="auto"/>
        <w:tabs>
          <w:tab w:leader="none" w:pos="1105"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The Loan Parties shall timely pay to the relevant Governmental Authority in accordance with applicable law, or at the option of the Administrative Agent timely reimburse it for, Other Taxes.</w:t>
      </w:r>
    </w:p>
    <w:p>
      <w:pPr>
        <w:spacing w:after="0" w:line="170" w:lineRule="exact"/>
        <w:rPr>
          <w:rFonts w:ascii="Arial" w:cs="Arial" w:eastAsia="Arial" w:hAnsi="Arial"/>
          <w:sz w:val="18"/>
          <w:szCs w:val="18"/>
          <w:color w:val="auto"/>
        </w:rPr>
      </w:pPr>
    </w:p>
    <w:p>
      <w:pPr>
        <w:jc w:val="both"/>
        <w:ind w:firstLine="656"/>
        <w:spacing w:after="0" w:line="243" w:lineRule="auto"/>
        <w:tabs>
          <w:tab w:leader="none" w:pos="1054"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As soon as practicable after any payment of Taxes by any Loan Party to a Governmental Authority pursuant to this </w:t>
      </w:r>
      <w:r>
        <w:rPr>
          <w:rFonts w:ascii="Arial" w:cs="Arial" w:eastAsia="Arial" w:hAnsi="Arial"/>
          <w:sz w:val="18"/>
          <w:szCs w:val="18"/>
          <w:u w:val="single" w:color="auto"/>
          <w:color w:val="auto"/>
        </w:rPr>
        <w:t>Section 2.17</w:t>
      </w:r>
      <w:r>
        <w:rPr>
          <w:rFonts w:ascii="Arial" w:cs="Arial" w:eastAsia="Arial" w:hAnsi="Arial"/>
          <w:sz w:val="18"/>
          <w:szCs w:val="18"/>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7" w:lineRule="exact"/>
        <w:rPr>
          <w:rFonts w:ascii="Arial" w:cs="Arial" w:eastAsia="Arial" w:hAnsi="Arial"/>
          <w:sz w:val="18"/>
          <w:szCs w:val="18"/>
          <w:color w:val="auto"/>
        </w:rPr>
      </w:pPr>
    </w:p>
    <w:p>
      <w:pPr>
        <w:jc w:val="both"/>
        <w:ind w:firstLine="656"/>
        <w:spacing w:after="0" w:line="257" w:lineRule="auto"/>
        <w:tabs>
          <w:tab w:leader="none" w:pos="1065" w:val="left"/>
        </w:tabs>
        <w:numPr>
          <w:ilvl w:val="1"/>
          <w:numId w:val="93"/>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w:t>
      </w:r>
      <w:r>
        <w:rPr>
          <w:rFonts w:ascii="Arial" w:cs="Arial" w:eastAsia="Arial" w:hAnsi="Arial"/>
          <w:sz w:val="17"/>
          <w:szCs w:val="17"/>
          <w:color w:val="auto"/>
        </w:rPr>
        <w:t xml:space="preserve">. The Loan Parties shall jointly and severally indemnify each Recipient, within ten (10) days after demand therefor, for the full amount of any Indemnified Taxes (including Indemnified Taxes imposed or asserted on or attributable to amounts payable under this </w:t>
      </w:r>
      <w:r>
        <w:rPr>
          <w:rFonts w:ascii="Arial" w:cs="Arial" w:eastAsia="Arial" w:hAnsi="Arial"/>
          <w:sz w:val="17"/>
          <w:szCs w:val="17"/>
          <w:u w:val="single" w:color="auto"/>
          <w:color w:val="auto"/>
        </w:rPr>
        <w:t>Section 2.17</w:t>
      </w:r>
      <w:r>
        <w:rPr>
          <w:rFonts w:ascii="Arial" w:cs="Arial" w:eastAsia="Arial" w:hAnsi="Arial"/>
          <w:sz w:val="17"/>
          <w:szCs w:val="17"/>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75" w:lineRule="exact"/>
        <w:rPr>
          <w:rFonts w:ascii="Arial" w:cs="Arial" w:eastAsia="Arial" w:hAnsi="Arial"/>
          <w:sz w:val="17"/>
          <w:szCs w:val="17"/>
          <w:color w:val="auto"/>
        </w:rPr>
      </w:pPr>
    </w:p>
    <w:p>
      <w:pPr>
        <w:ind w:left="1060" w:hanging="404"/>
        <w:spacing w:after="0"/>
        <w:tabs>
          <w:tab w:leader="none" w:pos="1060"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Indemnification by the Lenders</w:t>
      </w:r>
      <w:r>
        <w:rPr>
          <w:rFonts w:ascii="Arial" w:cs="Arial" w:eastAsia="Arial" w:hAnsi="Arial"/>
          <w:sz w:val="16"/>
          <w:szCs w:val="16"/>
          <w:color w:val="auto"/>
        </w:rPr>
        <w:t>. Each Lender shall severally indemnify the Administrative Agent, within 10 days after demand therefor, for</w:t>
      </w:r>
    </w:p>
    <w:p>
      <w:pPr>
        <w:spacing w:after="0" w:line="34" w:lineRule="exact"/>
        <w:rPr>
          <w:rFonts w:ascii="Arial" w:cs="Arial" w:eastAsia="Arial" w:hAnsi="Arial"/>
          <w:sz w:val="16"/>
          <w:szCs w:val="16"/>
          <w:color w:val="auto"/>
        </w:rPr>
      </w:pPr>
    </w:p>
    <w:p>
      <w:pPr>
        <w:jc w:val="both"/>
        <w:ind w:firstLine="8"/>
        <w:spacing w:after="0" w:line="269" w:lineRule="auto"/>
        <w:tabs>
          <w:tab w:leader="none" w:pos="2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6"/>
          <w:szCs w:val="16"/>
          <w:u w:val="single" w:color="auto"/>
          <w:color w:val="auto"/>
        </w:rPr>
        <w:t>paragraph (e)</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firstLine="656"/>
        <w:spacing w:after="0" w:line="253" w:lineRule="auto"/>
        <w:tabs>
          <w:tab w:leader="none" w:pos="1008" w:val="left"/>
        </w:tabs>
        <w:numPr>
          <w:ilvl w:val="1"/>
          <w:numId w:val="94"/>
        </w:numPr>
        <w:rPr>
          <w:rFonts w:ascii="Arial" w:cs="Arial" w:eastAsia="Arial" w:hAnsi="Arial"/>
          <w:sz w:val="17"/>
          <w:szCs w:val="17"/>
          <w:color w:val="auto"/>
        </w:rPr>
      </w:pPr>
      <w:r>
        <w:rPr>
          <w:rFonts w:ascii="Arial" w:cs="Arial" w:eastAsia="Arial" w:hAnsi="Arial"/>
          <w:sz w:val="17"/>
          <w:szCs w:val="17"/>
          <w:u w:val="single" w:color="auto"/>
          <w:color w:val="auto"/>
        </w:rPr>
        <w:t>Status of Lenders</w:t>
      </w:r>
      <w:r>
        <w:rPr>
          <w:rFonts w:ascii="Arial" w:cs="Arial" w:eastAsia="Arial" w:hAnsi="Arial"/>
          <w:sz w:val="17"/>
          <w:szCs w:val="17"/>
          <w:color w:val="auto"/>
        </w:rPr>
        <w:t xml:space="preserve">.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7"/>
          <w:szCs w:val="17"/>
          <w:u w:val="single" w:color="auto"/>
          <w:color w:val="auto"/>
        </w:rPr>
        <w:t>Section 2.17(f)(ii)(A)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(ii)(D)</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0" w:lineRule="exact"/>
        <w:rPr>
          <w:rFonts w:ascii="Arial" w:cs="Arial" w:eastAsia="Arial" w:hAnsi="Arial"/>
          <w:sz w:val="17"/>
          <w:szCs w:val="17"/>
          <w:color w:val="auto"/>
        </w:rPr>
      </w:pPr>
    </w:p>
    <w:p>
      <w:pPr>
        <w:ind w:left="1700" w:hanging="396"/>
        <w:spacing w:after="0"/>
        <w:tabs>
          <w:tab w:leader="none" w:pos="17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21" w:right="339" w:bottom="1440" w:gutter="0" w:footer="0" w:header="0"/>
        </w:sectPr>
      </w:pPr>
    </w:p>
    <w:bookmarkStart w:id="166" w:name="page167"/>
    <w:bookmarkEnd w:id="166"/>
    <w:p>
      <w:pPr>
        <w:jc w:val="both"/>
        <w:ind w:left="644" w:firstLine="652"/>
        <w:spacing w:after="0" w:line="243" w:lineRule="auto"/>
        <w:tabs>
          <w:tab w:leader="none" w:pos="1784" w:val="left"/>
        </w:tabs>
        <w:numPr>
          <w:ilvl w:val="2"/>
          <w:numId w:val="95"/>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87" w:lineRule="exact"/>
        <w:rPr>
          <w:rFonts w:ascii="Arial" w:cs="Arial" w:eastAsia="Arial" w:hAnsi="Arial"/>
          <w:sz w:val="18"/>
          <w:szCs w:val="18"/>
          <w:color w:val="auto"/>
        </w:rPr>
      </w:pPr>
    </w:p>
    <w:p>
      <w:pPr>
        <w:jc w:val="both"/>
        <w:ind w:left="644" w:firstLine="652"/>
        <w:spacing w:after="0" w:line="243" w:lineRule="auto"/>
        <w:tabs>
          <w:tab w:leader="none" w:pos="1725" w:val="left"/>
        </w:tabs>
        <w:numPr>
          <w:ilvl w:val="2"/>
          <w:numId w:val="95"/>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7" w:lineRule="exact"/>
        <w:rPr>
          <w:rFonts w:ascii="Arial" w:cs="Arial" w:eastAsia="Arial" w:hAnsi="Arial"/>
          <w:sz w:val="18"/>
          <w:szCs w:val="18"/>
          <w:color w:val="auto"/>
        </w:rPr>
      </w:pPr>
    </w:p>
    <w:p>
      <w:pPr>
        <w:jc w:val="both"/>
        <w:ind w:left="4" w:firstLine="644"/>
        <w:spacing w:after="0" w:line="279" w:lineRule="auto"/>
        <w:tabs>
          <w:tab w:leader="none" w:pos="1047" w:val="left"/>
        </w:tabs>
        <w:numPr>
          <w:ilvl w:val="1"/>
          <w:numId w:val="96"/>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 (x) with respect to payments of interest under any Loan Document, an executed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159" w:lineRule="exact"/>
        <w:rPr>
          <w:rFonts w:ascii="Arial" w:cs="Arial" w:eastAsia="Arial" w:hAnsi="Arial"/>
          <w:sz w:val="16"/>
          <w:szCs w:val="16"/>
          <w:color w:val="auto"/>
        </w:rPr>
      </w:pPr>
    </w:p>
    <w:p>
      <w:pPr>
        <w:ind w:left="4" w:firstLine="644"/>
        <w:spacing w:after="0" w:line="261" w:lineRule="auto"/>
        <w:tabs>
          <w:tab w:leader="none" w:pos="1087" w:val="left"/>
        </w:tabs>
        <w:numPr>
          <w:ilvl w:val="1"/>
          <w:numId w:val="96"/>
        </w:numPr>
        <w:rPr>
          <w:rFonts w:ascii="Arial" w:cs="Arial" w:eastAsia="Arial" w:hAnsi="Arial"/>
          <w:sz w:val="18"/>
          <w:szCs w:val="18"/>
          <w:color w:val="auto"/>
        </w:rPr>
      </w:pPr>
      <w:r>
        <w:rPr>
          <w:rFonts w:ascii="Arial" w:cs="Arial" w:eastAsia="Arial" w:hAnsi="Arial"/>
          <w:sz w:val="18"/>
          <w:szCs w:val="18"/>
          <w:color w:val="auto"/>
        </w:rPr>
        <w:t>in the case of a Foreign Lender claiming that its extension of credit will generate U.S. effectively connected income, an executed IRS Form W-8ECI;</w:t>
      </w:r>
    </w:p>
    <w:p>
      <w:pPr>
        <w:spacing w:after="0" w:line="170" w:lineRule="exact"/>
        <w:rPr>
          <w:rFonts w:ascii="Arial" w:cs="Arial" w:eastAsia="Arial" w:hAnsi="Arial"/>
          <w:sz w:val="18"/>
          <w:szCs w:val="18"/>
          <w:color w:val="auto"/>
        </w:rPr>
      </w:pPr>
    </w:p>
    <w:p>
      <w:pPr>
        <w:jc w:val="both"/>
        <w:ind w:left="4" w:firstLine="644"/>
        <w:spacing w:after="0" w:line="274" w:lineRule="auto"/>
        <w:tabs>
          <w:tab w:leader="none" w:pos="1060" w:val="left"/>
        </w:tabs>
        <w:numPr>
          <w:ilvl w:val="1"/>
          <w:numId w:val="96"/>
        </w:numPr>
        <w:rPr>
          <w:rFonts w:ascii="Arial" w:cs="Arial" w:eastAsia="Arial" w:hAnsi="Arial"/>
          <w:sz w:val="16"/>
          <w:szCs w:val="16"/>
          <w:color w:val="auto"/>
        </w:rPr>
      </w:pPr>
      <w:r>
        <w:rPr>
          <w:rFonts w:ascii="Arial" w:cs="Arial" w:eastAsia="Arial" w:hAnsi="Arial"/>
          <w:sz w:val="16"/>
          <w:szCs w:val="16"/>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6"/>
          <w:szCs w:val="16"/>
          <w:u w:val="single" w:color="auto"/>
          <w:color w:val="auto"/>
        </w:rPr>
        <w:t>Exhibit F-1</w:t>
      </w:r>
      <w:r>
        <w:rPr>
          <w:rFonts w:ascii="Arial" w:cs="Arial" w:eastAsia="Arial" w:hAnsi="Arial"/>
          <w:sz w:val="16"/>
          <w:szCs w:val="16"/>
          <w:color w:val="auto"/>
        </w:rPr>
        <w:t xml:space="preserve"> to the effect that such Foreign Lender is not a “bank” within the meaning of Section 881(c) (3)</w:t>
      </w:r>
    </w:p>
    <w:p>
      <w:pPr>
        <w:jc w:val="both"/>
        <w:ind w:left="4" w:hanging="4"/>
        <w:spacing w:after="0" w:line="239" w:lineRule="auto"/>
        <w:tabs>
          <w:tab w:leader="none" w:pos="316" w:val="left"/>
        </w:tabs>
        <w:numPr>
          <w:ilvl w:val="0"/>
          <w:numId w:val="97"/>
        </w:numPr>
        <w:rPr>
          <w:rFonts w:ascii="Arial" w:cs="Arial" w:eastAsia="Arial" w:hAnsi="Arial"/>
          <w:sz w:val="18"/>
          <w:szCs w:val="18"/>
          <w:color w:val="auto"/>
        </w:rPr>
      </w:pPr>
      <w:r>
        <w:rPr>
          <w:rFonts w:ascii="Arial" w:cs="Arial" w:eastAsia="Arial" w:hAnsi="Arial"/>
          <w:sz w:val="18"/>
          <w:szCs w:val="18"/>
          <w:color w:val="auto"/>
        </w:rPr>
        <w:t>of the Code, a “10 percent shareholder” of the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an executed IRS Form W-8BEN or IRS Form W-8BEN-E, as applicable; or</w:t>
      </w:r>
    </w:p>
    <w:p>
      <w:pPr>
        <w:spacing w:after="0" w:line="189" w:lineRule="exact"/>
        <w:rPr>
          <w:rFonts w:ascii="Arial" w:cs="Arial" w:eastAsia="Arial" w:hAnsi="Arial"/>
          <w:sz w:val="18"/>
          <w:szCs w:val="18"/>
          <w:color w:val="auto"/>
        </w:rPr>
      </w:pPr>
    </w:p>
    <w:p>
      <w:pPr>
        <w:jc w:val="both"/>
        <w:ind w:left="4" w:firstLine="644"/>
        <w:spacing w:after="0" w:line="279" w:lineRule="auto"/>
        <w:tabs>
          <w:tab w:leader="none" w:pos="1067"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to the extent a Foreign Lender is not the beneficial owner, an executed copy of IRS Form W-8IMY, accompanied by IRS Form W-8ECI, IRS Form W-8BEN, IRS Form W-8BEN-E, a U.S. Tax Compliance Certificate substantially in the form of </w:t>
      </w:r>
      <w:r>
        <w:rPr>
          <w:rFonts w:ascii="Arial" w:cs="Arial" w:eastAsia="Arial" w:hAnsi="Arial"/>
          <w:sz w:val="16"/>
          <w:szCs w:val="16"/>
          <w:u w:val="single" w:color="auto"/>
          <w:color w:val="auto"/>
        </w:rPr>
        <w:t>Exhibit F-2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F-3</w:t>
      </w:r>
      <w:r>
        <w:rPr>
          <w:rFonts w:ascii="Arial" w:cs="Arial" w:eastAsia="Arial" w:hAnsi="Arial"/>
          <w:sz w:val="16"/>
          <w:szCs w:val="16"/>
          <w:color w:val="auto"/>
        </w:rPr>
        <w:t xml:space="preserve">, IRS Form W-9, and/or other certification documents from each beneficial owner,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6"/>
          <w:szCs w:val="16"/>
          <w:u w:val="single" w:color="auto"/>
          <w:color w:val="auto"/>
        </w:rPr>
        <w:t>Exhibit F-4</w:t>
      </w:r>
      <w:r>
        <w:rPr>
          <w:rFonts w:ascii="Arial" w:cs="Arial" w:eastAsia="Arial" w:hAnsi="Arial"/>
          <w:sz w:val="16"/>
          <w:szCs w:val="16"/>
          <w:color w:val="auto"/>
        </w:rPr>
        <w:t xml:space="preserve"> on behalf of each such direct and indirect partner;</w:t>
      </w:r>
    </w:p>
    <w:p>
      <w:pPr>
        <w:spacing w:after="0" w:line="159" w:lineRule="exact"/>
        <w:rPr>
          <w:rFonts w:ascii="Arial" w:cs="Arial" w:eastAsia="Arial" w:hAnsi="Arial"/>
          <w:sz w:val="16"/>
          <w:szCs w:val="16"/>
          <w:color w:val="auto"/>
        </w:rPr>
      </w:pPr>
    </w:p>
    <w:p>
      <w:pPr>
        <w:jc w:val="both"/>
        <w:ind w:left="644" w:firstLine="652"/>
        <w:spacing w:after="0" w:line="276" w:lineRule="auto"/>
        <w:tabs>
          <w:tab w:leader="none" w:pos="1725" w:val="left"/>
        </w:tabs>
        <w:numPr>
          <w:ilvl w:val="2"/>
          <w:numId w:val="97"/>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61" w:lineRule="exact"/>
        <w:rPr>
          <w:rFonts w:ascii="Arial" w:cs="Arial" w:eastAsia="Arial" w:hAnsi="Arial"/>
          <w:sz w:val="16"/>
          <w:szCs w:val="16"/>
          <w:color w:val="auto"/>
        </w:rPr>
      </w:pPr>
    </w:p>
    <w:p>
      <w:pPr>
        <w:jc w:val="both"/>
        <w:ind w:left="644" w:firstLine="652"/>
        <w:spacing w:after="0" w:line="239" w:lineRule="auto"/>
        <w:tabs>
          <w:tab w:leader="none" w:pos="1751" w:val="left"/>
        </w:tabs>
        <w:numPr>
          <w:ilvl w:val="2"/>
          <w:numId w:val="97"/>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584"/>
          </w:cols>
          <w:pgMar w:left="976" w:top="1421" w:right="339" w:bottom="1440" w:gutter="0" w:footer="0" w:header="0"/>
        </w:sectPr>
      </w:pPr>
    </w:p>
    <w:bookmarkStart w:id="167" w:name="page168"/>
    <w:bookmarkEnd w:id="167"/>
    <w:p>
      <w:pPr>
        <w:jc w:val="both"/>
        <w:ind w:left="1300"/>
        <w:spacing w:after="0" w:line="248" w:lineRule="auto"/>
        <w:rPr>
          <w:sz w:val="20"/>
          <w:szCs w:val="20"/>
          <w:color w:val="auto"/>
        </w:rPr>
      </w:pPr>
      <w:r>
        <w:rPr>
          <w:rFonts w:ascii="Arial" w:cs="Arial" w:eastAsia="Arial" w:hAnsi="Arial"/>
          <w:sz w:val="18"/>
          <w:szCs w:val="18"/>
          <w:color w:val="auto"/>
        </w:rPr>
        <w:t xml:space="preserve">under FATCA and to determine that such Lender has complied with such Lender’s obligations under FATCA or to determine the amount to deduct and withhold from such payment. Solely for purposes of this </w:t>
      </w:r>
      <w:r>
        <w:rPr>
          <w:rFonts w:ascii="Arial" w:cs="Arial" w:eastAsia="Arial" w:hAnsi="Arial"/>
          <w:sz w:val="18"/>
          <w:szCs w:val="18"/>
          <w:u w:val="single" w:color="auto"/>
          <w:color w:val="auto"/>
        </w:rPr>
        <w:t>clause (D)</w:t>
      </w:r>
      <w:r>
        <w:rPr>
          <w:rFonts w:ascii="Arial" w:cs="Arial" w:eastAsia="Arial" w:hAnsi="Arial"/>
          <w:sz w:val="18"/>
          <w:szCs w:val="18"/>
          <w:color w:val="auto"/>
        </w:rPr>
        <w:t>, “FATCA” shall include any amendments made to FATCA after the date of this Agreement.</w:t>
      </w:r>
    </w:p>
    <w:p>
      <w:pPr>
        <w:spacing w:after="0" w:line="18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71" w:lineRule="exact"/>
        <w:rPr>
          <w:sz w:val="20"/>
          <w:szCs w:val="20"/>
          <w:color w:val="auto"/>
        </w:rPr>
      </w:pPr>
    </w:p>
    <w:p>
      <w:pPr>
        <w:jc w:val="both"/>
        <w:ind w:firstLine="656"/>
        <w:spacing w:after="0" w:line="252" w:lineRule="auto"/>
        <w:tabs>
          <w:tab w:leader="none" w:pos="1038"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(including by the payment of additional amounts pursuant to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it shall pay to the indemnifying party an amount equal to such refund (but only to the extent of indemnity payments made under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7"/>
          <w:szCs w:val="17"/>
          <w:u w:val="single" w:color="auto"/>
          <w:color w:val="auto"/>
        </w:rPr>
        <w:t>paragraph (g)</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7"/>
          <w:szCs w:val="17"/>
          <w:u w:val="single" w:color="auto"/>
          <w:color w:val="auto"/>
        </w:rPr>
        <w:t>paragraph (g)</w:t>
      </w:r>
      <w:r>
        <w:rPr>
          <w:rFonts w:ascii="Arial" w:cs="Arial" w:eastAsia="Arial" w:hAnsi="Arial"/>
          <w:sz w:val="17"/>
          <w:szCs w:val="17"/>
          <w:color w:val="auto"/>
        </w:rPr>
        <w:t xml:space="preserve">, in no event will the indemnified party be required to pay any amount to an indemnifying party pursuant to this </w:t>
      </w:r>
      <w:r>
        <w:rPr>
          <w:rFonts w:ascii="Arial" w:cs="Arial" w:eastAsia="Arial" w:hAnsi="Arial"/>
          <w:sz w:val="17"/>
          <w:szCs w:val="17"/>
          <w:u w:val="single" w:color="auto"/>
          <w:color w:val="auto"/>
        </w:rPr>
        <w:t>paragraph (g)</w:t>
      </w:r>
      <w:r>
        <w:rPr>
          <w:rFonts w:ascii="Arial" w:cs="Arial" w:eastAsia="Arial" w:hAnsi="Arial"/>
          <w:sz w:val="17"/>
          <w:szCs w:val="17"/>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7"/>
          <w:szCs w:val="17"/>
          <w:u w:val="single" w:color="auto"/>
          <w:color w:val="auto"/>
        </w:rPr>
        <w:t>paragraph (g)</w:t>
      </w:r>
      <w:r>
        <w:rPr>
          <w:rFonts w:ascii="Arial" w:cs="Arial" w:eastAsia="Arial" w:hAnsi="Arial"/>
          <w:sz w:val="17"/>
          <w:szCs w:val="17"/>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80" w:lineRule="exact"/>
        <w:rPr>
          <w:rFonts w:ascii="Arial" w:cs="Arial" w:eastAsia="Arial" w:hAnsi="Arial"/>
          <w:sz w:val="17"/>
          <w:szCs w:val="17"/>
          <w:color w:val="auto"/>
        </w:rPr>
      </w:pPr>
    </w:p>
    <w:p>
      <w:pPr>
        <w:jc w:val="both"/>
        <w:ind w:firstLine="656"/>
        <w:spacing w:after="0" w:line="248" w:lineRule="auto"/>
        <w:tabs>
          <w:tab w:leader="none" w:pos="1078"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1" w:lineRule="exact"/>
        <w:rPr>
          <w:rFonts w:ascii="Arial" w:cs="Arial" w:eastAsia="Arial" w:hAnsi="Arial"/>
          <w:sz w:val="18"/>
          <w:szCs w:val="18"/>
          <w:color w:val="auto"/>
        </w:rPr>
      </w:pPr>
    </w:p>
    <w:p>
      <w:pPr>
        <w:ind w:left="1060" w:hanging="404"/>
        <w:spacing w:after="0"/>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Section 2.17</w:t>
      </w:r>
      <w:r>
        <w:rPr>
          <w:rFonts w:ascii="Arial" w:cs="Arial" w:eastAsia="Arial" w:hAnsi="Arial"/>
          <w:sz w:val="17"/>
          <w:szCs w:val="17"/>
          <w:color w:val="auto"/>
        </w:rPr>
        <w:t>, the term “Lender” includes any Issuing Lender and the term “applicable law” includes</w:t>
      </w:r>
    </w:p>
    <w:p>
      <w:pPr>
        <w:spacing w:after="0" w:line="2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FATCA.</w:t>
      </w:r>
    </w:p>
    <w:p>
      <w:pPr>
        <w:spacing w:after="0" w:line="1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Indemnity</w:t>
      </w:r>
      <w:r>
        <w:rPr>
          <w:rFonts w:ascii="Arial" w:cs="Arial" w:eastAsia="Arial" w:hAnsi="Arial"/>
          <w:sz w:val="17"/>
          <w:szCs w:val="17"/>
          <w:color w:val="auto"/>
        </w:rPr>
        <w:t xml:space="preserve">. (a) With respect to Loans that are not RFR Loans, the Borrower agrees to indemnify each Lender for, and to hold each Lender harmless from, any loss, cost or expense (including any foreign exchange losses, but not loss of profit) that such Lender may sustain or incur as a consequence of (a) default by the Borrower in making a borrowing of, conversion into or continuation of Term Benchmark Loans after the Borrower has given a notice requesting the same in accordance with the provisions of this Agreement, (b) default by the Borrower in making any prepayment of or conversion from Term Benchmark Loans after the Borrower has given a notice thereof in accordance with the provisions of this Agreement, (c) the making of a prepayment of Term Benchmark Loans on a day that is not the last day of an Interest Period with respect thereto </w:t>
      </w:r>
      <w:r>
        <w:rPr>
          <w:rFonts w:ascii="Arial" w:cs="Arial" w:eastAsia="Arial" w:hAnsi="Arial"/>
          <w:sz w:val="17"/>
          <w:szCs w:val="17"/>
          <w:color w:val="FF0000"/>
        </w:rPr>
        <w:t>or</w:t>
      </w:r>
      <w:r>
        <w:rPr>
          <w:rFonts w:ascii="Arial" w:cs="Arial" w:eastAsia="Arial" w:hAnsi="Arial"/>
          <w:sz w:val="17"/>
          <w:szCs w:val="17"/>
          <w:u w:val="single" w:color="auto"/>
          <w:color w:val="0000FF"/>
        </w:rPr>
        <w:t>,</w:t>
      </w:r>
      <w:r>
        <w:rPr>
          <w:rFonts w:ascii="Arial" w:cs="Arial" w:eastAsia="Arial" w:hAnsi="Arial"/>
          <w:sz w:val="17"/>
          <w:szCs w:val="17"/>
          <w:color w:val="auto"/>
        </w:rPr>
        <w:t xml:space="preserve"> (d) the assignment of any Term Benchmark Loan other than on the last day of an Interest Period pursuant to a request by the Borrower under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w:t>
      </w:r>
      <w:r>
        <w:rPr>
          <w:rFonts w:ascii="Arial" w:cs="Arial" w:eastAsia="Arial" w:hAnsi="Arial"/>
          <w:sz w:val="17"/>
          <w:szCs w:val="17"/>
          <w:color w:val="0000FF"/>
        </w:rPr>
        <w:t>or (e) the failure by the Borrower</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to make any payment of any Loan or drawing under any Letter of Credit (or interest due thereof) denominated in an Alternative Currency on its scheduled due date or any payment thereof in a different currency, then, in any such event, the Borrower shall compensate each Lender for the loss, cost and expense attributable to such event</w:t>
      </w:r>
      <w:r>
        <w:rPr>
          <w:rFonts w:ascii="Arial" w:cs="Arial" w:eastAsia="Arial" w:hAnsi="Arial"/>
          <w:sz w:val="17"/>
          <w:szCs w:val="17"/>
          <w:color w:val="000000"/>
        </w:rPr>
        <w:t>. In the case of a Term Benchmark Loan, such indemnification shall be deemed to include the amount equal to the excess, if any,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of (i) the amount of interest that would have accrued on the amount so prepaid, or not so borrowed, converted or continued, at the Adjusted Term SOFR Rate</w:t>
      </w:r>
      <w:r>
        <w:rPr>
          <w:rFonts w:ascii="Arial" w:cs="Arial" w:eastAsia="Arial" w:hAnsi="Arial"/>
          <w:sz w:val="17"/>
          <w:szCs w:val="17"/>
          <w:u w:val="single" w:color="auto"/>
          <w:color w:val="0000FF"/>
          <w:highlight w:val="lightGray"/>
        </w:rPr>
        <w:t>, the Adjusted AUD Rate, the Adjusted CDOR Rate or the Adjusted EURIBOR Rate, as applicable,</w:t>
      </w:r>
      <w:r>
        <w:rPr>
          <w:rFonts w:ascii="Arial" w:cs="Arial" w:eastAsia="Arial" w:hAnsi="Arial"/>
          <w:sz w:val="17"/>
          <w:szCs w:val="17"/>
          <w:color w:val="000000"/>
        </w:rPr>
        <w:t xml:space="preserve"> that would have been applicable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eurodollar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5479415</wp:posOffset>
            </wp:positionH>
            <wp:positionV relativeFrom="paragraph">
              <wp:posOffset>-1554480</wp:posOffset>
            </wp:positionV>
            <wp:extent cx="1657985" cy="2571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165798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21" w:right="339" w:bottom="1440" w:gutter="0" w:footer="0" w:header="0"/>
        </w:sectPr>
      </w:pPr>
    </w:p>
    <w:bookmarkStart w:id="168" w:name="page169"/>
    <w:bookmarkEnd w:id="168"/>
    <w:p>
      <w:pPr>
        <w:jc w:val="both"/>
        <w:ind w:firstLine="656"/>
        <w:spacing w:after="0" w:line="268" w:lineRule="auto"/>
        <w:tabs>
          <w:tab w:leader="none" w:pos="1090"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With respect to RFR Loans, the Borrower agrees to indemnify each Lender for, and to hold each Lender harmless from, any loss, cost or expense (including any foreign exchange losses, but not loss of profit) that such Lender may sustain or incur as a consequence of (a) default by the Borrower in making a borrowing of RFR Loans after the Borrower has given a notice requesting the same in accordance with the provisions of this Agreement, (b) default by the Borrower in making any prepayment of RFR Loans after the Borrower has given a notice thereof in accordance with the provisions of this Agreement, (c) the making of a prepayment of RFR Loans on a day that is not the Interest Payment Date applicable thereto </w:t>
      </w:r>
      <w:r>
        <w:rPr>
          <w:rFonts w:ascii="Arial" w:cs="Arial" w:eastAsia="Arial" w:hAnsi="Arial"/>
          <w:sz w:val="16"/>
          <w:szCs w:val="16"/>
          <w:color w:val="FF0000"/>
        </w:rPr>
        <w:t>or</w:t>
      </w:r>
      <w:r>
        <w:rPr>
          <w:rFonts w:ascii="Arial" w:cs="Arial" w:eastAsia="Arial" w:hAnsi="Arial"/>
          <w:sz w:val="16"/>
          <w:szCs w:val="16"/>
          <w:u w:val="single" w:color="auto"/>
          <w:color w:val="0000FF"/>
          <w:highlight w:val="lightGray"/>
        </w:rPr>
        <w:t>,</w:t>
      </w:r>
      <w:r>
        <w:rPr>
          <w:rFonts w:ascii="Arial" w:cs="Arial" w:eastAsia="Arial" w:hAnsi="Arial"/>
          <w:sz w:val="16"/>
          <w:szCs w:val="16"/>
          <w:color w:val="auto"/>
        </w:rPr>
        <w:t xml:space="preserve"> (d) the assignment of any RFR Loan other than on the Interest Payment Date applicable thereto pursuant to a request by the Borrower under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w:t>
      </w:r>
      <w:r>
        <w:rPr>
          <w:rFonts w:ascii="Arial" w:cs="Arial" w:eastAsia="Arial" w:hAnsi="Arial"/>
          <w:sz w:val="16"/>
          <w:szCs w:val="16"/>
          <w:color w:val="0000FF"/>
        </w:rPr>
        <w:t>or (e) the</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failure by the Borrower to make any payment of any Loan or drawing under any Letter of Credit (or interest due thereof) denominated in an Alternative Currency on its scheduled due date or any payment thereof in a different currency, then, in any such event, the Borrower shall compensate each Lender for the loss, cost and expense attributable to such event</w:t>
      </w:r>
      <w:r>
        <w:rPr>
          <w:rFonts w:ascii="Arial" w:cs="Arial" w:eastAsia="Arial" w:hAnsi="Arial"/>
          <w:sz w:val="16"/>
          <w:szCs w:val="16"/>
          <w:color w:val="000000"/>
        </w:rPr>
        <w:t>. In the case of a RFR Loan, such indemnification shall be deemed to include the amount equal to the</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excess, if any, of (i) the amount of interest that would have accrued on the amount so prepaid, or not so borrowed, at the </w:t>
      </w:r>
      <w:r>
        <w:rPr>
          <w:rFonts w:ascii="Arial" w:cs="Arial" w:eastAsia="Arial" w:hAnsi="Arial"/>
          <w:sz w:val="16"/>
          <w:szCs w:val="16"/>
          <w:u w:val="single" w:color="auto"/>
          <w:color w:val="0000FF"/>
          <w:highlight w:val="lightGray"/>
        </w:rPr>
        <w:t>applicable</w:t>
      </w:r>
      <w:r>
        <w:rPr>
          <w:rFonts w:ascii="Arial" w:cs="Arial" w:eastAsia="Arial" w:hAnsi="Arial"/>
          <w:sz w:val="16"/>
          <w:szCs w:val="16"/>
          <w:color w:val="000000"/>
        </w:rPr>
        <w:t xml:space="preserve"> Adjusted Daily Simple </w:t>
      </w:r>
      <w:r>
        <w:rPr>
          <w:rFonts w:ascii="Arial" w:cs="Arial" w:eastAsia="Arial" w:hAnsi="Arial"/>
          <w:sz w:val="16"/>
          <w:szCs w:val="16"/>
          <w:color w:val="FF0000"/>
          <w:strike w:val="1"/>
        </w:rPr>
        <w:t>SO</w:t>
      </w:r>
      <w:r>
        <w:rPr>
          <w:rFonts w:ascii="Arial" w:cs="Arial" w:eastAsia="Arial" w:hAnsi="Arial"/>
          <w:sz w:val="16"/>
          <w:szCs w:val="16"/>
          <w:u w:val="single" w:color="auto"/>
          <w:color w:val="0000FF"/>
          <w:highlight w:val="lightGray"/>
        </w:rPr>
        <w:t>R</w:t>
      </w:r>
      <w:r>
        <w:rPr>
          <w:rFonts w:ascii="Arial" w:cs="Arial" w:eastAsia="Arial" w:hAnsi="Arial"/>
          <w:sz w:val="16"/>
          <w:szCs w:val="16"/>
          <w:color w:val="000000"/>
        </w:rPr>
        <w:t>FR that would have been applicable for the period from the date of such prepayment or of such failure to borrow to the Interest Payment Date</w:t>
      </w:r>
      <w:r>
        <w:rPr>
          <w:rFonts w:ascii="Arial" w:cs="Arial" w:eastAsia="Arial" w:hAnsi="Arial"/>
          <w:sz w:val="16"/>
          <w:szCs w:val="16"/>
          <w:color w:val="FF0000"/>
        </w:rPr>
        <w:t xml:space="preserve"> </w:t>
      </w:r>
      <w:r>
        <w:rPr>
          <w:rFonts w:ascii="Arial" w:cs="Arial" w:eastAsia="Arial" w:hAnsi="Arial"/>
          <w:sz w:val="16"/>
          <w:szCs w:val="16"/>
          <w:color w:val="000000"/>
        </w:rPr>
        <w:t>applicable thereto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relevant interbank market.</w:t>
      </w:r>
    </w:p>
    <w:p>
      <w:pPr>
        <w:spacing w:after="0" w:line="174" w:lineRule="exact"/>
        <w:rPr>
          <w:rFonts w:ascii="Arial" w:cs="Arial" w:eastAsia="Arial" w:hAnsi="Arial"/>
          <w:sz w:val="16"/>
          <w:szCs w:val="16"/>
          <w:color w:val="auto"/>
        </w:rPr>
      </w:pPr>
    </w:p>
    <w:p>
      <w:pPr>
        <w:jc w:val="both"/>
        <w:ind w:firstLine="656"/>
        <w:spacing w:after="0" w:line="284" w:lineRule="auto"/>
        <w:tabs>
          <w:tab w:leader="none" w:pos="1076"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A certificate as to any amounts payable pursuant to this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submitted to the Borrower by any Lender shall be conclusive in the absence of manifest error. The Borrower shall pay such Lender the amount shown as due on any such certificate within 10 Business Days after receipt thereof. This covenant shall survive the termination of this Agreement and the payment of the Loans and all other amounts payable hereunder.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w:t>
      </w:r>
      <w:r>
        <w:rPr>
          <w:rFonts w:ascii="Arial" w:cs="Arial" w:eastAsia="Arial" w:hAnsi="Arial"/>
          <w:sz w:val="16"/>
          <w:szCs w:val="16"/>
          <w:color w:val="auto"/>
        </w:rPr>
        <w:t xml:space="preserve"> shall not apply with respect to Taxes other than Taxes that represent losses, costs or expenses arising from any non-Tax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6626860</wp:posOffset>
            </wp:positionH>
            <wp:positionV relativeFrom="paragraph">
              <wp:posOffset>-1898015</wp:posOffset>
            </wp:positionV>
            <wp:extent cx="1320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13208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-1837690</wp:posOffset>
            </wp:positionV>
            <wp:extent cx="447040"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447040" cy="128905"/>
                    </a:xfrm>
                    <a:prstGeom prst="rect">
                      <a:avLst/>
                    </a:prstGeom>
                    <a:noFill/>
                  </pic:spPr>
                </pic:pic>
              </a:graphicData>
            </a:graphic>
          </wp:anchor>
        </w:drawing>
      </w:r>
    </w:p>
    <w:p>
      <w:pPr>
        <w:spacing w:after="0" w:line="1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 xml:space="preserve">2.19 </w:t>
      </w:r>
      <w:r>
        <w:rPr>
          <w:rFonts w:ascii="Arial" w:cs="Arial" w:eastAsia="Arial" w:hAnsi="Arial"/>
          <w:sz w:val="17"/>
          <w:szCs w:val="17"/>
          <w:u w:val="single" w:color="auto"/>
          <w:color w:val="auto"/>
        </w:rPr>
        <w:t>Change of Lending Office</w:t>
      </w:r>
      <w:r>
        <w:rPr>
          <w:rFonts w:ascii="Arial" w:cs="Arial" w:eastAsia="Arial" w:hAnsi="Arial"/>
          <w:sz w:val="17"/>
          <w:szCs w:val="17"/>
          <w:color w:val="auto"/>
        </w:rPr>
        <w:t xml:space="preserve">. Each Lender agrees that, upon the occurrence of any event giving rise to the operation of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with respect to such Lender, it will, if requested by the Borrower, use reasonable efforts (subject to overall policy considerations of such Lender) to designate another lending office for any Loans affected by such event with the object of avoiding the consequences of such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designation (i) in the sole judgment of such Lender would eliminate or reduce amounts payable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 (ii) is made on terms that, in the sole judgment of such Lender, cause such Lender and its lending office(s) to suffer no unreimbursed cost or expense and would not otherwise be disadvantageous to the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shall affect or postpone any of the obligations of the Borrower or the rights of any Lender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2.17(a)</w:t>
      </w:r>
      <w:r>
        <w:rPr>
          <w:rFonts w:ascii="Arial" w:cs="Arial" w:eastAsia="Arial" w:hAnsi="Arial"/>
          <w:sz w:val="17"/>
          <w:szCs w:val="17"/>
          <w:color w:val="auto"/>
        </w:rPr>
        <w:t>. The Borrower hereby agrees to pay all reasonable out-of-pocket documented costs and expenses incurred by any Lender in connection with any such designation or assignment.</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 xml:space="preserve">2.20 </w:t>
      </w:r>
      <w:r>
        <w:rPr>
          <w:rFonts w:ascii="Arial" w:cs="Arial" w:eastAsia="Arial" w:hAnsi="Arial"/>
          <w:sz w:val="16"/>
          <w:szCs w:val="16"/>
          <w:u w:val="single" w:color="auto"/>
          <w:color w:val="auto"/>
        </w:rPr>
        <w:t>Replacement of Lenders</w:t>
      </w:r>
      <w:r>
        <w:rPr>
          <w:rFonts w:ascii="Arial" w:cs="Arial" w:eastAsia="Arial" w:hAnsi="Arial"/>
          <w:sz w:val="16"/>
          <w:szCs w:val="16"/>
          <w:color w:val="auto"/>
        </w:rPr>
        <w:t xml:space="preserve">. The Borrower shall be permitted to replace, at its sole expense and effort, and upon notice to such Lender and the Administrative Agent, any Lender that (a) requests reimbursement for amounts owing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or (b) becomes a Defaulting Lender or a Non-Consenting Lender, with a replacement financial institution; </w:t>
      </w:r>
      <w:r>
        <w:rPr>
          <w:rFonts w:ascii="Arial" w:cs="Arial" w:eastAsia="Arial" w:hAnsi="Arial"/>
          <w:sz w:val="16"/>
          <w:szCs w:val="16"/>
          <w:u w:val="single" w:color="auto"/>
          <w:color w:val="auto"/>
        </w:rPr>
        <w:t>provided</w:t>
      </w:r>
      <w:r>
        <w:rPr>
          <w:rFonts w:ascii="Arial" w:cs="Arial" w:eastAsia="Arial" w:hAnsi="Arial"/>
          <w:sz w:val="16"/>
          <w:szCs w:val="16"/>
          <w:color w:val="auto"/>
        </w:rPr>
        <w:t>, that (i) such replacement does not conflict with any Requirement of Law,</w:t>
      </w:r>
    </w:p>
    <w:p>
      <w:pPr>
        <w:jc w:val="both"/>
        <w:ind w:firstLine="8"/>
        <w:spacing w:after="0" w:line="250" w:lineRule="auto"/>
        <w:tabs>
          <w:tab w:leader="none" w:pos="28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if applicable, prior to any such replacement, such Lender shall have taken no action under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so as to eliminate the continued need for payment of amounts owing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(iii) in the case of any such assignment resulting from a claim for reimbursement for amounts owing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such assignment will result in a reduction in such amounts, (iv) the replacement financial institution shall purchase, at par, all Loans and other amounts owing to such replaced Lender on or prior to the date of replacement, (v) the Borrower shall be liable to such replaced Lender under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if any Term Benchmark Loan owing to such replaced Lender shall be purchased other than on the last day of the Interest Period relating thereto, (vi) the replacement financial institution, if not already a Lender, shall be reasonably satisfactory to the Administrative Agent, (vii) the replaced Lender shall be obligated to make such replacement in accordance with the provisions of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be obligated to pay the registration and processing fee referred to therein), (viii) until such time as such replacement shall be consummated, the Borrower shall pay all additional amounts (if any) required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as the case may be, and (ix) any such replacement shall not be deemed to be a waiver of any rights that the Borrower, the Administrative Agent or any other Lender shall have against the replaced Lender. A Lender shall not be required to make any such replacement if, prior thereto,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21" w:right="339" w:bottom="1440" w:gutter="0" w:footer="0" w:header="0"/>
        </w:sectPr>
      </w:pPr>
    </w:p>
    <w:bookmarkStart w:id="169" w:name="page170"/>
    <w:bookmarkEnd w:id="169"/>
    <w:p>
      <w:pPr>
        <w:jc w:val="both"/>
        <w:spacing w:after="0" w:line="243" w:lineRule="auto"/>
        <w:rPr>
          <w:sz w:val="20"/>
          <w:szCs w:val="20"/>
          <w:color w:val="auto"/>
        </w:rPr>
      </w:pPr>
      <w:r>
        <w:rPr>
          <w:rFonts w:ascii="Arial" w:cs="Arial" w:eastAsia="Arial" w:hAnsi="Arial"/>
          <w:sz w:val="18"/>
          <w:szCs w:val="18"/>
          <w:color w:val="auto"/>
        </w:rPr>
        <w:t>result of a waiver by such Lender or otherwise, the circumstances entitling the Borrower to require such replacement cease to apply.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 in order for such assignment to be effective.</w:t>
      </w:r>
    </w:p>
    <w:p>
      <w:pPr>
        <w:spacing w:after="0" w:line="18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u w:val="single" w:color="auto"/>
          <w:color w:val="auto"/>
        </w:rPr>
        <w:t>Incremental Commitments</w:t>
      </w:r>
      <w:r>
        <w:rPr>
          <w:rFonts w:ascii="Arial" w:cs="Arial" w:eastAsia="Arial" w:hAnsi="Arial"/>
          <w:sz w:val="16"/>
          <w:szCs w:val="16"/>
          <w:color w:val="auto"/>
        </w:rPr>
        <w:t>.</w:t>
      </w:r>
    </w:p>
    <w:p>
      <w:pPr>
        <w:spacing w:after="0" w:line="212" w:lineRule="exact"/>
        <w:rPr>
          <w:sz w:val="20"/>
          <w:szCs w:val="20"/>
          <w:color w:val="auto"/>
        </w:rPr>
      </w:pPr>
    </w:p>
    <w:p>
      <w:pPr>
        <w:jc w:val="both"/>
        <w:ind w:firstLine="656"/>
        <w:spacing w:after="0" w:line="267" w:lineRule="auto"/>
        <w:tabs>
          <w:tab w:leader="none" w:pos="1189"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Incremental Facilities</w:t>
      </w:r>
      <w:r>
        <w:rPr>
          <w:rFonts w:ascii="Arial" w:cs="Arial" w:eastAsia="Arial" w:hAnsi="Arial"/>
          <w:sz w:val="16"/>
          <w:szCs w:val="16"/>
          <w:color w:val="auto"/>
        </w:rPr>
        <w:t xml:space="preserve">. On one or more occasions at any time after the Closing Date, the Borrower may by written notice to the Administrative Agent elect to request (A) an increase to the existing </w:t>
      </w:r>
      <w:r>
        <w:rPr>
          <w:rFonts w:ascii="Arial" w:cs="Arial" w:eastAsia="Arial" w:hAnsi="Arial"/>
          <w:sz w:val="16"/>
          <w:szCs w:val="16"/>
          <w:u w:val="single" w:color="auto"/>
          <w:color w:val="0000FF"/>
          <w:highlight w:val="lightGray"/>
        </w:rPr>
        <w:t>USD Revolving Commitments or existing Multicurrency</w:t>
      </w:r>
      <w:r>
        <w:rPr>
          <w:rFonts w:ascii="Arial" w:cs="Arial" w:eastAsia="Arial" w:hAnsi="Arial"/>
          <w:sz w:val="16"/>
          <w:szCs w:val="16"/>
          <w:color w:val="auto"/>
        </w:rPr>
        <w:t xml:space="preserve"> Revolving Commitments (any such increase, the “</w:t>
      </w:r>
      <w:r>
        <w:rPr>
          <w:rFonts w:ascii="Arial" w:cs="Arial" w:eastAsia="Arial" w:hAnsi="Arial"/>
          <w:sz w:val="16"/>
          <w:szCs w:val="16"/>
          <w:u w:val="single" w:color="auto"/>
          <w:color w:val="auto"/>
        </w:rPr>
        <w:t>New Revolving Commitments</w:t>
      </w:r>
      <w:r>
        <w:rPr>
          <w:rFonts w:ascii="Arial" w:cs="Arial" w:eastAsia="Arial" w:hAnsi="Arial"/>
          <w:sz w:val="16"/>
          <w:szCs w:val="16"/>
          <w:color w:val="auto"/>
        </w:rPr>
        <w:t>”) and/or (B) an increase to the existing Delayed Draw Term Facility and/or the establishment of one or more new term loan commitments in Dollars (the “</w:t>
      </w:r>
      <w:r>
        <w:rPr>
          <w:rFonts w:ascii="Arial" w:cs="Arial" w:eastAsia="Arial" w:hAnsi="Arial"/>
          <w:sz w:val="16"/>
          <w:szCs w:val="16"/>
          <w:u w:val="single" w:color="auto"/>
          <w:color w:val="auto"/>
        </w:rPr>
        <w:t>New Term Commitments</w:t>
      </w:r>
      <w:r>
        <w:rPr>
          <w:rFonts w:ascii="Arial" w:cs="Arial" w:eastAsia="Arial" w:hAnsi="Arial"/>
          <w:sz w:val="16"/>
          <w:szCs w:val="16"/>
          <w:color w:val="auto"/>
        </w:rPr>
        <w:t>”, together with the New Revolving Commitments, the “</w:t>
      </w:r>
      <w:r>
        <w:rPr>
          <w:rFonts w:ascii="Arial" w:cs="Arial" w:eastAsia="Arial" w:hAnsi="Arial"/>
          <w:sz w:val="16"/>
          <w:szCs w:val="16"/>
          <w:u w:val="single" w:color="auto"/>
          <w:color w:val="auto"/>
        </w:rPr>
        <w:t>Incremental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Commitments</w:t>
      </w:r>
      <w:r>
        <w:rPr>
          <w:rFonts w:ascii="Arial" w:cs="Arial" w:eastAsia="Arial" w:hAnsi="Arial"/>
          <w:sz w:val="16"/>
          <w:szCs w:val="16"/>
          <w:color w:val="auto"/>
        </w:rPr>
        <w:t>”), by up to an aggregate amount (i) with respect to the Revolving Facilit</w:t>
      </w:r>
      <w:r>
        <w:rPr>
          <w:rFonts w:ascii="Arial" w:cs="Arial" w:eastAsia="Arial" w:hAnsi="Arial"/>
          <w:sz w:val="16"/>
          <w:szCs w:val="16"/>
          <w:color w:val="FF0000"/>
          <w:strike w:val="1"/>
        </w:rPr>
        <w:t>y</w:t>
      </w:r>
      <w:r>
        <w:rPr>
          <w:rFonts w:ascii="Arial" w:cs="Arial" w:eastAsia="Arial" w:hAnsi="Arial"/>
          <w:sz w:val="16"/>
          <w:szCs w:val="16"/>
          <w:u w:val="single" w:color="auto"/>
          <w:color w:val="0000FF"/>
          <w:highlight w:val="lightGray"/>
        </w:rPr>
        <w:t>ies</w:t>
      </w:r>
      <w:r>
        <w:rPr>
          <w:rFonts w:ascii="Arial" w:cs="Arial" w:eastAsia="Arial" w:hAnsi="Arial"/>
          <w:sz w:val="16"/>
          <w:szCs w:val="16"/>
          <w:color w:val="auto"/>
        </w:rPr>
        <w:t>, such that after giving effect thereto the total aggregate amount of the Revolving Facilit</w:t>
      </w:r>
      <w:r>
        <w:rPr>
          <w:rFonts w:ascii="Arial" w:cs="Arial" w:eastAsia="Arial" w:hAnsi="Arial"/>
          <w:sz w:val="16"/>
          <w:szCs w:val="16"/>
          <w:color w:val="FF0000"/>
          <w:strike w:val="1"/>
        </w:rPr>
        <w:t>y</w:t>
      </w:r>
      <w:r>
        <w:rPr>
          <w:rFonts w:ascii="Arial" w:cs="Arial" w:eastAsia="Arial" w:hAnsi="Arial"/>
          <w:sz w:val="16"/>
          <w:szCs w:val="16"/>
          <w:u w:val="single" w:color="auto"/>
          <w:color w:val="0000FF"/>
          <w:highlight w:val="lightGray"/>
        </w:rPr>
        <w:t>ies</w:t>
      </w:r>
      <w:r>
        <w:rPr>
          <w:rFonts w:ascii="Arial" w:cs="Arial" w:eastAsia="Arial" w:hAnsi="Arial"/>
          <w:sz w:val="16"/>
          <w:szCs w:val="16"/>
          <w:color w:val="auto"/>
        </w:rPr>
        <w:t xml:space="preserve"> shall be no greater than $3,500,000,000 and (ii) with respect to the Delayed Draw Term Facility or any other New Term Commitments, such that after giving effect thereto the total aggregate amount of the Delayed Draw Term Facility and any New Term Commitments and the loans in respect thereof shall be no greater than $2,000,000,000. Each such notice shall specify the date (each, an “</w:t>
      </w:r>
      <w:r>
        <w:rPr>
          <w:rFonts w:ascii="Arial" w:cs="Arial" w:eastAsia="Arial" w:hAnsi="Arial"/>
          <w:sz w:val="16"/>
          <w:szCs w:val="16"/>
          <w:u w:val="single" w:color="auto"/>
          <w:color w:val="auto"/>
        </w:rPr>
        <w:t>Increased Amount Date</w:t>
      </w:r>
      <w:r>
        <w:rPr>
          <w:rFonts w:ascii="Arial" w:cs="Arial" w:eastAsia="Arial" w:hAnsi="Arial"/>
          <w:sz w:val="16"/>
          <w:szCs w:val="16"/>
          <w:color w:val="auto"/>
        </w:rPr>
        <w:t>”) on which the Borrower proposes that such Incremental Commitments shall be effective, which shall be a date not less than ten (10) Business Days after the date on which such notice is delivered to the Administrative Agent. With respect to any Incremental Commitments, (</w:t>
      </w:r>
      <w:r>
        <w:rPr>
          <w:rFonts w:ascii="Arial" w:cs="Arial" w:eastAsia="Arial" w:hAnsi="Arial"/>
          <w:sz w:val="16"/>
          <w:szCs w:val="16"/>
          <w:color w:val="FF0000"/>
          <w:strike w:val="1"/>
        </w:rPr>
        <w:t>x</w:t>
      </w:r>
      <w:r>
        <w:rPr>
          <w:rFonts w:ascii="Arial" w:cs="Arial" w:eastAsia="Arial" w:hAnsi="Arial"/>
          <w:sz w:val="16"/>
          <w:szCs w:val="16"/>
          <w:u w:val="single" w:color="auto"/>
          <w:color w:val="0000FF"/>
          <w:highlight w:val="lightGray"/>
        </w:rPr>
        <w:t>w</w:t>
      </w:r>
      <w:r>
        <w:rPr>
          <w:rFonts w:ascii="Arial" w:cs="Arial" w:eastAsia="Arial" w:hAnsi="Arial"/>
          <w:sz w:val="16"/>
          <w:szCs w:val="16"/>
          <w:color w:val="auto"/>
        </w:rPr>
        <w:t>) any Incremental Commitments on any Increased Amount Date shall be in the minimum aggregate amount of $25,000,000, (</w:t>
      </w:r>
      <w:r>
        <w:rPr>
          <w:rFonts w:ascii="Arial" w:cs="Arial" w:eastAsia="Arial" w:hAnsi="Arial"/>
          <w:sz w:val="16"/>
          <w:szCs w:val="16"/>
          <w:color w:val="FF0000"/>
          <w:strike w:val="1"/>
        </w:rPr>
        <w:t>y</w:t>
      </w:r>
      <w:r>
        <w:rPr>
          <w:rFonts w:ascii="Arial" w:cs="Arial" w:eastAsia="Arial" w:hAnsi="Arial"/>
          <w:sz w:val="16"/>
          <w:szCs w:val="16"/>
          <w:u w:val="single" w:color="auto"/>
          <w:color w:val="0000FF"/>
          <w:highlight w:val="lightGray"/>
        </w:rPr>
        <w:t>x</w:t>
      </w:r>
      <w:r>
        <w:rPr>
          <w:rFonts w:ascii="Arial" w:cs="Arial" w:eastAsia="Arial" w:hAnsi="Arial"/>
          <w:sz w:val="16"/>
          <w:szCs w:val="16"/>
          <w:color w:val="auto"/>
        </w:rPr>
        <w:t>) any Lender approached to provide all or a portion of the Incremental Commitments may elect or decline, in its sole discretion, to provide an Incremental Commitment</w:t>
      </w:r>
      <w:r>
        <w:rPr>
          <w:rFonts w:ascii="Arial" w:cs="Arial" w:eastAsia="Arial" w:hAnsi="Arial"/>
          <w:sz w:val="16"/>
          <w:szCs w:val="16"/>
          <w:u w:val="single" w:color="auto"/>
          <w:color w:val="0000FF"/>
          <w:highlight w:val="lightGray"/>
        </w:rPr>
        <w:t>, (y) any New Revolving Commitments in</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respect of the Multicurrency Revolving Facility may, by written notice to the Administrative Agent, result in a corresponding increase in the Alternative Currency Sublimit</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and (z) any Lender or other Person that is an Eligible Assignee (each, a “</w:t>
      </w:r>
      <w:r>
        <w:rPr>
          <w:rFonts w:ascii="Arial" w:cs="Arial" w:eastAsia="Arial" w:hAnsi="Arial"/>
          <w:sz w:val="16"/>
          <w:szCs w:val="16"/>
          <w:u w:val="single" w:color="auto"/>
          <w:color w:val="000000"/>
        </w:rPr>
        <w:t>New Revolving Lender</w:t>
      </w:r>
      <w:r>
        <w:rPr>
          <w:rFonts w:ascii="Arial" w:cs="Arial" w:eastAsia="Arial" w:hAnsi="Arial"/>
          <w:sz w:val="16"/>
          <w:szCs w:val="16"/>
          <w:color w:val="000000"/>
        </w:rPr>
        <w:t>” or “</w:t>
      </w:r>
      <w:r>
        <w:rPr>
          <w:rFonts w:ascii="Arial" w:cs="Arial" w:eastAsia="Arial" w:hAnsi="Arial"/>
          <w:sz w:val="16"/>
          <w:szCs w:val="16"/>
          <w:u w:val="single" w:color="auto"/>
          <w:color w:val="000000"/>
        </w:rPr>
        <w:t>New Term Lender</w:t>
      </w:r>
      <w:r>
        <w:rPr>
          <w:rFonts w:ascii="Arial" w:cs="Arial" w:eastAsia="Arial" w:hAnsi="Arial"/>
          <w:sz w:val="16"/>
          <w:szCs w:val="16"/>
          <w:color w:val="000000"/>
        </w:rPr>
        <w:t>,” as applicable)</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to whom any portion of such Incremental Commitment shall be allocated shall be subject to the approval of the Borrower and the Administrative Agent (such approval not to be unreasonably withheld or delayed), and, in the case of a New Revolving Commitment, the Issuing Lenders (each of which approvals shall not be unreasonably withheld), unless such New Revolving Lender is an existing Lender (other than a Defaulting Lender) with </w:t>
      </w:r>
      <w:r>
        <w:rPr>
          <w:rFonts w:ascii="Arial" w:cs="Arial" w:eastAsia="Arial" w:hAnsi="Arial"/>
          <w:sz w:val="16"/>
          <w:szCs w:val="16"/>
          <w:color w:val="FF0000"/>
          <w:strike w:val="1"/>
        </w:rPr>
        <w:t>a</w:t>
      </w:r>
      <w:r>
        <w:rPr>
          <w:rFonts w:ascii="Arial" w:cs="Arial" w:eastAsia="Arial" w:hAnsi="Arial"/>
          <w:sz w:val="16"/>
          <w:szCs w:val="16"/>
          <w:u w:val="single" w:color="auto"/>
          <w:color w:val="0000FF"/>
          <w:highlight w:val="lightGray"/>
        </w:rPr>
        <w:t>an</w:t>
      </w:r>
      <w:r>
        <w:rPr>
          <w:rFonts w:ascii="Arial" w:cs="Arial" w:eastAsia="Arial" w:hAnsi="Arial"/>
          <w:sz w:val="16"/>
          <w:szCs w:val="16"/>
          <w:color w:val="000000"/>
        </w:rPr>
        <w:t xml:space="preserve"> </w:t>
      </w:r>
      <w:r>
        <w:rPr>
          <w:rFonts w:ascii="Arial" w:cs="Arial" w:eastAsia="Arial" w:hAnsi="Arial"/>
          <w:sz w:val="16"/>
          <w:szCs w:val="16"/>
          <w:u w:val="single" w:color="auto"/>
          <w:color w:val="0000FF"/>
          <w:highlight w:val="lightGray"/>
        </w:rPr>
        <w:t>applicable</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Revolving Commitment at such time or such New Term Lender is an existing Lender or an Affiliate of an existing Lender.</w:t>
      </w:r>
    </w:p>
    <w:p>
      <w:pPr>
        <w:spacing w:after="0" w:line="176" w:lineRule="exact"/>
        <w:rPr>
          <w:rFonts w:ascii="Arial" w:cs="Arial" w:eastAsia="Arial" w:hAnsi="Arial"/>
          <w:sz w:val="16"/>
          <w:szCs w:val="16"/>
          <w:color w:val="auto"/>
        </w:rPr>
      </w:pPr>
    </w:p>
    <w:p>
      <w:pPr>
        <w:jc w:val="both"/>
        <w:ind w:firstLine="656"/>
        <w:spacing w:after="0" w:line="252" w:lineRule="auto"/>
        <w:tabs>
          <w:tab w:leader="none" w:pos="114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The terms and provisions of any New Revolving Commitments shall be identical to the existing </w:t>
      </w:r>
      <w:r>
        <w:rPr>
          <w:rFonts w:ascii="Arial" w:cs="Arial" w:eastAsia="Arial" w:hAnsi="Arial"/>
          <w:sz w:val="17"/>
          <w:szCs w:val="17"/>
          <w:u w:val="single" w:color="auto"/>
          <w:color w:val="0000FF"/>
          <w:highlight w:val="lightGray"/>
        </w:rPr>
        <w:t>applicable</w:t>
      </w:r>
      <w:r>
        <w:rPr>
          <w:rFonts w:ascii="Arial" w:cs="Arial" w:eastAsia="Arial" w:hAnsi="Arial"/>
          <w:sz w:val="17"/>
          <w:szCs w:val="17"/>
          <w:color w:val="auto"/>
        </w:rPr>
        <w:t xml:space="preserve"> Revolving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applicable commitment fee, upfront and other fees with respect to any New Revolving Commitments shall be determined by the Borrower and the applicable New Revolving Lenders and the applicable arrangement fees with respect to any New Revolving Commitments shall be determined by the Borrower and the applicable arrangers for such New Revolving Commitments. The terms and provisions of any New Term Commitments and any New Term Loans shall (a) share ratably in any prepayments of the existing Delayed Draw Term Facility, unless the Borrower and the New Term Lenders in respect of such New Term Commitments elect lesser payments and (b) other than pricing or maturity date, shall have the same terms as the Delayed Draw Term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applicable interest rate margins, arrangement fees, upfront or other fees, original issue discount and amortization (subject to the remaining terms of this proviso) with respect to any New Term Commitments shall be determined by the Borrower and the applicable New Term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New Term Commitments may contain (x) additional or more restrictive covenants that are applicable only to periods after the latest Maturity Date of any Term Loans outstanding or Revolving Commitments in effect immediately prior to giving effect to such New Term Commitments and (y) other terms that are reasonably acceptable to the Administrative Agent.</w:t>
      </w:r>
    </w:p>
    <w:p>
      <w:pPr>
        <w:spacing w:after="0" w:line="185" w:lineRule="exact"/>
        <w:rPr>
          <w:rFonts w:ascii="Arial" w:cs="Arial" w:eastAsia="Arial" w:hAnsi="Arial"/>
          <w:sz w:val="17"/>
          <w:szCs w:val="17"/>
          <w:color w:val="auto"/>
        </w:rPr>
      </w:pPr>
    </w:p>
    <w:p>
      <w:pPr>
        <w:jc w:val="both"/>
        <w:ind w:firstLine="656"/>
        <w:spacing w:after="0" w:line="276" w:lineRule="auto"/>
        <w:tabs>
          <w:tab w:leader="none" w:pos="106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effectiveness of any Incremental Commitments and the availability of any borrowings under any such Incremental Commitments shall be subject to the satisfaction of the following conditions precedent: (x) after giving pro forma effect to such Incremental Commitments and borrowings and the use of proceeds thereof, no Default or Event of Default shall exist; (y) the representations and warranties made or deemed made by the Borrower in any Loan Document shall be true and correct in all material respects (other than any representation or warranty qualified as to “materiality”, “Material Adverse Effect” or similar language, which shall be true and correct in all respects) on the effective date of such Incremental Commitments except to the extent that such representations and warranties expressly relate solely to an earlier date (in which case such representations and warranties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21" w:right="339" w:bottom="1440" w:gutter="0" w:footer="0" w:header="0"/>
        </w:sectPr>
      </w:pPr>
    </w:p>
    <w:bookmarkStart w:id="170" w:name="page171"/>
    <w:bookmarkEnd w:id="170"/>
    <w:p>
      <w:pPr>
        <w:jc w:val="both"/>
        <w:spacing w:after="0" w:line="253" w:lineRule="auto"/>
        <w:rPr>
          <w:sz w:val="20"/>
          <w:szCs w:val="20"/>
          <w:color w:val="auto"/>
        </w:rPr>
      </w:pPr>
      <w:r>
        <w:rPr>
          <w:rFonts w:ascii="Arial" w:cs="Arial" w:eastAsia="Arial" w:hAnsi="Arial"/>
          <w:sz w:val="17"/>
          <w:szCs w:val="17"/>
          <w:color w:val="auto"/>
        </w:rPr>
        <w:t xml:space="preserve">been true and correct in all material respects on and as of such earlier date (other than any representation or warranty qualified as to “materiality”, “Material Adverse Effect” or similar language, which shall be true and correct in all respects)); and (z) the Administrative Agent shall have received each of the following, in form and substance reasonably satisfactory to the Administrative Agent: (i) if not previously delivered to the Administrative Agent, copies certified by the Secretary or Assistant Secretary of all corporate or other necessary action taken by the Borrower to authorize such Incremental Commitments; (ii) if requested by the Administrative Agent, a customary opinion of counsel to the Borrower (which may be in substantially the same form as delivered on the Closing Date), and addressed to the Administrative Agent and the Lenders and (iii) if requested by any Lender, new Notes executed by the Borrower, payable to any new Lender, and replacement Notes executed by the Borrower, payable to any existing Lenders; </w:t>
      </w:r>
      <w:r>
        <w:rPr>
          <w:rFonts w:ascii="Arial" w:cs="Arial" w:eastAsia="Arial" w:hAnsi="Arial"/>
          <w:sz w:val="17"/>
          <w:szCs w:val="17"/>
          <w:u w:val="single" w:color="auto"/>
          <w:color w:val="auto"/>
        </w:rPr>
        <w:t>provided</w:t>
      </w:r>
      <w:r>
        <w:rPr>
          <w:rFonts w:ascii="Arial" w:cs="Arial" w:eastAsia="Arial" w:hAnsi="Arial"/>
          <w:sz w:val="17"/>
          <w:szCs w:val="17"/>
          <w:color w:val="auto"/>
        </w:rPr>
        <w:t>, that, such Lender shall promptly return any existing Notes held by such Lender to the Borrower (or, if lost, destroyed or mutilated, if requested by the Borrower, a lost note affidavit in customary form and including a customary indemnity).</w:t>
      </w:r>
    </w:p>
    <w:p>
      <w:pPr>
        <w:spacing w:after="0" w:line="184" w:lineRule="exact"/>
        <w:rPr>
          <w:sz w:val="20"/>
          <w:szCs w:val="20"/>
          <w:color w:val="auto"/>
        </w:rPr>
      </w:pPr>
    </w:p>
    <w:p>
      <w:pPr>
        <w:jc w:val="both"/>
        <w:ind w:firstLine="656"/>
        <w:spacing w:after="0" w:line="238" w:lineRule="auto"/>
        <w:tabs>
          <w:tab w:leader="none" w:pos="107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On any Increased Amount Date on which New Revolving Commitments are effected, subject to the satisfaction of the foregoing terms and conditions, (a) each of the </w:t>
      </w:r>
      <w:r>
        <w:rPr>
          <w:rFonts w:ascii="Arial" w:cs="Arial" w:eastAsia="Arial" w:hAnsi="Arial"/>
          <w:sz w:val="18"/>
          <w:szCs w:val="18"/>
          <w:u w:val="single" w:color="auto"/>
          <w:color w:val="0000FF"/>
          <w:highlight w:val="lightGray"/>
        </w:rPr>
        <w:t>applicable</w:t>
      </w:r>
      <w:r>
        <w:rPr>
          <w:rFonts w:ascii="Arial" w:cs="Arial" w:eastAsia="Arial" w:hAnsi="Arial"/>
          <w:sz w:val="18"/>
          <w:szCs w:val="18"/>
          <w:color w:val="auto"/>
        </w:rPr>
        <w:t xml:space="preserve"> Revolving Lenders shall assign to each of the New Revolving Lenders, and each of the New Revolving Lenders shall purchase from each of the </w:t>
      </w:r>
      <w:r>
        <w:rPr>
          <w:rFonts w:ascii="Arial" w:cs="Arial" w:eastAsia="Arial" w:hAnsi="Arial"/>
          <w:sz w:val="18"/>
          <w:szCs w:val="18"/>
          <w:u w:val="single" w:color="auto"/>
          <w:color w:val="0000FF"/>
          <w:highlight w:val="lightGray"/>
        </w:rPr>
        <w:t>applicable</w:t>
      </w:r>
      <w:r>
        <w:rPr>
          <w:rFonts w:ascii="Arial" w:cs="Arial" w:eastAsia="Arial" w:hAnsi="Arial"/>
          <w:sz w:val="18"/>
          <w:szCs w:val="18"/>
          <w:color w:val="auto"/>
        </w:rPr>
        <w:t xml:space="preserve"> Revolving Lenders, at the principal amount thereof (together with accrued interest), such interests in the </w:t>
      </w:r>
      <w:r>
        <w:rPr>
          <w:rFonts w:ascii="Arial" w:cs="Arial" w:eastAsia="Arial" w:hAnsi="Arial"/>
          <w:sz w:val="18"/>
          <w:szCs w:val="18"/>
          <w:u w:val="single" w:color="auto"/>
          <w:color w:val="0000FF"/>
          <w:highlight w:val="lightGray"/>
        </w:rPr>
        <w:t>applicable</w:t>
      </w:r>
      <w:r>
        <w:rPr>
          <w:rFonts w:ascii="Arial" w:cs="Arial" w:eastAsia="Arial" w:hAnsi="Arial"/>
          <w:sz w:val="18"/>
          <w:szCs w:val="18"/>
          <w:color w:val="auto"/>
        </w:rPr>
        <w:t xml:space="preserve"> Revolving Loans outstanding on such Increased Amount Date as shall be necessary in order that, after giving effect to all such assignments and purchases, such </w:t>
      </w:r>
      <w:r>
        <w:rPr>
          <w:rFonts w:ascii="Arial" w:cs="Arial" w:eastAsia="Arial" w:hAnsi="Arial"/>
          <w:sz w:val="18"/>
          <w:szCs w:val="18"/>
          <w:u w:val="single" w:color="auto"/>
          <w:color w:val="0000FF"/>
          <w:highlight w:val="lightGray"/>
        </w:rPr>
        <w:t>applicable</w:t>
      </w:r>
      <w:r>
        <w:rPr>
          <w:rFonts w:ascii="Arial" w:cs="Arial" w:eastAsia="Arial" w:hAnsi="Arial"/>
          <w:sz w:val="18"/>
          <w:szCs w:val="18"/>
          <w:color w:val="auto"/>
        </w:rPr>
        <w:t xml:space="preserve"> Revolving Loans will be held by </w:t>
      </w:r>
      <w:r>
        <w:rPr>
          <w:rFonts w:ascii="Arial" w:cs="Arial" w:eastAsia="Arial" w:hAnsi="Arial"/>
          <w:sz w:val="18"/>
          <w:szCs w:val="18"/>
          <w:u w:val="single" w:color="auto"/>
          <w:color w:val="0000FF"/>
          <w:highlight w:val="lightGray"/>
        </w:rPr>
        <w:t>the applicable</w:t>
      </w:r>
      <w:r>
        <w:rPr>
          <w:rFonts w:ascii="Arial" w:cs="Arial" w:eastAsia="Arial" w:hAnsi="Arial"/>
          <w:sz w:val="18"/>
          <w:szCs w:val="18"/>
          <w:color w:val="auto"/>
        </w:rPr>
        <w:t xml:space="preserve"> existing Revolving Lenders and </w:t>
      </w:r>
      <w:r>
        <w:rPr>
          <w:rFonts w:ascii="Arial" w:cs="Arial" w:eastAsia="Arial" w:hAnsi="Arial"/>
          <w:sz w:val="18"/>
          <w:szCs w:val="18"/>
          <w:u w:val="single" w:color="auto"/>
          <w:color w:val="0000FF"/>
          <w:highlight w:val="lightGray"/>
        </w:rPr>
        <w:t>the</w:t>
      </w:r>
      <w:r>
        <w:rPr>
          <w:rFonts w:ascii="Arial" w:cs="Arial" w:eastAsia="Arial" w:hAnsi="Arial"/>
          <w:sz w:val="18"/>
          <w:szCs w:val="18"/>
          <w:color w:val="auto"/>
        </w:rPr>
        <w:t xml:space="preserve"> New Revolving Lenders ratably in accordance with their </w:t>
      </w:r>
      <w:r>
        <w:rPr>
          <w:rFonts w:ascii="Arial" w:cs="Arial" w:eastAsia="Arial" w:hAnsi="Arial"/>
          <w:sz w:val="18"/>
          <w:szCs w:val="18"/>
          <w:u w:val="single" w:color="auto"/>
          <w:color w:val="0000FF"/>
          <w:highlight w:val="lightGray"/>
        </w:rPr>
        <w:t>applicable</w:t>
      </w:r>
      <w:r>
        <w:rPr>
          <w:rFonts w:ascii="Arial" w:cs="Arial" w:eastAsia="Arial" w:hAnsi="Arial"/>
          <w:sz w:val="18"/>
          <w:szCs w:val="18"/>
          <w:color w:val="auto"/>
        </w:rPr>
        <w:t xml:space="preserve"> Revolving Commitments after giving effect to the addition of such New Revolving Commitments to the </w:t>
      </w:r>
      <w:r>
        <w:rPr>
          <w:rFonts w:ascii="Arial" w:cs="Arial" w:eastAsia="Arial" w:hAnsi="Arial"/>
          <w:sz w:val="18"/>
          <w:szCs w:val="18"/>
          <w:u w:val="single" w:color="auto"/>
          <w:color w:val="0000FF"/>
          <w:highlight w:val="lightGray"/>
        </w:rPr>
        <w:t>applicable</w:t>
      </w:r>
      <w:r>
        <w:rPr>
          <w:rFonts w:ascii="Arial" w:cs="Arial" w:eastAsia="Arial" w:hAnsi="Arial"/>
          <w:sz w:val="18"/>
          <w:szCs w:val="18"/>
          <w:color w:val="auto"/>
        </w:rPr>
        <w:t xml:space="preserve"> Revolving Commitments, (b) each New Revolving Commitment shall be deemed for all purposes a Revolving Commitment and each Loan made thereunder shall be deemed, for all purposes, a Revolving Loan and (c) each New Revolving Lender shall become a Lender with respect to its New Revolving Commitment and all matters relating thereto.</w:t>
      </w:r>
    </w:p>
    <w:p>
      <w:pPr>
        <w:spacing w:after="0" w:line="191" w:lineRule="exact"/>
        <w:rPr>
          <w:rFonts w:ascii="Arial" w:cs="Arial" w:eastAsia="Arial" w:hAnsi="Arial"/>
          <w:sz w:val="18"/>
          <w:szCs w:val="18"/>
          <w:color w:val="auto"/>
        </w:rPr>
      </w:pPr>
    </w:p>
    <w:p>
      <w:pPr>
        <w:jc w:val="both"/>
        <w:ind w:firstLine="656"/>
        <w:spacing w:after="0" w:line="294" w:lineRule="auto"/>
        <w:tabs>
          <w:tab w:leader="none" w:pos="107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On any Increased Amount Date on which any New Term Commitments are effected, subject to the satisfaction of the foregoing terms and conditions, (i) each New Term Lender shall make a Loan to the Borrower (a “</w:t>
      </w:r>
      <w:r>
        <w:rPr>
          <w:rFonts w:ascii="Arial" w:cs="Arial" w:eastAsia="Arial" w:hAnsi="Arial"/>
          <w:sz w:val="16"/>
          <w:szCs w:val="16"/>
          <w:u w:val="single" w:color="auto"/>
          <w:color w:val="auto"/>
        </w:rPr>
        <w:t>New Term Loan</w:t>
      </w:r>
      <w:r>
        <w:rPr>
          <w:rFonts w:ascii="Arial" w:cs="Arial" w:eastAsia="Arial" w:hAnsi="Arial"/>
          <w:sz w:val="16"/>
          <w:szCs w:val="16"/>
          <w:color w:val="auto"/>
        </w:rPr>
        <w:t>”) in an amount equal to its New Term Commitment, and (ii) each New Term Lender shall become a Lender hereunder with respect to the New Term Commitment and the New Term Loans made pursuant thereto.</w:t>
      </w:r>
    </w:p>
    <w:p>
      <w:pPr>
        <w:spacing w:after="0" w:line="147" w:lineRule="exact"/>
        <w:rPr>
          <w:rFonts w:ascii="Arial" w:cs="Arial" w:eastAsia="Arial" w:hAnsi="Arial"/>
          <w:sz w:val="16"/>
          <w:szCs w:val="16"/>
          <w:color w:val="auto"/>
        </w:rPr>
      </w:pPr>
    </w:p>
    <w:p>
      <w:pPr>
        <w:jc w:val="both"/>
        <w:ind w:firstLine="656"/>
        <w:spacing w:after="0" w:line="243" w:lineRule="auto"/>
        <w:tabs>
          <w:tab w:leader="none" w:pos="105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notify the Lenders promptly upon receipt of the Borrower’s notice of each Increased Amount Date and in respect thereof (y) the New Revolving Commitments and the New Revolving Lenders or the New Term Commitments and the New Term Lenders, as applicable, and (z) in the case of each notice to any </w:t>
      </w:r>
      <w:r>
        <w:rPr>
          <w:rFonts w:ascii="Arial" w:cs="Arial" w:eastAsia="Arial" w:hAnsi="Arial"/>
          <w:sz w:val="18"/>
          <w:szCs w:val="18"/>
          <w:u w:val="single" w:color="auto"/>
          <w:color w:val="0000FF"/>
          <w:highlight w:val="lightGray"/>
        </w:rPr>
        <w:t>applicable</w:t>
      </w:r>
      <w:r>
        <w:rPr>
          <w:rFonts w:ascii="Arial" w:cs="Arial" w:eastAsia="Arial" w:hAnsi="Arial"/>
          <w:sz w:val="18"/>
          <w:szCs w:val="18"/>
          <w:color w:val="auto"/>
        </w:rPr>
        <w:t xml:space="preserve"> Revolving Lender, the respective interests in such </w:t>
      </w:r>
      <w:r>
        <w:rPr>
          <w:rFonts w:ascii="Arial" w:cs="Arial" w:eastAsia="Arial" w:hAnsi="Arial"/>
          <w:sz w:val="18"/>
          <w:szCs w:val="18"/>
          <w:u w:val="single" w:color="auto"/>
          <w:color w:val="0000FF"/>
          <w:highlight w:val="lightGray"/>
        </w:rPr>
        <w:t>applicable</w:t>
      </w:r>
      <w:r>
        <w:rPr>
          <w:rFonts w:ascii="Arial" w:cs="Arial" w:eastAsia="Arial" w:hAnsi="Arial"/>
          <w:sz w:val="18"/>
          <w:szCs w:val="18"/>
          <w:color w:val="auto"/>
        </w:rPr>
        <w:t xml:space="preserve"> Revolving Lender’s Revolving Loans, in each case subject to the assignments contemplated by this paragraph.</w:t>
      </w:r>
    </w:p>
    <w:p>
      <w:pPr>
        <w:spacing w:after="0" w:line="187" w:lineRule="exact"/>
        <w:rPr>
          <w:rFonts w:ascii="Arial" w:cs="Arial" w:eastAsia="Arial" w:hAnsi="Arial"/>
          <w:sz w:val="18"/>
          <w:szCs w:val="18"/>
          <w:color w:val="auto"/>
        </w:rPr>
      </w:pPr>
    </w:p>
    <w:p>
      <w:pPr>
        <w:ind w:firstLine="656"/>
        <w:spacing w:after="0" w:line="261" w:lineRule="auto"/>
        <w:tabs>
          <w:tab w:leader="none" w:pos="106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fees payable by the Borrower upon any such Incremental Commitments shall be agreed upon by the Borrower and the applicable New Revolving Lenders and/or New Term Lenders at the time of such increase.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0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The Incremental Commitments shall be evidenced pursuant to one or more Additional Credit Extension Amendments executed and delivered by the Borrower, the New Revolving Lenders or New Term Lenders, as applicable, and the Administrative Agent, and each of which shall be recorded in the Register. Each Additional Credit Extension Amendment may, without the consent of any other Lenders, effect such amendments to this Agreement and the other Loan Documents as may be necessary or appropriate, in the opinion of the Administrative Agent, to effect the provisions of this </w:t>
      </w:r>
      <w:r>
        <w:rPr>
          <w:rFonts w:ascii="Arial" w:cs="Arial" w:eastAsia="Arial" w:hAnsi="Arial"/>
          <w:sz w:val="17"/>
          <w:szCs w:val="17"/>
          <w:u w:val="single" w:color="auto"/>
          <w:color w:val="auto"/>
        </w:rPr>
        <w:t>Section 2.21</w:t>
      </w:r>
      <w:r>
        <w:rPr>
          <w:rFonts w:ascii="Arial" w:cs="Arial" w:eastAsia="Arial" w:hAnsi="Arial"/>
          <w:sz w:val="17"/>
          <w:szCs w:val="17"/>
          <w:color w:val="auto"/>
        </w:rPr>
        <w:t>, subject to the approval of the Borrower (which approval shall not be unreasonably withheld or delayed).</w:t>
      </w:r>
    </w:p>
    <w:p>
      <w:pPr>
        <w:spacing w:after="0" w:line="174"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71" w:lineRule="exact"/>
        <w:rPr>
          <w:sz w:val="20"/>
          <w:szCs w:val="20"/>
          <w:color w:val="auto"/>
        </w:rPr>
      </w:pPr>
    </w:p>
    <w:p>
      <w:pPr>
        <w:ind w:firstLine="656"/>
        <w:spacing w:after="0" w:line="261" w:lineRule="auto"/>
        <w:tabs>
          <w:tab w:leader="none" w:pos="104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fees shall cease to accrue on the unused portion of the </w:t>
      </w:r>
      <w:r>
        <w:rPr>
          <w:rFonts w:ascii="Arial" w:cs="Arial" w:eastAsia="Arial" w:hAnsi="Arial"/>
          <w:sz w:val="18"/>
          <w:szCs w:val="18"/>
          <w:u w:val="single" w:color="auto"/>
          <w:color w:val="0000FF"/>
          <w:highlight w:val="lightGray"/>
        </w:rPr>
        <w:t>applicable</w:t>
      </w:r>
      <w:r>
        <w:rPr>
          <w:rFonts w:ascii="Arial" w:cs="Arial" w:eastAsia="Arial" w:hAnsi="Arial"/>
          <w:sz w:val="18"/>
          <w:szCs w:val="18"/>
          <w:color w:val="auto"/>
        </w:rPr>
        <w:t xml:space="preserve"> Revolving Commitment of such Defaulting Lender pursuant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and the Available Delayed Draw Term Commitment of such Defaulting Lender pursuant to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656"/>
        <w:spacing w:after="0" w:line="261" w:lineRule="auto"/>
        <w:tabs>
          <w:tab w:leader="none" w:pos="112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Commitments, Delayed Draw Term Loans, and Revolving Extensions of Credit of such Defaulting Lender shall not be included in determining whether all Lenders, the Majority Facility Lenders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21" w:right="339" w:bottom="1440" w:gutter="0" w:footer="0" w:header="0"/>
        </w:sectPr>
      </w:pPr>
    </w:p>
    <w:bookmarkStart w:id="171" w:name="page172"/>
    <w:bookmarkEnd w:id="171"/>
    <w:p>
      <w:pPr>
        <w:jc w:val="both"/>
        <w:spacing w:after="0" w:line="259" w:lineRule="auto"/>
        <w:rPr>
          <w:sz w:val="20"/>
          <w:szCs w:val="20"/>
          <w:color w:val="auto"/>
        </w:rPr>
      </w:pPr>
      <w:r>
        <w:rPr>
          <w:rFonts w:ascii="Arial" w:cs="Arial" w:eastAsia="Arial" w:hAnsi="Arial"/>
          <w:sz w:val="17"/>
          <w:szCs w:val="17"/>
          <w:color w:val="auto"/>
        </w:rPr>
        <w:t xml:space="preserve">Required Lenders have taken or may take any action hereunder (including any consent to any amendment or waiver pursuant to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waiver, amendment or modification that increases the Commitment of a Defaulting Lender, forgives all or any portion of the principal amount of any Loan or Reimbursement Obligation or interest thereon owing to a Defaulting Lender, reduces the Applicable Margin on the underlying interest rate options owing to a Defaulting Lender or extends the </w:t>
      </w:r>
      <w:r>
        <w:rPr>
          <w:rFonts w:ascii="Arial" w:cs="Arial" w:eastAsia="Arial" w:hAnsi="Arial"/>
          <w:sz w:val="17"/>
          <w:szCs w:val="17"/>
          <w:u w:val="single" w:color="auto"/>
          <w:color w:val="0000FF"/>
          <w:highlight w:val="lightGray"/>
        </w:rPr>
        <w:t>Multicurrency Revolving Maturity Date, USD</w:t>
      </w:r>
      <w:r>
        <w:rPr>
          <w:rFonts w:ascii="Arial" w:cs="Arial" w:eastAsia="Arial" w:hAnsi="Arial"/>
          <w:sz w:val="17"/>
          <w:szCs w:val="17"/>
          <w:color w:val="auto"/>
        </w:rPr>
        <w:t xml:space="preserve"> Revolving Maturity Date or the Delayed Draw Term Maturity Date applicable to such Defaulting Lender shall require the consent of such Defaulting Lender;</w:t>
      </w:r>
    </w:p>
    <w:p>
      <w:pPr>
        <w:spacing w:after="0" w:line="174" w:lineRule="exact"/>
        <w:rPr>
          <w:sz w:val="20"/>
          <w:szCs w:val="20"/>
          <w:color w:val="auto"/>
        </w:rPr>
      </w:pPr>
    </w:p>
    <w:p>
      <w:pPr>
        <w:ind w:left="1040" w:hanging="384"/>
        <w:spacing w:after="0"/>
        <w:tabs>
          <w:tab w:leader="none" w:pos="10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if any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L/C Exposure exists with respect to a Lender at the time such Lender becomes a Defaulting Lender then:</w:t>
      </w:r>
    </w:p>
    <w:p>
      <w:pPr>
        <w:spacing w:after="0" w:line="211" w:lineRule="exact"/>
        <w:rPr>
          <w:rFonts w:ascii="Arial" w:cs="Arial" w:eastAsia="Arial" w:hAnsi="Arial"/>
          <w:sz w:val="18"/>
          <w:szCs w:val="18"/>
          <w:color w:val="auto"/>
        </w:rPr>
      </w:pPr>
    </w:p>
    <w:p>
      <w:pPr>
        <w:jc w:val="both"/>
        <w:ind w:left="660" w:firstLine="644"/>
        <w:spacing w:after="0" w:line="259" w:lineRule="auto"/>
        <w:tabs>
          <w:tab w:leader="none" w:pos="1674" w:val="left"/>
        </w:tabs>
        <w:numPr>
          <w:ilvl w:val="1"/>
          <w:numId w:val="104"/>
        </w:numPr>
        <w:rPr>
          <w:rFonts w:ascii="Arial" w:cs="Arial" w:eastAsia="Arial" w:hAnsi="Arial"/>
          <w:sz w:val="17"/>
          <w:szCs w:val="17"/>
          <w:color w:val="auto"/>
        </w:rPr>
      </w:pPr>
      <w:r>
        <w:rPr>
          <w:rFonts w:ascii="Arial" w:cs="Arial" w:eastAsia="Arial" w:hAnsi="Arial"/>
          <w:sz w:val="17"/>
          <w:szCs w:val="17"/>
          <w:color w:val="auto"/>
        </w:rPr>
        <w:t xml:space="preserve">all or any part of such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L/C Exposure shall be reallocated among the non-Defaulting Lenders in accordance with their respective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Percentage</w:t>
      </w:r>
      <w:r>
        <w:rPr>
          <w:rFonts w:ascii="Arial" w:cs="Arial" w:eastAsia="Arial" w:hAnsi="Arial"/>
          <w:sz w:val="17"/>
          <w:szCs w:val="17"/>
          <w:color w:val="FF0000"/>
          <w:strike w:val="1"/>
        </w:rPr>
        <w:t>s</w:t>
      </w:r>
      <w:r>
        <w:rPr>
          <w:rFonts w:ascii="Arial" w:cs="Arial" w:eastAsia="Arial" w:hAnsi="Arial"/>
          <w:sz w:val="17"/>
          <w:szCs w:val="17"/>
          <w:color w:val="auto"/>
        </w:rPr>
        <w:t xml:space="preserve"> but only to the extent (x) the sum of all non-Defaulting Lenders’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Extensions of Credit,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Defaulting Lender’s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L/C Exposure does not exceed the total of all non-Defaulting Lenders’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Commitments, (y) the sum of each non-Defaulting Lender’s</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Extensions of Credit would not</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exceed its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Commitment and (z) the conditions set forth in </w:t>
      </w:r>
      <w:r>
        <w:rPr>
          <w:rFonts w:ascii="Arial" w:cs="Arial" w:eastAsia="Arial" w:hAnsi="Arial"/>
          <w:sz w:val="17"/>
          <w:szCs w:val="17"/>
          <w:u w:val="single" w:color="auto"/>
          <w:color w:val="000000"/>
        </w:rPr>
        <w:t>Section 5.2</w:t>
      </w:r>
      <w:r>
        <w:rPr>
          <w:rFonts w:ascii="Arial" w:cs="Arial" w:eastAsia="Arial" w:hAnsi="Arial"/>
          <w:sz w:val="17"/>
          <w:szCs w:val="17"/>
          <w:color w:val="000000"/>
        </w:rPr>
        <w:t xml:space="preserve"> are satisfied at such time; and</w:t>
      </w:r>
    </w:p>
    <w:p>
      <w:pPr>
        <w:spacing w:after="0" w:line="173" w:lineRule="exact"/>
        <w:rPr>
          <w:rFonts w:ascii="Arial" w:cs="Arial" w:eastAsia="Arial" w:hAnsi="Arial"/>
          <w:sz w:val="17"/>
          <w:szCs w:val="17"/>
          <w:color w:val="auto"/>
        </w:rPr>
      </w:pPr>
    </w:p>
    <w:p>
      <w:pPr>
        <w:jc w:val="both"/>
        <w:ind w:left="660" w:firstLine="644"/>
        <w:spacing w:after="0" w:line="243" w:lineRule="auto"/>
        <w:tabs>
          <w:tab w:leader="none" w:pos="181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if the reallocation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cannot, or can only partially, be effected, the Borrower shall, within ten (10) Business Days following notice by the Administrative Agent, cash collateralize such Defaulting Lender’s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L/C Exposure (after giving effect to any partial reallocation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by depositing amounts into the collateral account in accordance with the procedures set forth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for so long as such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L/C Exposure is outstanding;</w:t>
      </w:r>
    </w:p>
    <w:p>
      <w:pPr>
        <w:spacing w:after="0" w:line="187" w:lineRule="exact"/>
        <w:rPr>
          <w:rFonts w:ascii="Arial" w:cs="Arial" w:eastAsia="Arial" w:hAnsi="Arial"/>
          <w:sz w:val="18"/>
          <w:szCs w:val="18"/>
          <w:color w:val="auto"/>
        </w:rPr>
      </w:pPr>
    </w:p>
    <w:p>
      <w:pPr>
        <w:jc w:val="both"/>
        <w:ind w:left="660" w:firstLine="644"/>
        <w:spacing w:after="0" w:line="270" w:lineRule="auto"/>
        <w:tabs>
          <w:tab w:leader="none" w:pos="1862" w:val="left"/>
        </w:tabs>
        <w:numPr>
          <w:ilvl w:val="1"/>
          <w:numId w:val="104"/>
        </w:numPr>
        <w:rPr>
          <w:rFonts w:ascii="Arial" w:cs="Arial" w:eastAsia="Arial" w:hAnsi="Arial"/>
          <w:sz w:val="17"/>
          <w:szCs w:val="17"/>
          <w:color w:val="auto"/>
        </w:rPr>
      </w:pPr>
      <w:r>
        <w:rPr>
          <w:rFonts w:ascii="Arial" w:cs="Arial" w:eastAsia="Arial" w:hAnsi="Arial"/>
          <w:sz w:val="17"/>
          <w:szCs w:val="17"/>
          <w:color w:val="auto"/>
        </w:rPr>
        <w:t xml:space="preserve">if the Borrower cash collateralizes any portion of such Defaulting Lender’s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L/C Exposure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2.22(c)</w:t>
      </w:r>
      <w:r>
        <w:rPr>
          <w:rFonts w:ascii="Arial" w:cs="Arial" w:eastAsia="Arial" w:hAnsi="Arial"/>
          <w:sz w:val="17"/>
          <w:szCs w:val="17"/>
          <w:color w:val="auto"/>
        </w:rPr>
        <w:t xml:space="preserve">, the Borrower shall not be required to pay any fees to such Defaulting Lender pursuant to </w:t>
      </w:r>
      <w:r>
        <w:rPr>
          <w:rFonts w:ascii="Arial" w:cs="Arial" w:eastAsia="Arial" w:hAnsi="Arial"/>
          <w:sz w:val="17"/>
          <w:szCs w:val="17"/>
          <w:u w:val="single" w:color="auto"/>
          <w:color w:val="auto"/>
        </w:rPr>
        <w:t>Section 3.3(a)</w:t>
      </w:r>
      <w:r>
        <w:rPr>
          <w:rFonts w:ascii="Arial" w:cs="Arial" w:eastAsia="Arial" w:hAnsi="Arial"/>
          <w:sz w:val="17"/>
          <w:szCs w:val="17"/>
          <w:color w:val="auto"/>
        </w:rPr>
        <w:t xml:space="preserve"> with respect to such Defaulting Lender’s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L/C Exposure during the period such Defaulting Lender’s L/C Exposure is cash collateralized;</w:t>
      </w:r>
    </w:p>
    <w:p>
      <w:pPr>
        <w:spacing w:after="0" w:line="163" w:lineRule="exact"/>
        <w:rPr>
          <w:rFonts w:ascii="Arial" w:cs="Arial" w:eastAsia="Arial" w:hAnsi="Arial"/>
          <w:sz w:val="17"/>
          <w:szCs w:val="17"/>
          <w:color w:val="auto"/>
        </w:rPr>
      </w:pPr>
    </w:p>
    <w:p>
      <w:pPr>
        <w:jc w:val="both"/>
        <w:ind w:left="660" w:right="20" w:firstLine="644"/>
        <w:spacing w:after="0" w:line="248" w:lineRule="auto"/>
        <w:tabs>
          <w:tab w:leader="none" w:pos="177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if the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L/C Exposure of the non-Defaulting Lenders is reallocated pursuant to </w:t>
      </w:r>
      <w:r>
        <w:rPr>
          <w:rFonts w:ascii="Arial" w:cs="Arial" w:eastAsia="Arial" w:hAnsi="Arial"/>
          <w:sz w:val="18"/>
          <w:szCs w:val="18"/>
          <w:u w:val="single" w:color="auto"/>
          <w:color w:val="auto"/>
        </w:rPr>
        <w:t>Section 2.22(c)</w:t>
      </w:r>
      <w:r>
        <w:rPr>
          <w:rFonts w:ascii="Arial" w:cs="Arial" w:eastAsia="Arial" w:hAnsi="Arial"/>
          <w:sz w:val="18"/>
          <w:szCs w:val="18"/>
          <w:color w:val="auto"/>
        </w:rPr>
        <w:t xml:space="preserve">, then the fees payable to the Lenders pursuant to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shall be adjusted in accordance with such non-Defaulting Lenders’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Percentages; or</w:t>
      </w:r>
    </w:p>
    <w:p>
      <w:pPr>
        <w:spacing w:after="0" w:line="181" w:lineRule="exact"/>
        <w:rPr>
          <w:rFonts w:ascii="Arial" w:cs="Arial" w:eastAsia="Arial" w:hAnsi="Arial"/>
          <w:sz w:val="18"/>
          <w:szCs w:val="18"/>
          <w:color w:val="auto"/>
        </w:rPr>
      </w:pPr>
    </w:p>
    <w:p>
      <w:pPr>
        <w:jc w:val="both"/>
        <w:ind w:left="660" w:firstLine="644"/>
        <w:spacing w:after="0" w:line="243" w:lineRule="auto"/>
        <w:tabs>
          <w:tab w:leader="none" w:pos="170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if any Defaulting Lender’s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L/C Exposure is neither cash collateralized nor reallocated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then, without prejudice to any rights or remedies of any Issuing Lender or any Lender hereunder, all letter of credit fees payable under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with respect to such Defaulting Lender’s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L/C Exposure shall be payable to the Issuing Lenders until such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L/C Exposure is cash collateralized and/or reallocated;</w:t>
      </w:r>
    </w:p>
    <w:p>
      <w:pPr>
        <w:spacing w:after="0" w:line="187" w:lineRule="exact"/>
        <w:rPr>
          <w:rFonts w:ascii="Arial" w:cs="Arial" w:eastAsia="Arial" w:hAnsi="Arial"/>
          <w:sz w:val="18"/>
          <w:szCs w:val="18"/>
          <w:color w:val="auto"/>
        </w:rPr>
      </w:pPr>
    </w:p>
    <w:p>
      <w:pPr>
        <w:ind w:left="1040" w:hanging="384"/>
        <w:spacing w:after="0"/>
        <w:tabs>
          <w:tab w:leader="none" w:pos="1040" w:val="left"/>
        </w:tabs>
        <w:numPr>
          <w:ilvl w:val="0"/>
          <w:numId w:val="104"/>
        </w:numPr>
        <w:rPr>
          <w:rFonts w:ascii="Arial" w:cs="Arial" w:eastAsia="Arial" w:hAnsi="Arial"/>
          <w:sz w:val="18"/>
          <w:szCs w:val="18"/>
          <w:u w:val="single" w:color="auto"/>
          <w:color w:val="0000FF"/>
          <w:highlight w:val="lightGray"/>
        </w:rPr>
      </w:pPr>
      <w:r>
        <w:rPr>
          <w:rFonts w:ascii="Arial" w:cs="Arial" w:eastAsia="Arial" w:hAnsi="Arial"/>
          <w:sz w:val="18"/>
          <w:szCs w:val="18"/>
          <w:u w:val="single" w:color="auto"/>
          <w:color w:val="0000FF"/>
          <w:highlight w:val="lightGray"/>
        </w:rPr>
        <w:t>if any USD L/C Exposure exists with respect to a Lender at the time such Lender becomes a Defaulting Lender then:</w:t>
      </w:r>
    </w:p>
    <w:p>
      <w:pPr>
        <w:spacing w:after="0" w:line="211" w:lineRule="exact"/>
        <w:rPr>
          <w:rFonts w:ascii="Arial" w:cs="Arial" w:eastAsia="Arial" w:hAnsi="Arial"/>
          <w:sz w:val="18"/>
          <w:szCs w:val="18"/>
          <w:u w:val="single" w:color="auto"/>
          <w:color w:val="0000FF"/>
          <w:highlight w:val="lightGray"/>
        </w:rPr>
      </w:pPr>
    </w:p>
    <w:p>
      <w:pPr>
        <w:jc w:val="both"/>
        <w:ind w:left="660" w:firstLine="644"/>
        <w:spacing w:after="0" w:line="241" w:lineRule="auto"/>
        <w:tabs>
          <w:tab w:leader="none" w:pos="1658" w:val="left"/>
        </w:tabs>
        <w:numPr>
          <w:ilvl w:val="1"/>
          <w:numId w:val="104"/>
        </w:numPr>
        <w:rPr>
          <w:rFonts w:ascii="Arial" w:cs="Arial" w:eastAsia="Arial" w:hAnsi="Arial"/>
          <w:sz w:val="18"/>
          <w:szCs w:val="18"/>
          <w:u w:val="single" w:color="auto"/>
          <w:color w:val="0000FF"/>
          <w:highlight w:val="lightGray"/>
        </w:rPr>
      </w:pPr>
      <w:r>
        <w:rPr>
          <w:rFonts w:ascii="Arial" w:cs="Arial" w:eastAsia="Arial" w:hAnsi="Arial"/>
          <w:sz w:val="18"/>
          <w:szCs w:val="18"/>
          <w:u w:val="single" w:color="auto"/>
          <w:color w:val="0000FF"/>
          <w:highlight w:val="lightGray"/>
        </w:rPr>
        <w:t>all or any part of such USD L/C Exposure shall be reallocated among the non-Defaulting Lenders in accordance with their respective USD Revolving Percentage but only to the extent (x) the sum of all non-Defaulting Lenders’ USD Revolving Extensions of Credit, plus such Defaulting Lender’s USD L/C Exposure does not exceed the total of all non-Defaulting Lenders’ USD Revolving Commitments, (y) the sum of each non-Defaulting Lender’s USD Revolving Extensions of Credit would not exceed its USD Revolving Commitment and (z) the conditions set forth in Section 5.2 are satisfied at such time; and</w:t>
      </w:r>
    </w:p>
    <w:p>
      <w:pPr>
        <w:spacing w:after="0" w:line="189" w:lineRule="exact"/>
        <w:rPr>
          <w:rFonts w:ascii="Arial" w:cs="Arial" w:eastAsia="Arial" w:hAnsi="Arial"/>
          <w:sz w:val="18"/>
          <w:szCs w:val="18"/>
          <w:u w:val="single" w:color="auto"/>
          <w:color w:val="0000FF"/>
          <w:highlight w:val="lightGray"/>
        </w:rPr>
      </w:pPr>
    </w:p>
    <w:p>
      <w:pPr>
        <w:jc w:val="both"/>
        <w:ind w:left="660" w:firstLine="644"/>
        <w:spacing w:after="0" w:line="243" w:lineRule="auto"/>
        <w:tabs>
          <w:tab w:leader="none" w:pos="1802" w:val="left"/>
        </w:tabs>
        <w:numPr>
          <w:ilvl w:val="1"/>
          <w:numId w:val="104"/>
        </w:numPr>
        <w:rPr>
          <w:rFonts w:ascii="Arial" w:cs="Arial" w:eastAsia="Arial" w:hAnsi="Arial"/>
          <w:sz w:val="18"/>
          <w:szCs w:val="18"/>
          <w:u w:val="single" w:color="auto"/>
          <w:color w:val="0000FF"/>
          <w:highlight w:val="lightGray"/>
        </w:rPr>
      </w:pPr>
      <w:r>
        <w:rPr>
          <w:rFonts w:ascii="Arial" w:cs="Arial" w:eastAsia="Arial" w:hAnsi="Arial"/>
          <w:sz w:val="18"/>
          <w:szCs w:val="18"/>
          <w:u w:val="single" w:color="auto"/>
          <w:color w:val="0000FF"/>
          <w:highlight w:val="lightGray"/>
        </w:rPr>
        <w:t>if the reallocation described in clause (i) above cannot, or can only partially, be effected, the Borrower shall, within ten (10) Business Days following notice by the Administrative Agent, cash collateralize such Defaulting Lender’s USD L/C Exposure (after giving effect to any partial reallocation pursuant to clause (i) above) by depositing amounts into the collateral account in accordance with the procedures set forth in Section 8 for so long as such USD L/C Exposure is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21" w:right="339" w:bottom="1440" w:gutter="0" w:footer="0" w:header="0"/>
        </w:sectPr>
      </w:pPr>
    </w:p>
    <w:bookmarkStart w:id="172" w:name="page173"/>
    <w:bookmarkEnd w:id="172"/>
    <w:p>
      <w:pPr>
        <w:jc w:val="both"/>
        <w:ind w:left="660" w:firstLine="644"/>
        <w:spacing w:after="0" w:line="248" w:lineRule="auto"/>
        <w:tabs>
          <w:tab w:leader="none" w:pos="1812" w:val="left"/>
        </w:tabs>
        <w:numPr>
          <w:ilvl w:val="0"/>
          <w:numId w:val="105"/>
        </w:numPr>
        <w:rPr>
          <w:rFonts w:ascii="Arial" w:cs="Arial" w:eastAsia="Arial" w:hAnsi="Arial"/>
          <w:sz w:val="18"/>
          <w:szCs w:val="18"/>
          <w:u w:val="single" w:color="auto"/>
          <w:color w:val="0000FF"/>
          <w:highlight w:val="lightGray"/>
        </w:rPr>
      </w:pPr>
      <w:r>
        <w:rPr>
          <w:rFonts w:ascii="Arial" w:cs="Arial" w:eastAsia="Arial" w:hAnsi="Arial"/>
          <w:sz w:val="18"/>
          <w:szCs w:val="18"/>
          <w:u w:val="single" w:color="auto"/>
          <w:color w:val="0000FF"/>
          <w:highlight w:val="lightGray"/>
        </w:rPr>
        <w:t>if the Borrower cash collateralizes any portion of such Defaulting Lender’s USD L/C Exposure pursuant to Section 2.22(d), the Borrower shall not be required to pay any fees to such Defaulting Lender pursuant to Section 3.3(a) with respect to such Defaulting Lender’s USD L/C Exposure during the period such Defaulting Lender’s USD L/C Exposure is cash collateralized;</w:t>
      </w:r>
    </w:p>
    <w:p>
      <w:pPr>
        <w:spacing w:after="0" w:line="181" w:lineRule="exact"/>
        <w:rPr>
          <w:rFonts w:ascii="Arial" w:cs="Arial" w:eastAsia="Arial" w:hAnsi="Arial"/>
          <w:sz w:val="18"/>
          <w:szCs w:val="18"/>
          <w:u w:val="single" w:color="auto"/>
          <w:color w:val="0000FF"/>
          <w:highlight w:val="lightGray"/>
        </w:rPr>
      </w:pPr>
    </w:p>
    <w:p>
      <w:pPr>
        <w:ind w:left="660" w:firstLine="644"/>
        <w:spacing w:after="0" w:line="291" w:lineRule="auto"/>
        <w:tabs>
          <w:tab w:leader="none" w:pos="1802" w:val="left"/>
        </w:tabs>
        <w:numPr>
          <w:ilvl w:val="0"/>
          <w:numId w:val="105"/>
        </w:numPr>
        <w:rPr>
          <w:rFonts w:ascii="Arial" w:cs="Arial" w:eastAsia="Arial" w:hAnsi="Arial"/>
          <w:sz w:val="17"/>
          <w:szCs w:val="17"/>
          <w:u w:val="single" w:color="auto"/>
          <w:color w:val="0000FF"/>
          <w:highlight w:val="lightGray"/>
        </w:rPr>
      </w:pPr>
      <w:r>
        <w:rPr>
          <w:rFonts w:ascii="Arial" w:cs="Arial" w:eastAsia="Arial" w:hAnsi="Arial"/>
          <w:sz w:val="17"/>
          <w:szCs w:val="17"/>
          <w:u w:val="single" w:color="auto"/>
          <w:color w:val="0000FF"/>
          <w:highlight w:val="lightGray"/>
        </w:rPr>
        <w:t>if the USD L/C Exposure of the non-Defaulting Lenders is reallocated pursuant to Section 2.22(d), then the fees payable to the Lenders pursuant to Section 3.3(a) shall be adjusted in accordance with such non-Defaulting Lenders’ USD Revolving Percentages; or</w:t>
      </w:r>
    </w:p>
    <w:p>
      <w:pPr>
        <w:spacing w:after="0" w:line="146" w:lineRule="exact"/>
        <w:rPr>
          <w:rFonts w:ascii="Arial" w:cs="Arial" w:eastAsia="Arial" w:hAnsi="Arial"/>
          <w:sz w:val="17"/>
          <w:szCs w:val="17"/>
          <w:u w:val="single" w:color="auto"/>
          <w:color w:val="0000FF"/>
          <w:highlight w:val="lightGray"/>
        </w:rPr>
      </w:pPr>
    </w:p>
    <w:p>
      <w:pPr>
        <w:jc w:val="both"/>
        <w:ind w:left="660" w:firstLine="644"/>
        <w:spacing w:after="0" w:line="243" w:lineRule="auto"/>
        <w:tabs>
          <w:tab w:leader="none" w:pos="1711" w:val="left"/>
        </w:tabs>
        <w:numPr>
          <w:ilvl w:val="0"/>
          <w:numId w:val="105"/>
        </w:numPr>
        <w:rPr>
          <w:rFonts w:ascii="Arial" w:cs="Arial" w:eastAsia="Arial" w:hAnsi="Arial"/>
          <w:sz w:val="18"/>
          <w:szCs w:val="18"/>
          <w:u w:val="single" w:color="auto"/>
          <w:color w:val="0000FF"/>
          <w:highlight w:val="lightGray"/>
        </w:rPr>
      </w:pPr>
      <w:r>
        <w:rPr>
          <w:rFonts w:ascii="Arial" w:cs="Arial" w:eastAsia="Arial" w:hAnsi="Arial"/>
          <w:sz w:val="18"/>
          <w:szCs w:val="18"/>
          <w:u w:val="single" w:color="auto"/>
          <w:color w:val="0000FF"/>
          <w:highlight w:val="lightGray"/>
        </w:rPr>
        <w:t>if any Defaulting Lender’s USD L/C Exposure is neither cash collateralized nor reallocated pursuant to Section 2.22, then, without prejudice to any rights or remedies of any Issuing Lender or any Lender hereunder, all letter of credit fees payable under Section 3.3(a) with respect to such Defaulting Lender’s USD L/C Exposure shall be payable to the Issuing Lenders until such USD L/C Exposure is cash collateralized and/or reallocated;</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d</w:t>
      </w:r>
      <w:r>
        <w:rPr>
          <w:rFonts w:ascii="Arial" w:cs="Arial" w:eastAsia="Arial" w:hAnsi="Arial"/>
          <w:sz w:val="18"/>
          <w:szCs w:val="18"/>
          <w:u w:val="single" w:color="auto"/>
          <w:color w:val="0000FF"/>
          <w:highlight w:val="lightGray"/>
        </w:rPr>
        <w:t>e</w:t>
      </w:r>
      <w:r>
        <w:rPr>
          <w:rFonts w:ascii="Arial" w:cs="Arial" w:eastAsia="Arial" w:hAnsi="Arial"/>
          <w:sz w:val="18"/>
          <w:szCs w:val="18"/>
          <w:color w:val="auto"/>
        </w:rPr>
        <w:t xml:space="preserve">) so long as any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Lender is a Defaulting Lender, no Issuing Lender shall be required to issue, amend or increase any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Letter of Credit, unless it is satisfied that the related exposure will be one hundred percent (100%) covered by the</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Revolving</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 xml:space="preserve">Commitments of the non-Defaulting Lenders and/or cash collateral will be provided by the Borrower in the amount of the Defaulting Lender’s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L/C Exposure in accordance with</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00"/>
        </w:rPr>
        <w:t>Section 2.22</w:t>
      </w:r>
      <w:r>
        <w:rPr>
          <w:rFonts w:ascii="Arial" w:cs="Arial" w:eastAsia="Arial" w:hAnsi="Arial"/>
          <w:sz w:val="18"/>
          <w:szCs w:val="18"/>
          <w:color w:val="000000"/>
        </w:rPr>
        <w:t>, and participating interests in any such newly issued or increased</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Letter of</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 xml:space="preserve">Credit shall be allocated among non-Defaulting Lenders in a manner consistent with </w:t>
      </w:r>
      <w:r>
        <w:rPr>
          <w:rFonts w:ascii="Arial" w:cs="Arial" w:eastAsia="Arial" w:hAnsi="Arial"/>
          <w:sz w:val="18"/>
          <w:szCs w:val="18"/>
          <w:u w:val="single" w:color="auto"/>
          <w:color w:val="000000"/>
        </w:rPr>
        <w:t>Section 2.22(c)(i)</w:t>
      </w:r>
      <w:r>
        <w:rPr>
          <w:rFonts w:ascii="Arial" w:cs="Arial" w:eastAsia="Arial" w:hAnsi="Arial"/>
          <w:sz w:val="18"/>
          <w:szCs w:val="18"/>
          <w:color w:val="000000"/>
        </w:rPr>
        <w:t xml:space="preserve"> (and Defaulting Lenders shall not participate therein); </w:t>
      </w:r>
      <w:r>
        <w:rPr>
          <w:rFonts w:ascii="Arial" w:cs="Arial" w:eastAsia="Arial" w:hAnsi="Arial"/>
          <w:sz w:val="18"/>
          <w:szCs w:val="18"/>
          <w:color w:val="FF0000"/>
          <w:strike w:val="1"/>
        </w:rPr>
        <w:t>and</w:t>
      </w:r>
    </w:p>
    <w:p>
      <w:pPr>
        <w:spacing w:after="0" w:line="189" w:lineRule="exact"/>
        <w:rPr>
          <w:sz w:val="20"/>
          <w:szCs w:val="20"/>
          <w:color w:val="auto"/>
        </w:rPr>
      </w:pPr>
    </w:p>
    <w:p>
      <w:pPr>
        <w:jc w:val="both"/>
        <w:ind w:firstLine="656"/>
        <w:spacing w:after="0" w:line="259" w:lineRule="auto"/>
        <w:tabs>
          <w:tab w:leader="none" w:pos="1075" w:val="left"/>
        </w:tabs>
        <w:numPr>
          <w:ilvl w:val="0"/>
          <w:numId w:val="106"/>
        </w:numPr>
        <w:rPr>
          <w:rFonts w:ascii="Arial" w:cs="Arial" w:eastAsia="Arial" w:hAnsi="Arial"/>
          <w:sz w:val="17"/>
          <w:szCs w:val="17"/>
          <w:u w:val="single" w:color="auto"/>
          <w:color w:val="0000FF"/>
          <w:highlight w:val="lightGray"/>
        </w:rPr>
      </w:pPr>
      <w:r>
        <w:rPr>
          <w:rFonts w:ascii="Arial" w:cs="Arial" w:eastAsia="Arial" w:hAnsi="Arial"/>
          <w:sz w:val="17"/>
          <w:szCs w:val="17"/>
          <w:u w:val="single" w:color="auto"/>
          <w:color w:val="0000FF"/>
          <w:highlight w:val="lightGray"/>
        </w:rPr>
        <w:t>so long as any USD Revolving Lender is a Defaulting Lender, no Issuing Lender shall be required to issue, amend or increase any USD Letter of Credit, unless it is satisfied that the related exposure will be one hundred percent (100%) covered by the USD Revolving Commitments of the non-Defaulting Lenders and/or cash collateral will be provided by the Borrower in the amount of the Defaulting Lender’s USD L/C Exposure in accordance with Section 2.22, and participating interests in any such newly issued or increased USD Letter of Credit shall be allocated among non-Defaulting Lenders in a manner consistent with Section 2.22(d)(i) (and Defaulting Lenders shall not participate therein);</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e</w:t>
      </w:r>
      <w:r>
        <w:rPr>
          <w:rFonts w:ascii="Arial" w:cs="Arial" w:eastAsia="Arial" w:hAnsi="Arial"/>
          <w:sz w:val="18"/>
          <w:szCs w:val="18"/>
          <w:u w:val="single" w:color="auto"/>
          <w:color w:val="0000FF"/>
          <w:highlight w:val="lightGray"/>
        </w:rPr>
        <w:t>g</w:t>
      </w:r>
      <w:r>
        <w:rPr>
          <w:rFonts w:ascii="Arial" w:cs="Arial" w:eastAsia="Arial" w:hAnsi="Arial"/>
          <w:sz w:val="18"/>
          <w:szCs w:val="18"/>
          <w:color w:val="auto"/>
        </w:rPr>
        <w:t xml:space="preserve">) in the event that the Administrative Agent, the Borrower and the Issuing Lenders each agrees that a Defaulting Lender has adequately remedied all matters that caused such Lender to be a Defaulting Lender, then the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L/C Exposure of the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Lenders shall be readjusted to reflect the inclusion of such Lender’s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Commitment and on such date such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Lender shall purchase at par such of the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Loans of the other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Lenders as the Administrative Agent shall determine may be necessary in order for such Lender to hold such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Loans in accordance with its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Percentage</w:t>
      </w:r>
      <w:r>
        <w:rPr>
          <w:rFonts w:ascii="Arial" w:cs="Arial" w:eastAsia="Arial" w:hAnsi="Arial"/>
          <w:sz w:val="18"/>
          <w:szCs w:val="18"/>
          <w:color w:val="FF0000"/>
          <w:strike w:val="1"/>
        </w:rPr>
        <w:t>.</w:t>
      </w:r>
      <w:r>
        <w:rPr>
          <w:rFonts w:ascii="Arial" w:cs="Arial" w:eastAsia="Arial" w:hAnsi="Arial"/>
          <w:sz w:val="18"/>
          <w:szCs w:val="18"/>
          <w:u w:val="single" w:color="auto"/>
          <w:color w:val="0000FF"/>
          <w:highlight w:val="lightGray"/>
        </w:rPr>
        <w:t>; and</w:t>
      </w:r>
    </w:p>
    <w:p>
      <w:pPr>
        <w:spacing w:after="0" w:line="189" w:lineRule="exact"/>
        <w:rPr>
          <w:sz w:val="20"/>
          <w:szCs w:val="20"/>
          <w:color w:val="auto"/>
        </w:rPr>
      </w:pPr>
    </w:p>
    <w:p>
      <w:pPr>
        <w:jc w:val="both"/>
        <w:ind w:firstLine="656"/>
        <w:spacing w:after="0" w:line="241" w:lineRule="auto"/>
        <w:tabs>
          <w:tab w:leader="none" w:pos="1119" w:val="left"/>
        </w:tabs>
        <w:numPr>
          <w:ilvl w:val="0"/>
          <w:numId w:val="107"/>
        </w:numPr>
        <w:rPr>
          <w:rFonts w:ascii="Arial" w:cs="Arial" w:eastAsia="Arial" w:hAnsi="Arial"/>
          <w:sz w:val="18"/>
          <w:szCs w:val="18"/>
          <w:u w:val="single" w:color="auto"/>
          <w:color w:val="0000FF"/>
          <w:highlight w:val="lightGray"/>
        </w:rPr>
      </w:pPr>
      <w:r>
        <w:rPr>
          <w:rFonts w:ascii="Arial" w:cs="Arial" w:eastAsia="Arial" w:hAnsi="Arial"/>
          <w:sz w:val="18"/>
          <w:szCs w:val="18"/>
          <w:u w:val="single" w:color="auto"/>
          <w:color w:val="0000FF"/>
          <w:highlight w:val="lightGray"/>
        </w:rPr>
        <w:t>in the event that the Administrative Agent, the Borrower and the Issuing Lenders each agrees that a Defaulting Lender has adequately remedied all matters that caused such Lender to be a Defaulting Lender, then the USD L/C Exposure of the USD Revolving Lenders shall be readjusted to reflect the inclusion of such Lender’s USD Revolving Commitment and on such date such USD Revolving Lender shall purchase at par such of the USD Revolving Loans of the other USD Revolving Lenders as the Administrative Agent shall determine may be necessary in order for such Lender to hold such USD Revolving Loans in accordance with its USD Revolving Percentage</w:t>
      </w:r>
    </w:p>
    <w:p>
      <w:pPr>
        <w:spacing w:after="0" w:line="18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u w:val="single" w:color="auto"/>
          <w:color w:val="auto"/>
        </w:rPr>
        <w:t>Extension of Revolving Maturity Date</w:t>
      </w:r>
      <w:r>
        <w:rPr>
          <w:rFonts w:ascii="Arial" w:cs="Arial" w:eastAsia="Arial" w:hAnsi="Arial"/>
          <w:sz w:val="16"/>
          <w:szCs w:val="16"/>
          <w:color w:val="auto"/>
        </w:rPr>
        <w:t>.</w:t>
      </w:r>
    </w:p>
    <w:p>
      <w:pPr>
        <w:spacing w:after="0" w:line="212" w:lineRule="exact"/>
        <w:rPr>
          <w:sz w:val="20"/>
          <w:szCs w:val="20"/>
          <w:color w:val="auto"/>
        </w:rPr>
      </w:pPr>
    </w:p>
    <w:p>
      <w:pPr>
        <w:jc w:val="both"/>
        <w:ind w:firstLine="656"/>
        <w:spacing w:after="0" w:line="257" w:lineRule="auto"/>
        <w:tabs>
          <w:tab w:leader="none" w:pos="103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Borrower may, by written notice to the Administrative Agent (which shall promptly notify each of the Revolving Lenders) given at least 30 days but not more than 120 days prior to (</w:t>
      </w:r>
      <w:r>
        <w:rPr>
          <w:rFonts w:ascii="Arial" w:cs="Arial" w:eastAsia="Arial" w:hAnsi="Arial"/>
          <w:sz w:val="17"/>
          <w:szCs w:val="17"/>
          <w:u w:val="single" w:color="auto"/>
          <w:color w:val="0000FF"/>
          <w:highlight w:val="lightGray"/>
        </w:rPr>
        <w:t>I)(</w:t>
      </w:r>
      <w:r>
        <w:rPr>
          <w:rFonts w:ascii="Arial" w:cs="Arial" w:eastAsia="Arial" w:hAnsi="Arial"/>
          <w:sz w:val="17"/>
          <w:szCs w:val="17"/>
          <w:color w:val="auto"/>
        </w:rPr>
        <w:t xml:space="preserve">i) the Initial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Maturity Date, extend the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Maturity Date for up to six months (such extended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Maturity Date, the “</w:t>
      </w:r>
      <w:r>
        <w:rPr>
          <w:rFonts w:ascii="Arial" w:cs="Arial" w:eastAsia="Arial" w:hAnsi="Arial"/>
          <w:sz w:val="17"/>
          <w:szCs w:val="17"/>
          <w:u w:val="single" w:color="auto"/>
          <w:color w:val="auto"/>
        </w:rPr>
        <w:t>First Extended</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w:t>
      </w:r>
      <w:r>
        <w:rPr>
          <w:rFonts w:ascii="Arial" w:cs="Arial" w:eastAsia="Arial" w:hAnsi="Arial"/>
          <w:sz w:val="17"/>
          <w:szCs w:val="17"/>
          <w:u w:val="single" w:color="auto"/>
          <w:color w:val="auto"/>
        </w:rPr>
        <w:t>Revolving Maturity Date</w:t>
      </w:r>
      <w:r>
        <w:rPr>
          <w:rFonts w:ascii="Arial" w:cs="Arial" w:eastAsia="Arial" w:hAnsi="Arial"/>
          <w:sz w:val="17"/>
          <w:szCs w:val="17"/>
          <w:color w:val="auto"/>
        </w:rPr>
        <w:t xml:space="preserve">”) and (ii) the First Extended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Maturity Date, extend the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Maturity Date for up to an additional six months (such extended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Maturity Date, the “</w:t>
      </w:r>
      <w:r>
        <w:rPr>
          <w:rFonts w:ascii="Arial" w:cs="Arial" w:eastAsia="Arial" w:hAnsi="Arial"/>
          <w:sz w:val="17"/>
          <w:szCs w:val="17"/>
          <w:u w:val="single" w:color="auto"/>
          <w:color w:val="000000"/>
        </w:rPr>
        <w:t>Second Extended</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00"/>
        </w:rPr>
        <w:t>Revolving Maturity Date</w:t>
      </w:r>
      <w:r>
        <w:rPr>
          <w:rFonts w:ascii="Arial" w:cs="Arial" w:eastAsia="Arial" w:hAnsi="Arial"/>
          <w:sz w:val="17"/>
          <w:szCs w:val="17"/>
          <w:color w:val="000000"/>
        </w:rPr>
        <w:t>”), in each case, so long as (A) no Default or Event</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of Default shall have occurred and be continuing on the date of such written notice and on the effective date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21" w:right="339" w:bottom="1440" w:gutter="0" w:footer="0" w:header="0"/>
        </w:sectPr>
      </w:pPr>
    </w:p>
    <w:bookmarkStart w:id="173" w:name="page174"/>
    <w:bookmarkEnd w:id="173"/>
    <w:p>
      <w:pPr>
        <w:jc w:val="both"/>
        <w:spacing w:after="0" w:line="274" w:lineRule="auto"/>
        <w:rPr>
          <w:sz w:val="20"/>
          <w:szCs w:val="20"/>
          <w:color w:val="auto"/>
        </w:rPr>
      </w:pPr>
      <w:r>
        <w:rPr>
          <w:rFonts w:ascii="Arial" w:cs="Arial" w:eastAsia="Arial" w:hAnsi="Arial"/>
          <w:sz w:val="16"/>
          <w:szCs w:val="16"/>
          <w:color w:val="auto"/>
        </w:rPr>
        <w:t xml:space="preserve">extension and (B) the Borrower pays an extension fee equal to 0.0625% of the then existing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auto"/>
        </w:rPr>
        <w:t xml:space="preserve"> Revolving Commitments (to the Administrative Agent for the ratable benefit of the </w:t>
      </w:r>
      <w:r>
        <w:rPr>
          <w:rFonts w:ascii="Arial" w:cs="Arial" w:eastAsia="Arial" w:hAnsi="Arial"/>
          <w:sz w:val="16"/>
          <w:szCs w:val="16"/>
          <w:u w:val="single" w:color="auto"/>
          <w:color w:val="0000FF"/>
          <w:highlight w:val="lightGray"/>
        </w:rPr>
        <w:t>Multicurrency Revolving Lenders) and (II) (i) the Initial USD Revolving Maturity Date, extend the USD Revolving</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Maturity Date for up to six months (such extended USD Revolving Maturity Date, the “First Extended USD Revolving Maturity Date”) and (ii) the First Extended USD Revolving Maturity Date, extend the USD Revolving Maturity Date for up to an additional six months (such extended USD Revolving Maturity Date, the “Second Extended USD Revolving Maturity Date”), in each case, so long as (A) no Default or Event of Default shall have occurred and be continuing on the date of such written notice and on the effective date of such extension and (B) the Borrower pays an extension fee equal to 0.0625% of the then existing USD Revolving Commitments (to the Administrative Agent for the ratable benefit of the USD</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Revolving Lenders).</w:t>
      </w:r>
    </w:p>
    <w:p>
      <w:pPr>
        <w:spacing w:after="0" w:line="163" w:lineRule="exact"/>
        <w:rPr>
          <w:sz w:val="20"/>
          <w:szCs w:val="20"/>
          <w:color w:val="auto"/>
        </w:rPr>
      </w:pPr>
    </w:p>
    <w:p>
      <w:pPr>
        <w:jc w:val="both"/>
        <w:ind w:firstLine="656"/>
        <w:spacing w:after="0" w:line="251" w:lineRule="auto"/>
        <w:tabs>
          <w:tab w:leader="none" w:pos="1192"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The Borrower may, by delivering a written notice to the Administrative Agent (who shall promptly deliver a copy to each of the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Lenders), not less than 60 days in advance of the</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Maturity Date in effect at such time (the “</w:t>
      </w:r>
      <w:r>
        <w:rPr>
          <w:rFonts w:ascii="Arial" w:cs="Arial" w:eastAsia="Arial" w:hAnsi="Arial"/>
          <w:sz w:val="17"/>
          <w:szCs w:val="17"/>
          <w:u w:val="single" w:color="auto"/>
          <w:color w:val="000000"/>
        </w:rPr>
        <w:t>Existing</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00"/>
        </w:rPr>
        <w:t>Revolving Maturity Date</w:t>
      </w:r>
      <w:r>
        <w:rPr>
          <w:rFonts w:ascii="Arial" w:cs="Arial" w:eastAsia="Arial" w:hAnsi="Arial"/>
          <w:sz w:val="17"/>
          <w:szCs w:val="17"/>
          <w:color w:val="000000"/>
        </w:rPr>
        <w:t>”), request that the</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Lenders extend the Existing</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Maturity Date.</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Each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Lender, acting in its sole discretion, shall, by written notice to the Administrative Agent given not later than the date that is the 20th day after the date of the such request (the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Revolving Extension Response Date</w:t>
      </w:r>
      <w:r>
        <w:rPr>
          <w:rFonts w:ascii="Arial" w:cs="Arial" w:eastAsia="Arial" w:hAnsi="Arial"/>
          <w:sz w:val="17"/>
          <w:szCs w:val="17"/>
          <w:color w:val="000000"/>
        </w:rPr>
        <w:t xml:space="preserve">”), advise the Administrative Agent in writing whether or not such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Lender agrees to the requested extension. Each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Lender that advises the Administrative Agent that it will not extend the Existing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Maturity Date is referred to herein as a “</w:t>
      </w:r>
      <w:r>
        <w:rPr>
          <w:rFonts w:ascii="Arial" w:cs="Arial" w:eastAsia="Arial" w:hAnsi="Arial"/>
          <w:sz w:val="17"/>
          <w:szCs w:val="17"/>
          <w:u w:val="single" w:color="auto"/>
          <w:color w:val="000000"/>
        </w:rPr>
        <w:t>Non-Extending</w:t>
      </w:r>
      <w:r>
        <w:rPr>
          <w:rFonts w:ascii="Arial" w:cs="Arial" w:eastAsia="Arial" w:hAnsi="Arial"/>
          <w:sz w:val="17"/>
          <w:szCs w:val="17"/>
          <w:color w:val="000000"/>
        </w:rPr>
        <w:t xml:space="preserv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Revolving Lender</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any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Lender that does not advise the Administrative Agent of its consent to such requested extension by the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Extension Response Date and any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Lender that is a Defaulting Lender on the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Extension Response Date shall be deemed to be a Non-Extending</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Lender. The Administrative Agent</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shall notify the Borrower of the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Lenders’ elections promptly following the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Extension Response Date. The election of any Lender to agree to such an extension shall not obligate any other Lender to so agree. The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Maturity Date may be extended no more than two times pursuant to this </w:t>
      </w:r>
      <w:r>
        <w:rPr>
          <w:rFonts w:ascii="Arial" w:cs="Arial" w:eastAsia="Arial" w:hAnsi="Arial"/>
          <w:sz w:val="17"/>
          <w:szCs w:val="17"/>
          <w:u w:val="single" w:color="auto"/>
          <w:color w:val="000000"/>
        </w:rPr>
        <w:t>Section 2.23(b)</w:t>
      </w:r>
      <w:r>
        <w:rPr>
          <w:rFonts w:ascii="Arial" w:cs="Arial" w:eastAsia="Arial" w:hAnsi="Arial"/>
          <w:sz w:val="17"/>
          <w:szCs w:val="17"/>
          <w:color w:val="000000"/>
        </w:rPr>
        <w:t xml:space="preserve">. Each extension pursuant to this </w:t>
      </w:r>
      <w:r>
        <w:rPr>
          <w:rFonts w:ascii="Arial" w:cs="Arial" w:eastAsia="Arial" w:hAnsi="Arial"/>
          <w:sz w:val="17"/>
          <w:szCs w:val="17"/>
          <w:u w:val="single" w:color="auto"/>
          <w:color w:val="000000"/>
        </w:rPr>
        <w:t>Section 2.23(b)</w:t>
      </w:r>
      <w:r>
        <w:rPr>
          <w:rFonts w:ascii="Arial" w:cs="Arial" w:eastAsia="Arial" w:hAnsi="Arial"/>
          <w:sz w:val="17"/>
          <w:szCs w:val="17"/>
          <w:color w:val="000000"/>
        </w:rPr>
        <w:t xml:space="preserve"> shall be offered ratably to each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Lender and shall be subject to the following provisions:</w:t>
      </w:r>
    </w:p>
    <w:p>
      <w:pPr>
        <w:spacing w:after="0" w:line="189" w:lineRule="exact"/>
        <w:rPr>
          <w:sz w:val="20"/>
          <w:szCs w:val="20"/>
          <w:color w:val="auto"/>
        </w:rPr>
      </w:pPr>
    </w:p>
    <w:p>
      <w:pPr>
        <w:jc w:val="both"/>
        <w:ind w:left="1300" w:firstLine="4"/>
        <w:spacing w:after="0"/>
        <w:tabs>
          <w:tab w:leader="none" w:pos="187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(i) If, by the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Extension Response Date,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Lenders holding then existing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Revolving Commitments that aggregate 50% or more of the</w:t>
      </w:r>
      <w:r>
        <w:rPr>
          <w:rFonts w:ascii="Arial" w:cs="Arial" w:eastAsia="Arial" w:hAnsi="Arial"/>
          <w:sz w:val="18"/>
          <w:szCs w:val="18"/>
          <w:color w:val="0000FF"/>
          <w:highlight w:val="lightGray"/>
        </w:rPr>
        <w:t xml:space="preserve"> </w:t>
      </w:r>
      <w:r>
        <w:rPr>
          <w:rFonts w:ascii="Arial" w:cs="Arial" w:eastAsia="Arial" w:hAnsi="Arial"/>
          <w:sz w:val="18"/>
          <w:szCs w:val="18"/>
          <w:color w:val="FF0000"/>
          <w:strike w:val="1"/>
        </w:rPr>
        <w:t>t</w:t>
      </w:r>
      <w:r>
        <w:rPr>
          <w:rFonts w:ascii="Arial" w:cs="Arial" w:eastAsia="Arial" w:hAnsi="Arial"/>
          <w:sz w:val="18"/>
          <w:szCs w:val="18"/>
          <w:u w:val="single" w:color="auto"/>
          <w:color w:val="0000FF"/>
          <w:highlight w:val="lightGray"/>
        </w:rPr>
        <w:t>T</w:t>
      </w:r>
      <w:r>
        <w:rPr>
          <w:rFonts w:ascii="Arial" w:cs="Arial" w:eastAsia="Arial" w:hAnsi="Arial"/>
          <w:sz w:val="18"/>
          <w:szCs w:val="18"/>
          <w:color w:val="000000"/>
        </w:rPr>
        <w:t>otal</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Revolving Commitments shall constitute</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 xml:space="preserve">Non-Extending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000000"/>
        </w:rPr>
        <w:t xml:space="preserve"> Revolving Lenders, then the Existing Revolving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000000"/>
        </w:rPr>
        <w:t xml:space="preserve"> Maturity Date shall not be extended and the outstanding principal balance of all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000000"/>
        </w:rPr>
        <w:t xml:space="preserve"> Revolving Loans and other amounts payable hereunder shall be payable, and the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Revolving Commitments shall terminate, on the Existing Revolving</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Maturity Date in effect prior to such</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extension.</w:t>
      </w:r>
    </w:p>
    <w:p>
      <w:pPr>
        <w:spacing w:after="0" w:line="189" w:lineRule="exact"/>
        <w:rPr>
          <w:sz w:val="20"/>
          <w:szCs w:val="20"/>
          <w:color w:val="auto"/>
        </w:rPr>
      </w:pPr>
    </w:p>
    <w:p>
      <w:pPr>
        <w:jc w:val="both"/>
        <w:ind w:left="1300" w:firstLine="4"/>
        <w:spacing w:after="0" w:line="252" w:lineRule="auto"/>
        <w:tabs>
          <w:tab w:leader="none" w:pos="157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If (and only if), by the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Extension Response Date,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Lenders holding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Commitments that aggregate more than 50% of the </w:t>
      </w:r>
      <w:r>
        <w:rPr>
          <w:rFonts w:ascii="Arial" w:cs="Arial" w:eastAsia="Arial" w:hAnsi="Arial"/>
          <w:sz w:val="17"/>
          <w:szCs w:val="17"/>
          <w:color w:val="FF0000"/>
          <w:strike w:val="1"/>
        </w:rPr>
        <w:t>t</w:t>
      </w:r>
      <w:r>
        <w:rPr>
          <w:rFonts w:ascii="Arial" w:cs="Arial" w:eastAsia="Arial" w:hAnsi="Arial"/>
          <w:sz w:val="17"/>
          <w:szCs w:val="17"/>
          <w:u w:val="single" w:color="auto"/>
          <w:color w:val="0000FF"/>
          <w:highlight w:val="lightGray"/>
        </w:rPr>
        <w:t>T</w:t>
      </w:r>
      <w:r>
        <w:rPr>
          <w:rFonts w:ascii="Arial" w:cs="Arial" w:eastAsia="Arial" w:hAnsi="Arial"/>
          <w:sz w:val="17"/>
          <w:szCs w:val="17"/>
          <w:color w:val="auto"/>
        </w:rPr>
        <w:t xml:space="preserve">otal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Commitments shall have agreed to extend the Existing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Maturity Date (each such consenting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Lender, an “</w:t>
      </w:r>
      <w:r>
        <w:rPr>
          <w:rFonts w:ascii="Arial" w:cs="Arial" w:eastAsia="Arial" w:hAnsi="Arial"/>
          <w:sz w:val="17"/>
          <w:szCs w:val="17"/>
          <w:u w:val="single" w:color="auto"/>
          <w:color w:val="auto"/>
        </w:rPr>
        <w:t>Extending</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00"/>
        </w:rPr>
        <w:t>Revolving Lender</w:t>
      </w:r>
      <w:r>
        <w:rPr>
          <w:rFonts w:ascii="Arial" w:cs="Arial" w:eastAsia="Arial" w:hAnsi="Arial"/>
          <w:sz w:val="17"/>
          <w:szCs w:val="17"/>
          <w:color w:val="000000"/>
        </w:rPr>
        <w:t>”), then effective as of the Existing</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Maturity Date, the</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Revolving Maturity Date for such Extending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Lenders shall be so extended (subject to satisfaction of the conditions set forth in this </w:t>
      </w:r>
      <w:r>
        <w:rPr>
          <w:rFonts w:ascii="Arial" w:cs="Arial" w:eastAsia="Arial" w:hAnsi="Arial"/>
          <w:sz w:val="17"/>
          <w:szCs w:val="17"/>
          <w:u w:val="single" w:color="auto"/>
          <w:color w:val="000000"/>
        </w:rPr>
        <w:t>Section 2.23(b)</w:t>
      </w:r>
      <w:r>
        <w:rPr>
          <w:rFonts w:ascii="Arial" w:cs="Arial" w:eastAsia="Arial" w:hAnsi="Arial"/>
          <w:sz w:val="17"/>
          <w:szCs w:val="17"/>
          <w:color w:val="000000"/>
        </w:rPr>
        <w:t xml:space="preserve">). In the event of such extension, the Commitment of each Non-Extending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Lender shall terminate on the Existing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Maturity Date in effect for such Non-Extending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Lender prior to such extension and the outstanding principal balance of all</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Loans and</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other amounts payable hereunder to such Non-Extending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Lender shall become due and payable on such Existing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Maturity Date and, subject to </w:t>
      </w:r>
      <w:r>
        <w:rPr>
          <w:rFonts w:ascii="Arial" w:cs="Arial" w:eastAsia="Arial" w:hAnsi="Arial"/>
          <w:sz w:val="17"/>
          <w:szCs w:val="17"/>
          <w:u w:val="single" w:color="auto"/>
          <w:color w:val="000000"/>
        </w:rPr>
        <w:t>Section 2.23(b)(2)</w:t>
      </w:r>
      <w:r>
        <w:rPr>
          <w:rFonts w:ascii="Arial" w:cs="Arial" w:eastAsia="Arial" w:hAnsi="Arial"/>
          <w:sz w:val="17"/>
          <w:szCs w:val="17"/>
          <w:color w:val="000000"/>
        </w:rPr>
        <w:t xml:space="preserve"> below, the </w:t>
      </w:r>
      <w:r>
        <w:rPr>
          <w:rFonts w:ascii="Arial" w:cs="Arial" w:eastAsia="Arial" w:hAnsi="Arial"/>
          <w:sz w:val="17"/>
          <w:szCs w:val="17"/>
          <w:color w:val="FF0000"/>
          <w:strike w:val="1"/>
        </w:rPr>
        <w:t>t</w:t>
      </w:r>
      <w:r>
        <w:rPr>
          <w:rFonts w:ascii="Arial" w:cs="Arial" w:eastAsia="Arial" w:hAnsi="Arial"/>
          <w:sz w:val="17"/>
          <w:szCs w:val="17"/>
          <w:u w:val="single" w:color="auto"/>
          <w:color w:val="0000FF"/>
          <w:highlight w:val="lightGray"/>
        </w:rPr>
        <w:t>T</w:t>
      </w:r>
      <w:r>
        <w:rPr>
          <w:rFonts w:ascii="Arial" w:cs="Arial" w:eastAsia="Arial" w:hAnsi="Arial"/>
          <w:sz w:val="17"/>
          <w:szCs w:val="17"/>
          <w:color w:val="000000"/>
        </w:rPr>
        <w:t xml:space="preserve">otal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Commitments hereunder shall be reduced by the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Commitments of the Non-Extending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Lenders so terminated on such Existing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Revolving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21" w:right="339" w:bottom="1440" w:gutter="0" w:footer="0" w:header="0"/>
        </w:sectPr>
      </w:pPr>
    </w:p>
    <w:bookmarkStart w:id="174" w:name="page175"/>
    <w:bookmarkEnd w:id="174"/>
    <w:p>
      <w:pPr>
        <w:jc w:val="both"/>
        <w:ind w:left="180" w:firstLine="4"/>
        <w:spacing w:after="0" w:line="268" w:lineRule="auto"/>
        <w:tabs>
          <w:tab w:leader="none" w:pos="58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In the event of any extension of the Existing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auto"/>
        </w:rPr>
        <w:t xml:space="preserve"> Revolving Maturity Date pursuant to this </w:t>
      </w:r>
      <w:r>
        <w:rPr>
          <w:rFonts w:ascii="Arial" w:cs="Arial" w:eastAsia="Arial" w:hAnsi="Arial"/>
          <w:sz w:val="16"/>
          <w:szCs w:val="16"/>
          <w:u w:val="single" w:color="auto"/>
          <w:color w:val="auto"/>
        </w:rPr>
        <w:t>Section 2.23(b)</w:t>
      </w:r>
      <w:r>
        <w:rPr>
          <w:rFonts w:ascii="Arial" w:cs="Arial" w:eastAsia="Arial" w:hAnsi="Arial"/>
          <w:sz w:val="16"/>
          <w:szCs w:val="16"/>
          <w:color w:val="auto"/>
        </w:rPr>
        <w:t xml:space="preserve">, the Borrower shall have the right on or before the Existing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auto"/>
        </w:rPr>
        <w:t xml:space="preserve"> Revolving Maturity Date, at its own expense, to require any Non-Extending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Revolving Lender to transfer and assign without recourse (in accordance with and subject to the restrictions contained in</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00"/>
        </w:rPr>
        <w:t>Section 10.6</w:t>
      </w:r>
      <w:r>
        <w:rPr>
          <w:rFonts w:ascii="Arial" w:cs="Arial" w:eastAsia="Arial" w:hAnsi="Arial"/>
          <w:sz w:val="16"/>
          <w:szCs w:val="16"/>
          <w:color w:val="000000"/>
        </w:rPr>
        <w:t xml:space="preserve">) all its interests, rights (other than its rights to payments pursuant to </w:t>
      </w:r>
      <w:r>
        <w:rPr>
          <w:rFonts w:ascii="Arial" w:cs="Arial" w:eastAsia="Arial" w:hAnsi="Arial"/>
          <w:sz w:val="16"/>
          <w:szCs w:val="16"/>
          <w:u w:val="single" w:color="auto"/>
          <w:color w:val="000000"/>
        </w:rPr>
        <w:t>Section 2.16</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Section 2.17</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Section 10.4</w:t>
      </w:r>
      <w:r>
        <w:rPr>
          <w:rFonts w:ascii="Arial" w:cs="Arial" w:eastAsia="Arial" w:hAnsi="Arial"/>
          <w:sz w:val="16"/>
          <w:szCs w:val="16"/>
          <w:color w:val="000000"/>
        </w:rPr>
        <w:t xml:space="preserve"> arising prior to the effectiveness of such assignment) and obligations under this Agreement to one or more banks or other financial institutions identified to the Non-Extending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000000"/>
        </w:rPr>
        <w:t xml:space="preserve"> Revolving Lender by the Borrower, which may include any existing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000000"/>
        </w:rPr>
        <w:t xml:space="preserve"> Revolving Lender (each a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Replacement Revolving Lender</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(x) such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000000"/>
        </w:rPr>
        <w:t xml:space="preserve"> Replacement Revolving Lender, if not already a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000000"/>
        </w:rPr>
        <w:t xml:space="preserve"> Revolving Lender hereunder, shall be subject to the approval of the Administrative Agent and each Issuing Lender to the extent the consent of the Administrative Agent or the Issuing Lenders, as applicable, would be required to effect an assignment under </w:t>
      </w:r>
      <w:r>
        <w:rPr>
          <w:rFonts w:ascii="Arial" w:cs="Arial" w:eastAsia="Arial" w:hAnsi="Arial"/>
          <w:sz w:val="16"/>
          <w:szCs w:val="16"/>
          <w:u w:val="single" w:color="auto"/>
          <w:color w:val="000000"/>
        </w:rPr>
        <w:t>Section 10.6</w:t>
      </w:r>
      <w:r>
        <w:rPr>
          <w:rFonts w:ascii="Arial" w:cs="Arial" w:eastAsia="Arial" w:hAnsi="Arial"/>
          <w:sz w:val="16"/>
          <w:szCs w:val="16"/>
          <w:color w:val="000000"/>
        </w:rPr>
        <w:t xml:space="preserve">; such assignment shall become effective as of a date specified by the Borrower (which shall not be later than the Existing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000000"/>
        </w:rPr>
        <w:t xml:space="preserve"> Revolving Maturity Date in effect for such Non-Extending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000000"/>
        </w:rPr>
        <w:t xml:space="preserve"> Revolving Lender prior to the effective date of the requested extension) and the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000000"/>
        </w:rPr>
        <w:t xml:space="preserve"> Replacement Revolving Lender shall pay to such Non-Extending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000000"/>
        </w:rPr>
        <w:t xml:space="preserve"> Revolving Lender in immediately available funds on the effective date of such assignment the principal of and interest accrued to the date of payment on the outstanding principal amount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000000"/>
        </w:rPr>
        <w:t xml:space="preserve"> Revolving Loans made by it hereunder and all other amounts accrued and unpaid for its account or otherwise owed to it hereunder on such date.</w:t>
      </w:r>
    </w:p>
    <w:p>
      <w:pPr>
        <w:spacing w:after="0" w:line="171" w:lineRule="exact"/>
        <w:rPr>
          <w:rFonts w:ascii="Arial" w:cs="Arial" w:eastAsia="Arial" w:hAnsi="Arial"/>
          <w:sz w:val="16"/>
          <w:szCs w:val="16"/>
          <w:color w:val="auto"/>
        </w:rPr>
      </w:pPr>
    </w:p>
    <w:p>
      <w:pPr>
        <w:jc w:val="both"/>
        <w:ind w:left="180" w:firstLine="4"/>
        <w:spacing w:after="0" w:line="269" w:lineRule="auto"/>
        <w:tabs>
          <w:tab w:leader="none" w:pos="61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As a condition precedent to each such extension of the Existing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auto"/>
        </w:rPr>
        <w:t xml:space="preserve"> Revolving Maturity Date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2.23(b)</w:t>
      </w:r>
      <w:r>
        <w:rPr>
          <w:rFonts w:ascii="Arial" w:cs="Arial" w:eastAsia="Arial" w:hAnsi="Arial"/>
          <w:sz w:val="16"/>
          <w:szCs w:val="16"/>
          <w:color w:val="auto"/>
        </w:rPr>
        <w:t xml:space="preserve">, the Borrower shall (x) deliver to the Administrative Agent a certificate of the Borrower dated as of the Existing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auto"/>
        </w:rPr>
        <w:t xml:space="preserve"> Revolving Maturity Date signed by a Responsible Officer of the Borrower certifying that, as of such date, both before and immediately after giving effect to such extension, the representations and warranties of the Borrower set forth in this Agreement shall be true and correct in all material respects (other than any representation or warranty qualified as to “materiality”, “Material Adverse Effect” or similar language, which shall be accurate in all respects) and that no Default or Event of Default shall have occurred and be continuing and (y) first make such prepayments of the outstanding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auto"/>
        </w:rPr>
        <w:t xml:space="preserve"> Revolving Loans and second provide such cash collateral (or make such other arrangements satisfactory to the applicable Issuing Lender) with respect to the outstanding Letters of Credit as shall be required such that, after giving effect to the termination of the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auto"/>
        </w:rPr>
        <w:t xml:space="preserve"> Revolving Commitments of the Non-Extending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Revolving Lenders pursuant to this</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00"/>
        </w:rPr>
        <w:t>Section 2.23(b)</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and any assignment pursuant to</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00"/>
        </w:rPr>
        <w:t>Section 2.23(b)(2)</w:t>
      </w:r>
      <w:r>
        <w:rPr>
          <w:rFonts w:ascii="Arial" w:cs="Arial" w:eastAsia="Arial" w:hAnsi="Arial"/>
          <w:sz w:val="16"/>
          <w:szCs w:val="16"/>
          <w:color w:val="000000"/>
        </w:rPr>
        <w:t>, the aggregate</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Revolving Exposure less the face amount of any Letter of Credit supported by any such cash collateral (or other</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satisfactory arrangements) so provided does not exceed the aggregate amount of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000000"/>
        </w:rPr>
        <w:t xml:space="preserve"> Revolving Commitments being extended.</w:t>
      </w:r>
    </w:p>
    <w:p>
      <w:pPr>
        <w:spacing w:after="0" w:line="171" w:lineRule="exact"/>
        <w:rPr>
          <w:rFonts w:ascii="Arial" w:cs="Arial" w:eastAsia="Arial" w:hAnsi="Arial"/>
          <w:sz w:val="16"/>
          <w:szCs w:val="16"/>
          <w:color w:val="auto"/>
        </w:rPr>
      </w:pPr>
    </w:p>
    <w:p>
      <w:pPr>
        <w:jc w:val="both"/>
        <w:ind w:left="180" w:firstLine="4"/>
        <w:spacing w:after="0" w:line="254" w:lineRule="auto"/>
        <w:tabs>
          <w:tab w:leader="none" w:pos="611"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(i) The interest margins with respect to the extended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Commitments and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Loans may be different than the interest margins for the non-extended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Commitments and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Loans and upfront fees may be paid to the Extending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Lenders, in each case, to the extent provided in the applicable extension amendment; (ii) the applicable loan extension amendment may provide for other covenants and terms that apply solely to any period after the latest applicable Maturity Date of the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Commitments and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Loans being extended; and (iii) no extended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Commitments and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Loans shall be entitled to the benefit of any collateral or guarantees while any existing Facility is outstanding unless all outstanding existing Facilities also receive the benefit of such collateral or guarantees.</w:t>
      </w:r>
    </w:p>
    <w:p>
      <w:pPr>
        <w:spacing w:after="0" w:line="180" w:lineRule="exact"/>
        <w:rPr>
          <w:rFonts w:ascii="Arial" w:cs="Arial" w:eastAsia="Arial" w:hAnsi="Arial"/>
          <w:sz w:val="17"/>
          <w:szCs w:val="17"/>
          <w:color w:val="auto"/>
        </w:rPr>
      </w:pPr>
    </w:p>
    <w:p>
      <w:pPr>
        <w:jc w:val="both"/>
        <w:ind w:left="180" w:firstLine="4"/>
        <w:spacing w:after="0" w:line="243" w:lineRule="auto"/>
        <w:tabs>
          <w:tab w:leader="none" w:pos="58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For the avoidance of doubt, no consent of any Lender (other than the existing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Lenders participating in the extension of the Existing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Maturity Date) shall be required for any extension of the </w:t>
      </w:r>
      <w:r>
        <w:rPr>
          <w:rFonts w:ascii="Arial" w:cs="Arial" w:eastAsia="Arial" w:hAnsi="Arial"/>
          <w:sz w:val="18"/>
          <w:szCs w:val="18"/>
          <w:u w:val="single" w:color="auto"/>
          <w:color w:val="0000FF"/>
          <w:highlight w:val="lightGray"/>
        </w:rPr>
        <w:t>Multicurrency</w:t>
      </w:r>
      <w:r>
        <w:rPr>
          <w:rFonts w:ascii="Arial" w:cs="Arial" w:eastAsia="Arial" w:hAnsi="Arial"/>
          <w:sz w:val="18"/>
          <w:szCs w:val="18"/>
          <w:color w:val="auto"/>
        </w:rPr>
        <w:t xml:space="preserve"> Revolving Maturity Date pursuant to this </w:t>
      </w:r>
      <w:r>
        <w:rPr>
          <w:rFonts w:ascii="Arial" w:cs="Arial" w:eastAsia="Arial" w:hAnsi="Arial"/>
          <w:sz w:val="18"/>
          <w:szCs w:val="18"/>
          <w:u w:val="single" w:color="auto"/>
          <w:color w:val="auto"/>
        </w:rPr>
        <w:t>Section 2.23(b)</w:t>
      </w:r>
      <w:r>
        <w:rPr>
          <w:rFonts w:ascii="Arial" w:cs="Arial" w:eastAsia="Arial" w:hAnsi="Arial"/>
          <w:sz w:val="18"/>
          <w:szCs w:val="18"/>
          <w:color w:val="auto"/>
        </w:rPr>
        <w:t xml:space="preserve"> and any extension amendment may include such technical amendments to this Agreement as may be necessary or appropriate in the reasonable opinion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120"/>
          </w:cols>
          <w:pgMar w:left="1440" w:top="1421" w:right="339" w:bottom="1440" w:gutter="0" w:footer="0" w:header="0"/>
        </w:sectPr>
      </w:pPr>
    </w:p>
    <w:bookmarkStart w:id="175" w:name="page176"/>
    <w:bookmarkEnd w:id="175"/>
    <w:p>
      <w:pPr>
        <w:ind w:left="1300"/>
        <w:spacing w:after="0"/>
        <w:rPr>
          <w:sz w:val="20"/>
          <w:szCs w:val="20"/>
          <w:color w:val="auto"/>
        </w:rPr>
      </w:pPr>
      <w:r>
        <w:rPr>
          <w:rFonts w:ascii="Arial" w:cs="Arial" w:eastAsia="Arial" w:hAnsi="Arial"/>
          <w:sz w:val="16"/>
          <w:szCs w:val="16"/>
          <w:color w:val="auto"/>
        </w:rPr>
        <w:t xml:space="preserve">Administrative Agent and the Borrower. This </w:t>
      </w:r>
      <w:r>
        <w:rPr>
          <w:rFonts w:ascii="Arial" w:cs="Arial" w:eastAsia="Arial" w:hAnsi="Arial"/>
          <w:sz w:val="16"/>
          <w:szCs w:val="16"/>
          <w:u w:val="single" w:color="auto"/>
          <w:color w:val="auto"/>
        </w:rPr>
        <w:t>Section 2.23(b)</w:t>
      </w:r>
      <w:r>
        <w:rPr>
          <w:rFonts w:ascii="Arial" w:cs="Arial" w:eastAsia="Arial" w:hAnsi="Arial"/>
          <w:sz w:val="16"/>
          <w:szCs w:val="16"/>
          <w:color w:val="auto"/>
        </w:rPr>
        <w:t xml:space="preserve"> shall supersede any provisions in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10.1</w:t>
      </w:r>
      <w:r>
        <w:rPr>
          <w:rFonts w:ascii="Arial" w:cs="Arial" w:eastAsia="Arial" w:hAnsi="Arial"/>
          <w:sz w:val="16"/>
          <w:szCs w:val="16"/>
          <w:color w:val="auto"/>
        </w:rPr>
        <w:t xml:space="preserve"> to the contrary.</w:t>
      </w:r>
    </w:p>
    <w:p>
      <w:pPr>
        <w:spacing w:after="0" w:line="235" w:lineRule="exact"/>
        <w:rPr>
          <w:sz w:val="20"/>
          <w:szCs w:val="20"/>
          <w:color w:val="auto"/>
        </w:rPr>
      </w:pPr>
    </w:p>
    <w:p>
      <w:pPr>
        <w:ind w:right="40" w:firstLine="656"/>
        <w:spacing w:after="0" w:line="252" w:lineRule="auto"/>
        <w:tabs>
          <w:tab w:leader="none" w:pos="1027" w:val="left"/>
        </w:tabs>
        <w:numPr>
          <w:ilvl w:val="0"/>
          <w:numId w:val="113"/>
        </w:numPr>
        <w:rPr>
          <w:rFonts w:ascii="Arial" w:cs="Arial" w:eastAsia="Arial" w:hAnsi="Arial"/>
          <w:sz w:val="17"/>
          <w:szCs w:val="17"/>
          <w:u w:val="single" w:color="auto"/>
          <w:color w:val="0000FF"/>
          <w:highlight w:val="lightGray"/>
        </w:rPr>
      </w:pPr>
      <w:r>
        <w:rPr>
          <w:rFonts w:ascii="Arial" w:cs="Arial" w:eastAsia="Arial" w:hAnsi="Arial"/>
          <w:sz w:val="17"/>
          <w:szCs w:val="17"/>
          <w:u w:val="single" w:color="auto"/>
          <w:color w:val="0000FF"/>
          <w:highlight w:val="lightGray"/>
        </w:rPr>
        <w:t>The Borrower may, by delivering a written notice to the Administrative Agent (who shall promptly deliver a copy to each of the USD Revolving Lenders), not less than 60 days in advance of the USD Revolving Maturity Date in effect at such time (the “Existing USD Revolving Maturity Date”), request that the USD Revolving Lenders extend the Existing USD Revolving Maturity Date. Each USD Revolving Lender, acting in its sole discretion, shall, by written notice to the Administrative Agent given not later than the date that is the 20th day after the date of the such request (the “USD Revolving Extension Response Date”), advise the Administrative Agent in writing whether or not such USD Revolving Lender agrees to the requested extension. Each USD Revolving Lender that advises the Administrative Agent that it will not extend the Existing USD Revolving Maturity Date is referred to herein as a “Non-Extending USD Revolving Lender”; provided, that any USD Revolving Lender that does not advise the Administrative Agent of its consent to such requested extension by the USD Revolving Extension Response Date and any USD Revolving Lender that is a Defaulting Lender on the USD Revolving Extension Response Date shall be deemed to be a Non-Extending USD Revolving Lender. The Administrative Agent shall notify the Borrower of the USD Revolving Lenders’ elections promptly following the USD Revolving Extension Response Date. The election of any Lender to agree to such an extension shall not obligate any other Lender to so agree. The USD Revolving Maturity Date may be extended no more than two times pursuant to this Section 2.23(c). Each extension pursuant to this Section 2.23(c) shall be offered ratably to each USD Revolving Lender and shall be subject to the following provisions:</w:t>
      </w:r>
    </w:p>
    <w:p>
      <w:pPr>
        <w:spacing w:after="0" w:line="180" w:lineRule="exact"/>
        <w:rPr>
          <w:sz w:val="20"/>
          <w:szCs w:val="20"/>
          <w:color w:val="auto"/>
        </w:rPr>
      </w:pPr>
    </w:p>
    <w:p>
      <w:pPr>
        <w:jc w:val="both"/>
        <w:ind w:left="1300" w:firstLine="4"/>
        <w:spacing w:after="0" w:line="241" w:lineRule="auto"/>
        <w:tabs>
          <w:tab w:leader="none" w:pos="1879" w:val="left"/>
        </w:tabs>
        <w:numPr>
          <w:ilvl w:val="0"/>
          <w:numId w:val="114"/>
        </w:numPr>
        <w:rPr>
          <w:rFonts w:ascii="Arial" w:cs="Arial" w:eastAsia="Arial" w:hAnsi="Arial"/>
          <w:sz w:val="18"/>
          <w:szCs w:val="18"/>
          <w:u w:val="single" w:color="auto"/>
          <w:color w:val="0000FF"/>
          <w:highlight w:val="lightGray"/>
        </w:rPr>
      </w:pPr>
      <w:r>
        <w:rPr>
          <w:rFonts w:ascii="Arial" w:cs="Arial" w:eastAsia="Arial" w:hAnsi="Arial"/>
          <w:sz w:val="18"/>
          <w:szCs w:val="18"/>
          <w:u w:val="single" w:color="auto"/>
          <w:color w:val="0000FF"/>
          <w:highlight w:val="lightGray"/>
        </w:rPr>
        <w:t>(i) If, by the USD Revolving Extension Response Date, USD Revolving Lenders holding then existing USD Revolving Commitments that aggregate 50% or more of the Total USD Revolving Commitments shall constitute Non-Extending USD Revolving Lenders, then the Existing Revolving USD Maturity Date shall not be extended and the outstanding principal balance of all USD Revolving Loans and other amounts payable hereunder shall be payable, and the USD Revolving Commitments shall terminate, on the Existing Revolving USD Maturity Date in effect prior to such extension.</w:t>
      </w:r>
    </w:p>
    <w:p>
      <w:pPr>
        <w:spacing w:after="0" w:line="189" w:lineRule="exact"/>
        <w:rPr>
          <w:sz w:val="20"/>
          <w:szCs w:val="20"/>
          <w:color w:val="auto"/>
        </w:rPr>
      </w:pPr>
    </w:p>
    <w:p>
      <w:pPr>
        <w:jc w:val="both"/>
        <w:ind w:left="1300" w:firstLine="4"/>
        <w:spacing w:after="0" w:line="270" w:lineRule="auto"/>
        <w:tabs>
          <w:tab w:leader="none" w:pos="1579" w:val="left"/>
        </w:tabs>
        <w:numPr>
          <w:ilvl w:val="0"/>
          <w:numId w:val="115"/>
        </w:numPr>
        <w:rPr>
          <w:rFonts w:ascii="Arial" w:cs="Arial" w:eastAsia="Arial" w:hAnsi="Arial"/>
          <w:sz w:val="16"/>
          <w:szCs w:val="16"/>
          <w:u w:val="single" w:color="auto"/>
          <w:color w:val="0000FF"/>
          <w:highlight w:val="lightGray"/>
        </w:rPr>
      </w:pPr>
      <w:r>
        <w:rPr>
          <w:rFonts w:ascii="Arial" w:cs="Arial" w:eastAsia="Arial" w:hAnsi="Arial"/>
          <w:sz w:val="16"/>
          <w:szCs w:val="16"/>
          <w:u w:val="single" w:color="auto"/>
          <w:color w:val="0000FF"/>
          <w:highlight w:val="lightGray"/>
        </w:rPr>
        <w:t>If (and only if), by the USD Revolving Extension Response Date, USD Revolving Lenders holding USD Revolving Commitments that aggregate more than 50% of the Total USD Revolving Commitments shall have agreed to extend the Existing USD Revolving Maturity Date (each such consenting USD Revolving Lender, an “Extending USD Revolving Lender”), then effective as of the Existing USD Revolving Maturity Date, the USD Revolving Maturity Date for such Extending USD Revolving Lenders shall be so extended (subject to satisfaction of the conditions set forth in this Section 2.23(c)). In the event of such extension, the Commitment of each Non-Extending USD Revolving Lender shall terminate on the Existing USD Revolving Maturity Date in effect for such Non-Extending USD Revolving Lender prior to such extension and the outstanding principal balance of all USD Revolving Loans and other amounts payable hereunder to such Non-Extending USD Revolving Lender shall become due and payable on such Existing USD Revolving Maturity Date and, subject to Section 2.23(c)(2) below, the Total USD Revolving Commitments hereunder shall be reduced by the USD Revolving Commitments of the Non-Extending USD Revolving Lenders so terminated on such Existing USD Revolving Maturity Date.</w:t>
      </w:r>
    </w:p>
    <w:p>
      <w:pPr>
        <w:spacing w:after="0" w:line="171" w:lineRule="exact"/>
        <w:rPr>
          <w:sz w:val="20"/>
          <w:szCs w:val="20"/>
          <w:color w:val="auto"/>
        </w:rPr>
      </w:pPr>
    </w:p>
    <w:p>
      <w:pPr>
        <w:jc w:val="both"/>
        <w:ind w:left="1300" w:firstLine="4"/>
        <w:spacing w:after="0" w:line="253" w:lineRule="auto"/>
        <w:tabs>
          <w:tab w:leader="none" w:pos="1744" w:val="left"/>
        </w:tabs>
        <w:numPr>
          <w:ilvl w:val="0"/>
          <w:numId w:val="116"/>
        </w:numPr>
        <w:rPr>
          <w:rFonts w:ascii="Arial" w:cs="Arial" w:eastAsia="Arial" w:hAnsi="Arial"/>
          <w:sz w:val="17"/>
          <w:szCs w:val="17"/>
          <w:u w:val="single" w:color="auto"/>
          <w:color w:val="0000FF"/>
          <w:highlight w:val="lightGray"/>
        </w:rPr>
      </w:pPr>
      <w:r>
        <w:rPr>
          <w:rFonts w:ascii="Arial" w:cs="Arial" w:eastAsia="Arial" w:hAnsi="Arial"/>
          <w:sz w:val="17"/>
          <w:szCs w:val="17"/>
          <w:u w:val="single" w:color="auto"/>
          <w:color w:val="0000FF"/>
          <w:highlight w:val="lightGray"/>
        </w:rPr>
        <w:t>In the event of any extension of the Existing USD Revolving Maturity Date pursuant to this Section 2.23(c), the Borrower shall have the right on or before the Existing USD Revolving Maturity Date, at its own expense, to require any Non-Extending USD Revolving Lender to transfer and assign without recourse (in accordance with and subject to the restrictions contained in Section 10.6) all its interests, rights (other than its rights to payments pursuant to Section 2.16 or Section 2.17 or Section 10.4 arising prior to the effectiveness of such assignment) and obligations under this Agreement to one or more banks or other financial institutions identified to the Non-Extending USD Revolving Lender by the Borrower, which may include any existing USD Revolving Lender (each a “USD Replacement Revolving Lender”); provided, that (x) such USD Replacement Revolving Lender, if not already a USD Revolving Lender hereunder, shall be subject to the approval of the Administrative Agent and each Issuing Lender to the extent the consent of the Administrative Agent or the Issuing Lenders, as applicable, would be required to effect an assignment under Section 10.6; such assignment shall become effective as of a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21" w:right="339" w:bottom="1440" w:gutter="0" w:footer="0" w:header="0"/>
        </w:sectPr>
      </w:pPr>
    </w:p>
    <w:bookmarkStart w:id="176" w:name="page177"/>
    <w:bookmarkEnd w:id="176"/>
    <w:p>
      <w:pPr>
        <w:jc w:val="both"/>
        <w:ind w:left="1300"/>
        <w:spacing w:after="0" w:line="259" w:lineRule="auto"/>
        <w:rPr>
          <w:sz w:val="20"/>
          <w:szCs w:val="20"/>
          <w:color w:val="auto"/>
        </w:rPr>
      </w:pPr>
      <w:r>
        <w:rPr>
          <w:rFonts w:ascii="Arial" w:cs="Arial" w:eastAsia="Arial" w:hAnsi="Arial"/>
          <w:sz w:val="17"/>
          <w:szCs w:val="17"/>
          <w:u w:val="single" w:color="auto"/>
          <w:color w:val="0000FF"/>
          <w:highlight w:val="lightGray"/>
        </w:rPr>
        <w:t>specified by the Borrower (which shall not be later than the Existing USD Revolving Maturity Date in effect for such Non-Extending USD Revolving Lender prior to the effective date of the requested extension) and the USD Replacement Revolving Lender shall pay to such Non-Extending USD Revolving Lender in immediately available funds on the effective date of such assignment the principal of and interest accrued to the date of payment on the outstanding principal amount USD Revolving Loans made by it hereunder and all other amounts accrued and unpaid for its account or otherwise owed to it hereunder on such date.</w:t>
      </w:r>
    </w:p>
    <w:p>
      <w:pPr>
        <w:spacing w:after="0" w:line="174" w:lineRule="exact"/>
        <w:rPr>
          <w:sz w:val="20"/>
          <w:szCs w:val="20"/>
          <w:color w:val="auto"/>
        </w:rPr>
      </w:pPr>
    </w:p>
    <w:p>
      <w:pPr>
        <w:jc w:val="both"/>
        <w:ind w:left="1300" w:firstLine="4"/>
        <w:spacing w:after="0" w:line="252" w:lineRule="auto"/>
        <w:tabs>
          <w:tab w:leader="none" w:pos="1703" w:val="left"/>
        </w:tabs>
        <w:numPr>
          <w:ilvl w:val="0"/>
          <w:numId w:val="117"/>
        </w:numPr>
        <w:rPr>
          <w:rFonts w:ascii="Arial" w:cs="Arial" w:eastAsia="Arial" w:hAnsi="Arial"/>
          <w:sz w:val="17"/>
          <w:szCs w:val="17"/>
          <w:u w:val="single" w:color="auto"/>
          <w:color w:val="0000FF"/>
          <w:highlight w:val="lightGray"/>
        </w:rPr>
      </w:pPr>
      <w:r>
        <w:rPr>
          <w:rFonts w:ascii="Arial" w:cs="Arial" w:eastAsia="Arial" w:hAnsi="Arial"/>
          <w:sz w:val="17"/>
          <w:szCs w:val="17"/>
          <w:u w:val="single" w:color="auto"/>
          <w:color w:val="0000FF"/>
          <w:highlight w:val="lightGray"/>
        </w:rPr>
        <w:t>As a condition precedent to each such extension of the Existing USD Revolving Maturity Date pursuant to this Section 2.23(c), the Borrower shall (x) deliver to the Administrative Agent a certificate of the Borrower dated as of the Existing USD Revolving Maturity Date signed by a Responsible Officer of the Borrower certifying that, as of such date, both before and immediately after giving effect to such extension, the representations and warranties of the Borrower set forth in this Agreement shall be true and correct in all material respects (other than any representation or warranty qualified as to “materiality”, “Material Adverse Effect” or similar language, which shall be accurate in all respects) and that no Default or Event of Default shall have occurred and be continuing and (y) first make such prepayments of the outstanding USD Revolving Loans and second provide such cash collateral (or make such other arrangements satisfactory to the applicable Issuing Lender) with respect to the outstanding Letters of Credit as shall be required such that, after giving effect to the termination of the USD Revolving Commitments of the Non-Extending USD Revolving Lenders pursuant to this Section 2.23(c) and any assignment pursuant to Section 2.23(c)(2), the aggregate USD Revolving Exposure less the face amount of any Letter of Credit supported by any such cash collateral (or other satisfactory arrangements) so provided does not exceed the aggregate amount of USD Revolving Commitments being extended.</w:t>
      </w:r>
    </w:p>
    <w:p>
      <w:pPr>
        <w:spacing w:after="0" w:line="183" w:lineRule="exact"/>
        <w:rPr>
          <w:rFonts w:ascii="Arial" w:cs="Arial" w:eastAsia="Arial" w:hAnsi="Arial"/>
          <w:sz w:val="17"/>
          <w:szCs w:val="17"/>
          <w:u w:val="single" w:color="auto"/>
          <w:color w:val="0000FF"/>
          <w:highlight w:val="lightGray"/>
        </w:rPr>
      </w:pPr>
    </w:p>
    <w:p>
      <w:pPr>
        <w:jc w:val="both"/>
        <w:ind w:left="1300" w:firstLine="4"/>
        <w:spacing w:after="0" w:line="255" w:lineRule="auto"/>
        <w:tabs>
          <w:tab w:leader="none" w:pos="1744" w:val="left"/>
        </w:tabs>
        <w:numPr>
          <w:ilvl w:val="0"/>
          <w:numId w:val="117"/>
        </w:numPr>
        <w:rPr>
          <w:rFonts w:ascii="Arial" w:cs="Arial" w:eastAsia="Arial" w:hAnsi="Arial"/>
          <w:sz w:val="17"/>
          <w:szCs w:val="17"/>
          <w:u w:val="single" w:color="auto"/>
          <w:color w:val="0000FF"/>
          <w:highlight w:val="lightGray"/>
        </w:rPr>
      </w:pPr>
      <w:r>
        <w:rPr>
          <w:rFonts w:ascii="Arial" w:cs="Arial" w:eastAsia="Arial" w:hAnsi="Arial"/>
          <w:sz w:val="17"/>
          <w:szCs w:val="17"/>
          <w:u w:val="single" w:color="auto"/>
          <w:color w:val="0000FF"/>
          <w:highlight w:val="lightGray"/>
        </w:rPr>
        <w:t>(i) The interest margins with respect to the extended USD Revolving Commitments and USD Revolving Loans may be different than the interest margins for the non-extended USD Revolving Commitments and USD Revolving Loans and upfront fees may be paid to the Extending USD Revolving Lenders, in each case, to the extent provided in the applicable extension amendment; (ii) the applicable loan extension amendment may provide for other covenants and terms that apply solely to any period after the latest applicable Maturity Date of the USD Revolving Commitments and USD Revolving Loans being extended; and (iii) no extended USD Revolving Commitments and USD Revolving Loans shall be entitled to the benefit of any collateral or guarantees while any existing Facility is outstanding unless all outstanding existing Facilities also receive the benefit of such collateral or guarantees.</w:t>
      </w:r>
    </w:p>
    <w:p>
      <w:pPr>
        <w:spacing w:after="0" w:line="179" w:lineRule="exact"/>
        <w:rPr>
          <w:rFonts w:ascii="Arial" w:cs="Arial" w:eastAsia="Arial" w:hAnsi="Arial"/>
          <w:sz w:val="17"/>
          <w:szCs w:val="17"/>
          <w:u w:val="single" w:color="auto"/>
          <w:color w:val="0000FF"/>
          <w:highlight w:val="lightGray"/>
        </w:rPr>
      </w:pPr>
    </w:p>
    <w:p>
      <w:pPr>
        <w:jc w:val="both"/>
        <w:ind w:left="1300" w:firstLine="4"/>
        <w:spacing w:after="0" w:line="241" w:lineRule="auto"/>
        <w:tabs>
          <w:tab w:leader="none" w:pos="1690" w:val="left"/>
        </w:tabs>
        <w:numPr>
          <w:ilvl w:val="0"/>
          <w:numId w:val="117"/>
        </w:numPr>
        <w:rPr>
          <w:rFonts w:ascii="Arial" w:cs="Arial" w:eastAsia="Arial" w:hAnsi="Arial"/>
          <w:sz w:val="18"/>
          <w:szCs w:val="18"/>
          <w:u w:val="single" w:color="auto"/>
          <w:color w:val="0000FF"/>
          <w:highlight w:val="lightGray"/>
        </w:rPr>
      </w:pPr>
      <w:r>
        <w:rPr>
          <w:rFonts w:ascii="Arial" w:cs="Arial" w:eastAsia="Arial" w:hAnsi="Arial"/>
          <w:sz w:val="18"/>
          <w:szCs w:val="18"/>
          <w:u w:val="single" w:color="auto"/>
          <w:color w:val="0000FF"/>
          <w:highlight w:val="lightGray"/>
        </w:rPr>
        <w:t>For the avoidance of doubt, no consent of any Lender (other than the existing USD Revolving Lenders participating in the extension of the Existing USD Revolving Maturity Date) shall be required for any extension of the USD Revolving Maturity Date pursuant to this Section 2.23(c) and any extension amendment may include such technical amendments to this Agreement as may be necessary or appropriate in the reasonable opinion of the Administrative Agent and the Borrower. This Section 2.23(c) shall supersede any provisions in Sections 2.15 and 10.1 to the contrary.</w:t>
      </w:r>
    </w:p>
    <w:p>
      <w:pPr>
        <w:spacing w:after="0" w:line="18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u w:val="single" w:color="auto"/>
          <w:color w:val="auto"/>
        </w:rPr>
        <w:t>Extension of Delayed Draw Term Maturity Date</w:t>
      </w:r>
      <w:r>
        <w:rPr>
          <w:rFonts w:ascii="Arial" w:cs="Arial" w:eastAsia="Arial" w:hAnsi="Arial"/>
          <w:sz w:val="16"/>
          <w:szCs w:val="16"/>
          <w:color w:val="auto"/>
        </w:rPr>
        <w:t>.</w:t>
      </w:r>
    </w:p>
    <w:p>
      <w:pPr>
        <w:spacing w:after="0" w:line="212" w:lineRule="exact"/>
        <w:rPr>
          <w:sz w:val="20"/>
          <w:szCs w:val="20"/>
          <w:color w:val="auto"/>
        </w:rPr>
      </w:pPr>
    </w:p>
    <w:p>
      <w:pPr>
        <w:jc w:val="both"/>
        <w:ind w:firstLine="656"/>
        <w:spacing w:after="0" w:line="238" w:lineRule="auto"/>
        <w:tabs>
          <w:tab w:leader="none" w:pos="108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Borrower may, by written notice to the Administrative Agent (which shall promptly notify each of the Delayed Draw Term Lenders) given at least 30 days but not more than 120 days prior to (i) the Initial Delayed Draw Term Maturity Date, extend the Delayed Draw Term Maturity Date for up to one year (such extended Delayed Draw Term Maturity Date, the “</w:t>
      </w:r>
      <w:r>
        <w:rPr>
          <w:rFonts w:ascii="Arial" w:cs="Arial" w:eastAsia="Arial" w:hAnsi="Arial"/>
          <w:sz w:val="18"/>
          <w:szCs w:val="18"/>
          <w:u w:val="single" w:color="auto"/>
          <w:color w:val="auto"/>
        </w:rPr>
        <w:t>First Extended Delayed Draw Term Maturity Date</w:t>
      </w:r>
      <w:r>
        <w:rPr>
          <w:rFonts w:ascii="Arial" w:cs="Arial" w:eastAsia="Arial" w:hAnsi="Arial"/>
          <w:sz w:val="18"/>
          <w:szCs w:val="18"/>
          <w:color w:val="auto"/>
        </w:rPr>
        <w:t>”) and (ii) the First Extended Delayed Draw Term Maturity Date, extend the Delayed Draw Term Maturity Date for up to an additional one year (such extended Delayed Draw Term Maturity Date, the “</w:t>
      </w:r>
      <w:r>
        <w:rPr>
          <w:rFonts w:ascii="Arial" w:cs="Arial" w:eastAsia="Arial" w:hAnsi="Arial"/>
          <w:sz w:val="18"/>
          <w:szCs w:val="18"/>
          <w:u w:val="single" w:color="auto"/>
          <w:color w:val="auto"/>
        </w:rPr>
        <w:t>Second Extended Delayed Draw Term Maturity Date</w:t>
      </w:r>
      <w:r>
        <w:rPr>
          <w:rFonts w:ascii="Arial" w:cs="Arial" w:eastAsia="Arial" w:hAnsi="Arial"/>
          <w:sz w:val="18"/>
          <w:szCs w:val="18"/>
          <w:color w:val="auto"/>
        </w:rPr>
        <w:t>”), in each case, so long as (A) no Default or Event of Default shall have occurred and be continuing on the date of such written notice and on the effective date of such extension and (B) the Borrower pays an extension fee equal to 0.125% of the then outstanding principal amount of the Delayed Draw Term Loans (to the Administrative Agent for the ratable benefit of the Delayed Draw Term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21" w:right="339" w:bottom="1440" w:gutter="0" w:footer="0" w:header="0"/>
        </w:sectPr>
      </w:pPr>
    </w:p>
    <w:bookmarkStart w:id="177" w:name="page178"/>
    <w:bookmarkEnd w:id="177"/>
    <w:p>
      <w:pPr>
        <w:jc w:val="both"/>
        <w:ind w:firstLine="656"/>
        <w:spacing w:after="0" w:line="269" w:lineRule="auto"/>
        <w:tabs>
          <w:tab w:leader="none" w:pos="108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Borrower may, by delivering a written notice to the Administrative Agent (who shall promptly deliver a copy to each of the Delayed Draw Term Lenders), not less than 60 days in advance of the Delayed Draw Term Maturity Date in effect at such time (the “</w:t>
      </w:r>
      <w:r>
        <w:rPr>
          <w:rFonts w:ascii="Arial" w:cs="Arial" w:eastAsia="Arial" w:hAnsi="Arial"/>
          <w:sz w:val="16"/>
          <w:szCs w:val="16"/>
          <w:u w:val="single" w:color="auto"/>
          <w:color w:val="auto"/>
        </w:rPr>
        <w:t>Existing Delayed Draw 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Maturity Date</w:t>
      </w:r>
      <w:r>
        <w:rPr>
          <w:rFonts w:ascii="Arial" w:cs="Arial" w:eastAsia="Arial" w:hAnsi="Arial"/>
          <w:sz w:val="16"/>
          <w:szCs w:val="16"/>
          <w:color w:val="auto"/>
        </w:rPr>
        <w:t>”), request that the Delayed Draw Term Lenders extend the Existing Delayed Draw Term Maturity Date. Each Delayed Draw Term Lender, acting in its sole discretion, shall, by written notice to the Administrative Agent given not later than the date that is the 20th day after the date of the such request (the “</w:t>
      </w:r>
      <w:r>
        <w:rPr>
          <w:rFonts w:ascii="Arial" w:cs="Arial" w:eastAsia="Arial" w:hAnsi="Arial"/>
          <w:sz w:val="16"/>
          <w:szCs w:val="16"/>
          <w:u w:val="single" w:color="auto"/>
          <w:color w:val="auto"/>
        </w:rPr>
        <w:t>Delayed Draw Term Extension Response Date</w:t>
      </w:r>
      <w:r>
        <w:rPr>
          <w:rFonts w:ascii="Arial" w:cs="Arial" w:eastAsia="Arial" w:hAnsi="Arial"/>
          <w:sz w:val="16"/>
          <w:szCs w:val="16"/>
          <w:color w:val="auto"/>
        </w:rPr>
        <w:t>”), advise the Administrative Agent in writing whether or not such Delayed Draw Term Lender agrees to the requested extension. Each Delayed Draw Term Lender that advises the Administrative Agent that it will not extend the Existing Delayed Draw Term Maturity Date is referred to herein as a “</w:t>
      </w:r>
      <w:r>
        <w:rPr>
          <w:rFonts w:ascii="Arial" w:cs="Arial" w:eastAsia="Arial" w:hAnsi="Arial"/>
          <w:sz w:val="16"/>
          <w:szCs w:val="16"/>
          <w:u w:val="single" w:color="auto"/>
          <w:color w:val="auto"/>
        </w:rPr>
        <w:t>Non-Extending Delayed Draw Term Lender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Delayed Draw Term Lender that does not advise the Administrative Agent of its consent to such requested extension by the Delayed Draw Term Extension Response Date and any Delayed Draw Term Lender that is a Defaulting Lender on the Delayed Draw Term Extension Response Date shall be deemed to be a Non-Extending Delayed Draw Term Lender. The Administrative Agent shall notify the Borrower of the Delayed Draw Term Lenders’ elections promptly following the Delayed Draw Term Extension Response Date. The election of any Lender to agree to such an extension shall not obligate any other Lender to so agree. The Delayed Draw Term Maturity Date may be extended no more than two times pursuant to this </w:t>
      </w:r>
      <w:r>
        <w:rPr>
          <w:rFonts w:ascii="Arial" w:cs="Arial" w:eastAsia="Arial" w:hAnsi="Arial"/>
          <w:sz w:val="16"/>
          <w:szCs w:val="16"/>
          <w:u w:val="single" w:color="auto"/>
          <w:color w:val="auto"/>
        </w:rPr>
        <w:t>Section 2.24(b)</w:t>
      </w:r>
      <w:r>
        <w:rPr>
          <w:rFonts w:ascii="Arial" w:cs="Arial" w:eastAsia="Arial" w:hAnsi="Arial"/>
          <w:sz w:val="16"/>
          <w:szCs w:val="16"/>
          <w:color w:val="auto"/>
        </w:rPr>
        <w:t xml:space="preserve">. Each extension pursuant to this </w:t>
      </w:r>
      <w:r>
        <w:rPr>
          <w:rFonts w:ascii="Arial" w:cs="Arial" w:eastAsia="Arial" w:hAnsi="Arial"/>
          <w:sz w:val="16"/>
          <w:szCs w:val="16"/>
          <w:u w:val="single" w:color="auto"/>
          <w:color w:val="auto"/>
        </w:rPr>
        <w:t>Section 2.24(b)</w:t>
      </w:r>
      <w:r>
        <w:rPr>
          <w:rFonts w:ascii="Arial" w:cs="Arial" w:eastAsia="Arial" w:hAnsi="Arial"/>
          <w:sz w:val="16"/>
          <w:szCs w:val="16"/>
          <w:color w:val="auto"/>
        </w:rPr>
        <w:t xml:space="preserve"> shall be offered ratably to each Delayed Draw Term Lender and shall be subject to the following provisions:</w:t>
      </w:r>
    </w:p>
    <w:p>
      <w:pPr>
        <w:spacing w:after="0" w:line="168" w:lineRule="exact"/>
        <w:rPr>
          <w:sz w:val="20"/>
          <w:szCs w:val="20"/>
          <w:color w:val="auto"/>
        </w:rPr>
      </w:pPr>
    </w:p>
    <w:p>
      <w:pPr>
        <w:jc w:val="both"/>
        <w:ind w:left="1300" w:firstLine="4"/>
        <w:spacing w:after="0" w:line="276" w:lineRule="auto"/>
        <w:tabs>
          <w:tab w:leader="none" w:pos="171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 If, by the Delayed Draw Term Extension Response Date, Delayed Draw Term Lenders holding then existing Available Delayed Draw Term Commitments and then outstanding Delayed Draw Term Loans that aggregate 50% or more of the total of the sum of the then existing Available Delayed Draw Term Commitments and then outstanding Delayed Draw Term Loans shall constitute Non-Extending Delayed Draw Term Lenders, then the Existing Delayed Draw Term Maturity Date shall not be extended and the outstanding principal balance of all Delayed Draw Term Loans and other amounts payable hereunder shall be payable, and the Delayed Draw Term Commitments shall terminate, on the Existing Delayed Draw Term Maturity Date in effect prior to such extension.</w:t>
      </w:r>
    </w:p>
    <w:p>
      <w:pPr>
        <w:spacing w:after="0" w:line="162" w:lineRule="exact"/>
        <w:rPr>
          <w:sz w:val="20"/>
          <w:szCs w:val="20"/>
          <w:color w:val="auto"/>
        </w:rPr>
      </w:pPr>
    </w:p>
    <w:p>
      <w:pPr>
        <w:jc w:val="both"/>
        <w:ind w:left="1300" w:firstLine="4"/>
        <w:spacing w:after="0" w:line="269" w:lineRule="auto"/>
        <w:tabs>
          <w:tab w:leader="none" w:pos="157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If (and only if), by the Delayed Draw Term Extension Response Date, Delayed Draw Term Lenders holding then existing Available Delayed Draw Term Commitments and then outstanding Delayed Draw Term Loans that aggregate more than 50% of the total of the sum of the then existing Available Delayed Draw Term Commitments and then outstanding Delayed Draw Term Loans shall have agreed to extend the Existing Delayed Draw Term Maturity Date (each such consenting Delayed Draw Term Lender, an “</w:t>
      </w:r>
      <w:r>
        <w:rPr>
          <w:rFonts w:ascii="Arial" w:cs="Arial" w:eastAsia="Arial" w:hAnsi="Arial"/>
          <w:sz w:val="16"/>
          <w:szCs w:val="16"/>
          <w:u w:val="single" w:color="auto"/>
          <w:color w:val="auto"/>
        </w:rPr>
        <w:t>Extending Delayed Draw</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 Lender</w:t>
      </w:r>
      <w:r>
        <w:rPr>
          <w:rFonts w:ascii="Arial" w:cs="Arial" w:eastAsia="Arial" w:hAnsi="Arial"/>
          <w:sz w:val="16"/>
          <w:szCs w:val="16"/>
          <w:color w:val="auto"/>
        </w:rPr>
        <w:t xml:space="preserve">”), then effective as of the Existing Delayed Draw Term Maturity Date, the Delayed Draw Term Maturity Date for such Extending Delayed Draw Term Lenders shall be so extended (subject to satisfaction of the conditions set forth in this </w:t>
      </w:r>
      <w:r>
        <w:rPr>
          <w:rFonts w:ascii="Arial" w:cs="Arial" w:eastAsia="Arial" w:hAnsi="Arial"/>
          <w:sz w:val="16"/>
          <w:szCs w:val="16"/>
          <w:u w:val="single" w:color="auto"/>
          <w:color w:val="auto"/>
        </w:rPr>
        <w:t>Section 2.24(b)</w:t>
      </w:r>
      <w:r>
        <w:rPr>
          <w:rFonts w:ascii="Arial" w:cs="Arial" w:eastAsia="Arial" w:hAnsi="Arial"/>
          <w:sz w:val="16"/>
          <w:szCs w:val="16"/>
          <w:color w:val="auto"/>
        </w:rPr>
        <w:t xml:space="preserve">). In the event of such extension, the Commitment of each Non-Extending Delayed Draw Term Lender shall terminate on the Existing Delayed Draw Term Maturity Date in effect for such Non-Extending Delayed Draw Term Lender prior to such extension and the outstanding principal balance of all Delayed Draw Term Loans and other amounts payable hereunder to such Non-Extending Delayed Draw Term Lender shall become due and payable on such Existing Delayed Draw Term Maturity Date and, subject to </w:t>
      </w:r>
      <w:r>
        <w:rPr>
          <w:rFonts w:ascii="Arial" w:cs="Arial" w:eastAsia="Arial" w:hAnsi="Arial"/>
          <w:sz w:val="16"/>
          <w:szCs w:val="16"/>
          <w:u w:val="single" w:color="auto"/>
          <w:color w:val="auto"/>
        </w:rPr>
        <w:t>Section 2.24(b)(2)</w:t>
      </w:r>
      <w:r>
        <w:rPr>
          <w:rFonts w:ascii="Arial" w:cs="Arial" w:eastAsia="Arial" w:hAnsi="Arial"/>
          <w:sz w:val="16"/>
          <w:szCs w:val="16"/>
          <w:color w:val="auto"/>
        </w:rPr>
        <w:t xml:space="preserve"> below, the total Delayed Draw Term Commitments hereunder shall be reduced by the Delayed Draw Term Commitments of the Non-Extending Delayed Draw Term Lenders so terminated on such Existing Delayed Draw Term Maturity Date.</w:t>
      </w:r>
    </w:p>
    <w:p>
      <w:pPr>
        <w:spacing w:after="0" w:line="171" w:lineRule="exact"/>
        <w:rPr>
          <w:sz w:val="20"/>
          <w:szCs w:val="20"/>
          <w:color w:val="auto"/>
        </w:rPr>
      </w:pPr>
    </w:p>
    <w:p>
      <w:pPr>
        <w:jc w:val="both"/>
        <w:ind w:left="1300" w:firstLine="4"/>
        <w:spacing w:after="0" w:line="238" w:lineRule="auto"/>
        <w:tabs>
          <w:tab w:leader="none" w:pos="169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In the event of any extension of the Existing Delayed Draw Term Maturity Date pursuant to this </w:t>
      </w:r>
      <w:r>
        <w:rPr>
          <w:rFonts w:ascii="Arial" w:cs="Arial" w:eastAsia="Arial" w:hAnsi="Arial"/>
          <w:sz w:val="18"/>
          <w:szCs w:val="18"/>
          <w:u w:val="single" w:color="auto"/>
          <w:color w:val="auto"/>
        </w:rPr>
        <w:t>Section 2.24(b)</w:t>
      </w:r>
      <w:r>
        <w:rPr>
          <w:rFonts w:ascii="Arial" w:cs="Arial" w:eastAsia="Arial" w:hAnsi="Arial"/>
          <w:sz w:val="18"/>
          <w:szCs w:val="18"/>
          <w:color w:val="auto"/>
        </w:rPr>
        <w:t xml:space="preserve">, the Borrower shall have the right on or before the Existing Delayed Draw Term Maturity Date, at its own expense, to require any Non-Extending Delayed Draw Term Lender to transfer and assign without recourse (in accordance with and subject to the restrictions contained in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all its interests, rights (other than its rights to payments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arising prior to the effectiveness of such assignment) and obligations under this Agreement to one or more banks or other financial institutions identified to the Non-Extending Delayed Draw Term Lender by the Borrower, which may include any existing Delayed Draw Term Lender (each a “</w:t>
      </w:r>
      <w:r>
        <w:rPr>
          <w:rFonts w:ascii="Arial" w:cs="Arial" w:eastAsia="Arial" w:hAnsi="Arial"/>
          <w:sz w:val="18"/>
          <w:szCs w:val="18"/>
          <w:u w:val="single" w:color="auto"/>
          <w:color w:val="auto"/>
        </w:rPr>
        <w:t>Replacement Delayed Draw Term 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(x) such Replacement Delayed Draw Term Lender, if not already a Delayed Draw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21" w:right="339" w:bottom="1440" w:gutter="0" w:footer="0" w:header="0"/>
        </w:sectPr>
      </w:pPr>
    </w:p>
    <w:bookmarkStart w:id="178" w:name="page179"/>
    <w:bookmarkEnd w:id="178"/>
    <w:p>
      <w:pPr>
        <w:jc w:val="both"/>
        <w:ind w:left="1300"/>
        <w:spacing w:after="0" w:line="274" w:lineRule="auto"/>
        <w:rPr>
          <w:sz w:val="20"/>
          <w:szCs w:val="20"/>
          <w:color w:val="auto"/>
        </w:rPr>
      </w:pPr>
      <w:r>
        <w:rPr>
          <w:rFonts w:ascii="Arial" w:cs="Arial" w:eastAsia="Arial" w:hAnsi="Arial"/>
          <w:sz w:val="16"/>
          <w:szCs w:val="16"/>
          <w:color w:val="auto"/>
        </w:rPr>
        <w:t xml:space="preserve">Term Lender hereunder, shall be subject to the approval of the Administrative Agent to the extent the consent of the Administrative Agent would be required to effect an assignment under </w:t>
      </w:r>
      <w:r>
        <w:rPr>
          <w:rFonts w:ascii="Arial" w:cs="Arial" w:eastAsia="Arial" w:hAnsi="Arial"/>
          <w:sz w:val="16"/>
          <w:szCs w:val="16"/>
          <w:u w:val="single" w:color="auto"/>
          <w:color w:val="auto"/>
        </w:rPr>
        <w:t>Section 10.6</w:t>
      </w:r>
      <w:r>
        <w:rPr>
          <w:rFonts w:ascii="Arial" w:cs="Arial" w:eastAsia="Arial" w:hAnsi="Arial"/>
          <w:sz w:val="16"/>
          <w:szCs w:val="16"/>
          <w:color w:val="auto"/>
        </w:rPr>
        <w:t>; such assignment shall become effective as of a date specified by the Borrower (which shall not be later than the Existing Delayed Draw Term Maturity Date in effect for such Non-Extending Delayed Draw Term Lender prior to the effective date of the requested extension) and the Replacement Delayed Draw Term Lender shall pay to such Non-Extending Delayed Draw Term Lender in immediately available funds on the effective date of such assignment the principal of and interest accrued to the date of payment on the outstanding principal amount Delayed Draw Term Loans made by it hereunder and all other amounts accrued and unpaid for its account or otherwise owed to it hereunder on such date.</w:t>
      </w:r>
    </w:p>
    <w:p>
      <w:pPr>
        <w:spacing w:after="0" w:line="163" w:lineRule="exact"/>
        <w:rPr>
          <w:sz w:val="20"/>
          <w:szCs w:val="20"/>
          <w:color w:val="auto"/>
        </w:rPr>
      </w:pPr>
    </w:p>
    <w:p>
      <w:pPr>
        <w:jc w:val="both"/>
        <w:ind w:left="1300" w:firstLine="4"/>
        <w:spacing w:after="0" w:line="276" w:lineRule="auto"/>
        <w:tabs>
          <w:tab w:leader="none" w:pos="168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As a condition precedent to each such extension of the Existing Delayed Draw Term Maturity Date pursuant to this </w:t>
      </w:r>
      <w:r>
        <w:rPr>
          <w:rFonts w:ascii="Arial" w:cs="Arial" w:eastAsia="Arial" w:hAnsi="Arial"/>
          <w:sz w:val="16"/>
          <w:szCs w:val="16"/>
          <w:u w:val="single" w:color="auto"/>
          <w:color w:val="auto"/>
        </w:rPr>
        <w:t>Section 2.24(b)</w:t>
      </w:r>
      <w:r>
        <w:rPr>
          <w:rFonts w:ascii="Arial" w:cs="Arial" w:eastAsia="Arial" w:hAnsi="Arial"/>
          <w:sz w:val="16"/>
          <w:szCs w:val="16"/>
          <w:color w:val="auto"/>
        </w:rPr>
        <w:t>, the Borrower shall (x) deliver to the Administrative Agent a certificate of the Borrower dated as of the Existing Delayed Draw Term Maturity Date signed by a Responsible Officer of the Borrower certifying that, as of such date, both before and immediately after giving effect to such extension, the representations and warranties of the Borrower set forth in this Agreement shall be true and correct in all material respects (other than any representation or warranty qualified as to “materiality”, “Material Adverse Effect” or similar language, which shall be accurate in all respects) and that no Default or Event of Default shall have occurred and be continuing.</w:t>
      </w:r>
    </w:p>
    <w:p>
      <w:pPr>
        <w:spacing w:after="0" w:line="161" w:lineRule="exact"/>
        <w:rPr>
          <w:rFonts w:ascii="Arial" w:cs="Arial" w:eastAsia="Arial" w:hAnsi="Arial"/>
          <w:sz w:val="16"/>
          <w:szCs w:val="16"/>
          <w:color w:val="auto"/>
        </w:rPr>
      </w:pPr>
    </w:p>
    <w:p>
      <w:pPr>
        <w:jc w:val="both"/>
        <w:ind w:left="1300" w:firstLine="4"/>
        <w:spacing w:after="0" w:line="257" w:lineRule="auto"/>
        <w:tabs>
          <w:tab w:leader="none" w:pos="172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 The interest margins with respect to the extended Delayed Draw Term Loans may be different than the interest margins for the non-extended Delayed Draw Term Loans and upfront fees may be paid to the Extending Delayed Draw Term Lenders, in each case, to the extent provided in the applicable extension amendment; (ii) the applicable loan extension amendment may provide for other covenants and terms that apply solely to any period after the latest applicable Maturity Date of the Delayed Draw Term Loans being extended; and (iii) no extended Delayed Draw Term Loans shall be entitled to the benefit of any collateral or guarantees while any existing Facility is outstanding unless all outstanding existing Facilities also receive the benefit of such collateral or guarantees.</w:t>
      </w:r>
    </w:p>
    <w:p>
      <w:pPr>
        <w:spacing w:after="0" w:line="175" w:lineRule="exact"/>
        <w:rPr>
          <w:rFonts w:ascii="Arial" w:cs="Arial" w:eastAsia="Arial" w:hAnsi="Arial"/>
          <w:sz w:val="17"/>
          <w:szCs w:val="17"/>
          <w:color w:val="auto"/>
        </w:rPr>
      </w:pPr>
    </w:p>
    <w:p>
      <w:pPr>
        <w:jc w:val="both"/>
        <w:ind w:left="1300" w:firstLine="4"/>
        <w:spacing w:after="0" w:line="241" w:lineRule="auto"/>
        <w:tabs>
          <w:tab w:leader="none" w:pos="176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For the avoidance of doubt, no consent of any Lender (other than the existing Delayed Draw Term Lenders participating in the extension of the Existing Delayed Draw Term Maturity Date) shall be required for any extension of the Delayed Draw Term Maturity Date pursuant to this </w:t>
      </w:r>
      <w:r>
        <w:rPr>
          <w:rFonts w:ascii="Arial" w:cs="Arial" w:eastAsia="Arial" w:hAnsi="Arial"/>
          <w:sz w:val="18"/>
          <w:szCs w:val="18"/>
          <w:u w:val="single" w:color="auto"/>
          <w:color w:val="auto"/>
        </w:rPr>
        <w:t>Section 2.24(b)</w:t>
      </w:r>
      <w:r>
        <w:rPr>
          <w:rFonts w:ascii="Arial" w:cs="Arial" w:eastAsia="Arial" w:hAnsi="Arial"/>
          <w:sz w:val="18"/>
          <w:szCs w:val="18"/>
          <w:color w:val="auto"/>
        </w:rPr>
        <w:t xml:space="preserve"> and any extension amendment may include such technical amendments to this Agreement as may be necessary or appropriate in the reasonable opinion of the Administrative Agent and the Borrower. This </w:t>
      </w:r>
      <w:r>
        <w:rPr>
          <w:rFonts w:ascii="Arial" w:cs="Arial" w:eastAsia="Arial" w:hAnsi="Arial"/>
          <w:sz w:val="18"/>
          <w:szCs w:val="18"/>
          <w:u w:val="single" w:color="auto"/>
          <w:color w:val="auto"/>
        </w:rPr>
        <w:t>Section 2.24(b)</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w:t>
      </w:r>
      <w:r>
        <w:rPr>
          <w:rFonts w:ascii="Arial" w:cs="Arial" w:eastAsia="Arial" w:hAnsi="Arial"/>
          <w:sz w:val="18"/>
          <w:szCs w:val="18"/>
          <w:color w:val="auto"/>
        </w:rPr>
        <w:t xml:space="preserve"> to the contrary.</w:t>
      </w:r>
    </w:p>
    <w:p>
      <w:pPr>
        <w:spacing w:after="0" w:line="189"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LETTERS OF CREDIT</w:t>
      </w:r>
    </w:p>
    <w:p>
      <w:pPr>
        <w:spacing w:after="0" w:line="21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L/C Commitment</w:t>
      </w:r>
      <w:r>
        <w:rPr>
          <w:rFonts w:ascii="Arial" w:cs="Arial" w:eastAsia="Arial" w:hAnsi="Arial"/>
          <w:sz w:val="16"/>
          <w:szCs w:val="16"/>
          <w:color w:val="auto"/>
        </w:rPr>
        <w:t>.</w:t>
      </w:r>
    </w:p>
    <w:p>
      <w:pPr>
        <w:spacing w:after="0" w:line="212" w:lineRule="exact"/>
        <w:rPr>
          <w:sz w:val="20"/>
          <w:szCs w:val="20"/>
          <w:color w:val="auto"/>
        </w:rPr>
      </w:pPr>
    </w:p>
    <w:p>
      <w:pPr>
        <w:jc w:val="both"/>
        <w:ind w:firstLine="656"/>
        <w:spacing w:after="0" w:line="252" w:lineRule="auto"/>
        <w:tabs>
          <w:tab w:leader="none" w:pos="105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hereof, the Borrower may request that </w:t>
      </w:r>
      <w:r>
        <w:rPr>
          <w:rFonts w:ascii="Arial" w:cs="Arial" w:eastAsia="Arial" w:hAnsi="Arial"/>
          <w:sz w:val="17"/>
          <w:szCs w:val="17"/>
          <w:u w:val="single" w:color="auto"/>
          <w:color w:val="0000FF"/>
          <w:highlight w:val="lightGray"/>
        </w:rPr>
        <w:t>(i)</w:t>
      </w:r>
      <w:r>
        <w:rPr>
          <w:rFonts w:ascii="Arial" w:cs="Arial" w:eastAsia="Arial" w:hAnsi="Arial"/>
          <w:sz w:val="17"/>
          <w:szCs w:val="17"/>
          <w:color w:val="auto"/>
        </w:rPr>
        <w:t xml:space="preserve"> any Issuing Lender, in reliance on the agreements of the other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Lenders set forth in</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00"/>
        </w:rPr>
        <w:t>Section 3.4(a)</w:t>
      </w:r>
      <w:r>
        <w:rPr>
          <w:rFonts w:ascii="Arial" w:cs="Arial" w:eastAsia="Arial" w:hAnsi="Arial"/>
          <w:sz w:val="17"/>
          <w:szCs w:val="17"/>
          <w:color w:val="000000"/>
        </w:rPr>
        <w:t>, issue standby letters of credit (“</w:t>
      </w:r>
      <w:r>
        <w:rPr>
          <w:rFonts w:ascii="Arial" w:cs="Arial" w:eastAsia="Arial" w:hAnsi="Arial"/>
          <w:sz w:val="17"/>
          <w:szCs w:val="17"/>
          <w:u w:val="single" w:color="auto"/>
          <w:color w:val="0000FF"/>
          <w:highlight w:val="lightGray"/>
        </w:rPr>
        <w:t>Multicurrency Letters of Credit”) for the account of the</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Borrower (or for the account of the Borrower and one or more of its Restricted Subsidiaries) denominated in any Agreed Currency on any Business Day during the Multicurrency Commitment Period in such form as may be approved from time to time by such Issuing Lender or (ii) any Issuing Lender, in reliance on the agreements of the other USD Revolving Lenders set forth in Section 3.4(a), issue standby letters of credit (“USD</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00"/>
        </w:rPr>
        <w:t>Letters of Credit</w:t>
      </w:r>
      <w:r>
        <w:rPr>
          <w:rFonts w:ascii="Arial" w:cs="Arial" w:eastAsia="Arial" w:hAnsi="Arial"/>
          <w:sz w:val="17"/>
          <w:szCs w:val="17"/>
          <w:color w:val="000000"/>
        </w:rPr>
        <w:t>”) for the</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account of the Borrower (or for the account of the Borrower and one or more of its Restricted Subsidiaries) denominated in Dollars on any Business Day during the </w:t>
      </w:r>
      <w:r>
        <w:rPr>
          <w:rFonts w:ascii="Arial" w:cs="Arial" w:eastAsia="Arial" w:hAnsi="Arial"/>
          <w:sz w:val="17"/>
          <w:szCs w:val="17"/>
          <w:color w:val="FF0000"/>
          <w:strike w:val="1"/>
        </w:rPr>
        <w:t>Revolving</w:t>
      </w:r>
      <w:r>
        <w:rPr>
          <w:rFonts w:ascii="Arial" w:cs="Arial" w:eastAsia="Arial" w:hAnsi="Arial"/>
          <w:sz w:val="17"/>
          <w:szCs w:val="17"/>
          <w:u w:val="single" w:color="auto"/>
          <w:color w:val="0000FF"/>
          <w:highlight w:val="lightGray"/>
        </w:rPr>
        <w:t>USD</w:t>
      </w:r>
      <w:r>
        <w:rPr>
          <w:rFonts w:ascii="Arial" w:cs="Arial" w:eastAsia="Arial" w:hAnsi="Arial"/>
          <w:sz w:val="17"/>
          <w:szCs w:val="17"/>
          <w:color w:val="000000"/>
        </w:rPr>
        <w:t xml:space="preserve"> Commitment Period in such form as may be approved from time to time by such Issuing Lender;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no Issuing Lender shall be required to issue any Letter of Credit if, after giving effect to such issuance, (i) the L/C Obligations would exceed the L/C Commitment, (ii) the aggregate amount of the Available </w:t>
      </w:r>
      <w:r>
        <w:rPr>
          <w:rFonts w:ascii="Arial" w:cs="Arial" w:eastAsia="Arial" w:hAnsi="Arial"/>
          <w:sz w:val="17"/>
          <w:szCs w:val="17"/>
          <w:u w:val="single" w:color="auto"/>
          <w:color w:val="0000FF"/>
          <w:highlight w:val="lightGray"/>
        </w:rPr>
        <w:t>Multicurrency Revolving Commitments would be less than zero, (iii) the aggregate amount of the Available USD</w:t>
      </w:r>
      <w:r>
        <w:rPr>
          <w:rFonts w:ascii="Arial" w:cs="Arial" w:eastAsia="Arial" w:hAnsi="Arial"/>
          <w:sz w:val="17"/>
          <w:szCs w:val="17"/>
          <w:color w:val="000000"/>
        </w:rPr>
        <w:t xml:space="preserve"> Revolving Commitments would be less than zero or (</w:t>
      </w:r>
      <w:r>
        <w:rPr>
          <w:rFonts w:ascii="Arial" w:cs="Arial" w:eastAsia="Arial" w:hAnsi="Arial"/>
          <w:sz w:val="17"/>
          <w:szCs w:val="17"/>
          <w:color w:val="FF0000"/>
          <w:strike w:val="1"/>
        </w:rPr>
        <w:t>iii</w:t>
      </w:r>
      <w:r>
        <w:rPr>
          <w:rFonts w:ascii="Arial" w:cs="Arial" w:eastAsia="Arial" w:hAnsi="Arial"/>
          <w:sz w:val="17"/>
          <w:szCs w:val="17"/>
          <w:u w:val="single" w:color="auto"/>
          <w:color w:val="0000FF"/>
          <w:highlight w:val="lightGray"/>
        </w:rPr>
        <w:t>iv</w:t>
      </w:r>
      <w:r>
        <w:rPr>
          <w:rFonts w:ascii="Arial" w:cs="Arial" w:eastAsia="Arial" w:hAnsi="Arial"/>
          <w:sz w:val="17"/>
          <w:szCs w:val="17"/>
          <w:color w:val="000000"/>
        </w:rPr>
        <w:t>) unless such Issuing Lender otherwise consents, the L/C Obligations with respect to Letters of Credit issued by any Issuing Lender would exceed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21" w:right="339" w:bottom="1440" w:gutter="0" w:footer="0" w:header="0"/>
        </w:sectPr>
      </w:pPr>
    </w:p>
    <w:bookmarkStart w:id="179" w:name="page180"/>
    <w:bookmarkEnd w:id="179"/>
    <w:p>
      <w:pPr>
        <w:jc w:val="both"/>
        <w:spacing w:after="0" w:line="250" w:lineRule="auto"/>
        <w:rPr>
          <w:sz w:val="20"/>
          <w:szCs w:val="20"/>
          <w:color w:val="auto"/>
        </w:rPr>
      </w:pPr>
      <w:r>
        <w:rPr>
          <w:rFonts w:ascii="Arial" w:cs="Arial" w:eastAsia="Arial" w:hAnsi="Arial"/>
          <w:sz w:val="17"/>
          <w:szCs w:val="17"/>
          <w:color w:val="auto"/>
        </w:rPr>
        <w:t>Issuing Lender Commitment of such Issuing Lender</w:t>
      </w:r>
      <w:r>
        <w:rPr>
          <w:rFonts w:ascii="Arial" w:cs="Arial" w:eastAsia="Arial" w:hAnsi="Arial"/>
          <w:sz w:val="17"/>
          <w:szCs w:val="17"/>
          <w:u w:val="single" w:color="auto"/>
          <w:color w:val="0000FF"/>
          <w:highlight w:val="lightGray"/>
        </w:rPr>
        <w:t>; provided, further, that no Issuing Lender shall be required to issue any Multicurrency Letter of Credit</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in an Alternative Currency if, after giving effect to such issuance, the Total Multicurrency Revolving Extensions of Credit denominated in Alternative Currencies would exceed the Alternative Currency Sublimit</w:t>
      </w:r>
      <w:r>
        <w:rPr>
          <w:rFonts w:ascii="Arial" w:cs="Arial" w:eastAsia="Arial" w:hAnsi="Arial"/>
          <w:sz w:val="17"/>
          <w:szCs w:val="17"/>
          <w:color w:val="000000"/>
        </w:rPr>
        <w:t>. Each Letter of Credit shall (i)</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(x) in the case of a Multicurrency Letter of Credit, be</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denominated in an Agreed Currency and (y) in the case of a USD Letter of Credit,</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be denominated in Dollars and (ii) expire no later than the earlier of (x)</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the first anniversary of its date of issuance and (y) the date that is five (5) Business Days prior to </w:t>
      </w:r>
      <w:r>
        <w:rPr>
          <w:rFonts w:ascii="Arial" w:cs="Arial" w:eastAsia="Arial" w:hAnsi="Arial"/>
          <w:sz w:val="17"/>
          <w:szCs w:val="17"/>
          <w:color w:val="FF0000"/>
          <w:strike w:val="1"/>
        </w:rPr>
        <w:t>the</w:t>
      </w:r>
      <w:r>
        <w:rPr>
          <w:rFonts w:ascii="Arial" w:cs="Arial" w:eastAsia="Arial" w:hAnsi="Arial"/>
          <w:sz w:val="17"/>
          <w:szCs w:val="17"/>
          <w:u w:val="single" w:color="auto"/>
          <w:color w:val="0000FF"/>
          <w:highlight w:val="lightGray"/>
        </w:rPr>
        <w:t>(1) in the case of a Multicurrency Letter of Credit, the</w:t>
      </w:r>
      <w:r>
        <w:rPr>
          <w:rFonts w:ascii="Arial" w:cs="Arial" w:eastAsia="Arial" w:hAnsi="Arial"/>
          <w:sz w:val="17"/>
          <w:szCs w:val="17"/>
          <w:color w:val="000000"/>
        </w:rPr>
        <w:t xml:space="preserve"> </w:t>
      </w:r>
      <w:r>
        <w:rPr>
          <w:rFonts w:ascii="Arial" w:cs="Arial" w:eastAsia="Arial" w:hAnsi="Arial"/>
          <w:sz w:val="17"/>
          <w:szCs w:val="17"/>
          <w:u w:val="single" w:color="auto"/>
          <w:color w:val="0000FF"/>
          <w:highlight w:val="lightGray"/>
        </w:rPr>
        <w:t>Multicurrency Revolving Maturity Date and (2) in the case of a USD Letter of Credit, the USD</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Maturity Date;</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00"/>
        </w:rPr>
        <w:t>provided</w:t>
      </w:r>
      <w:r>
        <w:rPr>
          <w:rFonts w:ascii="Arial" w:cs="Arial" w:eastAsia="Arial" w:hAnsi="Arial"/>
          <w:sz w:val="17"/>
          <w:szCs w:val="17"/>
          <w:color w:val="000000"/>
        </w:rPr>
        <w:t>, that any Letter of</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Credit with a tenor of one year or less may provide for the automatic renewal thereof for additional periods of one year or less (which shall in no event extend beyond the date referred to in </w:t>
      </w:r>
      <w:r>
        <w:rPr>
          <w:rFonts w:ascii="Arial" w:cs="Arial" w:eastAsia="Arial" w:hAnsi="Arial"/>
          <w:sz w:val="17"/>
          <w:szCs w:val="17"/>
          <w:u w:val="single" w:color="auto"/>
          <w:color w:val="000000"/>
        </w:rPr>
        <w:t>clause (y)</w:t>
      </w:r>
      <w:r>
        <w:rPr>
          <w:rFonts w:ascii="Arial" w:cs="Arial" w:eastAsia="Arial" w:hAnsi="Arial"/>
          <w:sz w:val="17"/>
          <w:szCs w:val="17"/>
          <w:color w:val="000000"/>
        </w:rPr>
        <w:t xml:space="preserve"> above, subject to the penultimate sentence of this </w:t>
      </w:r>
      <w:r>
        <w:rPr>
          <w:rFonts w:ascii="Arial" w:cs="Arial" w:eastAsia="Arial" w:hAnsi="Arial"/>
          <w:sz w:val="17"/>
          <w:szCs w:val="17"/>
          <w:u w:val="single" w:color="auto"/>
          <w:color w:val="000000"/>
        </w:rPr>
        <w:t>Section 3.1(a)</w:t>
      </w:r>
      <w:r>
        <w:rPr>
          <w:rFonts w:ascii="Arial" w:cs="Arial" w:eastAsia="Arial" w:hAnsi="Arial"/>
          <w:sz w:val="17"/>
          <w:szCs w:val="17"/>
          <w:color w:val="000000"/>
        </w:rPr>
        <w:t>) so long as such Letter of Credit permits the applicable Issuing Lender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7"/>
          <w:szCs w:val="17"/>
          <w:u w:val="single" w:color="auto"/>
          <w:color w:val="000000"/>
        </w:rPr>
        <w:t>Non-Extension Notice Date</w:t>
      </w:r>
      <w:r>
        <w:rPr>
          <w:rFonts w:ascii="Arial" w:cs="Arial" w:eastAsia="Arial" w:hAnsi="Arial"/>
          <w:sz w:val="17"/>
          <w:szCs w:val="17"/>
          <w:color w:val="000000"/>
        </w:rPr>
        <w:t xml:space="preserve">”) in each such twelve-month period to be agreed upon at the time such Letter of Credit is issued. Once an automatic renewal Letter of Credit has been issued, the </w:t>
      </w:r>
      <w:r>
        <w:rPr>
          <w:rFonts w:ascii="Arial" w:cs="Arial" w:eastAsia="Arial" w:hAnsi="Arial"/>
          <w:sz w:val="17"/>
          <w:szCs w:val="17"/>
          <w:u w:val="single" w:color="auto"/>
          <w:color w:val="0000FF"/>
          <w:highlight w:val="lightGray"/>
        </w:rPr>
        <w:t>applicable</w:t>
      </w:r>
      <w:r>
        <w:rPr>
          <w:rFonts w:ascii="Arial" w:cs="Arial" w:eastAsia="Arial" w:hAnsi="Arial"/>
          <w:sz w:val="17"/>
          <w:szCs w:val="17"/>
          <w:color w:val="000000"/>
        </w:rPr>
        <w:t xml:space="preserve"> Revolving Lenders shall be deemed to have authorized the Issuing Lender to permit the extension of such Letter of Credit at any time to an expiry date not later than the date referred to in </w:t>
      </w:r>
      <w:r>
        <w:rPr>
          <w:rFonts w:ascii="Arial" w:cs="Arial" w:eastAsia="Arial" w:hAnsi="Arial"/>
          <w:sz w:val="17"/>
          <w:szCs w:val="17"/>
          <w:u w:val="single" w:color="auto"/>
          <w:color w:val="000000"/>
        </w:rPr>
        <w:t>clause (y)</w:t>
      </w:r>
      <w:r>
        <w:rPr>
          <w:rFonts w:ascii="Arial" w:cs="Arial" w:eastAsia="Arial" w:hAnsi="Arial"/>
          <w:sz w:val="17"/>
          <w:szCs w:val="17"/>
          <w:color w:val="000000"/>
        </w:rPr>
        <w:t xml:space="preserve"> above;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xml:space="preserve">, that the Issuing Lender shall not permit any such extension if it has received written notice on or before the day that is seven Business Days before the Non-Extension Notice Date from any Lender or the Administrative Agent that a Default or Event of Default has occurred and is continuing directing the Issuing Lender not to permit such extension. Notwithstanding anything else herein to the contrary, if agreed by the applicable Issuing Lender, a Letter of Credit may extend up to one year beyond </w:t>
      </w:r>
      <w:r>
        <w:rPr>
          <w:rFonts w:ascii="Arial" w:cs="Arial" w:eastAsia="Arial" w:hAnsi="Arial"/>
          <w:sz w:val="17"/>
          <w:szCs w:val="17"/>
          <w:color w:val="FF0000"/>
          <w:strike w:val="1"/>
        </w:rPr>
        <w:t>the</w:t>
      </w:r>
      <w:r>
        <w:rPr>
          <w:rFonts w:ascii="Arial" w:cs="Arial" w:eastAsia="Arial" w:hAnsi="Arial"/>
          <w:sz w:val="17"/>
          <w:szCs w:val="17"/>
          <w:u w:val="single" w:color="auto"/>
          <w:color w:val="0000FF"/>
          <w:highlight w:val="lightGray"/>
        </w:rPr>
        <w:t>(i) in the case of a Multicurrency Letter of Credit, the Multicurrency</w:t>
      </w:r>
      <w:r>
        <w:rPr>
          <w:rFonts w:ascii="Arial" w:cs="Arial" w:eastAsia="Arial" w:hAnsi="Arial"/>
          <w:sz w:val="17"/>
          <w:szCs w:val="17"/>
          <w:color w:val="000000"/>
        </w:rPr>
        <w:t xml:space="preserve"> </w:t>
      </w:r>
      <w:r>
        <w:rPr>
          <w:rFonts w:ascii="Arial" w:cs="Arial" w:eastAsia="Arial" w:hAnsi="Arial"/>
          <w:sz w:val="17"/>
          <w:szCs w:val="17"/>
          <w:u w:val="single" w:color="auto"/>
          <w:color w:val="0000FF"/>
          <w:highlight w:val="lightGray"/>
        </w:rPr>
        <w:t>Revolving Maturity Date and (ii) in the case of a USD letter of Credit, the USD</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Maturity Date;</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00"/>
        </w:rPr>
        <w:t>provided</w:t>
      </w:r>
      <w:r>
        <w:rPr>
          <w:rFonts w:ascii="Arial" w:cs="Arial" w:eastAsia="Arial" w:hAnsi="Arial"/>
          <w:sz w:val="17"/>
          <w:szCs w:val="17"/>
          <w:color w:val="000000"/>
        </w:rPr>
        <w:t>, that the Borrower shall deliver cash</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collateral to the applicable Issuing Lender in an amount equal to 103% of the face amount of such Letter of Credit no later than ninety-one (91) days prior to </w:t>
      </w:r>
      <w:r>
        <w:rPr>
          <w:rFonts w:ascii="Arial" w:cs="Arial" w:eastAsia="Arial" w:hAnsi="Arial"/>
          <w:sz w:val="17"/>
          <w:szCs w:val="17"/>
          <w:color w:val="FF0000"/>
          <w:strike w:val="1"/>
        </w:rPr>
        <w:t>the</w:t>
      </w:r>
      <w:r>
        <w:rPr>
          <w:rFonts w:ascii="Arial" w:cs="Arial" w:eastAsia="Arial" w:hAnsi="Arial"/>
          <w:sz w:val="17"/>
          <w:szCs w:val="17"/>
          <w:u w:val="single" w:color="auto"/>
          <w:color w:val="0000FF"/>
          <w:highlight w:val="lightGray"/>
        </w:rPr>
        <w:t>(i) in the case of a Multicurrency Letter of Credit, the Multicurrency Revolving Maturity Date and (ii) in the case of a USD Letter of Credit, the USD</w:t>
      </w:r>
      <w:r>
        <w:rPr>
          <w:rFonts w:ascii="Arial" w:cs="Arial" w:eastAsia="Arial" w:hAnsi="Arial"/>
          <w:sz w:val="17"/>
          <w:szCs w:val="17"/>
          <w:color w:val="000000"/>
        </w:rPr>
        <w:t xml:space="preserve"> Revolving Maturity Date.</w:t>
      </w:r>
    </w:p>
    <w:p>
      <w:pPr>
        <w:spacing w:after="0" w:line="194" w:lineRule="exact"/>
        <w:rPr>
          <w:sz w:val="20"/>
          <w:szCs w:val="20"/>
          <w:color w:val="auto"/>
        </w:rPr>
      </w:pPr>
    </w:p>
    <w:p>
      <w:pPr>
        <w:jc w:val="both"/>
        <w:ind w:firstLine="656"/>
        <w:spacing w:after="0"/>
        <w:tabs>
          <w:tab w:leader="none" w:pos="110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Issuing Lender shall at any time be obligated to issue any Letter of Credit if such issuance would conflict with, or cause the Issuing Lender or any L/C Participant to exceed any limits imposed by, any applicable Requirement of Law or would violate such Issuing Lender’s internal policies or procedures. Notwithstanding anything herein to the contrary, no Issuing Lender shall have an obligation hereunder to issue any Letter of Credit the proceeds of which would be made to any Person (i) to fund any prohibited activity or business of or with any Sanctioned Person, or in any country or territory, that at the time of such funding is the subject of any Sanctions or (ii) in any manner that would result in a violation of any Sanctions by any party to this Agreement.</w:t>
      </w:r>
    </w:p>
    <w:p>
      <w:pPr>
        <w:spacing w:after="0" w:line="189" w:lineRule="exact"/>
        <w:rPr>
          <w:rFonts w:ascii="Arial" w:cs="Arial" w:eastAsia="Arial" w:hAnsi="Arial"/>
          <w:sz w:val="18"/>
          <w:szCs w:val="18"/>
          <w:color w:val="auto"/>
        </w:rPr>
      </w:pPr>
    </w:p>
    <w:p>
      <w:pPr>
        <w:jc w:val="both"/>
        <w:ind w:firstLine="656"/>
        <w:spacing w:after="0" w:line="253" w:lineRule="auto"/>
        <w:tabs>
          <w:tab w:leader="none" w:pos="109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Notwithstanding that a Letter of Credit issued or outstanding hereunder supports any obligations of, or is for the account of, a Restricted Subsidiary, or states that a Restricted Subsidiary is the “account party,” “applicant,” “customer,” “instructing party,” or the like of or for such Letter of Credit, and without derogating from any rights of the Issuing Lender (whether arising by contract, at law, in equity or otherwise) against such Restricted Subsidiary in respect of such Letter of Credit, the Borrower (i) shall reimburse, indemnify and compensate the Issuing Lender hereunder for all obligations in respect of such Letter of Credit (including to reimburse any and all drawings thereunder), as if such Letter of Credit had been issued solely for the account of the Borrower and (ii) the Borrower irrevocably waives any and all defenses that might otherwise be available to it as a guarantor or surety of any or all of the obligations of such Restricted Subsidiary in respect of such Letter of Credit. The Borrower hereby acknowledges that the issuance of such Letters of Credit for its Restricted Subsidiaries inures to the benefit of the Borrower, and that the Borrower’s business derives substantial benefits from the businesses of such Restricted Subsidiaries.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Procedure for Issuance of Letter of Credit</w:t>
      </w:r>
      <w:r>
        <w:rPr>
          <w:rFonts w:ascii="Arial" w:cs="Arial" w:eastAsia="Arial" w:hAnsi="Arial"/>
          <w:sz w:val="17"/>
          <w:szCs w:val="17"/>
          <w:color w:val="auto"/>
        </w:rPr>
        <w:t>. The Borrower may from time to time request that an Issuing Lender issue a Letter of Credit by delivering to the applicable Issuing Lender and the Administrative Agent at their address for notices specified herein a request and an Application therefor, completed to the satisfaction of the applicable Issuing Lender, and such other certificates, documents and other papers and information as the applicable Issuing Lender may request, including a continuing agreement (or other letter of credit agreement) for the issuance of Letters of Credit as required by the respective Issuing Lender and using such Issuing Lender’s standard form. Upon receipt of any Application, the applicable Issuing Lender will process such Application and the certificates, documents and other papers and information delivered to it in connection therewith in accordance with its customary procedures and, unless it has received written notice from the Administrative Agent at least one (1)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21" w:right="339" w:bottom="1440" w:gutter="0" w:footer="0" w:header="0"/>
        </w:sectPr>
      </w:pPr>
    </w:p>
    <w:bookmarkStart w:id="180" w:name="page181"/>
    <w:bookmarkEnd w:id="180"/>
    <w:p>
      <w:pPr>
        <w:jc w:val="both"/>
        <w:spacing w:after="0" w:line="276" w:lineRule="auto"/>
        <w:rPr>
          <w:sz w:val="20"/>
          <w:szCs w:val="20"/>
          <w:color w:val="auto"/>
        </w:rPr>
      </w:pPr>
      <w:r>
        <w:rPr>
          <w:rFonts w:ascii="Arial" w:cs="Arial" w:eastAsia="Arial" w:hAnsi="Arial"/>
          <w:sz w:val="16"/>
          <w:szCs w:val="16"/>
          <w:color w:val="auto"/>
        </w:rPr>
        <w:t>prior to the requested date of issuance that a Default or Event of Default has occurred and is continuing, shall promptly issue the Letter of Credit requested thereby (but in no event shall any Issuing Lender be required to issue any Letter of Credit earlier than three (3) Business Days after its receipt of the Application therefor and all such other certificates, documents and other papers and information relating thereto) by issuing such Letter of Credit to the beneficiary thereof or as otherwise may be agreed to by the applicable Issuing Lender and the Borrower. The applicable Issuing Lender shall furnish a copy of such Letter of Credit to the Borrower promptly following the issuance thereof. The applicable Issuing Lender shall promptly furnish to the Administrative Agent, which shall in turn promptly furnish to the Lenders, notice of the issuance of each Letter of Credit (including the amount thereof).</w:t>
      </w:r>
    </w:p>
    <w:p>
      <w:pPr>
        <w:spacing w:after="0" w:line="16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u w:val="single" w:color="auto"/>
          <w:color w:val="auto"/>
        </w:rPr>
        <w:t>Fees and Other Charges</w:t>
      </w:r>
      <w:r>
        <w:rPr>
          <w:rFonts w:ascii="Arial" w:cs="Arial" w:eastAsia="Arial" w:hAnsi="Arial"/>
          <w:sz w:val="15"/>
          <w:szCs w:val="15"/>
          <w:color w:val="auto"/>
        </w:rPr>
        <w:t>.</w:t>
      </w:r>
    </w:p>
    <w:p>
      <w:pPr>
        <w:spacing w:after="0" w:line="212" w:lineRule="exact"/>
        <w:rPr>
          <w:sz w:val="20"/>
          <w:szCs w:val="20"/>
          <w:color w:val="auto"/>
        </w:rPr>
      </w:pPr>
    </w:p>
    <w:p>
      <w:pPr>
        <w:jc w:val="both"/>
        <w:ind w:firstLine="656"/>
        <w:spacing w:after="0" w:line="252" w:lineRule="auto"/>
        <w:tabs>
          <w:tab w:leader="none" w:pos="1092"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The Borrower will pay to the Administrative Agent </w:t>
      </w:r>
      <w:r>
        <w:rPr>
          <w:rFonts w:ascii="Arial" w:cs="Arial" w:eastAsia="Arial" w:hAnsi="Arial"/>
          <w:sz w:val="17"/>
          <w:szCs w:val="17"/>
          <w:u w:val="single" w:color="auto"/>
          <w:color w:val="0000FF"/>
          <w:highlight w:val="lightGray"/>
        </w:rPr>
        <w:t>(i)</w:t>
      </w:r>
      <w:r>
        <w:rPr>
          <w:rFonts w:ascii="Arial" w:cs="Arial" w:eastAsia="Arial" w:hAnsi="Arial"/>
          <w:sz w:val="17"/>
          <w:szCs w:val="17"/>
          <w:color w:val="auto"/>
        </w:rPr>
        <w:t xml:space="preserve"> for the account of the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auto"/>
        </w:rPr>
        <w:t xml:space="preserve"> Revolving Lenders</w:t>
      </w:r>
      <w:r>
        <w:rPr>
          <w:rFonts w:ascii="Arial" w:cs="Arial" w:eastAsia="Arial" w:hAnsi="Arial"/>
          <w:sz w:val="17"/>
          <w:szCs w:val="17"/>
          <w:u w:val="single" w:color="auto"/>
          <w:color w:val="0000FF"/>
        </w:rPr>
        <w:t>,</w:t>
      </w:r>
      <w:r>
        <w:rPr>
          <w:rFonts w:ascii="Arial" w:cs="Arial" w:eastAsia="Arial" w:hAnsi="Arial"/>
          <w:sz w:val="17"/>
          <w:szCs w:val="17"/>
          <w:color w:val="auto"/>
        </w:rPr>
        <w:t xml:space="preserve"> a fee on all outstanding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Letters of Credit at a per annum rate equal to the Applicable Margin under the</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Revolving Facility then in effect with respect</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to Term Benchmark Loans on the </w:t>
      </w:r>
      <w:r>
        <w:rPr>
          <w:rFonts w:ascii="Arial" w:cs="Arial" w:eastAsia="Arial" w:hAnsi="Arial"/>
          <w:sz w:val="17"/>
          <w:szCs w:val="17"/>
          <w:u w:val="single" w:color="auto"/>
          <w:color w:val="0000FF"/>
          <w:highlight w:val="lightGray"/>
        </w:rPr>
        <w:t>Dollar Equivalent of the</w:t>
      </w:r>
      <w:r>
        <w:rPr>
          <w:rFonts w:ascii="Arial" w:cs="Arial" w:eastAsia="Arial" w:hAnsi="Arial"/>
          <w:sz w:val="17"/>
          <w:szCs w:val="17"/>
          <w:color w:val="000000"/>
        </w:rPr>
        <w:t xml:space="preserve"> average daily amount of the </w:t>
      </w:r>
      <w:r>
        <w:rPr>
          <w:rFonts w:ascii="Arial" w:cs="Arial" w:eastAsia="Arial" w:hAnsi="Arial"/>
          <w:sz w:val="17"/>
          <w:szCs w:val="17"/>
          <w:u w:val="single" w:color="auto"/>
          <w:color w:val="0000FF"/>
          <w:highlight w:val="lightGray"/>
        </w:rPr>
        <w:t>Multicurrency</w:t>
      </w:r>
      <w:r>
        <w:rPr>
          <w:rFonts w:ascii="Arial" w:cs="Arial" w:eastAsia="Arial" w:hAnsi="Arial"/>
          <w:sz w:val="17"/>
          <w:szCs w:val="17"/>
          <w:color w:val="000000"/>
        </w:rPr>
        <w:t xml:space="preserve"> L/C Obligations (excluding any portion thereof attributable to unreimbursed drawings), shared ratably among the </w:t>
      </w:r>
      <w:r>
        <w:rPr>
          <w:rFonts w:ascii="Arial" w:cs="Arial" w:eastAsia="Arial" w:hAnsi="Arial"/>
          <w:sz w:val="17"/>
          <w:szCs w:val="17"/>
          <w:color w:val="FF0000"/>
          <w:strike w:val="1"/>
        </w:rPr>
        <w:t>Revolving</w:t>
      </w:r>
      <w:r>
        <w:rPr>
          <w:rFonts w:ascii="Arial" w:cs="Arial" w:eastAsia="Arial" w:hAnsi="Arial"/>
          <w:sz w:val="17"/>
          <w:szCs w:val="17"/>
          <w:u w:val="single" w:color="auto"/>
          <w:color w:val="0000FF"/>
          <w:highlight w:val="lightGray"/>
        </w:rPr>
        <w:t>Multicurrency Revolving Lenders and payable in Dollars quarterly in arrears</w:t>
      </w:r>
      <w:r>
        <w:rPr>
          <w:rFonts w:ascii="Arial" w:cs="Arial" w:eastAsia="Arial" w:hAnsi="Arial"/>
          <w:sz w:val="17"/>
          <w:szCs w:val="17"/>
          <w:color w:val="000000"/>
        </w:rPr>
        <w:t xml:space="preserve"> </w:t>
      </w:r>
      <w:r>
        <w:rPr>
          <w:rFonts w:ascii="Arial" w:cs="Arial" w:eastAsia="Arial" w:hAnsi="Arial"/>
          <w:sz w:val="17"/>
          <w:szCs w:val="17"/>
          <w:u w:val="single" w:color="auto"/>
          <w:color w:val="0000FF"/>
          <w:highlight w:val="lightGray"/>
        </w:rPr>
        <w:t xml:space="preserve">on each Fee Payment Date after the issuance date and (ii) for the account of the USD Revolving Lenders, a fee on all outstanding USD Letters of Credit at a per annum rate equal to the Applicable Margin under the USD Revolving Facility then in effect with respect to Term Benchmark Loans on the average daily amount of the USD L/C Obligations (excluding any portion thereof attributable to unreimbursed drawings), shared ratably among the USD Revolving </w:t>
      </w:r>
      <w:r>
        <w:rPr>
          <w:rFonts w:ascii="Arial" w:cs="Arial" w:eastAsia="Arial" w:hAnsi="Arial"/>
          <w:sz w:val="17"/>
          <w:szCs w:val="17"/>
          <w:color w:val="000000"/>
        </w:rPr>
        <w:t xml:space="preserve">Lenders and payable in Dollars quarterly in arrears on each Fee Payment Date after the issuance date. In addition, the Borrower shall pay to each applicable Issuing Lender, for its own account, a fronting fee of 0.125% per annum on the </w:t>
      </w:r>
      <w:r>
        <w:rPr>
          <w:rFonts w:ascii="Arial" w:cs="Arial" w:eastAsia="Arial" w:hAnsi="Arial"/>
          <w:sz w:val="17"/>
          <w:szCs w:val="17"/>
          <w:u w:val="single" w:color="auto"/>
          <w:color w:val="0000FF"/>
          <w:highlight w:val="lightGray"/>
        </w:rPr>
        <w:t>Dollar Equivalent of the</w:t>
      </w:r>
      <w:r>
        <w:rPr>
          <w:rFonts w:ascii="Arial" w:cs="Arial" w:eastAsia="Arial" w:hAnsi="Arial"/>
          <w:sz w:val="17"/>
          <w:szCs w:val="17"/>
          <w:color w:val="000000"/>
        </w:rPr>
        <w:t xml:space="preserve"> average daily amount of the L/C Obligations (excluding any portion thereof attributable to unreimbursed drawings), payable in Dollars quarterly in arrears on each Fee Payment Date after the issuance date.</w:t>
      </w:r>
    </w:p>
    <w:p>
      <w:pPr>
        <w:spacing w:after="0" w:line="185" w:lineRule="exact"/>
        <w:rPr>
          <w:rFonts w:ascii="Arial" w:cs="Arial" w:eastAsia="Arial" w:hAnsi="Arial"/>
          <w:sz w:val="17"/>
          <w:szCs w:val="17"/>
          <w:color w:val="auto"/>
        </w:rPr>
      </w:pPr>
    </w:p>
    <w:p>
      <w:pPr>
        <w:jc w:val="both"/>
        <w:ind w:firstLine="656"/>
        <w:spacing w:after="0" w:line="248" w:lineRule="auto"/>
        <w:tabs>
          <w:tab w:leader="none" w:pos="109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addition to the foregoing fees, the Borrower shall pay or reimburse each applicable Issuing Lender in Dollars for customary costs and expenses as are incurred or charged by the Issuing Lender in issuing, negotiating, effecting payment under, amending or otherwise administering any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-1949450</wp:posOffset>
            </wp:positionV>
            <wp:extent cx="25400"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6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L/C Participations</w:t>
      </w:r>
      <w:r>
        <w:rPr>
          <w:rFonts w:ascii="Arial" w:cs="Arial" w:eastAsia="Arial" w:hAnsi="Arial"/>
          <w:sz w:val="16"/>
          <w:szCs w:val="16"/>
          <w:color w:val="auto"/>
        </w:rPr>
        <w:t>.</w:t>
      </w:r>
    </w:p>
    <w:p>
      <w:pPr>
        <w:spacing w:after="0" w:line="212" w:lineRule="exact"/>
        <w:rPr>
          <w:sz w:val="20"/>
          <w:szCs w:val="20"/>
          <w:color w:val="auto"/>
        </w:rPr>
      </w:pPr>
    </w:p>
    <w:p>
      <w:pPr>
        <w:jc w:val="both"/>
        <w:ind w:firstLine="656"/>
        <w:spacing w:after="0" w:line="267" w:lineRule="auto"/>
        <w:tabs>
          <w:tab w:leader="none" w:pos="108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Each Issuing Lender irrevocably agrees to grant and hereby grants </w:t>
      </w:r>
      <w:r>
        <w:rPr>
          <w:rFonts w:ascii="Arial" w:cs="Arial" w:eastAsia="Arial" w:hAnsi="Arial"/>
          <w:sz w:val="16"/>
          <w:szCs w:val="16"/>
          <w:u w:val="single" w:color="auto"/>
          <w:color w:val="0000FF"/>
          <w:highlight w:val="lightGray"/>
        </w:rPr>
        <w:t>(i)</w:t>
      </w:r>
      <w:r>
        <w:rPr>
          <w:rFonts w:ascii="Arial" w:cs="Arial" w:eastAsia="Arial" w:hAnsi="Arial"/>
          <w:sz w:val="16"/>
          <w:szCs w:val="16"/>
          <w:color w:val="auto"/>
        </w:rPr>
        <w:t xml:space="preserve"> to each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auto"/>
        </w:rPr>
        <w:t xml:space="preserve"> L/C Participant, and, to induce each Issuing Lender to issue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auto"/>
        </w:rPr>
        <w:t xml:space="preserve"> Letters of Credit, each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auto"/>
        </w:rPr>
        <w:t xml:space="preserve"> L/C Participant irrevocably and unconditionally agrees to accept and purchase and hereby accepts and purchases from each Issuing Lender, on the terms set forth below, for such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auto"/>
        </w:rPr>
        <w:t xml:space="preserve"> L/C Participant’s own account and risk an undivided interest equal to such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auto"/>
        </w:rPr>
        <w:t xml:space="preserve"> L/C Participant’s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auto"/>
        </w:rPr>
        <w:t xml:space="preserve"> Revolving Percentage in each Issuing Lender’s obligations and rights under and in respect of each </w:t>
      </w:r>
      <w:r>
        <w:rPr>
          <w:rFonts w:ascii="Arial" w:cs="Arial" w:eastAsia="Arial" w:hAnsi="Arial"/>
          <w:sz w:val="16"/>
          <w:szCs w:val="16"/>
          <w:u w:val="single" w:color="auto"/>
          <w:color w:val="0000FF"/>
          <w:highlight w:val="lightGray"/>
        </w:rPr>
        <w:t>Multicurrency Letter of Credit and the amount of each draft paid by an Issuing Lender thereunder and (ii) to each USD L/C</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Participant, and, to induce each Issuing Lender to issue USD Letters of Credit, each USD L/C Participant irrevocably and unconditionally agrees to accept and purchase and hereby accepts and purchases from each Issuing Lender, on the terms set forth below, for such USD L/C Participant’s own account and risk an undivided interest equal to such USD L/C Participant’s USD Revolving Percentage in each Issuing Lender’s obligations and rights under and in respect of each USD</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Letter of Credit and the amount of each draft paid by an Issuing Lender thereunder. Each</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L/C Participant agrees with</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each Issuing Lender that, if a draft is paid under any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000000"/>
        </w:rPr>
        <w:t xml:space="preserve"> Letter of Credit for which such Issuing Lender is not reimbursed in full by the Borrower in accordance with the terms of this Agreement, such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000000"/>
        </w:rPr>
        <w:t xml:space="preserve"> L/C Participant shall pay</w:t>
      </w:r>
      <w:r>
        <w:rPr>
          <w:rFonts w:ascii="Arial" w:cs="Arial" w:eastAsia="Arial" w:hAnsi="Arial"/>
          <w:sz w:val="16"/>
          <w:szCs w:val="16"/>
          <w:u w:val="single" w:color="auto"/>
          <w:color w:val="0000FF"/>
          <w:highlight w:val="lightGray"/>
        </w:rPr>
        <w:t>, in the currency of such draft,</w:t>
      </w:r>
      <w:r>
        <w:rPr>
          <w:rFonts w:ascii="Arial" w:cs="Arial" w:eastAsia="Arial" w:hAnsi="Arial"/>
          <w:sz w:val="16"/>
          <w:szCs w:val="16"/>
          <w:color w:val="000000"/>
        </w:rPr>
        <w:t xml:space="preserve"> to the Administrative Agent, for the account of such Issuing Lender, upon demand, at the Administrative Agent’s address for notices specified herein an amount equal to such </w:t>
      </w:r>
      <w:r>
        <w:rPr>
          <w:rFonts w:ascii="Arial" w:cs="Arial" w:eastAsia="Arial" w:hAnsi="Arial"/>
          <w:sz w:val="16"/>
          <w:szCs w:val="16"/>
          <w:u w:val="single" w:color="auto"/>
          <w:color w:val="0000FF"/>
          <w:highlight w:val="lightGray"/>
        </w:rPr>
        <w:t>Multicurrency</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L/C Participant’s</w:t>
      </w:r>
      <w:r>
        <w:rPr>
          <w:rFonts w:ascii="Arial" w:cs="Arial" w:eastAsia="Arial" w:hAnsi="Arial"/>
          <w:sz w:val="16"/>
          <w:szCs w:val="16"/>
          <w:color w:val="0000FF"/>
          <w:highlight w:val="lightGray"/>
        </w:rPr>
        <w:t xml:space="preserve"> </w:t>
      </w:r>
      <w:r>
        <w:rPr>
          <w:rFonts w:ascii="Arial" w:cs="Arial" w:eastAsia="Arial" w:hAnsi="Arial"/>
          <w:sz w:val="16"/>
          <w:szCs w:val="16"/>
          <w:color w:val="FF0000"/>
          <w:strike w:val="1"/>
        </w:rPr>
        <w:t>Revolving</w:t>
      </w:r>
      <w:r>
        <w:rPr>
          <w:rFonts w:ascii="Arial" w:cs="Arial" w:eastAsia="Arial" w:hAnsi="Arial"/>
          <w:sz w:val="16"/>
          <w:szCs w:val="16"/>
          <w:u w:val="single" w:color="auto"/>
          <w:color w:val="0000FF"/>
          <w:highlight w:val="lightGray"/>
        </w:rPr>
        <w:t>Multicurrency Revolving Percentage of the amount of such draft, or any part thereof, that is not so reimbursed.</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Each USD L/C Participant agrees with each Issuing Lender that, if a draft is paid under any USD Letter of Credit for which such Issuing Lender is not reimbursed in full by the Borrower in accordance with the terms of this Agreement, such USD L/C Participant shall pay, in Dollars, to the Administrative Agent, for the account of such Issuing Lender, upon demand, at the Administrative Agent’s address for notices specified herein an amount equal to such USD L/C Participant’s USD Revolving</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Percentage of the amount of such draft, or any part thereof, that is not so reimbursed. Each L/C Participant’s</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obligation to pay such amount shall be absolute and unconditional and shall not be affected by any circumstance, including (i) any setoff, counterclaim, recoupment, defense or other right that such L/C Participant may have against any Issuing Lender,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21" w:right="339" w:bottom="1440" w:gutter="0" w:footer="0" w:header="0"/>
        </w:sectPr>
      </w:pPr>
    </w:p>
    <w:bookmarkStart w:id="181" w:name="page182"/>
    <w:bookmarkEnd w:id="181"/>
    <w:p>
      <w:pPr>
        <w:jc w:val="both"/>
        <w:spacing w:after="0" w:line="243" w:lineRule="auto"/>
        <w:rPr>
          <w:sz w:val="20"/>
          <w:szCs w:val="20"/>
          <w:color w:val="auto"/>
        </w:rPr>
      </w:pPr>
      <w:r>
        <w:rPr>
          <w:rFonts w:ascii="Arial" w:cs="Arial" w:eastAsia="Arial" w:hAnsi="Arial"/>
          <w:sz w:val="18"/>
          <w:szCs w:val="18"/>
          <w:color w:val="auto"/>
        </w:rPr>
        <w:t xml:space="preserve">Borrower or any other Person for any reason whatsoever, (ii) the occurrence or continuance of a Default or an Event of Default or the failure to satisfy any of the other conditions specified in </w:t>
      </w:r>
      <w:r>
        <w:rPr>
          <w:rFonts w:ascii="Arial" w:cs="Arial" w:eastAsia="Arial" w:hAnsi="Arial"/>
          <w:sz w:val="18"/>
          <w:szCs w:val="18"/>
          <w:u w:val="single" w:color="auto"/>
          <w:color w:val="auto"/>
        </w:rPr>
        <w:t>Section 5</w:t>
      </w:r>
      <w:r>
        <w:rPr>
          <w:rFonts w:ascii="Arial" w:cs="Arial" w:eastAsia="Arial" w:hAnsi="Arial"/>
          <w:sz w:val="18"/>
          <w:szCs w:val="18"/>
          <w:color w:val="auto"/>
        </w:rPr>
        <w:t>, (iii) any adverse change in the condition (financial or otherwise) of the Borrower, (iv) any breach of this Agreement or any other Loan Document by the Borrower, any other Loan Party or any other L/C Participant or (v) any other circumstance, happening or event whatsoever, whether or not similar to any of the foregoing.</w:t>
      </w:r>
    </w:p>
    <w:p>
      <w:pPr>
        <w:spacing w:after="0" w:line="188" w:lineRule="exact"/>
        <w:rPr>
          <w:sz w:val="20"/>
          <w:szCs w:val="20"/>
          <w:color w:val="auto"/>
        </w:rPr>
      </w:pPr>
    </w:p>
    <w:p>
      <w:pPr>
        <w:jc w:val="both"/>
        <w:ind w:firstLine="656"/>
        <w:spacing w:after="0" w:line="252" w:lineRule="auto"/>
        <w:tabs>
          <w:tab w:leader="none" w:pos="106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If any amount required to be paid by any L/C Participant for the account of any Issuing Lender pursuant to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in respect of any unreimbursed portion of any payment made by any such Issuing Lender under any Letter of Credit is paid to the Administrative Agent within three Business Days after the date such payment is due, such L/C Participant shall pay to the Administrative Agent, for the account of such Issuing Lender, on demand an amount equal to the product of (i) such amount, times (ii) the daily average Federal Funds Effective Rate during the period from and including the date such payment is required to the date on which such payment is immediately available to the applicable Issuing Lender, times (iii) a fraction the numerator of which is the number of days that elapse during such period and the denominator of which is 360. If any such amount required to be paid by any L/C Participant pursuant to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is not made available to the Administrative Agent by such L/C Participant within three Business Days after the date such payment is due, the applicable Issuing Lender shall be entitled to recover from such L/C Participant, on demand, such amount with interest thereon calculated from such due date at the rate per annum applicable to ABR Loans under the </w:t>
      </w:r>
      <w:r>
        <w:rPr>
          <w:rFonts w:ascii="Arial" w:cs="Arial" w:eastAsia="Arial" w:hAnsi="Arial"/>
          <w:sz w:val="17"/>
          <w:szCs w:val="17"/>
          <w:u w:val="single" w:color="auto"/>
          <w:color w:val="0000FF"/>
          <w:highlight w:val="lightGray"/>
        </w:rPr>
        <w:t>applicable</w:t>
      </w:r>
      <w:r>
        <w:rPr>
          <w:rFonts w:ascii="Arial" w:cs="Arial" w:eastAsia="Arial" w:hAnsi="Arial"/>
          <w:sz w:val="17"/>
          <w:szCs w:val="17"/>
          <w:color w:val="auto"/>
        </w:rPr>
        <w:t xml:space="preserve"> Revolving Facility. A certificate of the applicable Issuing Lender submitted to the Administrative Agent and any L/C Participant with respect to any amounts owing under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shall be conclusive in the absence of manifest error.</w:t>
      </w:r>
    </w:p>
    <w:p>
      <w:pPr>
        <w:spacing w:after="0" w:line="185" w:lineRule="exact"/>
        <w:rPr>
          <w:rFonts w:ascii="Arial" w:cs="Arial" w:eastAsia="Arial" w:hAnsi="Arial"/>
          <w:sz w:val="17"/>
          <w:szCs w:val="17"/>
          <w:color w:val="auto"/>
        </w:rPr>
      </w:pPr>
    </w:p>
    <w:p>
      <w:pPr>
        <w:jc w:val="both"/>
        <w:ind w:firstLine="656"/>
        <w:spacing w:after="0" w:line="257" w:lineRule="auto"/>
        <w:tabs>
          <w:tab w:leader="none" w:pos="1089"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Whenever, at any time after any Issuing Lender has made payment under any Letter of Credit and has received from any </w:t>
      </w:r>
      <w:r>
        <w:rPr>
          <w:rFonts w:ascii="Arial" w:cs="Arial" w:eastAsia="Arial" w:hAnsi="Arial"/>
          <w:sz w:val="17"/>
          <w:szCs w:val="17"/>
          <w:u w:val="single" w:color="auto"/>
          <w:color w:val="0000FF"/>
          <w:highlight w:val="lightGray"/>
        </w:rPr>
        <w:t>applicable</w:t>
      </w:r>
      <w:r>
        <w:rPr>
          <w:rFonts w:ascii="Arial" w:cs="Arial" w:eastAsia="Arial" w:hAnsi="Arial"/>
          <w:sz w:val="17"/>
          <w:szCs w:val="17"/>
          <w:color w:val="auto"/>
        </w:rPr>
        <w:t xml:space="preserve"> L/C Participant its pro rata share of such payment in accordance with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such Issuing Lender receives any payment related to such Letter of Credit (whether directly from the Borrower or otherwise, including proceeds of collateral applied thereto by such Issuing Lender), or any payment of interest on account thereof, such Issuing Lender will distribute to the Administrative Agent, for the account of such L/C Participant, its pro rata share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Reimbursement Obligation of the Borrower</w:t>
      </w:r>
      <w:r>
        <w:rPr>
          <w:rFonts w:ascii="Arial" w:cs="Arial" w:eastAsia="Arial" w:hAnsi="Arial"/>
          <w:sz w:val="16"/>
          <w:szCs w:val="16"/>
          <w:color w:val="auto"/>
        </w:rPr>
        <w:t xml:space="preserve">. If any drawing is paid under any Letter of Credit, the Borrower shall reimburse the Administrative Agent for the amount of (a) the drawing so paid in </w:t>
      </w:r>
      <w:r>
        <w:rPr>
          <w:rFonts w:ascii="Arial" w:cs="Arial" w:eastAsia="Arial" w:hAnsi="Arial"/>
          <w:sz w:val="16"/>
          <w:szCs w:val="16"/>
          <w:color w:val="FF0000"/>
          <w:strike w:val="1"/>
        </w:rPr>
        <w:t>Dollars</w:t>
      </w:r>
      <w:r>
        <w:rPr>
          <w:rFonts w:ascii="Arial" w:cs="Arial" w:eastAsia="Arial" w:hAnsi="Arial"/>
          <w:sz w:val="16"/>
          <w:szCs w:val="16"/>
          <w:u w:val="single" w:color="auto"/>
          <w:color w:val="0000FF"/>
          <w:highlight w:val="lightGray"/>
        </w:rPr>
        <w:t>the Agreed Currency of such Letter of Credit</w:t>
      </w:r>
      <w:r>
        <w:rPr>
          <w:rFonts w:ascii="Arial" w:cs="Arial" w:eastAsia="Arial" w:hAnsi="Arial"/>
          <w:sz w:val="16"/>
          <w:szCs w:val="16"/>
          <w:color w:val="auto"/>
        </w:rPr>
        <w:t xml:space="preserve"> and (b) any taxes, fees, charges or other costs or expenses incurred by any Issuing Lender in connection with such payment, not later than 12:00 Noon, New York City time, on (i) the Business Day that the Borrower receives notice of such drawing, if such notice is received on such day prior to 10:00 A.M., New York City time, or (ii) if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does not apply, the Business Day immediately following the day that the Borrower receives notice of such drawing;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subject to the conditions to borrowing set forth herein, request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the provisions below that such payment to be reimbursed be financed with an ABR Revolving Loan in </w:t>
      </w:r>
      <w:r>
        <w:rPr>
          <w:rFonts w:ascii="Arial" w:cs="Arial" w:eastAsia="Arial" w:hAnsi="Arial"/>
          <w:sz w:val="16"/>
          <w:szCs w:val="16"/>
          <w:u w:val="single" w:color="auto"/>
          <w:color w:val="0000FF"/>
          <w:highlight w:val="lightGray"/>
        </w:rPr>
        <w:t>Dollars in</w:t>
      </w:r>
      <w:r>
        <w:rPr>
          <w:rFonts w:ascii="Arial" w:cs="Arial" w:eastAsia="Arial" w:hAnsi="Arial"/>
          <w:sz w:val="16"/>
          <w:szCs w:val="16"/>
          <w:color w:val="auto"/>
        </w:rPr>
        <w:t xml:space="preserve"> an equivalent amount and, to the extent so financed, the Borrower’s obligation to make such payment shall be discharged and replaced by the resulting ABR Revolving Loan. Each such payment shall be made to the Administrative Agent at its address for notices referred to herein in </w:t>
      </w:r>
      <w:r>
        <w:rPr>
          <w:rFonts w:ascii="Arial" w:cs="Arial" w:eastAsia="Arial" w:hAnsi="Arial"/>
          <w:sz w:val="16"/>
          <w:szCs w:val="16"/>
          <w:color w:val="FF0000"/>
          <w:strike w:val="1"/>
        </w:rPr>
        <w:t>Dollars</w:t>
      </w:r>
      <w:r>
        <w:rPr>
          <w:rFonts w:ascii="Arial" w:cs="Arial" w:eastAsia="Arial" w:hAnsi="Arial"/>
          <w:sz w:val="16"/>
          <w:szCs w:val="16"/>
          <w:u w:val="single" w:color="auto"/>
          <w:color w:val="0000FF"/>
          <w:highlight w:val="lightGray"/>
        </w:rPr>
        <w:t>the applicable Agreed Currency</w:t>
      </w:r>
      <w:r>
        <w:rPr>
          <w:rFonts w:ascii="Arial" w:cs="Arial" w:eastAsia="Arial" w:hAnsi="Arial"/>
          <w:sz w:val="16"/>
          <w:szCs w:val="16"/>
          <w:color w:val="auto"/>
        </w:rPr>
        <w:t xml:space="preserve"> and in immediately available funds. Promptly following receipt by the Administrative Agent of any payment from the Borrower pursuant to this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the Administrative Agent shall distribute such payment to the applicable Issuing Lender. Interest shall be payable on any such amounts from the date on which the relevant drawing is paid until payment in full at the rate set forth in (x) until the Business Day next succeeding the date of the relevant notice,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and (y) thereafter, </w:t>
      </w:r>
      <w:r>
        <w:rPr>
          <w:rFonts w:ascii="Arial" w:cs="Arial" w:eastAsia="Arial" w:hAnsi="Arial"/>
          <w:sz w:val="16"/>
          <w:szCs w:val="16"/>
          <w:u w:val="single" w:color="auto"/>
          <w:color w:val="auto"/>
        </w:rPr>
        <w:t>Section 2.12(</w:t>
      </w:r>
      <w:r>
        <w:rPr>
          <w:rFonts w:ascii="Arial" w:cs="Arial" w:eastAsia="Arial" w:hAnsi="Arial"/>
          <w:sz w:val="16"/>
          <w:szCs w:val="16"/>
          <w:u w:val="single" w:color="auto"/>
          <w:color w:val="FF0000"/>
          <w:strike w:val="1"/>
        </w:rPr>
        <w:t>e</w:t>
      </w:r>
      <w:r>
        <w:rPr>
          <w:rFonts w:ascii="Arial" w:cs="Arial" w:eastAsia="Arial" w:hAnsi="Arial"/>
          <w:sz w:val="16"/>
          <w:szCs w:val="16"/>
          <w:u w:val="single" w:color="auto"/>
          <w:color w:val="0000FF"/>
          <w:highlight w:val="lightGray"/>
        </w:rPr>
        <w:t>f</w:t>
      </w:r>
      <w:r>
        <w:rPr>
          <w:rFonts w:ascii="Arial" w:cs="Arial" w:eastAsia="Arial" w:hAnsi="Arial"/>
          <w:sz w:val="16"/>
          <w:szCs w:val="16"/>
          <w:u w:val="single" w:color="auto"/>
          <w:color w:val="auto"/>
        </w:rPr>
        <w:t>)</w:t>
      </w:r>
      <w:r>
        <w:rPr>
          <w:rFonts w:ascii="Arial" w:cs="Arial" w:eastAsia="Arial" w:hAnsi="Arial"/>
          <w:sz w:val="16"/>
          <w:szCs w:val="16"/>
          <w:color w:val="auto"/>
        </w:rPr>
        <w:t>.</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Obligations Absolute</w:t>
      </w:r>
      <w:r>
        <w:rPr>
          <w:rFonts w:ascii="Arial" w:cs="Arial" w:eastAsia="Arial" w:hAnsi="Arial"/>
          <w:sz w:val="17"/>
          <w:szCs w:val="17"/>
          <w:color w:val="auto"/>
        </w:rPr>
        <w:t xml:space="preserve">. The Borrower’s obligations under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any Issuing Lender under a Letter of Credit against presentation of a draft or other document that does not comply with the terms of such Letter of Credit, or (iv) any other event or circumstance whatsoever, whether or not similar to any of the foregoing, that might, but for the provisions of this </w:t>
      </w:r>
      <w:r>
        <w:rPr>
          <w:rFonts w:ascii="Arial" w:cs="Arial" w:eastAsia="Arial" w:hAnsi="Arial"/>
          <w:sz w:val="17"/>
          <w:szCs w:val="17"/>
          <w:u w:val="single" w:color="auto"/>
          <w:color w:val="auto"/>
        </w:rPr>
        <w:t>Section 3</w:t>
      </w:r>
      <w:r>
        <w:rPr>
          <w:rFonts w:ascii="Arial" w:cs="Arial" w:eastAsia="Arial" w:hAnsi="Arial"/>
          <w:sz w:val="17"/>
          <w:szCs w:val="17"/>
          <w:color w:val="auto"/>
        </w:rPr>
        <w:t>, constitute a legal or equitable discharge of, or provide a right of setoff against, the Borrower’s obligations hereunder. Neither the Administrative Agent, the Lenders nor the Issuing Lenders, nor any of their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21" w:right="339" w:bottom="1440" w:gutter="0" w:footer="0" w:header="0"/>
        </w:sectPr>
      </w:pPr>
    </w:p>
    <w:bookmarkStart w:id="182" w:name="page183"/>
    <w:bookmarkEnd w:id="182"/>
    <w:p>
      <w:pPr>
        <w:jc w:val="both"/>
        <w:spacing w:after="0" w:line="251" w:lineRule="auto"/>
        <w:rPr>
          <w:sz w:val="20"/>
          <w:szCs w:val="20"/>
          <w:color w:val="auto"/>
        </w:rPr>
      </w:pPr>
      <w:r>
        <w:rPr>
          <w:rFonts w:ascii="Arial" w:cs="Arial" w:eastAsia="Arial" w:hAnsi="Arial"/>
          <w:sz w:val="17"/>
          <w:szCs w:val="17"/>
          <w:color w:val="auto"/>
        </w:rPr>
        <w:t xml:space="preserve">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Lender;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shall not be construed to excuse the Issuing Lenders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any such Issuing Lender’s failure to exercise care when determining whether drafts and other documents presented under a Letter of Credit comply with the terms thereof. The parties hereto expressly agree that, in the absence of gross negligence or willful misconduct on the part of the applicable Issuing Lender (as finally determined by a court of competent jurisdiction), the applicable Issuing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any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Letter of Credit Payments</w:t>
      </w:r>
      <w:r>
        <w:rPr>
          <w:rFonts w:ascii="Arial" w:cs="Arial" w:eastAsia="Arial" w:hAnsi="Arial"/>
          <w:sz w:val="18"/>
          <w:szCs w:val="18"/>
          <w:color w:val="auto"/>
        </w:rPr>
        <w:t>. If any documents shall be presented for payment under any Letter of Credit, the applicable Issuing Lender shall, within the time allowed by applicable law or the specific terms of the Letter of Credit following its receipt thereof, examine all documents purporting to represent a demand for payment under such Letter of Credit. Such Issuing Lender shall promptly after such examination notify the Administrative Agent and the Borrower of the date and amount thereof. The responsibility of the applicable Issuing Lender to the Borrower in connection with any documents presented for payment under any Letter of Credit shall, in addition to any payment obligation expressly provided for in such Letter of Credit, be limited to determining that the documents delivered under such Letter of Credit in connection with such presentment are substantially in conformity with such Letter of Credit.</w:t>
      </w:r>
    </w:p>
    <w:p>
      <w:pPr>
        <w:spacing w:after="0" w:line="19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Applications</w:t>
      </w:r>
      <w:r>
        <w:rPr>
          <w:rFonts w:ascii="Arial" w:cs="Arial" w:eastAsia="Arial" w:hAnsi="Arial"/>
          <w:sz w:val="18"/>
          <w:szCs w:val="18"/>
          <w:color w:val="auto"/>
        </w:rPr>
        <w:t xml:space="preserve">. To the extent that any provision of any Application related to any Letter of Credit is inconsistent with the provisions of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apply.</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Replacement of Issuing Lender</w:t>
      </w:r>
      <w:r>
        <w:rPr>
          <w:rFonts w:ascii="Arial" w:cs="Arial" w:eastAsia="Arial" w:hAnsi="Arial"/>
          <w:sz w:val="17"/>
          <w:szCs w:val="17"/>
          <w:color w:val="auto"/>
        </w:rPr>
        <w:t xml:space="preserve">. (i) Any Issuing Lender may be replaced at any time by written agreement among the Borrower, the Administrative Agent, the replaced Issuing Lender and the successor Issuing Lender. The Administrative Agent shall notify the Lenders of any such replacement of an Issuing Lender. At the time any such replacement shall become effective, the Borrower shall pay all unpaid fees accrued for the account of the replaced Issuing Lender pursuant to </w:t>
      </w:r>
      <w:r>
        <w:rPr>
          <w:rFonts w:ascii="Arial" w:cs="Arial" w:eastAsia="Arial" w:hAnsi="Arial"/>
          <w:sz w:val="17"/>
          <w:szCs w:val="17"/>
          <w:u w:val="single" w:color="auto"/>
          <w:color w:val="auto"/>
        </w:rPr>
        <w:t>Section 3.3</w:t>
      </w:r>
      <w:r>
        <w:rPr>
          <w:rFonts w:ascii="Arial" w:cs="Arial" w:eastAsia="Arial" w:hAnsi="Arial"/>
          <w:sz w:val="17"/>
          <w:szCs w:val="17"/>
          <w:color w:val="auto"/>
        </w:rPr>
        <w:t>. From and after the effective date of any such replacement, (x) the successor Issuing Lender shall have all the rights and obligations of an Issuing Lender under this Agreement with respect to Letters of Credit to be issued thereafter and (y) references herein to the term “Issuing Lender” shall be deemed to refer to such successor or to any previous Issuing Lender, or to such successor and all previous Issuing Lenders, as the context shall require. After the replacement of an Issuing Lender hereunder, the replaced Issuing Lender shall remain a party hereto and shall continue to have all the rights and obligations of an Issuing Lender under this Agreement with respect to Letters of Credit issued by it prior to such replacement, but shall not be required to issue additional Letters of Credit.</w:t>
      </w:r>
    </w:p>
    <w:p>
      <w:pPr>
        <w:spacing w:after="0" w:line="184" w:lineRule="exact"/>
        <w:rPr>
          <w:sz w:val="20"/>
          <w:szCs w:val="20"/>
          <w:color w:val="auto"/>
        </w:rPr>
      </w:pPr>
    </w:p>
    <w:p>
      <w:pPr>
        <w:ind w:left="660" w:right="100" w:firstLine="644"/>
        <w:spacing w:after="0" w:line="291" w:lineRule="auto"/>
        <w:tabs>
          <w:tab w:leader="none" w:pos="169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Any Issuing Lender may resign as an Issuing Lender at any time upon thirty days’ prior written notice to the Administrative Agent, the Borrower and the Lenders, in which case, such Issuing Lender shall be replaced in accordance with </w:t>
      </w:r>
      <w:r>
        <w:rPr>
          <w:rFonts w:ascii="Arial" w:cs="Arial" w:eastAsia="Arial" w:hAnsi="Arial"/>
          <w:sz w:val="17"/>
          <w:szCs w:val="17"/>
          <w:u w:val="single" w:color="auto"/>
          <w:color w:val="auto"/>
        </w:rPr>
        <w:t>Section 3.9(i)</w:t>
      </w:r>
      <w:r>
        <w:rPr>
          <w:rFonts w:ascii="Arial" w:cs="Arial" w:eastAsia="Arial" w:hAnsi="Arial"/>
          <w:sz w:val="17"/>
          <w:szCs w:val="17"/>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21" w:right="339" w:bottom="1440" w:gutter="0" w:footer="0" w:header="0"/>
        </w:sectPr>
      </w:pPr>
    </w:p>
    <w:bookmarkStart w:id="183" w:name="page184"/>
    <w:bookmarkEnd w:id="183"/>
    <w:p>
      <w:pPr>
        <w:jc w:val="center"/>
        <w:spacing w:after="0"/>
        <w:tabs>
          <w:tab w:leader="none" w:pos="1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color w:val="auto"/>
        </w:rPr>
        <w:t>REPRESENTATIONS AND WARRANTIES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induce the Administrative Agent and the Lenders to enter into this Agreement and to make the Loans or to issue or participate in the Letters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Credit, the Borrower hereby represents and warrants to the Administrative Agent and each Lender that:</w:t>
      </w:r>
    </w:p>
    <w:p>
      <w:pPr>
        <w:spacing w:after="0" w:line="19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Financial Condition</w:t>
      </w:r>
      <w:r>
        <w:rPr>
          <w:rFonts w:ascii="Arial" w:cs="Arial" w:eastAsia="Arial" w:hAnsi="Arial"/>
          <w:sz w:val="16"/>
          <w:szCs w:val="16"/>
          <w:color w:val="auto"/>
        </w:rPr>
        <w:t>.</w:t>
      </w:r>
    </w:p>
    <w:p>
      <w:pPr>
        <w:spacing w:after="0" w:line="212" w:lineRule="exact"/>
        <w:rPr>
          <w:sz w:val="20"/>
          <w:szCs w:val="20"/>
          <w:color w:val="auto"/>
        </w:rPr>
      </w:pPr>
    </w:p>
    <w:p>
      <w:pPr>
        <w:jc w:val="both"/>
        <w:ind w:firstLine="656"/>
        <w:spacing w:after="0" w:line="276" w:lineRule="auto"/>
        <w:tabs>
          <w:tab w:leader="none" w:pos="1191"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The pro forma covenant compliance certificate described in </w:t>
      </w:r>
      <w:r>
        <w:rPr>
          <w:rFonts w:ascii="Arial" w:cs="Arial" w:eastAsia="Arial" w:hAnsi="Arial"/>
          <w:sz w:val="16"/>
          <w:szCs w:val="16"/>
          <w:u w:val="single" w:color="auto"/>
          <w:color w:val="auto"/>
        </w:rPr>
        <w:t>Section 5.1(i)</w:t>
      </w:r>
      <w:r>
        <w:rPr>
          <w:rFonts w:ascii="Arial" w:cs="Arial" w:eastAsia="Arial" w:hAnsi="Arial"/>
          <w:sz w:val="16"/>
          <w:szCs w:val="16"/>
          <w:color w:val="auto"/>
        </w:rPr>
        <w:t>, copies of which have heretofore been furnished to the Administrative Agent, has been prepared giving effect (as if such events had occurred on such date) to (i) the Loans to be made on the Closing Date (if any) and the use of proceeds thereof, (ii) the repayment of Indebtedness under the Existing Credit Agreement (if any) and (iii) the payment of fees and expenses in connection with the foregoing. Such certificate has been prepared in good faith based on the information available to the Borrower as of the date of delivery thereof, and presents fairly in all material respects on a pro forma basis the estimated financial covenant compliance of the Borrower and its consolidated Subsidiaries as at the Closing Date, assuming that the events specified in the preceding sentence had actually occurred at such date.</w:t>
      </w:r>
    </w:p>
    <w:p>
      <w:pPr>
        <w:spacing w:after="0" w:line="161" w:lineRule="exact"/>
        <w:rPr>
          <w:rFonts w:ascii="Arial" w:cs="Arial" w:eastAsia="Arial" w:hAnsi="Arial"/>
          <w:sz w:val="16"/>
          <w:szCs w:val="16"/>
          <w:color w:val="auto"/>
        </w:rPr>
      </w:pPr>
    </w:p>
    <w:p>
      <w:pPr>
        <w:jc w:val="both"/>
        <w:ind w:firstLine="656"/>
        <w:spacing w:after="0" w:line="269" w:lineRule="auto"/>
        <w:tabs>
          <w:tab w:leader="none" w:pos="108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The audited consolidated balance sheets of VICI and its Subsidiaries as at December 31, 2020, and the related consolidated statements of income and of cash flows for the fiscal year ended on such date, reported on by and accompanied by an unqualified report from Deloitte &amp; Touche LLP, after giving effect to any “segment information” in such financial statements, present fairly in all material respects the consolidated financial condition of the Borrower and its Subsidiaries as at such date, and the consolidated results of its operations and its consolidated cash flows for the fiscal year then ended. The unaudited consolidated balance sheet of VICI and its Subsidiaries as at March 31, 2021, June 30, 2021 and September 30, 2021, and the related unaudited consolidated statements of income and cash flows for the three-month periods ended on such dates, after giving effect to any “segment information” in such financial statements, present fairly in all material respects the consolidated financial condition of the Borrower and its Subsidiaries as at such dates, and the consolidated results of its operations and its consolidated cash flows for the three-month periods then ended (subject to normal year end audit adjustments and the absence of footnotes). All such financial statements, including the related schedules and notes thereto, have been prepared in accordance with GAAP applied consistently throughout the periods involved (except as approved by the aforementioned firm of accountants and disclosed therein and except for the lack of footnotes with interim statements). No Group Member has any material Guarantee Obligations, contingent liabilities and liabilities for taxes, or any long-term leases or unusual forward or long-term commitments, including any interest rate or foreign currency swap or exchange transaction or other obligation in respect of derivatives, that are not reflected in the most recent financial statements referred to in this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Change</w:t>
      </w:r>
      <w:r>
        <w:rPr>
          <w:rFonts w:ascii="Arial" w:cs="Arial" w:eastAsia="Arial" w:hAnsi="Arial"/>
          <w:sz w:val="18"/>
          <w:szCs w:val="18"/>
          <w:color w:val="auto"/>
        </w:rPr>
        <w:t>. Since December 31, 2020, there has been no development or event that has had or could reasonably be expected to have a Material Adverse Effect.</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Existence; Compliance with Law</w:t>
      </w:r>
      <w:r>
        <w:rPr>
          <w:rFonts w:ascii="Arial" w:cs="Arial" w:eastAsia="Arial" w:hAnsi="Arial"/>
          <w:sz w:val="17"/>
          <w:szCs w:val="17"/>
          <w:color w:val="auto"/>
        </w:rPr>
        <w:t>. Each Group Member (a) is duly organized, validly existing and in good standing under the laws of the jurisdiction of its organization except where such failure to be in good standing of any Restricted Subsidiary of the Borrower that is not a Subsidiary Guarantor would not reasonably be expected to, individually or in the aggregate, result in a Material Adverse Effect, (b) has the power and authority, and the legal right, to own and operate its property, to lease the property it operates as lessee and to conduct the business in which it is currently engaged except to the extent that its failure could not, in the aggregate, reasonably be expected to have a Material Adverse Effect, (c) is duly qualified as a foreign corporation or other organization and in good standing under the laws of each jurisdiction where its ownership, lease or operation of property or the conduct of its business requires such qualification, except to the extent that its failure to be so qualified could not, in the aggregate, reasonably be expected to have a Material Adverse Effect, and (d) is in compliance with all Requirements of Law except to the extent that the failure to comply therewith could not, in the aggregate, reasonably be expected to have a Material Adverse Effect.</w:t>
      </w:r>
    </w:p>
    <w:p>
      <w:pPr>
        <w:spacing w:after="0" w:line="18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Power; Authorization; Enforceable Obligations</w:t>
      </w:r>
      <w:r>
        <w:rPr>
          <w:rFonts w:ascii="Arial" w:cs="Arial" w:eastAsia="Arial" w:hAnsi="Arial"/>
          <w:sz w:val="18"/>
          <w:szCs w:val="18"/>
          <w:color w:val="auto"/>
        </w:rPr>
        <w:t>. Each Loan Party has the power and authority, and the legal right, to make, 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consent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21" w:right="339" w:bottom="1440" w:gutter="0" w:footer="0" w:header="0"/>
        </w:sectPr>
      </w:pPr>
    </w:p>
    <w:bookmarkStart w:id="184" w:name="page185"/>
    <w:bookmarkEnd w:id="184"/>
    <w:p>
      <w:pPr>
        <w:jc w:val="both"/>
        <w:spacing w:after="0" w:line="253" w:lineRule="auto"/>
        <w:rPr>
          <w:sz w:val="20"/>
          <w:szCs w:val="20"/>
          <w:color w:val="auto"/>
        </w:rPr>
      </w:pPr>
      <w:r>
        <w:rPr>
          <w:rFonts w:ascii="Arial" w:cs="Arial" w:eastAsia="Arial" w:hAnsi="Arial"/>
          <w:sz w:val="17"/>
          <w:szCs w:val="17"/>
          <w:color w:val="auto"/>
        </w:rPr>
        <w:t xml:space="preserve">authorization of, filing with, notice to or other act by or in respect of, any Governmental Authority or any other Person is required in connection with the extensions of credit hereunder or with the execution, delivery, performance, validity or enforceability of this Agreement or any of the Loan Documents, except (i) consents, authorizations, filings and notices that have been obtained or made and are in full force and effect, (ii) any filings with the SEC when and as required by law or deemed appropriate by the Borrower, (iii) any filings in connection with the perfection of security interests to the extent required by </w:t>
      </w:r>
      <w:r>
        <w:rPr>
          <w:rFonts w:ascii="Arial" w:cs="Arial" w:eastAsia="Arial" w:hAnsi="Arial"/>
          <w:sz w:val="17"/>
          <w:szCs w:val="17"/>
          <w:u w:val="single" w:color="auto"/>
          <w:color w:val="auto"/>
        </w:rPr>
        <w:t>Section 6.16</w:t>
      </w:r>
      <w:r>
        <w:rPr>
          <w:rFonts w:ascii="Arial" w:cs="Arial" w:eastAsia="Arial" w:hAnsi="Arial"/>
          <w:sz w:val="17"/>
          <w:szCs w:val="17"/>
          <w:color w:val="auto"/>
        </w:rPr>
        <w:t>, and (iv) other consents, authorizations, filings and notices the failure of which to obtain could reasonably be expected to have a Material Adverse Effect. Each Loan Document has been duly executed and delivered on behalf of each Loan Party party thereto. This Agreement constitutes, and each other Loan Document upon execution will constitute, a legal, valid and binding obligation of each Loan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8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 Legal Bar</w:t>
      </w:r>
      <w:r>
        <w:rPr>
          <w:rFonts w:ascii="Arial" w:cs="Arial" w:eastAsia="Arial" w:hAnsi="Arial"/>
          <w:sz w:val="18"/>
          <w:szCs w:val="18"/>
          <w:color w:val="auto"/>
        </w:rPr>
        <w:t>. The execution, delivery and performance of this Agreement and the other Loan Documents, the borrowings hereunder, the issuance of the Letters of Credit and the use of the proceeds thereof will not violate any Requirement of Law or any Contractual Obligation of any Group Member, except for any such violation which could not reasonably be expected to have a Material Adverse Effect, and will not result in, or require, the creation or imposition of any Lien on any of their respective properties or revenues pursuant to any Requirement of Law or any such Contractual Obligation (other than Permitted Liens).</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Litigation</w:t>
      </w:r>
      <w:r>
        <w:rPr>
          <w:rFonts w:ascii="Arial" w:cs="Arial" w:eastAsia="Arial" w:hAnsi="Arial"/>
          <w:sz w:val="17"/>
          <w:szCs w:val="17"/>
          <w:color w:val="auto"/>
        </w:rPr>
        <w:t>. No litigation, investigation or proceeding of or before any arbitrator or Governmental Authority is pending or, to the knowledge of the Borrower, threatened by or against any Group Member or against any of their respective properties or revenues (a) which in any manner draws into question the validity or enforceability of any of the Loan Documents, or (b) that could reasonably be expected to have a Material Adverse Effect.</w:t>
      </w:r>
    </w:p>
    <w:p>
      <w:pPr>
        <w:spacing w:after="0" w:line="164"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Default</w:t>
      </w:r>
      <w:r>
        <w:rPr>
          <w:rFonts w:ascii="Arial" w:cs="Arial" w:eastAsia="Arial" w:hAnsi="Arial"/>
          <w:sz w:val="18"/>
          <w:szCs w:val="18"/>
          <w:color w:val="auto"/>
        </w:rPr>
        <w:t>. No Group Member is in default under or with respect to any of its Contractual Obligations in any respect that could reasonably be expected to have a Material Adverse Effect. No Default or Event of Default has occurred and is continuing.</w:t>
      </w:r>
    </w:p>
    <w:p>
      <w:pPr>
        <w:spacing w:after="0" w:line="17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Ownership of Property</w:t>
      </w:r>
      <w:r>
        <w:rPr>
          <w:rFonts w:ascii="Arial" w:cs="Arial" w:eastAsia="Arial" w:hAnsi="Arial"/>
          <w:sz w:val="18"/>
          <w:szCs w:val="18"/>
          <w:color w:val="auto"/>
        </w:rPr>
        <w:t>. Each Group Member has title in fee simple to, or a valid leasehold interest in, all its Real Property, and good title to, or a valid leasehold interest in, all its other property (including Mortgage Notes) necessary in the ordinary conduct of its business, except for Liens not prohibited by this Agreement and minor defects in title that do not materially interfere with its ability to conduct its business or to utilize such assets for their intended purposes and except where the failure to have such title or other property interests described above would not reasonably be expected to have, individually or in the aggregate, a Material Adverse Effect. Each Group Member has obtained customary title insurance on its material owned Real Property.</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Each Group Member owns, or is licensed to use, all Intellectual Property necessary for the conduct of its business as currently conducted, except where the failure to have any such rights, either individually or in the aggregate, would not reasonably be expected to have a Material Adverse Effect. No material claim has been asserted and is pending by any Person challenging or questioning the use of any Intellectual Property or the ownership, validity, enforceability or effectiveness of any Intellectual Property, nor does the Borrower know of any valid basis for any such claim, which, either individually or in the aggregate, could reasonably be expected to have a Material Adverse Effect. Except as, either individually or in the aggregate, would not reasonably be expected to have a Material Adverse Effect, the use of Intellectual Property by each Group Member and the operation of their respective businesses does not infringe on the rights of any Person.</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Taxes</w:t>
      </w:r>
      <w:r>
        <w:rPr>
          <w:rFonts w:ascii="Arial" w:cs="Arial" w:eastAsia="Arial" w:hAnsi="Arial"/>
          <w:sz w:val="18"/>
          <w:szCs w:val="18"/>
          <w:color w:val="auto"/>
        </w:rPr>
        <w:t>. Each Group Member has filed or caused to be filed all material Federal, state and other tax returns that are required to be filed and has paid all taxes shown to be due and payable on said returns or on any assessments made against it or any of its property and all other taxes, fees or other charges imposed on it or any of its property by any Governmental Authority (other than any the amount or validity of which are currently being contested in good faith by appropriate proceedings and with respect to which reserves in conformity with GAAP have been provided on the books of the relevant Group Member). No tax Lien has been filed, and, to the knowledge of the Borrower, no claim is being asserted, that any such tax, fee or other charge is past due or delinquent (other than Permitted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21" w:right="339" w:bottom="1440" w:gutter="0" w:footer="0" w:header="0"/>
        </w:sectPr>
      </w:pPr>
    </w:p>
    <w:bookmarkStart w:id="185" w:name="page186"/>
    <w:bookmarkEnd w:id="185"/>
    <w:p>
      <w:pPr>
        <w:jc w:val="both"/>
        <w:ind w:firstLine="648"/>
        <w:spacing w:after="0" w:line="279"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Federal Regulations</w:t>
      </w:r>
      <w:r>
        <w:rPr>
          <w:rFonts w:ascii="Arial" w:cs="Arial" w:eastAsia="Arial" w:hAnsi="Arial"/>
          <w:sz w:val="16"/>
          <w:szCs w:val="16"/>
          <w:color w:val="auto"/>
        </w:rPr>
        <w:t>. No part of the proceeds of any Loans, and no other extensions of credit hereunder, will be used (a) for “buying” or “carrying” any “margin stock” within the respective meanings of each of the quoted terms under Regulation U as now and from time to time hereafter in effect for any purpose that violates the provisions of the Regulations of the Board or (b) for any other purpose that violates the provisions of the Regulations of the Board. If requested by any Lender or the Administrative Agent, the Borrower will furnish to the Administrative Agent and each Lender a statement to the foregoing effect in conformity with the requirements of FR Form G-3 or FR Form U-1, as applicable, referred to in Regulation U.</w:t>
      </w:r>
    </w:p>
    <w:p>
      <w:pPr>
        <w:spacing w:after="0" w:line="15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Labor Matters</w:t>
      </w:r>
      <w:r>
        <w:rPr>
          <w:rFonts w:ascii="Arial" w:cs="Arial" w:eastAsia="Arial" w:hAnsi="Arial"/>
          <w:sz w:val="18"/>
          <w:szCs w:val="18"/>
          <w:color w:val="auto"/>
        </w:rPr>
        <w:t>. Except as, in the aggregate, could not reasonably be expected to have a Material Adverse Effect: (a) there are no strikes or other labor disputes against any Group Member pending or, to the knowledge of the Borrower, threatened; (b) hours worked by and payment made to employees of each Group Member have not been in violation of the Fair Labor Standards Act or any other applicable Requirement of Law dealing with such matters; and (c) all payments due from any Group Member on account of employee health and welfare insurance have been paid or accrued as a liability on the books of the relevant Group Member.</w:t>
      </w:r>
    </w:p>
    <w:p>
      <w:pPr>
        <w:spacing w:after="0" w:line="18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ERISA</w:t>
      </w:r>
      <w:r>
        <w:rPr>
          <w:rFonts w:ascii="Arial" w:cs="Arial" w:eastAsia="Arial" w:hAnsi="Arial"/>
          <w:sz w:val="17"/>
          <w:szCs w:val="17"/>
          <w:color w:val="auto"/>
        </w:rPr>
        <w:t>. Except as, in the aggregate, could not reasonably be expected to have a Material Adverse Effect: (a) neither a Reportable Event nor an “accumulated funding deficiency” (within the meaning of Section 412 of the Code or Section 302 of ERISA) has occurred during the five-year period prior to the date on which this representation is made or deemed made with respect to any Single Employer Plan or Multiemployer Plan, and there has been no non-exempt Prohibited Transaction with respect to any Plan and each Plan has complied with the applicable provisions of ERISA and the Code; (b) no termination of a Single Employer Plan or Multiemployer Plan has occurred, and no Lien in favor of the PBGC or such a Plan has arisen, during such five-year period; (c) neither the Borrower nor any Commonly Controlled Entity has had, within the past five years, a complete or partial withdrawal from any Multiemployer Plan; (d) no Multiemployer Plan is, or is expected to be, Insolvent, or in “endangered” or “critical” status (within the meaning of Sections 431 or 432 of the Code or Sections 304 or 305 of ERISA), or terminated (within the meaning of Section 4041A or 4042 of ERISA).and (e) neither the Borrower nor any Commonly Controlled Entity would become subject to any liability under ERISA if the Borrower or any such Commonly Controlled Entity were to withdraw completely from all Multiemployer Plans as of the valuation date most closely preceding the date on which this representation is made or deemed made. The present value of all accumulated benefit obligations under each Single Employer Plan (based on the assumptions used for purposes of Statement of Financial Accounting Standards No. 87) did not, as of the last annual valuation date prior to the date on which this representation is made or deemed made, exceed the fair market value of the assets of such Single Employer Plan allocable to such accumulated benefit obligations by a material amount.</w:t>
      </w:r>
    </w:p>
    <w:p>
      <w:pPr>
        <w:spacing w:after="0" w:line="18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Investment Company Act; Other Regulations</w:t>
      </w:r>
      <w:r>
        <w:rPr>
          <w:rFonts w:ascii="Arial" w:cs="Arial" w:eastAsia="Arial" w:hAnsi="Arial"/>
          <w:sz w:val="18"/>
          <w:szCs w:val="18"/>
          <w:color w:val="auto"/>
        </w:rPr>
        <w:t>. No Loan Party is an “investment company”, or a company “controlled” by an “investment company”, within the meaning of the Investment Company Act of 1940, as amended. No Loan Party is subject to regulation under any Requirement of Law (other than Regulation X of the Board) that limits its ability to incur Indebtedness.</w:t>
      </w:r>
    </w:p>
    <w:p>
      <w:pPr>
        <w:spacing w:after="0" w:line="182"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As of the Closing Date, (a) </w:t>
      </w:r>
      <w:r>
        <w:rPr>
          <w:rFonts w:ascii="Arial" w:cs="Arial" w:eastAsia="Arial" w:hAnsi="Arial"/>
          <w:sz w:val="18"/>
          <w:szCs w:val="18"/>
          <w:u w:val="single" w:color="auto"/>
          <w:color w:val="auto"/>
        </w:rPr>
        <w:t>Schedule 4.15</w:t>
      </w:r>
      <w:r>
        <w:rPr>
          <w:rFonts w:ascii="Arial" w:cs="Arial" w:eastAsia="Arial" w:hAnsi="Arial"/>
          <w:sz w:val="18"/>
          <w:szCs w:val="18"/>
          <w:color w:val="auto"/>
        </w:rPr>
        <w:t xml:space="preserve"> sets forth the name and jurisdiction of incorporation of each Subsidiary and, as to each such Subsidiary, the percentage of each class of Equity Interests owned by any Loan Party and (b) except as disclosed on </w:t>
      </w:r>
      <w:r>
        <w:rPr>
          <w:rFonts w:ascii="Arial" w:cs="Arial" w:eastAsia="Arial" w:hAnsi="Arial"/>
          <w:sz w:val="18"/>
          <w:szCs w:val="18"/>
          <w:u w:val="single" w:color="auto"/>
          <w:color w:val="auto"/>
        </w:rPr>
        <w:t>Schedule 4.</w:t>
      </w:r>
      <w:r>
        <w:rPr>
          <w:rFonts w:ascii="Arial" w:cs="Arial" w:eastAsia="Arial" w:hAnsi="Arial"/>
          <w:sz w:val="18"/>
          <w:szCs w:val="18"/>
          <w:color w:val="auto"/>
        </w:rPr>
        <w:t>15, there are no outstanding subscriptions, options, warrants, calls, rights or other agreements or commitments (other than stock options granted to employees or directors and directors’ qualifying shares) of any nature relating to any Equity Interests of the Borrower or any Restricted Subsidiary, except as created by the Loan Documents.</w:t>
      </w:r>
    </w:p>
    <w:p>
      <w:pPr>
        <w:spacing w:after="0" w:line="18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Delayed Draw Term Loans, the Revolving Loans, the Letters of Credit and any New Term Loans (if any), shall be used for general corporate purposes of the Borrower and its Subsidiaries, including the financing of working capital needs, the repayment of Indebtedness of the Borrower (including Indebtedness under the Existing Credit Agreement) and its Subsidiaries and acquisitions and other Investments permitted by this Agreement.</w:t>
      </w:r>
    </w:p>
    <w:p>
      <w:pPr>
        <w:spacing w:after="0" w:line="18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as, in the aggregate, could not reasonably be expected to have a Material Adverse Effect, no Group Member</w:t>
      </w:r>
    </w:p>
    <w:p>
      <w:pPr>
        <w:spacing w:after="0" w:line="12" w:lineRule="exact"/>
        <w:rPr>
          <w:sz w:val="20"/>
          <w:szCs w:val="20"/>
          <w:color w:val="auto"/>
        </w:rPr>
      </w:pPr>
    </w:p>
    <w:p>
      <w:pPr>
        <w:ind w:firstLine="8"/>
        <w:spacing w:after="0" w:line="271" w:lineRule="auto"/>
        <w:tabs>
          <w:tab w:leader="none" w:pos="26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has failed to comply with any Environmental Law or to obtain, maintain or comply with any permit, registration, exemption, notification, license or other approval issued or required under any Environmental Law, (b) has become subject to any Environmental Liability, (c) has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21" w:right="339" w:bottom="1440" w:gutter="0" w:footer="0" w:header="0"/>
        </w:sectPr>
      </w:pPr>
    </w:p>
    <w:bookmarkStart w:id="186" w:name="page187"/>
    <w:bookmarkEnd w:id="186"/>
    <w:p>
      <w:pPr>
        <w:spacing w:after="0"/>
        <w:rPr>
          <w:sz w:val="20"/>
          <w:szCs w:val="20"/>
          <w:color w:val="auto"/>
        </w:rPr>
      </w:pPr>
      <w:r>
        <w:rPr>
          <w:rFonts w:ascii="Arial" w:cs="Arial" w:eastAsia="Arial" w:hAnsi="Arial"/>
          <w:sz w:val="17"/>
          <w:szCs w:val="17"/>
          <w:color w:val="auto"/>
        </w:rPr>
        <w:t>written notice of any pending or threatened claim with respect to any Environmental Liability, or (d) knows of any basis for any Environmental Liability.</w:t>
      </w:r>
    </w:p>
    <w:p>
      <w:pPr>
        <w:spacing w:after="0" w:line="22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 xml:space="preserve">4.18 </w:t>
      </w:r>
      <w:r>
        <w:rPr>
          <w:rFonts w:ascii="Arial" w:cs="Arial" w:eastAsia="Arial" w:hAnsi="Arial"/>
          <w:sz w:val="17"/>
          <w:szCs w:val="17"/>
          <w:u w:val="single" w:color="auto"/>
          <w:color w:val="auto"/>
        </w:rPr>
        <w:t>Accuracy of Information, Etc.</w:t>
      </w:r>
      <w:r>
        <w:rPr>
          <w:rFonts w:ascii="Arial" w:cs="Arial" w:eastAsia="Arial" w:hAnsi="Arial"/>
          <w:sz w:val="17"/>
          <w:szCs w:val="17"/>
          <w:color w:val="auto"/>
        </w:rPr>
        <w:t>. The statements and information contained in this Agreement, any other Loan Document, or any other document, certificate or written statement (other than financial projections and other forward looking statements and information of a general economic or general industry nature, including, without limitation, the Projections) furnished by or on behalf of any Loan Party to the Administrative Agent or the Lenders, or any of them, for use in connection with the transactions contemplated by this Agreement or the other Loan Documents, taken as a whole, do not contain as of the date such written statement, information, document or certificate was so furnished, any untrue statement of a material fact or omit to state a material fact necessary to make the statements contained herein or therein not materially misleading in light of the circumstances under which, and in light of the purposes for which, such statements are made. The projections and pro forma financial information contained in the materials referenced above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 will differ, possibly significantly, from the projected results set forth therein, and that no assurance can be given that the projected results will be realized.</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 xml:space="preserve">4.19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The Borrower, its Subsidiaries and to the knowledge of the Borrower, its directors, officers, employees and agents to the extent acting on behalf of the Borrower or its Subsidiaries or benefitting from the credit facilities established hereby, are in compliance with Anti-Corruption Laws and applicable Sanctions in all material respects. None of the Borrower, any Subsidiary or any of their respective directors, officers or employees or to the knowledge of the Borrower any agent of the Borrower or any Subsidiary that will act in any capacity in connection with or benefit from the credit facility established hereby, is a Sanctioned Person. No borrowing or Letter of Credit, use of proceeds or other transaction contemplated by this Agreement will violate Anti-Corruption Laws or applicable Sanctions.</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Solvency</w:t>
      </w:r>
      <w:r>
        <w:rPr>
          <w:rFonts w:ascii="Arial" w:cs="Arial" w:eastAsia="Arial" w:hAnsi="Arial"/>
          <w:sz w:val="18"/>
          <w:szCs w:val="18"/>
          <w:color w:val="auto"/>
        </w:rPr>
        <w:t>. As of the Closing Date and after giving effect to the incurrence of any Indebtedness on such date, the Loan Parties, on a consolidated basis, are Solvent.</w:t>
      </w:r>
    </w:p>
    <w:p>
      <w:pPr>
        <w:spacing w:after="0" w:line="171"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7"/>
          <w:szCs w:val="17"/>
          <w:color w:val="auto"/>
        </w:rPr>
        <w:t xml:space="preserve">4.21 </w:t>
      </w:r>
      <w:r>
        <w:rPr>
          <w:rFonts w:ascii="Arial" w:cs="Arial" w:eastAsia="Arial" w:hAnsi="Arial"/>
          <w:sz w:val="17"/>
          <w:szCs w:val="17"/>
          <w:u w:val="single" w:color="auto"/>
          <w:color w:val="auto"/>
        </w:rPr>
        <w:t>Beneficial Ownership</w:t>
      </w:r>
      <w:r>
        <w:rPr>
          <w:rFonts w:ascii="Arial" w:cs="Arial" w:eastAsia="Arial" w:hAnsi="Arial"/>
          <w:sz w:val="17"/>
          <w:szCs w:val="17"/>
          <w:color w:val="auto"/>
        </w:rPr>
        <w:t>. As of the Closing Date, to the best knowledge of the Borrower, the information included in the Beneficial Ownership Certification provided on or prior to the Closing Date to any Lender in connection with this Agreement is true and correct in all respects.</w:t>
      </w:r>
    </w:p>
    <w:p>
      <w:pPr>
        <w:spacing w:after="0" w:line="14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Status of VICI</w:t>
      </w:r>
      <w:r>
        <w:rPr>
          <w:rFonts w:ascii="Arial" w:cs="Arial" w:eastAsia="Arial" w:hAnsi="Arial"/>
          <w:sz w:val="18"/>
          <w:szCs w:val="18"/>
          <w:color w:val="auto"/>
        </w:rPr>
        <w:t>. VICI qualifies as, and has elected to be treated as, a REIT and is in compliance with the provisions of the Code to allow VICI to maintain its status as a REIT. The common stock of VICI is listed for trading on the New York Stock Exchange.</w:t>
      </w:r>
    </w:p>
    <w:p>
      <w:pPr>
        <w:spacing w:after="0" w:line="17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Properties</w:t>
      </w:r>
      <w:r>
        <w:rPr>
          <w:rFonts w:ascii="Arial" w:cs="Arial" w:eastAsia="Arial" w:hAnsi="Arial"/>
          <w:sz w:val="18"/>
          <w:szCs w:val="18"/>
          <w:color w:val="auto"/>
        </w:rPr>
        <w:t xml:space="preserve">. As of the Closing Date, </w:t>
      </w:r>
      <w:r>
        <w:rPr>
          <w:rFonts w:ascii="Arial" w:cs="Arial" w:eastAsia="Arial" w:hAnsi="Arial"/>
          <w:sz w:val="18"/>
          <w:szCs w:val="18"/>
          <w:u w:val="single" w:color="auto"/>
          <w:color w:val="auto"/>
        </w:rPr>
        <w:t>Schedule 4.23(a)</w:t>
      </w:r>
      <w:r>
        <w:rPr>
          <w:rFonts w:ascii="Arial" w:cs="Arial" w:eastAsia="Arial" w:hAnsi="Arial"/>
          <w:sz w:val="18"/>
          <w:szCs w:val="18"/>
          <w:color w:val="auto"/>
        </w:rPr>
        <w:t xml:space="preserve"> sets forth a list of all Real Property of the Group Members and the owner (or ground-lessor) of such Real Property, and </w:t>
      </w:r>
      <w:r>
        <w:rPr>
          <w:rFonts w:ascii="Arial" w:cs="Arial" w:eastAsia="Arial" w:hAnsi="Arial"/>
          <w:sz w:val="18"/>
          <w:szCs w:val="18"/>
          <w:u w:val="single" w:color="auto"/>
          <w:color w:val="auto"/>
        </w:rPr>
        <w:t>Schedule 4.23(b)</w:t>
      </w:r>
      <w:r>
        <w:rPr>
          <w:rFonts w:ascii="Arial" w:cs="Arial" w:eastAsia="Arial" w:hAnsi="Arial"/>
          <w:sz w:val="18"/>
          <w:szCs w:val="18"/>
          <w:color w:val="auto"/>
        </w:rPr>
        <w:t xml:space="preserve"> sets forth a list of all Unencumbered Properties and the owner (or ground-lessor) of such Unencumbered Property. As of the Closing Date and as of the date of the most recently delivered Compliance Certificate pursuant to </w:t>
      </w:r>
      <w:r>
        <w:rPr>
          <w:rFonts w:ascii="Arial" w:cs="Arial" w:eastAsia="Arial" w:hAnsi="Arial"/>
          <w:sz w:val="18"/>
          <w:szCs w:val="18"/>
          <w:u w:val="single" w:color="auto"/>
          <w:color w:val="auto"/>
        </w:rPr>
        <w:t>Section 6.2(a)</w:t>
      </w:r>
      <w:r>
        <w:rPr>
          <w:rFonts w:ascii="Arial" w:cs="Arial" w:eastAsia="Arial" w:hAnsi="Arial"/>
          <w:sz w:val="18"/>
          <w:szCs w:val="18"/>
          <w:color w:val="auto"/>
        </w:rPr>
        <w:t>, all Real Properties included in the calculation of Unencumbered Asset Value and Unencumbered NOI satisfy the requirements for an Unencumbered Property set forth in the definition thereof.</w:t>
      </w:r>
    </w:p>
    <w:p>
      <w:pPr>
        <w:spacing w:after="0" w:line="18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u w:val="single" w:color="auto"/>
          <w:color w:val="auto"/>
        </w:rPr>
        <w:t>Affected Financial Institutions</w:t>
      </w:r>
      <w:r>
        <w:rPr>
          <w:rFonts w:ascii="Arial" w:cs="Arial" w:eastAsia="Arial" w:hAnsi="Arial"/>
          <w:sz w:val="16"/>
          <w:szCs w:val="16"/>
          <w:color w:val="auto"/>
        </w:rPr>
        <w:t>. No Loan Party is an Affected Financial Institution.</w:t>
      </w:r>
    </w:p>
    <w:p>
      <w:pPr>
        <w:spacing w:after="0" w:line="21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4.25 </w:t>
      </w:r>
      <w:r>
        <w:rPr>
          <w:rFonts w:ascii="Arial" w:cs="Arial" w:eastAsia="Arial" w:hAnsi="Arial"/>
          <w:sz w:val="16"/>
          <w:szCs w:val="16"/>
          <w:u w:val="single" w:color="auto"/>
          <w:color w:val="auto"/>
        </w:rPr>
        <w:t>Plan Assets; Prohibited Transactions</w:t>
      </w:r>
      <w:r>
        <w:rPr>
          <w:rFonts w:ascii="Arial" w:cs="Arial" w:eastAsia="Arial" w:hAnsi="Arial"/>
          <w:sz w:val="16"/>
          <w:szCs w:val="16"/>
          <w:color w:val="auto"/>
        </w:rPr>
        <w:t>. None of the Borrower nor any of its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21" w:right="339" w:bottom="1440" w:gutter="0" w:footer="0" w:header="0"/>
        </w:sectPr>
      </w:pPr>
    </w:p>
    <w:bookmarkStart w:id="187" w:name="page188"/>
    <w:bookmarkEnd w:id="187"/>
    <w:p>
      <w:pPr>
        <w:jc w:val="center"/>
        <w:ind w:right="-19"/>
        <w:spacing w:after="0"/>
        <w:tabs>
          <w:tab w:leader="none" w:pos="1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CONDITIONS PRECEDENT</w:t>
      </w:r>
    </w:p>
    <w:p>
      <w:pPr>
        <w:spacing w:after="0" w:line="212"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Closing Date</w:t>
      </w:r>
      <w:r>
        <w:rPr>
          <w:rFonts w:ascii="Arial" w:cs="Arial" w:eastAsia="Arial" w:hAnsi="Arial"/>
          <w:sz w:val="18"/>
          <w:szCs w:val="18"/>
          <w:color w:val="auto"/>
        </w:rPr>
        <w:t>. The obligations of the Lenders to make Loans and of the Issuing Lenders to issue Letters of Credit hereunder shall not become effective until the date on which each of the following conditions is satisfied:</w:t>
      </w:r>
    </w:p>
    <w:p>
      <w:pPr>
        <w:spacing w:after="0" w:line="171" w:lineRule="exact"/>
        <w:rPr>
          <w:sz w:val="20"/>
          <w:szCs w:val="20"/>
          <w:color w:val="auto"/>
        </w:rPr>
      </w:pPr>
    </w:p>
    <w:p>
      <w:pPr>
        <w:ind w:right="20" w:firstLine="656"/>
        <w:spacing w:after="0" w:line="261" w:lineRule="auto"/>
        <w:tabs>
          <w:tab w:leader="none" w:pos="1054"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The Administrative Agent shall have received this Agreement, executed and delivered by the Administrative Agent, the Borrower and each Person listed on </w:t>
      </w:r>
      <w:r>
        <w:rPr>
          <w:rFonts w:ascii="Arial" w:cs="Arial" w:eastAsia="Arial" w:hAnsi="Arial"/>
          <w:sz w:val="18"/>
          <w:szCs w:val="18"/>
          <w:u w:val="single" w:color="auto"/>
          <w:color w:val="auto"/>
        </w:rPr>
        <w:t>Schedule 1.1A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79" w:lineRule="auto"/>
        <w:tabs>
          <w:tab w:leader="none" w:pos="1038"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Lenders shall have received (i) audited consolidated financial statements of VICI and its Subsidiaries for the fiscal year ended December 31, 2020 and (ii) unaudited interim consolidated financial statements of VICI and its Subsidiaries for each fiscal quarter ended subsequent to December 31, 2020 (other than the quarter ending December 31, 2021) as to which such financial statements are available, in each case, including any segment information applicable to the Borrower, and such financial statements shall not, in the reasonable judgment of the Lenders, reflect any material adverse change in the consolidated financial condition of the Borrower and its Subsidiaries, as reflected in the financial statements.</w:t>
      </w:r>
    </w:p>
    <w:p>
      <w:pPr>
        <w:spacing w:after="0" w:line="159" w:lineRule="exact"/>
        <w:rPr>
          <w:rFonts w:ascii="Arial" w:cs="Arial" w:eastAsia="Arial" w:hAnsi="Arial"/>
          <w:sz w:val="16"/>
          <w:szCs w:val="16"/>
          <w:color w:val="auto"/>
        </w:rPr>
      </w:pPr>
    </w:p>
    <w:p>
      <w:pPr>
        <w:jc w:val="both"/>
        <w:ind w:firstLine="656"/>
        <w:spacing w:after="0" w:line="243" w:lineRule="auto"/>
        <w:tabs>
          <w:tab w:leader="none" w:pos="1149"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Approvals</w:t>
      </w:r>
      <w:r>
        <w:rPr>
          <w:rFonts w:ascii="Arial" w:cs="Arial" w:eastAsia="Arial" w:hAnsi="Arial"/>
          <w:sz w:val="18"/>
          <w:szCs w:val="18"/>
          <w:color w:val="auto"/>
        </w:rPr>
        <w:t>. All material governmental and third party approvals necessary in connection with the continuing operations of the Group Members and the transactions contemplated hereby shall have been obtained and be in full force and effect, and all applicable waiting periods shall have expired without any action being taken or threatened by any competent authority that would restrain, prevent or otherwise impose adverse conditions on the financing contemplated hereby.</w:t>
      </w:r>
    </w:p>
    <w:p>
      <w:pPr>
        <w:spacing w:after="0" w:line="187" w:lineRule="exact"/>
        <w:rPr>
          <w:rFonts w:ascii="Arial" w:cs="Arial" w:eastAsia="Arial" w:hAnsi="Arial"/>
          <w:sz w:val="18"/>
          <w:szCs w:val="18"/>
          <w:color w:val="auto"/>
        </w:rPr>
      </w:pPr>
    </w:p>
    <w:p>
      <w:pPr>
        <w:jc w:val="both"/>
        <w:ind w:right="20" w:firstLine="656"/>
        <w:spacing w:after="0" w:line="248" w:lineRule="auto"/>
        <w:tabs>
          <w:tab w:leader="none" w:pos="1038"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Lenders, the Arrangers and the Administrative Agent shall have received all fees required to be paid on or before the Closing Date, and all reimbursable expenses for which invoices have been presented (including the reasonable out-of-pocket documented fees and expenses of legal counsel), at least one (1) Business Day before the Closing Date.</w:t>
      </w:r>
    </w:p>
    <w:p>
      <w:pPr>
        <w:spacing w:after="0" w:line="181" w:lineRule="exact"/>
        <w:rPr>
          <w:rFonts w:ascii="Arial" w:cs="Arial" w:eastAsia="Arial" w:hAnsi="Arial"/>
          <w:sz w:val="18"/>
          <w:szCs w:val="18"/>
          <w:color w:val="auto"/>
        </w:rPr>
      </w:pPr>
    </w:p>
    <w:p>
      <w:pPr>
        <w:jc w:val="both"/>
        <w:ind w:firstLine="656"/>
        <w:spacing w:after="0" w:line="270" w:lineRule="auto"/>
        <w:tabs>
          <w:tab w:leader="none" w:pos="1068"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Closing Certificate</w:t>
      </w:r>
      <w:r>
        <w:rPr>
          <w:rFonts w:ascii="Arial" w:cs="Arial" w:eastAsia="Arial" w:hAnsi="Arial"/>
          <w:sz w:val="17"/>
          <w:szCs w:val="17"/>
          <w:color w:val="auto"/>
        </w:rPr>
        <w:t xml:space="preserve">. The Administrative Agent (or its counsel) shall have received a certificate of each of the Loan Parties, dated as of the Closing Date,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with appropriate insertions, executed by any Responsible Officer and the Secretary or any Assistant Secretary of such Loan Party (or its general partner, as applicable), and attaching the documents referred to in </w:t>
      </w:r>
      <w:r>
        <w:rPr>
          <w:rFonts w:ascii="Arial" w:cs="Arial" w:eastAsia="Arial" w:hAnsi="Arial"/>
          <w:sz w:val="17"/>
          <w:szCs w:val="17"/>
          <w:u w:val="single" w:color="auto"/>
          <w:color w:val="auto"/>
        </w:rPr>
        <w:t>Section 5.1(f)</w:t>
      </w:r>
      <w:r>
        <w:rPr>
          <w:rFonts w:ascii="Arial" w:cs="Arial" w:eastAsia="Arial" w:hAnsi="Arial"/>
          <w:sz w:val="17"/>
          <w:szCs w:val="17"/>
          <w:color w:val="auto"/>
        </w:rPr>
        <w:t>.</w:t>
      </w:r>
    </w:p>
    <w:p>
      <w:pPr>
        <w:spacing w:after="0" w:line="163" w:lineRule="exact"/>
        <w:rPr>
          <w:rFonts w:ascii="Arial" w:cs="Arial" w:eastAsia="Arial" w:hAnsi="Arial"/>
          <w:sz w:val="17"/>
          <w:szCs w:val="17"/>
          <w:color w:val="auto"/>
        </w:rPr>
      </w:pPr>
    </w:p>
    <w:p>
      <w:pPr>
        <w:jc w:val="both"/>
        <w:ind w:firstLine="656"/>
        <w:spacing w:after="0" w:line="238" w:lineRule="auto"/>
        <w:tabs>
          <w:tab w:leader="none" w:pos="1143"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Authorization of Proceeding of Loan Parties; Corporate Documents</w:t>
      </w:r>
      <w:r>
        <w:rPr>
          <w:rFonts w:ascii="Arial" w:cs="Arial" w:eastAsia="Arial" w:hAnsi="Arial"/>
          <w:sz w:val="18"/>
          <w:szCs w:val="18"/>
          <w:color w:val="auto"/>
        </w:rPr>
        <w:t>. The Administrative Agent shall have received (i) a copy of the resolutions of the general partner, board of directors or other managers (or a duly authorized committee thereof), as applicable, of each Loan Party authorizing (a) the execution, delivery, and performance of the Loan Documents (and any agreements relating thereto) to which it is a party and (b) in the case of the Borrower, the extensions of credit contemplated hereunder, (ii) the Certificate of Incorporation and By Laws, Certificate of Formation and Operating Agreement or other comparable organizational documents, as applicable, of each Loan Party, (iii) signature and incumbency certificates (or other comparable documents evidencing the same) of the Responsible Officers of each Loan Party (or its general partner, as applicable) executing the Loan Documents to which it is a party and (iv) good standing certificates from the Governmental Authorities of the jurisdictions of organization of the Loan Parties, dated the Closing Date or a recent date prior thereto.</w:t>
      </w:r>
    </w:p>
    <w:p>
      <w:pPr>
        <w:spacing w:after="0" w:line="193" w:lineRule="exact"/>
        <w:rPr>
          <w:rFonts w:ascii="Arial" w:cs="Arial" w:eastAsia="Arial" w:hAnsi="Arial"/>
          <w:sz w:val="18"/>
          <w:szCs w:val="18"/>
          <w:color w:val="auto"/>
        </w:rPr>
      </w:pPr>
    </w:p>
    <w:p>
      <w:pPr>
        <w:ind w:firstLine="656"/>
        <w:spacing w:after="0" w:line="261" w:lineRule="auto"/>
        <w:tabs>
          <w:tab w:leader="none" w:pos="1065"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Legal Opinion</w:t>
      </w:r>
      <w:r>
        <w:rPr>
          <w:rFonts w:ascii="Arial" w:cs="Arial" w:eastAsia="Arial" w:hAnsi="Arial"/>
          <w:sz w:val="18"/>
          <w:szCs w:val="18"/>
          <w:color w:val="auto"/>
        </w:rPr>
        <w:t>. The Administrative Agent shall have received the legal opinion of Hogan Lovells US LLP, counsel to the Borrower and its Subsidiaries, in form and substance reasonably satisfactory to the Administrative Agent.</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051"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Know-Your-Customer Requirements</w:t>
      </w:r>
      <w:r>
        <w:rPr>
          <w:rFonts w:ascii="Arial" w:cs="Arial" w:eastAsia="Arial" w:hAnsi="Arial"/>
          <w:sz w:val="17"/>
          <w:szCs w:val="17"/>
          <w:color w:val="auto"/>
        </w:rPr>
        <w:t>. (i) The Administrative Agent shall have received, at least three (3) Business Days prior to the Closing Date, all documentation and other information requested in connection with applicable “know your customer” and anti-money laundering rules and regulations, including the Patriot Act, to the extent reasonably requested by the Arrangers or any Lender on or prior to the date that is seven (7) Business Days prior to the Closing Date and (ii) to the extent the Borrower qualifies as a “legal entity customer” under the Beneficial Ownership Regulation, at least three (3) Business Days prior to the Closing Date, any Lender that at least seven (7) Business Days prior to the Closing Date has requested a Beneficial Ownership Certification in relation to the Borrower shall have received such Beneficial Ownership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21" w:right="339" w:bottom="1440" w:gutter="0" w:footer="0" w:header="0"/>
        </w:sectPr>
      </w:pPr>
    </w:p>
    <w:bookmarkStart w:id="188" w:name="page189"/>
    <w:bookmarkEnd w:id="188"/>
    <w:p>
      <w:pPr>
        <w:jc w:val="both"/>
        <w:ind w:firstLine="656"/>
        <w:spacing w:after="0" w:line="294" w:lineRule="auto"/>
        <w:tabs>
          <w:tab w:leader="none" w:pos="1038"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Compliance Certificate</w:t>
      </w:r>
      <w:r>
        <w:rPr>
          <w:rFonts w:ascii="Arial" w:cs="Arial" w:eastAsia="Arial" w:hAnsi="Arial"/>
          <w:sz w:val="16"/>
          <w:szCs w:val="16"/>
          <w:color w:val="auto"/>
        </w:rPr>
        <w:t xml:space="preserve">. The Lenders shall have received a certificate of a Responsible Officer of the Borrower certifying as to compliance with the financial covenants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on a pro-forma basis on the Closing Date giving effect to the incurrence of the Loans, which certificate shall include calculations in reasonable detail demonstrating such compliance, including as to the calculation of Unencumbered Asset Value.</w:t>
      </w:r>
    </w:p>
    <w:p>
      <w:pPr>
        <w:spacing w:after="0" w:line="147" w:lineRule="exact"/>
        <w:rPr>
          <w:rFonts w:ascii="Arial" w:cs="Arial" w:eastAsia="Arial" w:hAnsi="Arial"/>
          <w:sz w:val="16"/>
          <w:szCs w:val="16"/>
          <w:color w:val="auto"/>
        </w:rPr>
      </w:pPr>
    </w:p>
    <w:p>
      <w:pPr>
        <w:ind w:firstLine="656"/>
        <w:spacing w:after="0" w:line="261" w:lineRule="auto"/>
        <w:tabs>
          <w:tab w:leader="none" w:pos="1011"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The Administrative Agent shall have received a solvency certificate from a Responsible Officer of the Borrower (or its general partner, as applicable) certifying that it is Solvent.</w:t>
      </w:r>
    </w:p>
    <w:p>
      <w:pPr>
        <w:spacing w:after="0" w:line="170" w:lineRule="exact"/>
        <w:rPr>
          <w:rFonts w:ascii="Arial" w:cs="Arial" w:eastAsia="Arial" w:hAnsi="Arial"/>
          <w:sz w:val="18"/>
          <w:szCs w:val="18"/>
          <w:color w:val="auto"/>
        </w:rPr>
      </w:pPr>
    </w:p>
    <w:p>
      <w:pPr>
        <w:jc w:val="both"/>
        <w:ind w:firstLine="656"/>
        <w:spacing w:after="0" w:line="248" w:lineRule="auto"/>
        <w:tabs>
          <w:tab w:leader="none" w:pos="1173"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Administrative Agent shall have received an officer’s certificate from the president, a vice president or a Responsible Officer of the Borrower (or its general partner, as applicable) certifying that, as of the Closing Date, the Borrower is in compliance with the conditions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656"/>
        <w:spacing w:after="0" w:line="270" w:lineRule="auto"/>
        <w:tabs>
          <w:tab w:leader="none" w:pos="1106"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Prior to or substantially contemporaneously with the availability of the Loans on the Closing Date, (i) the Existing Credit Agreement shall be terminated with all principal, interest and accrued and unpaid invoiced fees and expenses thereunder then outstanding being repaid in full and (ii) all guarantees and security in respect of the Existing Credit Agreement shall be discharged and released.</w:t>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For purposes of determining compliance with the conditions specified in this </w:t>
      </w:r>
      <w:r>
        <w:rPr>
          <w:rFonts w:ascii="Arial" w:cs="Arial" w:eastAsia="Arial" w:hAnsi="Arial"/>
          <w:sz w:val="18"/>
          <w:szCs w:val="18"/>
          <w:u w:val="single" w:color="auto"/>
          <w:color w:val="auto"/>
        </w:rPr>
        <w:t>Section 5.1</w:t>
      </w:r>
      <w:r>
        <w:rPr>
          <w:rFonts w:ascii="Arial" w:cs="Arial" w:eastAsia="Arial" w:hAnsi="Arial"/>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w:t>
      </w:r>
    </w:p>
    <w:p>
      <w:pPr>
        <w:spacing w:after="0" w:line="182"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to Each Extension of Credit</w:t>
      </w:r>
      <w:r>
        <w:rPr>
          <w:rFonts w:ascii="Arial" w:cs="Arial" w:eastAsia="Arial" w:hAnsi="Arial"/>
          <w:sz w:val="18"/>
          <w:szCs w:val="18"/>
          <w:color w:val="auto"/>
        </w:rPr>
        <w:t>. The agreement of each Lender to make any extension of credit requested to be made by it on any date (including its initial extension of credit), and of each Issuing Lender to issue, amend, renew or extend any Letter of Credit, is subject to the satisfaction of the following conditions precedent:</w:t>
      </w:r>
    </w:p>
    <w:p>
      <w:pPr>
        <w:spacing w:after="0" w:line="182" w:lineRule="exact"/>
        <w:rPr>
          <w:sz w:val="20"/>
          <w:szCs w:val="20"/>
          <w:color w:val="auto"/>
        </w:rPr>
      </w:pPr>
    </w:p>
    <w:p>
      <w:pPr>
        <w:jc w:val="both"/>
        <w:ind w:firstLine="656"/>
        <w:spacing w:after="0"/>
        <w:tabs>
          <w:tab w:leader="none" w:pos="1054"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representations and warranties made by any Loan Party in or pursuant to the Loan Documents shall be true and correct in all material respects (other than any representation or warranty qualified as to “materiality”, “Material Adverse Effect” or similar language, which shall be true and correct in all respects) on and as of such date as if made on and as of such date, except to the extent such representations and warranties specifically relate to an earlier date, in which case they were true and correct in all material respects (other than any representation or warranty qualified as to “materiality”, “Material Adverse Effect” or similar language, which shall be true and correct in all respects) on and as of such earlier date.</w:t>
      </w:r>
    </w:p>
    <w:p>
      <w:pPr>
        <w:spacing w:after="0" w:line="189" w:lineRule="exact"/>
        <w:rPr>
          <w:rFonts w:ascii="Arial" w:cs="Arial" w:eastAsia="Arial" w:hAnsi="Arial"/>
          <w:sz w:val="18"/>
          <w:szCs w:val="18"/>
          <w:color w:val="auto"/>
        </w:rPr>
      </w:pPr>
    </w:p>
    <w:p>
      <w:pPr>
        <w:ind w:firstLine="656"/>
        <w:spacing w:after="0" w:line="261" w:lineRule="auto"/>
        <w:tabs>
          <w:tab w:leader="none" w:pos="1078"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shall have occurred and be continuing on such date or after giving effect to the extensions of credit requested to be made on such date.</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Each borrowing by and issuance of a Letter of Credit on behalf of the Borrower hereunder shall constitute a representation and warranty by the Borrower as of the date of such extension of credit that the conditions contained in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w:t>
      </w:r>
    </w:p>
    <w:p>
      <w:pPr>
        <w:spacing w:after="0" w:line="171"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AFFIRMATIVE COVENANTS</w:t>
      </w:r>
    </w:p>
    <w:p>
      <w:pPr>
        <w:spacing w:after="0" w:line="21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 xml:space="preserve">The Borrower hereby agrees that, so long as the Commitments remain in effect, any Letter of Credit remains outstanding (except to the extent cash collateralized on a basis reasonably acceptable to the Administrative Agent) or any Loan or other amount is owing to any Lender or the Administrative Agent hereunder (other than contingent indemnification obligations as to which no claim has been asserted), the Borrower shall and shall cause each of its Restricted Subsidiaries to (or, in the case of </w:t>
      </w:r>
      <w:r>
        <w:rPr>
          <w:rFonts w:ascii="Arial" w:cs="Arial" w:eastAsia="Arial" w:hAnsi="Arial"/>
          <w:sz w:val="18"/>
          <w:szCs w:val="18"/>
          <w:u w:val="single" w:color="auto"/>
          <w:color w:val="auto"/>
        </w:rPr>
        <w:t>Section 6.11</w:t>
      </w:r>
      <w:r>
        <w:rPr>
          <w:rFonts w:ascii="Arial" w:cs="Arial" w:eastAsia="Arial" w:hAnsi="Arial"/>
          <w:sz w:val="18"/>
          <w:szCs w:val="18"/>
          <w:color w:val="auto"/>
        </w:rPr>
        <w:t>, shall cause VICI to):</w:t>
      </w:r>
    </w:p>
    <w:p>
      <w:pPr>
        <w:spacing w:after="0" w:line="18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 Furnish to the Administrative Agent for prompt further distribution to each Lender each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21" w:right="339" w:bottom="1440" w:gutter="0" w:footer="0" w:header="0"/>
        </w:sectPr>
      </w:pPr>
    </w:p>
    <w:bookmarkStart w:id="189" w:name="page190"/>
    <w:bookmarkEnd w:id="189"/>
    <w:p>
      <w:pPr>
        <w:jc w:val="both"/>
        <w:ind w:firstLine="656"/>
        <w:spacing w:after="0" w:line="239" w:lineRule="auto"/>
        <w:tabs>
          <w:tab w:leader="none" w:pos="10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 soon as available, but in any event within 90 days after the end of each fiscal year of the Borrower (beginning with the fiscal year ending December 31, 2021), a copy of the audited consolidated balance sheet of VICI and its consolidated Subsidiaries as at the end of such year and the related audited consolidated statements of income and of cash flows for such year, including any “segment information” applicable to the Borrower, setting forth in each case in comparative form the figures for the previous year, reported on without a “going concern” or like qualification or exception, or qualification arising out of the scope of the audit, by Deloitte &amp; Touche LLP or other independent certified public accountants of nationally recognized standing (other than as may be required as a result of the impending maturity of any Material Indebtedness maturing within one (1) year after the time such opinion is delivered); and</w:t>
      </w:r>
    </w:p>
    <w:p>
      <w:pPr>
        <w:spacing w:after="0" w:line="190" w:lineRule="exact"/>
        <w:rPr>
          <w:rFonts w:ascii="Arial" w:cs="Arial" w:eastAsia="Arial" w:hAnsi="Arial"/>
          <w:sz w:val="18"/>
          <w:szCs w:val="18"/>
          <w:color w:val="auto"/>
        </w:rPr>
      </w:pPr>
    </w:p>
    <w:p>
      <w:pPr>
        <w:jc w:val="both"/>
        <w:ind w:firstLine="656"/>
        <w:spacing w:after="0"/>
        <w:tabs>
          <w:tab w:leader="none" w:pos="105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 soon as available, but in any event not later than 45 days after the end of each of the first three quarterly periods of each fiscal year of the Borrower (beginning with the quarterly period ending March 31, 2022), the unaudited consolidated balance sheet of VICI and its consolidated Subsidiaries as at the end of such quarter and the related unaudited consolidated statements of income and of cash flows for such quarter and the portion of the fiscal year through the end of such quarter, including any “segment information” applicable to the Borrower, setting forth in each case in comparative form the figures for the previous year, certified by a Responsible Officer as being fairly stated in all material respects (subject to normal year-end audit adjustments and the absence of footnotes).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All such financial statements shall be complete and correct in all material respects and shall be prepared in reasonable detail and in accordance with GAAP applied (except as approved by such accountants or officer, as the case may be, and disclosed in reasonable detail therein and except for the absence of footnotes with the interim statements) consistently throughout the periods reflected therein and with prior periods. Electronic delivery by VICI of its annual report to the SEC on Form 10-K and its quarterly report to the SEC on Form 10-Q (x) made publicly available as posted on the Electronic Data Gathering, Analysis and Retrieval system (EDGAR) in accordance with SEC requirement for such reports or (y) which such statements are posted on the Borrower’s behalf on an Internet or intranet website, if any, to which Administrative Agent and each Lender have access (whether a commercial, third-party website or whether made available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notify the Administrative Agent (by facsimile or electronic mail) of the posting of any such documents and, upon request, provide to the Administrative Agent by electronic mail electronic versions (i.e., soft copies) of such documents), in each case, shall be deemed to be compliance by the Borrower with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6.1(b)</w:t>
      </w:r>
      <w:r>
        <w:rPr>
          <w:rFonts w:ascii="Arial" w:cs="Arial" w:eastAsia="Arial" w:hAnsi="Arial"/>
          <w:sz w:val="17"/>
          <w:szCs w:val="17"/>
          <w:color w:val="auto"/>
        </w:rPr>
        <w:t>, as applicable, and deemed delivered to the Administrative Agent on the date posted.</w:t>
      </w:r>
    </w:p>
    <w:p>
      <w:pPr>
        <w:spacing w:after="0" w:line="18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Certificates; Other Information</w:t>
      </w:r>
      <w:r>
        <w:rPr>
          <w:rFonts w:ascii="Arial" w:cs="Arial" w:eastAsia="Arial" w:hAnsi="Arial"/>
          <w:sz w:val="16"/>
          <w:szCs w:val="16"/>
          <w:color w:val="auto"/>
        </w:rPr>
        <w:t>. Furnish to the Administrative Agent for prompt further distribution by the Administrative Agent to each</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Lender each of the following (or, in the case of </w:t>
      </w:r>
      <w:r>
        <w:rPr>
          <w:rFonts w:ascii="Arial" w:cs="Arial" w:eastAsia="Arial" w:hAnsi="Arial"/>
          <w:sz w:val="18"/>
          <w:szCs w:val="18"/>
          <w:u w:val="single" w:color="auto"/>
          <w:color w:val="auto"/>
        </w:rPr>
        <w:t>clause (f)</w:t>
      </w:r>
      <w:r>
        <w:rPr>
          <w:rFonts w:ascii="Arial" w:cs="Arial" w:eastAsia="Arial" w:hAnsi="Arial"/>
          <w:sz w:val="18"/>
          <w:szCs w:val="18"/>
          <w:color w:val="auto"/>
        </w:rPr>
        <w:t>, to the relevant Lender):</w:t>
      </w:r>
    </w:p>
    <w:p>
      <w:pPr>
        <w:spacing w:after="0" w:line="196" w:lineRule="exact"/>
        <w:rPr>
          <w:sz w:val="20"/>
          <w:szCs w:val="20"/>
          <w:color w:val="auto"/>
        </w:rPr>
      </w:pPr>
    </w:p>
    <w:p>
      <w:pPr>
        <w:ind w:firstLine="656"/>
        <w:spacing w:after="0" w:line="266" w:lineRule="auto"/>
        <w:tabs>
          <w:tab w:leader="none" w:pos="1028"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as soon as available, but in any event within 45 days after the end of each of the first three quarterly periods of each fiscal year of the Borrower (beginning with the fiscal quarter ended March 31, 2022) and within 90 days after the end of each fiscal year of the Borrower (beginning with the fiscal year ended December 31, 2022), a Compliance Certificate executed on behalf of the Borrower by a Responsible Officer (i) setting forth in reasonable detail as of the end of such fiscal quarter or fiscal year, as the case may be, (A) the calculations required to establish whether the Borrower was in compliance with the covenants contained in </w:t>
      </w:r>
      <w:r>
        <w:rPr>
          <w:rFonts w:ascii="Arial" w:cs="Arial" w:eastAsia="Arial" w:hAnsi="Arial"/>
          <w:sz w:val="16"/>
          <w:szCs w:val="16"/>
          <w:u w:val="single" w:color="auto"/>
          <w:color w:val="auto"/>
        </w:rPr>
        <w:t>Section 7.1</w:t>
      </w:r>
      <w:r>
        <w:rPr>
          <w:rFonts w:ascii="Arial" w:cs="Arial" w:eastAsia="Arial" w:hAnsi="Arial"/>
          <w:sz w:val="16"/>
          <w:szCs w:val="16"/>
          <w:color w:val="auto"/>
        </w:rPr>
        <w:t>, (B) a list of all assets included in the calculation of Unencumbered Asset Value and Unencumbered NOI and (C) the calculations required to establish Unencumbered Asset Value, (ii) stating that, to his or her knowledge, no Default or Event of Default exists, or if such is not the case, specifying such Default or Event of Default and its nature, when it occurred and the steps being taken by the Borrower with respect to such event, condition or failure, and (iii) setting forth a statement of (I) all Real Property constituting Unencumbered Property and</w:t>
      </w:r>
    </w:p>
    <w:p>
      <w:pPr>
        <w:spacing w:after="0" w:line="4" w:lineRule="exact"/>
        <w:rPr>
          <w:rFonts w:ascii="Arial" w:cs="Arial" w:eastAsia="Arial" w:hAnsi="Arial"/>
          <w:sz w:val="16"/>
          <w:szCs w:val="16"/>
          <w:color w:val="auto"/>
        </w:rPr>
      </w:pPr>
    </w:p>
    <w:p>
      <w:pPr>
        <w:ind w:left="300" w:hanging="292"/>
        <w:spacing w:after="0"/>
        <w:tabs>
          <w:tab w:leader="none" w:pos="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newly acquired Real Property, in each case, all in form and detail reasonably satisfactory to the Administrative Agent;</w:t>
      </w:r>
    </w:p>
    <w:p>
      <w:pPr>
        <w:spacing w:after="0" w:line="195" w:lineRule="exact"/>
        <w:rPr>
          <w:rFonts w:ascii="Arial" w:cs="Arial" w:eastAsia="Arial" w:hAnsi="Arial"/>
          <w:sz w:val="18"/>
          <w:szCs w:val="18"/>
          <w:color w:val="auto"/>
        </w:rPr>
      </w:pPr>
    </w:p>
    <w:p>
      <w:pPr>
        <w:jc w:val="both"/>
        <w:ind w:firstLine="656"/>
        <w:spacing w:after="0" w:line="262" w:lineRule="auto"/>
        <w:tabs>
          <w:tab w:leader="none" w:pos="1057" w:val="left"/>
        </w:tabs>
        <w:numPr>
          <w:ilvl w:val="1"/>
          <w:numId w:val="137"/>
        </w:numPr>
        <w:rPr>
          <w:rFonts w:ascii="Arial" w:cs="Arial" w:eastAsia="Arial" w:hAnsi="Arial"/>
          <w:sz w:val="17"/>
          <w:szCs w:val="17"/>
          <w:color w:val="auto"/>
        </w:rPr>
      </w:pPr>
      <w:r>
        <w:rPr>
          <w:rFonts w:ascii="Arial" w:cs="Arial" w:eastAsia="Arial" w:hAnsi="Arial"/>
          <w:sz w:val="17"/>
          <w:szCs w:val="17"/>
          <w:color w:val="auto"/>
        </w:rPr>
        <w:t>as soon as available, and in any event no later than 90 days after the end of each fiscal year of the Borrower (beginning with the 2023 fiscal year), a detailed consolidated budget for the following fiscal year (including a projected consolidated balance sheet of the Borrower and its Subsidiaries as of the end of the following fiscal year, the related consolidated statements of projected cash flow, projected changes in financial position and projected income and a description of the underlying assumptions applicable thereto) (collectively, the “</w:t>
      </w:r>
      <w:r>
        <w:rPr>
          <w:rFonts w:ascii="Arial" w:cs="Arial" w:eastAsia="Arial" w:hAnsi="Arial"/>
          <w:sz w:val="17"/>
          <w:szCs w:val="17"/>
          <w:u w:val="single" w:color="auto"/>
          <w:color w:val="auto"/>
        </w:rPr>
        <w:t>Projections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21" w:right="339" w:bottom="1440" w:gutter="0" w:footer="0" w:header="0"/>
        </w:sectPr>
      </w:pPr>
    </w:p>
    <w:bookmarkStart w:id="190" w:name="page191"/>
    <w:bookmarkEnd w:id="190"/>
    <w:p>
      <w:pPr>
        <w:jc w:val="both"/>
        <w:ind w:firstLine="656"/>
        <w:spacing w:after="0" w:line="270" w:lineRule="auto"/>
        <w:tabs>
          <w:tab w:leader="none" w:pos="1064"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within 45 days after the end of each fiscal quarter of the Borrower (or 90 days in the case of the fourth quarter), a narrative discussion and analysis of the financial condition and results of operations of the Borrower and its Subsidiaries for such fiscal quarter and for the period from the beginning of the then current fiscal year to the end of such fiscal quarter, as compared to the comparable periods of the previous year;</w:t>
      </w:r>
    </w:p>
    <w:p>
      <w:pPr>
        <w:spacing w:after="0" w:line="163" w:lineRule="exact"/>
        <w:rPr>
          <w:rFonts w:ascii="Arial" w:cs="Arial" w:eastAsia="Arial" w:hAnsi="Arial"/>
          <w:sz w:val="17"/>
          <w:szCs w:val="17"/>
          <w:color w:val="auto"/>
        </w:rPr>
      </w:pPr>
    </w:p>
    <w:p>
      <w:pPr>
        <w:jc w:val="both"/>
        <w:ind w:firstLine="656"/>
        <w:spacing w:after="0" w:line="248" w:lineRule="auto"/>
        <w:tabs>
          <w:tab w:leader="none" w:pos="108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so long as the Borrower has not received two Investment Grade Ratings, promptly after the effectiveness thereof (and in any event within five Business Days (or such longer period as the Administrative Agent shall agree in its sole discretion)), copies of any amendment or modification to, or waiver of, any Significant Master Lease, or any notice of default delivered or received thereunder;</w:t>
      </w:r>
    </w:p>
    <w:p>
      <w:pPr>
        <w:spacing w:after="0" w:line="181" w:lineRule="exact"/>
        <w:rPr>
          <w:rFonts w:ascii="Arial" w:cs="Arial" w:eastAsia="Arial" w:hAnsi="Arial"/>
          <w:sz w:val="18"/>
          <w:szCs w:val="18"/>
          <w:color w:val="auto"/>
        </w:rPr>
      </w:pPr>
    </w:p>
    <w:p>
      <w:pPr>
        <w:jc w:val="both"/>
        <w:ind w:firstLine="656"/>
        <w:spacing w:after="0" w:line="248" w:lineRule="auto"/>
        <w:tabs>
          <w:tab w:leader="none" w:pos="106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within ten days after the same are sent, copies of all financial statements and reports that VICI or the Borrower sends to the holders of any class of its public equity securities and, within five days after the same are filed, copies of all material financial statements and reports that VICI or the Borrower may make to, or file with, the SEC; and</w:t>
      </w:r>
    </w:p>
    <w:p>
      <w:pPr>
        <w:spacing w:after="0" w:line="181" w:lineRule="exact"/>
        <w:rPr>
          <w:rFonts w:ascii="Arial" w:cs="Arial" w:eastAsia="Arial" w:hAnsi="Arial"/>
          <w:sz w:val="18"/>
          <w:szCs w:val="18"/>
          <w:color w:val="auto"/>
        </w:rPr>
      </w:pPr>
    </w:p>
    <w:p>
      <w:pPr>
        <w:jc w:val="both"/>
        <w:ind w:firstLine="656"/>
        <w:spacing w:after="0" w:line="243" w:lineRule="auto"/>
        <w:tabs>
          <w:tab w:leader="none" w:pos="109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promptly, such additional financial and other information as the Administrative Agent or any Lender may from time to time reasonably request (subject to limitations, if any, imposed under regulatory or confidentiality requirements and agreements (other than confidentiality provisions entered into in contemplation of this Agreement) to which VICI, the Borrower or any of their respective Subsidiaries is subject or could otherwise reasonably be expected to contravene attorney-client privilege or constitute attorney work product).</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Information required to be delivered pursuant to clause (c), (d) or (e) of this Section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each Lender and the Administrative Agent have access (whether a commercial, third-party website or whether made available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in the case that satisfaction of the requirements of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relies on this clause (ii), the Borrower shall notify the Administrative Agent (by facsimile or electronic mail) of the posting of any such documents.</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Pay, discharge or otherwise satisfy at or before maturity or before they become delinquent, as the case may be, all its material obligations of whatever nature, except where the amount or validity thereof is currently being contested in good faith by appropriate proceedings and reserves in conformity with GAAP with respect thereto have been provided on the books of the relevant Group Member and except for any nonpayment of which could not reasonably be expected to have a Material Adverse Effect.</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Maintenance of Existence; Compliance</w:t>
      </w:r>
      <w:r>
        <w:rPr>
          <w:rFonts w:ascii="Arial" w:cs="Arial" w:eastAsia="Arial" w:hAnsi="Arial"/>
          <w:sz w:val="16"/>
          <w:szCs w:val="16"/>
          <w:color w:val="auto"/>
        </w:rPr>
        <w:t xml:space="preserve">. (a) (i) Preserve, renew and keep in full force and effect its organizational existence and (ii) take all reasonable action to maintain all rights, privileges and franchises necessary or desirable in the normal conduct of its business, except, in each case, as otherwise permitted by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and except (other than with respect to the preservation of the existence of the Loan Parties) (x) to the extent that failure to do so could not reasonably be expected to have a Material Adverse Effect or (y) pursuant to any merger, amalgamation, consolidation, liquidation, dissolution or Disposition permitted hereunder; and (b) comply with all Contractual Obligations and Requirements of Law except to the extent that failure to comply therewith could not, in the aggregate, reasonably be expected to have a Material Adverse Effect. The Borrower will maintain in effect and enforce policies and procedures reasonably designed to ensure compliance by the Borrower, its Restricted Subsidiaries and their respective directors, officers and employees with Requirements of Law, including Anti-Corruption Laws and applicable Sanctions.</w:t>
      </w:r>
    </w:p>
    <w:p>
      <w:pPr>
        <w:spacing w:after="0" w:line="16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Maintenance of Property; Insurance</w:t>
      </w:r>
      <w:r>
        <w:rPr>
          <w:rFonts w:ascii="Arial" w:cs="Arial" w:eastAsia="Arial" w:hAnsi="Arial"/>
          <w:sz w:val="18"/>
          <w:szCs w:val="18"/>
          <w:color w:val="auto"/>
        </w:rPr>
        <w:t>. (a) Except if the failure to do so would not reasonably be expected to have, individually or in the aggregate, a Material Adverse Effect, keep all assets, rights and property useful and necessary in its business in good working order and condition, ordinary wear and tear excepted and fire, casualty or condemnation excepted and (b) maintain with financially sound and reputable insurance companies insurance (directly or indirectly through its tenants) on all its property in at least such amounts and against at least such risks (but including in any event public liability, flood (if applicable), all-risks casualty and business interruption) as are usually insured against in the same general area by comparable companies engaged in the same or a similar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21" w:right="339" w:bottom="1440" w:gutter="0" w:footer="0" w:header="0"/>
        </w:sectPr>
      </w:pPr>
    </w:p>
    <w:bookmarkStart w:id="191" w:name="page192"/>
    <w:bookmarkEnd w:id="191"/>
    <w:p>
      <w:pPr>
        <w:jc w:val="both"/>
        <w:ind w:firstLine="648"/>
        <w:spacing w:after="0" w:line="265"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Inspection of Property; Books and Records; Discussions</w:t>
      </w:r>
      <w:r>
        <w:rPr>
          <w:rFonts w:ascii="Arial" w:cs="Arial" w:eastAsia="Arial" w:hAnsi="Arial"/>
          <w:sz w:val="16"/>
          <w:szCs w:val="16"/>
          <w:color w:val="auto"/>
        </w:rPr>
        <w:t xml:space="preserve">. (a) Keep proper books of records and account in which full, true and correct entries in all material respects in conformity with GAAP (it being understood and agreed that any Foreign Subsidiary may maintain additional individual books and records in a manner that permits preparation of its financial statements in accordance with the generally accepted accounting principles that are applicable in its jurisdiction of organization and that such maintenance shall not constitute a breach of the representations, warranties or covenants hereunder) and (b) permit representatives of the Administrative Agent or any Lender to visit and inspect any of its properties and examine and make abstracts from any of its books and records at any reasonable time and as often as may reasonably be desired and to discuss the business, operations, properties and financial and other condition of the Group Members with officers and employees of the Group Members and with their independent certified public accountants (subject to such accountants’ customary policies and procedures), all at such reasonable times during normal business hours and as often as may be reasonably desired, upon reasonable advance notice to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absent the existence of an Event of Default, such visits and inspections shall be at the sole expense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when an Event of Default exists, the Administrative Agent (or any of its respective representatives or independent contractors) and the Lenders may do any of the foregoing at the expense of the Borrower at any time during normal business hours and upon reasonable advance notice. The Administrative Agent and the Lenders shall give the Borrower the opportunity to participate in any discussions with the Borrower’s independent public accountants. Notwithstanding anything to the contrary in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none of the Borrower or any of the Restricted Subsidiaries will be required to disclose, permit the inspection, examination or making copies or abstracts of, or discussion of, any document, information or other matter that (a) constitutes non-financial trade secrets or non-financial proprietary information, (b) in respect of which disclosure to the Administrative Agent or any Lender (or their respective representatives or contractors) is prohibited by applicable law or any binding agreement or (c) is subject to attorney-client or similar privilege or constitutes attorney work product;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legally permissible, the Borrower shall notify the Administrative Agent that any such document, information or other matter is being withheld pursuant to </w:t>
      </w:r>
      <w:r>
        <w:rPr>
          <w:rFonts w:ascii="Arial" w:cs="Arial" w:eastAsia="Arial" w:hAnsi="Arial"/>
          <w:sz w:val="16"/>
          <w:szCs w:val="16"/>
          <w:u w:val="single" w:color="auto"/>
          <w:color w:val="auto"/>
        </w:rPr>
        <w:t>clauses</w:t>
      </w:r>
    </w:p>
    <w:p>
      <w:pPr>
        <w:spacing w:after="0" w:line="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and shall use commercially reasonable efforts to communicate, to the extent permitted, the applicable information in a way that would not violate such restrictions and to eliminate such restrictions.</w:t>
      </w:r>
    </w:p>
    <w:p>
      <w:pPr>
        <w:spacing w:after="0" w:line="18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Promptly give notice to the Administrative Agent for prompt further distribution by the Administrative Agent to each Lender of:</w:t>
      </w:r>
    </w:p>
    <w:p>
      <w:pPr>
        <w:spacing w:after="0" w:line="212" w:lineRule="exact"/>
        <w:rPr>
          <w:sz w:val="20"/>
          <w:szCs w:val="20"/>
          <w:color w:val="auto"/>
        </w:rPr>
      </w:pPr>
    </w:p>
    <w:p>
      <w:pPr>
        <w:ind w:left="1040" w:hanging="384"/>
        <w:spacing w:after="0"/>
        <w:tabs>
          <w:tab w:leader="none" w:pos="10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occurrence of any Default or Event of Default;</w:t>
      </w:r>
    </w:p>
    <w:p>
      <w:pPr>
        <w:spacing w:after="0" w:line="211" w:lineRule="exact"/>
        <w:rPr>
          <w:rFonts w:ascii="Arial" w:cs="Arial" w:eastAsia="Arial" w:hAnsi="Arial"/>
          <w:sz w:val="18"/>
          <w:szCs w:val="18"/>
          <w:color w:val="auto"/>
        </w:rPr>
      </w:pPr>
    </w:p>
    <w:p>
      <w:pPr>
        <w:jc w:val="both"/>
        <w:ind w:firstLine="656"/>
        <w:spacing w:after="0" w:line="248" w:lineRule="auto"/>
        <w:tabs>
          <w:tab w:leader="none" w:pos="106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(i) default or event of default under any Contractual Obligation of any Group Member or (ii) litigation, investigation or proceeding that may exist at any time between any Group Member and any Governmental Authority, that in either case, if not cured or if adversely determined, as the case may be, could reasonably be expected to have a Material Adverse Effect;</w:t>
      </w:r>
    </w:p>
    <w:p>
      <w:pPr>
        <w:spacing w:after="0" w:line="181" w:lineRule="exact"/>
        <w:rPr>
          <w:rFonts w:ascii="Arial" w:cs="Arial" w:eastAsia="Arial" w:hAnsi="Arial"/>
          <w:sz w:val="18"/>
          <w:szCs w:val="18"/>
          <w:color w:val="auto"/>
        </w:rPr>
      </w:pPr>
    </w:p>
    <w:p>
      <w:pPr>
        <w:ind w:firstLine="656"/>
        <w:spacing w:after="0" w:line="261" w:lineRule="auto"/>
        <w:tabs>
          <w:tab w:leader="none" w:pos="109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litigation or proceeding affecting any Group Member (i) that could reasonably be expected to have a Material Adverse Effect or (ii) which in any manner draws into question the validity or enforceability of any Loan Document;</w:t>
      </w:r>
    </w:p>
    <w:p>
      <w:pPr>
        <w:spacing w:after="0" w:line="170" w:lineRule="exact"/>
        <w:rPr>
          <w:rFonts w:ascii="Arial" w:cs="Arial" w:eastAsia="Arial" w:hAnsi="Arial"/>
          <w:sz w:val="18"/>
          <w:szCs w:val="18"/>
          <w:color w:val="auto"/>
        </w:rPr>
      </w:pPr>
    </w:p>
    <w:p>
      <w:pPr>
        <w:jc w:val="both"/>
        <w:ind w:firstLine="656"/>
        <w:spacing w:after="0" w:line="238" w:lineRule="auto"/>
        <w:tabs>
          <w:tab w:leader="none" w:pos="108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the following events, as soon as possible and in any event within 30 days after the Borrower knows or has reason to know thereof: (i) the occurrence of any Reportable Event with respect to any Single Employer Plan or Multiemployer Plan, (ii) a failure to make any material required contribution to a Single Employer Plan or Multiemployer Plan, (iii) the creation of any Lien relating to any Single Employer Plan or Multiemployer Plan in favor of the PBGC or a Single Employer Plan or Multiemployer Plan, (iv) any complete or partial withdrawal from, or the termination of, any Single Employer Plan or Multiemployer Plan, (v) (I) a determination that a Multiemployer Plan is, or is expected to be, Insolvent or (II) is in “endangered” or “critical” status (within the meaning of Sections 431 or 432 of the Code or Sections 304 or 305 of ERISA);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case of this clause (II), notice shall be given to the Administrative Agent as soon as possible and in any event within 30 days of the time such notice is required by ERISA to be delivered to the bargaining parties or (vi) the institution of proceedings or the taking of any other action by the PBGC or the Borrower or any Commonly Controlled Entity or any Multiemployer Plan with respect to the withdrawal from, or the termination or Insolvency of, any Single Employer Plan or Multiemployer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21" w:right="339" w:bottom="1440" w:gutter="0" w:footer="0" w:header="0"/>
        </w:sectPr>
      </w:pPr>
    </w:p>
    <w:bookmarkStart w:id="192" w:name="page193"/>
    <w:bookmarkEnd w:id="192"/>
    <w:p>
      <w:pPr>
        <w:ind w:firstLine="656"/>
        <w:spacing w:after="0" w:line="261" w:lineRule="auto"/>
        <w:tabs>
          <w:tab w:leader="none" w:pos="10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change in the information provided in the Beneficial Ownership Certification delivered to such Lender that would result in a change to the list of beneficial owners identified in such certification;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20" w:hanging="364"/>
        <w:spacing w:after="0"/>
        <w:tabs>
          <w:tab w:leader="none" w:pos="10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development or event that has had or could reasonably be expected to have a Material Adverse Effect.</w:t>
      </w:r>
    </w:p>
    <w:p>
      <w:pPr>
        <w:spacing w:after="0" w:line="23"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 xml:space="preserve">Each notice pursuant to this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shall be accompanied by a statement of a Responsible Officer setting forth details of the occurrence referred to therein and stating what action the relevant Group Member proposes to take with respect thereto.</w:t>
      </w:r>
    </w:p>
    <w:p>
      <w:pPr>
        <w:spacing w:after="0" w:line="18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u w:val="single" w:color="auto"/>
          <w:color w:val="auto"/>
        </w:rPr>
        <w:t>Environmental Laws</w:t>
      </w:r>
      <w:r>
        <w:rPr>
          <w:rFonts w:ascii="Arial" w:cs="Arial" w:eastAsia="Arial" w:hAnsi="Arial"/>
          <w:sz w:val="16"/>
          <w:szCs w:val="16"/>
          <w:color w:val="auto"/>
        </w:rPr>
        <w:t>.</w:t>
      </w:r>
    </w:p>
    <w:p>
      <w:pPr>
        <w:spacing w:after="0" w:line="212" w:lineRule="exact"/>
        <w:rPr>
          <w:sz w:val="20"/>
          <w:szCs w:val="20"/>
          <w:color w:val="auto"/>
        </w:rPr>
      </w:pPr>
    </w:p>
    <w:p>
      <w:pPr>
        <w:jc w:val="both"/>
        <w:ind w:firstLine="656"/>
        <w:spacing w:after="0" w:line="241" w:lineRule="auto"/>
        <w:tabs>
          <w:tab w:leader="none" w:pos="114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Comply with, and take commercially reasonable steps to ensure compliance by all tenants and subtenants, if any, with, all applicable Environmental Laws, and obtain and comply with and maintain, and take commercially reasonable steps to ensure that all tenants and subtenants obtain and comply with and maintain, any and all licenses, approvals, notifications, registrations, exemptions or permits issued or required by applicable Environmental Laws, in each case to the extent the failure to do so could reasonably be expected to, individually or in the aggregate, have a Material Adverse Effect.</w:t>
      </w:r>
    </w:p>
    <w:p>
      <w:pPr>
        <w:spacing w:after="0" w:line="189" w:lineRule="exact"/>
        <w:rPr>
          <w:rFonts w:ascii="Arial" w:cs="Arial" w:eastAsia="Arial" w:hAnsi="Arial"/>
          <w:sz w:val="18"/>
          <w:szCs w:val="18"/>
          <w:color w:val="auto"/>
        </w:rPr>
      </w:pPr>
    </w:p>
    <w:p>
      <w:pPr>
        <w:jc w:val="both"/>
        <w:ind w:right="20" w:firstLine="656"/>
        <w:spacing w:after="0" w:line="248" w:lineRule="auto"/>
        <w:tabs>
          <w:tab w:leader="none" w:pos="119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Conduct and complete all investigations, studies, sampling and testing, and all remedial, removal and other actions required under Environmental Laws and promptly comply in all material respects with all orders and directives of all Governmental Authorities regarding Environmental Laws.</w:t>
      </w:r>
    </w:p>
    <w:p>
      <w:pPr>
        <w:spacing w:after="0" w:line="18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u w:val="single" w:color="auto"/>
          <w:color w:val="auto"/>
        </w:rPr>
        <w:t>Additional Guarantors; Additional Unencumbered Properties</w:t>
      </w:r>
      <w:r>
        <w:rPr>
          <w:rFonts w:ascii="Arial" w:cs="Arial" w:eastAsia="Arial" w:hAnsi="Arial"/>
          <w:sz w:val="16"/>
          <w:szCs w:val="16"/>
          <w:color w:val="auto"/>
        </w:rPr>
        <w:t>.</w:t>
      </w:r>
    </w:p>
    <w:p>
      <w:pPr>
        <w:spacing w:after="0" w:line="212" w:lineRule="exact"/>
        <w:rPr>
          <w:sz w:val="20"/>
          <w:szCs w:val="20"/>
          <w:color w:val="auto"/>
        </w:rPr>
      </w:pPr>
    </w:p>
    <w:p>
      <w:pPr>
        <w:jc w:val="both"/>
        <w:ind w:firstLine="656"/>
        <w:spacing w:after="0" w:line="257" w:lineRule="auto"/>
        <w:tabs>
          <w:tab w:leader="none" w:pos="105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With respect to any Restricted Subsidiary of the Borrower (other than an Excluded Foreign Subsidiary) that becomes a Required Guarantor, cause such Restricted Subsidiary to promptly (but in any event within ten Business Days (or such longer period as the Administrative Agent may agree in its sole discretion) of becoming a Required Guarantor) (A) to become a party to the Guarantee Agreement, (B) to deliver to the Administrative Agent a certificate of such Restricted Subsidiary,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with appropriate insertions and attachments and (C) if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175" w:lineRule="exact"/>
        <w:rPr>
          <w:rFonts w:ascii="Arial" w:cs="Arial" w:eastAsia="Arial" w:hAnsi="Arial"/>
          <w:sz w:val="17"/>
          <w:szCs w:val="17"/>
          <w:color w:val="auto"/>
        </w:rPr>
      </w:pPr>
    </w:p>
    <w:p>
      <w:pPr>
        <w:ind w:right="20" w:firstLine="656"/>
        <w:spacing w:after="0" w:line="261" w:lineRule="auto"/>
        <w:tabs>
          <w:tab w:leader="none" w:pos="109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as of any date of determination, any Real Property meets the eligibility criteria set forth in the definition of “Unencumbered Property”, such property may be treated as an Unencumbered Property for all purposes of this Agreement.</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[Reserved].</w:t>
      </w:r>
    </w:p>
    <w:p>
      <w:pPr>
        <w:spacing w:after="0" w:line="211" w:lineRule="exact"/>
        <w:rPr>
          <w:rFonts w:ascii="Arial" w:cs="Arial" w:eastAsia="Arial" w:hAnsi="Arial"/>
          <w:sz w:val="18"/>
          <w:szCs w:val="18"/>
          <w:color w:val="auto"/>
        </w:rPr>
      </w:pPr>
    </w:p>
    <w:p>
      <w:pPr>
        <w:jc w:val="both"/>
        <w:ind w:firstLine="656"/>
        <w:spacing w:after="0" w:line="248" w:lineRule="auto"/>
        <w:tabs>
          <w:tab w:leader="none" w:pos="112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Borrower will, and will cause each of its Restricted Subsidiaries to, cooperate with the Lenders and the Administrative Agent and execute such further instruments and documents as the Lenders or the Administrative Agent shall reasonably request to carry out to their satisfaction the transactions contemplated by this Agreement and the other Loan Documents.</w:t>
      </w:r>
    </w:p>
    <w:p>
      <w:pPr>
        <w:spacing w:after="0" w:line="18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Maintenance of REIT Status</w:t>
      </w:r>
      <w:r>
        <w:rPr>
          <w:rFonts w:ascii="Arial" w:cs="Arial" w:eastAsia="Arial" w:hAnsi="Arial"/>
          <w:sz w:val="18"/>
          <w:szCs w:val="18"/>
          <w:color w:val="auto"/>
        </w:rPr>
        <w:t xml:space="preserve">. (a) Maintain adequate records so as to comply in all material respects with all record-keeping requirements relating to VICI’s qualification as a REIT as required by the Code, (b) properly prepare and timely file with the IRS all returns and reports required thereby in a manner that permits compliance with the other provisions of this </w:t>
      </w:r>
      <w:r>
        <w:rPr>
          <w:rFonts w:ascii="Arial" w:cs="Arial" w:eastAsia="Arial" w:hAnsi="Arial"/>
          <w:sz w:val="18"/>
          <w:szCs w:val="18"/>
          <w:u w:val="single" w:color="auto"/>
          <w:color w:val="auto"/>
        </w:rPr>
        <w:t>Section 6.11</w:t>
      </w:r>
      <w:r>
        <w:rPr>
          <w:rFonts w:ascii="Arial" w:cs="Arial" w:eastAsia="Arial" w:hAnsi="Arial"/>
          <w:sz w:val="18"/>
          <w:szCs w:val="18"/>
          <w:color w:val="auto"/>
        </w:rPr>
        <w:t>, (c) operate its business at all times so as to qualify as a REIT, (d) list and to continue to list the common stock of VICI for trading on a U.S. national or international securities exchange and (e) maintain its status as a REIT and remain qualified as a REIT.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21" w:right="339" w:bottom="1440" w:gutter="0" w:footer="0" w:header="0"/>
        </w:sectPr>
      </w:pPr>
    </w:p>
    <w:bookmarkStart w:id="193" w:name="page194"/>
    <w:bookmarkEnd w:id="193"/>
    <w:p>
      <w:pPr>
        <w:jc w:val="both"/>
        <w:ind w:firstLine="648"/>
        <w:spacing w:after="0"/>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Maintenance of Ratings</w:t>
      </w:r>
      <w:r>
        <w:rPr>
          <w:rFonts w:ascii="Arial" w:cs="Arial" w:eastAsia="Arial" w:hAnsi="Arial"/>
          <w:sz w:val="18"/>
          <w:szCs w:val="18"/>
          <w:color w:val="auto"/>
        </w:rPr>
        <w:t xml:space="preserve">. The Borrower shall use commercially reasonable efforts to obtain and maintain a senior unsecured credit rating from each of S&amp;P and Moody’s (it being understood and agreed that “commercially reasonable efforts” shall in any event include the payment by the Borrower of customary rating agency fees and cooperation with reasonable information and data requests by S&amp;P and Moody’s in connection with their ratings process);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rating obtained from such rating agency is a private letter rating that is not monitored and automatically updated by such rating agency, then the Borrower shall use commercially reasonable efforts to obtain an annual update of such rating on or before each anniversary of the Closing Date.</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Use of Proceeds</w:t>
      </w:r>
      <w:r>
        <w:rPr>
          <w:rFonts w:ascii="Arial" w:cs="Arial" w:eastAsia="Arial" w:hAnsi="Arial"/>
          <w:sz w:val="16"/>
          <w:szCs w:val="16"/>
          <w:color w:val="auto"/>
        </w:rPr>
        <w:t xml:space="preserve">. The proceeds of the Loans shall be used only for the purposes set forth in </w:t>
      </w:r>
      <w:r>
        <w:rPr>
          <w:rFonts w:ascii="Arial" w:cs="Arial" w:eastAsia="Arial" w:hAnsi="Arial"/>
          <w:sz w:val="16"/>
          <w:szCs w:val="16"/>
          <w:u w:val="single" w:color="auto"/>
          <w:color w:val="auto"/>
        </w:rPr>
        <w:t>Section 4.16</w:t>
      </w:r>
      <w:r>
        <w:rPr>
          <w:rFonts w:ascii="Arial" w:cs="Arial" w:eastAsia="Arial" w:hAnsi="Arial"/>
          <w:sz w:val="16"/>
          <w:szCs w:val="16"/>
          <w:color w:val="auto"/>
        </w:rPr>
        <w:t xml:space="preserve"> and in compliance with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4.11</w:t>
      </w:r>
      <w:r>
        <w:rPr>
          <w:rFonts w:ascii="Arial" w:cs="Arial" w:eastAsia="Arial" w:hAnsi="Arial"/>
          <w:sz w:val="16"/>
          <w:szCs w:val="16"/>
          <w:color w:val="auto"/>
        </w:rPr>
        <w:t>. No part of the proceeds of any Loan will be used, whether directly or indirectly, for any purpose that entails a violation of any of the Regulations of the Board, including Regulations T, U and X. The Borrower will not request any Loan or Letter of Credit, and the Borrower shall not use, and shall not permit its Restricted Subsidiaries and its or their respective directors, officers, employees and agents to use, the proceeds of any Loan or Letter of Credit</w:t>
      </w:r>
    </w:p>
    <w:p>
      <w:pPr>
        <w:spacing w:after="0" w:line="1" w:lineRule="exact"/>
        <w:rPr>
          <w:sz w:val="20"/>
          <w:szCs w:val="20"/>
          <w:color w:val="auto"/>
        </w:rPr>
      </w:pPr>
    </w:p>
    <w:p>
      <w:pPr>
        <w:jc w:val="both"/>
        <w:ind w:firstLine="8"/>
        <w:spacing w:after="0" w:line="237" w:lineRule="auto"/>
        <w:tabs>
          <w:tab w:leader="none" w:pos="30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to the extent such activities, business, or transactions would be prohibited by Sanctions if conducted by a corporation incorporated in the United States or in a European Union member state, or (C) in any manner that would result in a violation of any Sanctions applicable to any party hereto.</w:t>
      </w:r>
    </w:p>
    <w:p>
      <w:pPr>
        <w:spacing w:after="0" w:line="19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MGP Transactions</w:t>
      </w:r>
      <w:r>
        <w:rPr>
          <w:rFonts w:ascii="Arial" w:cs="Arial" w:eastAsia="Arial" w:hAnsi="Arial"/>
          <w:sz w:val="17"/>
          <w:szCs w:val="17"/>
          <w:color w:val="auto"/>
        </w:rPr>
        <w:t>. Within five Business Days of the closing of the MGP Transactions, the Borrower shall cause the termination of the existing credit facilities of the target in such transaction, and all related guarantees and security interests shall be terminated and released.</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 xml:space="preserve">6.15 </w:t>
      </w:r>
      <w:r>
        <w:rPr>
          <w:rFonts w:ascii="Arial" w:cs="Arial" w:eastAsia="Arial" w:hAnsi="Arial"/>
          <w:sz w:val="17"/>
          <w:szCs w:val="17"/>
          <w:u w:val="single" w:color="auto"/>
          <w:color w:val="auto"/>
        </w:rPr>
        <w:t>Designation of Unrestricted Subsidiaries</w:t>
      </w:r>
      <w:r>
        <w:rPr>
          <w:rFonts w:ascii="Arial" w:cs="Arial" w:eastAsia="Arial" w:hAnsi="Arial"/>
          <w:sz w:val="17"/>
          <w:szCs w:val="17"/>
          <w:color w:val="auto"/>
        </w:rPr>
        <w:t xml:space="preserve">. The Borrower may, from time to time, designate one or more Subsidiaries as “Unrestricted Subsidiaries” by giving written notice to the Administrative Agent so long as (i) such Subsidiary is not a “restricted” subsidiary (or any similar concept) under any Material Indebtedness of the Borrower (including, for the avoidance of doubt, the Senior Indentures and the Bridge Facilities) and (ii) the Borrower would be in pro forma compliance (after giving effect to such designation) with the financial covenants set forth in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As of the Closing Date, the Unrestricted Subsidiaries are set forth on </w:t>
      </w:r>
      <w:r>
        <w:rPr>
          <w:rFonts w:ascii="Arial" w:cs="Arial" w:eastAsia="Arial" w:hAnsi="Arial"/>
          <w:sz w:val="17"/>
          <w:szCs w:val="17"/>
          <w:u w:val="single" w:color="auto"/>
          <w:color w:val="auto"/>
        </w:rPr>
        <w:t>Schedule 6.15</w:t>
      </w:r>
      <w:r>
        <w:rPr>
          <w:rFonts w:ascii="Arial" w:cs="Arial" w:eastAsia="Arial" w:hAnsi="Arial"/>
          <w:sz w:val="17"/>
          <w:szCs w:val="17"/>
          <w:color w:val="auto"/>
        </w:rPr>
        <w:t xml:space="preserve">. Any Subsidiary which has been designated as an Unrestricted Subsidiary pursuant to this </w:t>
      </w:r>
      <w:r>
        <w:rPr>
          <w:rFonts w:ascii="Arial" w:cs="Arial" w:eastAsia="Arial" w:hAnsi="Arial"/>
          <w:sz w:val="17"/>
          <w:szCs w:val="17"/>
          <w:u w:val="single" w:color="auto"/>
          <w:color w:val="auto"/>
        </w:rPr>
        <w:t>Section 6.15</w:t>
      </w:r>
      <w:r>
        <w:rPr>
          <w:rFonts w:ascii="Arial" w:cs="Arial" w:eastAsia="Arial" w:hAnsi="Arial"/>
          <w:sz w:val="17"/>
          <w:szCs w:val="17"/>
          <w:color w:val="auto"/>
        </w:rPr>
        <w:t xml:space="preserve"> may, at any time thereafter, be redesignated as a Restricted Subsidiary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that no Default or Event of Default shall occurred and be continuing at the time of or after giving effect to such designation.</w:t>
      </w:r>
    </w:p>
    <w:p>
      <w:pPr>
        <w:spacing w:after="0" w:line="18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6"/>
          <w:szCs w:val="16"/>
          <w:u w:val="single" w:color="auto"/>
          <w:color w:val="auto"/>
        </w:rPr>
        <w:t>Springing Collateral</w:t>
      </w:r>
      <w:r>
        <w:rPr>
          <w:rFonts w:ascii="Arial" w:cs="Arial" w:eastAsia="Arial" w:hAnsi="Arial"/>
          <w:sz w:val="16"/>
          <w:szCs w:val="16"/>
          <w:color w:val="auto"/>
        </w:rPr>
        <w:t>.</w:t>
      </w:r>
    </w:p>
    <w:p>
      <w:pPr>
        <w:spacing w:after="0" w:line="212" w:lineRule="exact"/>
        <w:rPr>
          <w:sz w:val="20"/>
          <w:szCs w:val="20"/>
          <w:color w:val="auto"/>
        </w:rPr>
      </w:pPr>
    </w:p>
    <w:p>
      <w:pPr>
        <w:jc w:val="both"/>
        <w:ind w:firstLine="656"/>
        <w:spacing w:after="0" w:line="268" w:lineRule="auto"/>
        <w:tabs>
          <w:tab w:leader="none" w:pos="105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If any portion of the MGP Bridge Facility is funded and remains outstanding on the date that is 91 days following the date of such funding (the date of such funding, the “</w:t>
      </w:r>
      <w:r>
        <w:rPr>
          <w:rFonts w:ascii="Arial" w:cs="Arial" w:eastAsia="Arial" w:hAnsi="Arial"/>
          <w:sz w:val="16"/>
          <w:szCs w:val="16"/>
          <w:u w:val="single" w:color="auto"/>
          <w:color w:val="auto"/>
        </w:rPr>
        <w:t>MGP Bridge Facility Funding Date</w:t>
      </w:r>
      <w:r>
        <w:rPr>
          <w:rFonts w:ascii="Arial" w:cs="Arial" w:eastAsia="Arial" w:hAnsi="Arial"/>
          <w:sz w:val="16"/>
          <w:szCs w:val="16"/>
          <w:color w:val="auto"/>
        </w:rPr>
        <w:t>”), then on such 91st day (unless such date is extended by the Administrative Agent in its sole discretion), and only to the extent permitted under the MGP Bridge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use commercially reasonable efforts to ensure that the definitive documentation for the MGP Bridge Facility permits the springing collateral as contemplated in this </w:t>
      </w:r>
      <w:r>
        <w:rPr>
          <w:rFonts w:ascii="Arial" w:cs="Arial" w:eastAsia="Arial" w:hAnsi="Arial"/>
          <w:sz w:val="16"/>
          <w:szCs w:val="16"/>
          <w:u w:val="single" w:color="auto"/>
          <w:color w:val="auto"/>
        </w:rPr>
        <w:t>Section 6.16(a)</w:t>
      </w:r>
      <w:r>
        <w:rPr>
          <w:rFonts w:ascii="Arial" w:cs="Arial" w:eastAsia="Arial" w:hAnsi="Arial"/>
          <w:sz w:val="16"/>
          <w:szCs w:val="16"/>
          <w:color w:val="auto"/>
        </w:rPr>
        <w:t xml:space="preserve">) (i) the Borrower shall take all steps necessary to secure the Borrower’s Obligations and the Guarantee Obligations of the Subsidiary Guarantors in respect thereof on a second priority basis with the collateral securing the Borrower’s obligations and the subsidiary guarantees in respect of the MGP Bridge Facility, which security documentation shall be in form and substance reasonably satisfactory to the Administrative Agent (it being understood that such second lien pledges, security interests, mortgages, deeds of trust or deeds to secure Indebtedness shall be created and perfected on terms, and pursuant to documentation, consistent with and substantially similar to the pledges, security interests and mortgages created in respect of the MGP Bridge Facility). For the avoidance of doubt, in connection with any mortgage, deed of trust or deed to secure Indebtedness granted pursuant to this </w:t>
      </w:r>
      <w:r>
        <w:rPr>
          <w:rFonts w:ascii="Arial" w:cs="Arial" w:eastAsia="Arial" w:hAnsi="Arial"/>
          <w:sz w:val="16"/>
          <w:szCs w:val="16"/>
          <w:u w:val="single" w:color="auto"/>
          <w:color w:val="auto"/>
        </w:rPr>
        <w:t>Section 6.16(a)</w:t>
      </w:r>
      <w:r>
        <w:rPr>
          <w:rFonts w:ascii="Arial" w:cs="Arial" w:eastAsia="Arial" w:hAnsi="Arial"/>
          <w:sz w:val="16"/>
          <w:szCs w:val="16"/>
          <w:color w:val="auto"/>
        </w:rPr>
        <w:t xml:space="preserve">, the Administrative Agent shall receive such flood searches, evidence of flood insurance (if applicable) and related flood documentation as the Administrative Agent may reasonably request together with lenders title insurance policies, surveys, opinions and such other documentation consistent with, and to the extent delivered under, the MGP Bridge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 of any mortgage of Real Property pursuant to this </w:t>
      </w:r>
      <w:r>
        <w:rPr>
          <w:rFonts w:ascii="Arial" w:cs="Arial" w:eastAsia="Arial" w:hAnsi="Arial"/>
          <w:sz w:val="16"/>
          <w:szCs w:val="16"/>
          <w:u w:val="single" w:color="auto"/>
          <w:color w:val="auto"/>
        </w:rPr>
        <w:t>Section 6.16(a)</w:t>
      </w:r>
      <w:r>
        <w:rPr>
          <w:rFonts w:ascii="Arial" w:cs="Arial" w:eastAsia="Arial" w:hAnsi="Arial"/>
          <w:sz w:val="16"/>
          <w:szCs w:val="16"/>
          <w:color w:val="auto"/>
        </w:rPr>
        <w:t xml:space="preserve"> shall be subject to 30 days’ prior written notice to the Lenders and subject to customary conditions (including compliance by the applicable Loan Party with flood insurance laws and the provision of flood insurance due diligence). The priority of security interests and relative rights in respect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21" w:right="339" w:bottom="1440" w:gutter="0" w:footer="0" w:header="0"/>
        </w:sectPr>
      </w:pPr>
    </w:p>
    <w:bookmarkStart w:id="194" w:name="page195"/>
    <w:bookmarkEnd w:id="194"/>
    <w:p>
      <w:pPr>
        <w:spacing w:after="0" w:line="261" w:lineRule="auto"/>
        <w:rPr>
          <w:sz w:val="20"/>
          <w:szCs w:val="20"/>
          <w:color w:val="auto"/>
        </w:rPr>
      </w:pPr>
      <w:r>
        <w:rPr>
          <w:rFonts w:ascii="Arial" w:cs="Arial" w:eastAsia="Arial" w:hAnsi="Arial"/>
          <w:sz w:val="18"/>
          <w:szCs w:val="18"/>
          <w:color w:val="auto"/>
        </w:rPr>
        <w:t>collateral of the Lenders hereunder and the lenders under the MGP Bridge Facility shall be subject to a customary intercreditor agreement in form and substance reasonably satisfactory to the Borrower and the Administrative Agent.</w:t>
      </w:r>
    </w:p>
    <w:p>
      <w:pPr>
        <w:spacing w:after="0" w:line="171" w:lineRule="exact"/>
        <w:rPr>
          <w:sz w:val="20"/>
          <w:szCs w:val="20"/>
          <w:color w:val="auto"/>
        </w:rPr>
      </w:pPr>
    </w:p>
    <w:p>
      <w:pPr>
        <w:jc w:val="both"/>
        <w:ind w:firstLine="656"/>
        <w:spacing w:after="0" w:line="268" w:lineRule="auto"/>
        <w:tabs>
          <w:tab w:leader="none" w:pos="112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If any portion of the Venetian Bridge Facility is funded and remains outstanding on the date that is 91 days following the date of such funding (the date of such funding, the “</w:t>
      </w:r>
      <w:r>
        <w:rPr>
          <w:rFonts w:ascii="Arial" w:cs="Arial" w:eastAsia="Arial" w:hAnsi="Arial"/>
          <w:sz w:val="16"/>
          <w:szCs w:val="16"/>
          <w:u w:val="single" w:color="auto"/>
          <w:color w:val="auto"/>
        </w:rPr>
        <w:t>Venetian Bridge Facility Funding Date</w:t>
      </w:r>
      <w:r>
        <w:rPr>
          <w:rFonts w:ascii="Arial" w:cs="Arial" w:eastAsia="Arial" w:hAnsi="Arial"/>
          <w:sz w:val="16"/>
          <w:szCs w:val="16"/>
          <w:color w:val="auto"/>
        </w:rPr>
        <w:t>”), then on such 91st day (unless such date is extended by the Administrative Agent in its sole discretion), and only to the extent permitted under the Venetian Bridge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use commercially reasonable efforts to ensure that the definitive documentation for the Venetian Bridge Facility permits the springing collateral as contemplated in this </w:t>
      </w:r>
      <w:r>
        <w:rPr>
          <w:rFonts w:ascii="Arial" w:cs="Arial" w:eastAsia="Arial" w:hAnsi="Arial"/>
          <w:sz w:val="16"/>
          <w:szCs w:val="16"/>
          <w:u w:val="single" w:color="auto"/>
          <w:color w:val="auto"/>
        </w:rPr>
        <w:t>Section 6.16(b)</w:t>
      </w:r>
      <w:r>
        <w:rPr>
          <w:rFonts w:ascii="Arial" w:cs="Arial" w:eastAsia="Arial" w:hAnsi="Arial"/>
          <w:sz w:val="16"/>
          <w:szCs w:val="16"/>
          <w:color w:val="auto"/>
        </w:rPr>
        <w:t xml:space="preserve">) (i) the Borrower shall take all steps necessary to secure the Borrower’s Obligations and the Guarantee Obligations of the Subsidiary Guarantors in respect thereof on a second priority basis with the collateral securing the Borrower’s obligations and the subsidiary guarantees in respect of the Venetian Bridge Facility, which security documentation shall be in form and substance reasonably satisfactory to the Administrative Agent (it being understood that such second lien pledges, security interests, mortgages, deeds of trust or deeds to secure Indebtedness shall be created and perfected on terms, and pursuant to documentation, consistent with and substantially similar to the pledges, security interests and mortgages created in respect of the Venetian Bridge Facility). For the avoidance of doubt, in connection with any mortgage, deed of trust or deed to secure Indebtedness granted pursuant to this </w:t>
      </w:r>
      <w:r>
        <w:rPr>
          <w:rFonts w:ascii="Arial" w:cs="Arial" w:eastAsia="Arial" w:hAnsi="Arial"/>
          <w:sz w:val="16"/>
          <w:szCs w:val="16"/>
          <w:u w:val="single" w:color="auto"/>
          <w:color w:val="auto"/>
        </w:rPr>
        <w:t>Section 6.16(b)</w:t>
      </w:r>
      <w:r>
        <w:rPr>
          <w:rFonts w:ascii="Arial" w:cs="Arial" w:eastAsia="Arial" w:hAnsi="Arial"/>
          <w:sz w:val="16"/>
          <w:szCs w:val="16"/>
          <w:color w:val="auto"/>
        </w:rPr>
        <w:t xml:space="preserve">, the Administrative Agent shall receive such flood searches, evidence of flood insurance (if applicable) and related flood documentation as the Administrative Agent may reasonably request together with lenders title insurance policies, surveys, opinions and such other documentation consistent with, and to the extent delivered under, the Venetian Bridge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 of any mortgage of Real Property pursuant to this </w:t>
      </w:r>
      <w:r>
        <w:rPr>
          <w:rFonts w:ascii="Arial" w:cs="Arial" w:eastAsia="Arial" w:hAnsi="Arial"/>
          <w:sz w:val="16"/>
          <w:szCs w:val="16"/>
          <w:u w:val="single" w:color="auto"/>
          <w:color w:val="auto"/>
        </w:rPr>
        <w:t>Section 6.16(b)</w:t>
      </w:r>
      <w:r>
        <w:rPr>
          <w:rFonts w:ascii="Arial" w:cs="Arial" w:eastAsia="Arial" w:hAnsi="Arial"/>
          <w:sz w:val="16"/>
          <w:szCs w:val="16"/>
          <w:color w:val="auto"/>
        </w:rPr>
        <w:t xml:space="preserve"> shall be subject to 30 days’ prior written notice to the Lenders and subject to customary conditions (including compliance by the applicable Loan Party with flood insurance laws and the provision of flood insurance due diligence).</w:t>
      </w:r>
    </w:p>
    <w:p>
      <w:pPr>
        <w:spacing w:after="0" w:line="172" w:lineRule="exact"/>
        <w:rPr>
          <w:sz w:val="20"/>
          <w:szCs w:val="20"/>
          <w:color w:val="auto"/>
        </w:rPr>
      </w:pPr>
    </w:p>
    <w:p>
      <w:pPr>
        <w:jc w:val="both"/>
        <w:ind w:left="660"/>
        <w:spacing w:after="0" w:line="241" w:lineRule="auto"/>
        <w:rPr>
          <w:sz w:val="20"/>
          <w:szCs w:val="20"/>
          <w:color w:val="auto"/>
        </w:rPr>
      </w:pPr>
      <w:r>
        <w:rPr>
          <w:rFonts w:ascii="Arial" w:cs="Arial" w:eastAsia="Arial" w:hAnsi="Arial"/>
          <w:sz w:val="18"/>
          <w:szCs w:val="18"/>
          <w:color w:val="auto"/>
        </w:rPr>
        <w:t>The priority of security interests and relative rights in respect of the collateral of the Lenders hereunder and the lenders under the Venetian Bridge Facility shall be subject to a customary intercreditor agreement in form and substance reasonably satisfactory to the Borrower and the Administrative Agent. The priority of security interests and relative rights in respect of the collateral of the Lenders hereunder and the lenders under the Venetian Bridge Facility shall be subject to a customary intercreditor agreement in form and substance reasonably satisfactory to the Borrower and the Administrative Agent.</w:t>
      </w:r>
    </w:p>
    <w:p>
      <w:pPr>
        <w:spacing w:after="0" w:line="189"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color w:val="auto"/>
        </w:rPr>
        <w:t>NEGATIVE COVENANTS</w:t>
      </w:r>
    </w:p>
    <w:p>
      <w:pPr>
        <w:spacing w:after="0" w:line="21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The Borrower agrees that, so long as the Commitments remain in effect, any Letter of Credit remains outstanding (except to the extent cash collateralized on a basis reasonably acceptable to the Administrative Agent) or any Loan or other amount is owing to any Lender or the Administrative Agent hereunder (other than contingent indemnification obligations as to which no claim has been asserted), the Borrower shall not, and shall not permit any of its Restricted Subsidiaries to, directly or indirectly, at any time (and tested at the last day of each fiscal quarter of the Borrower):</w:t>
      </w:r>
    </w:p>
    <w:p>
      <w:pPr>
        <w:spacing w:after="0" w:line="17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Financial Condition Covenants</w:t>
      </w:r>
      <w:r>
        <w:rPr>
          <w:rFonts w:ascii="Arial" w:cs="Arial" w:eastAsia="Arial" w:hAnsi="Arial"/>
          <w:sz w:val="16"/>
          <w:szCs w:val="16"/>
          <w:color w:val="auto"/>
        </w:rPr>
        <w:t>.</w:t>
      </w:r>
    </w:p>
    <w:p>
      <w:pPr>
        <w:spacing w:after="0" w:line="212" w:lineRule="exact"/>
        <w:rPr>
          <w:sz w:val="20"/>
          <w:szCs w:val="20"/>
          <w:color w:val="auto"/>
        </w:rPr>
      </w:pPr>
    </w:p>
    <w:p>
      <w:pPr>
        <w:jc w:val="both"/>
        <w:ind w:firstLine="656"/>
        <w:spacing w:after="0" w:line="257" w:lineRule="auto"/>
        <w:tabs>
          <w:tab w:leader="none" w:pos="1068"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Total Leverage Ratio</w:t>
      </w:r>
      <w:r>
        <w:rPr>
          <w:rFonts w:ascii="Arial" w:cs="Arial" w:eastAsia="Arial" w:hAnsi="Arial"/>
          <w:sz w:val="17"/>
          <w:szCs w:val="17"/>
          <w:color w:val="auto"/>
        </w:rPr>
        <w:t xml:space="preserve">. Permit, as at the last day of any period of four consecutive fiscal quarters of the Borrower, the ratio of (i) (A) Total Indebtedness as of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as of such date, unrestricted cash and Cash Equivalents of the Group Members in an amount not to exceed $250,000,000 that may be used to repay that portion of Total Indebtedness that matures within twenty-four (24) months of such date of determination to (ii) Total Asset Value (the “</w:t>
      </w:r>
      <w:r>
        <w:rPr>
          <w:rFonts w:ascii="Arial" w:cs="Arial" w:eastAsia="Arial" w:hAnsi="Arial"/>
          <w:sz w:val="17"/>
          <w:szCs w:val="17"/>
          <w:u w:val="single" w:color="auto"/>
          <w:color w:val="auto"/>
        </w:rPr>
        <w:t>Total Leverage Ratio</w:t>
      </w:r>
      <w:r>
        <w:rPr>
          <w:rFonts w:ascii="Arial" w:cs="Arial" w:eastAsia="Arial" w:hAnsi="Arial"/>
          <w:sz w:val="17"/>
          <w:szCs w:val="17"/>
          <w:color w:val="auto"/>
        </w:rPr>
        <w:t xml:space="preserve">”) as of such date to exceed 60%; </w:t>
      </w:r>
      <w:r>
        <w:rPr>
          <w:rFonts w:ascii="Arial" w:cs="Arial" w:eastAsia="Arial" w:hAnsi="Arial"/>
          <w:sz w:val="17"/>
          <w:szCs w:val="17"/>
          <w:u w:val="single" w:color="auto"/>
          <w:color w:val="auto"/>
        </w:rPr>
        <w:t>provided</w:t>
      </w:r>
      <w:r>
        <w:rPr>
          <w:rFonts w:ascii="Arial" w:cs="Arial" w:eastAsia="Arial" w:hAnsi="Arial"/>
          <w:sz w:val="17"/>
          <w:szCs w:val="17"/>
          <w:color w:val="auto"/>
        </w:rPr>
        <w:t>, that such ratio may exceed 60% on or after the consummation of a Significant Acquisition so long as (i) such ratio does not exceed 60% as of the end of more than four (4) consecutive fiscal quarters in relation to any such Significant Acquisition and (ii) such ratio does not exceed 65% as of the end of any such fiscal quarter.</w:t>
      </w:r>
    </w:p>
    <w:p>
      <w:pPr>
        <w:spacing w:after="0" w:line="175" w:lineRule="exact"/>
        <w:rPr>
          <w:rFonts w:ascii="Arial" w:cs="Arial" w:eastAsia="Arial" w:hAnsi="Arial"/>
          <w:sz w:val="17"/>
          <w:szCs w:val="17"/>
          <w:color w:val="auto"/>
        </w:rPr>
      </w:pPr>
    </w:p>
    <w:p>
      <w:pPr>
        <w:ind w:firstLine="656"/>
        <w:spacing w:after="0" w:line="261" w:lineRule="auto"/>
        <w:tabs>
          <w:tab w:leader="none" w:pos="1065"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Permit, as at the last day of any period of four consecutive fiscal quarters of the Borrower, the ratio of Total EBITDA to Total Fixed Charges for such period (such ratio, the “</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to be less than 1.50 to 1.0.</w:t>
      </w:r>
    </w:p>
    <w:p>
      <w:pPr>
        <w:spacing w:after="0" w:line="170" w:lineRule="exact"/>
        <w:rPr>
          <w:rFonts w:ascii="Arial" w:cs="Arial" w:eastAsia="Arial" w:hAnsi="Arial"/>
          <w:sz w:val="18"/>
          <w:szCs w:val="18"/>
          <w:color w:val="auto"/>
        </w:rPr>
      </w:pPr>
    </w:p>
    <w:p>
      <w:pPr>
        <w:ind w:firstLine="656"/>
        <w:spacing w:after="0" w:line="261" w:lineRule="auto"/>
        <w:tabs>
          <w:tab w:leader="none" w:pos="1054"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Secured Leverage Ratio</w:t>
      </w:r>
      <w:r>
        <w:rPr>
          <w:rFonts w:ascii="Arial" w:cs="Arial" w:eastAsia="Arial" w:hAnsi="Arial"/>
          <w:sz w:val="18"/>
          <w:szCs w:val="18"/>
          <w:color w:val="auto"/>
        </w:rPr>
        <w:t xml:space="preserve">. Permit, as at the last day of any period of four consecutive fiscal quarters of the Borrower, the ratio of (A) (i) the aggregate amount of all Secured Indebtedness as of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21" w:right="339" w:bottom="1440" w:gutter="0" w:footer="0" w:header="0"/>
        </w:sectPr>
      </w:pPr>
    </w:p>
    <w:bookmarkStart w:id="195" w:name="page196"/>
    <w:bookmarkEnd w:id="195"/>
    <w:p>
      <w:pPr>
        <w:jc w:val="both"/>
        <w:spacing w:after="0" w:line="284" w:lineRule="auto"/>
        <w:rPr>
          <w:sz w:val="20"/>
          <w:szCs w:val="20"/>
          <w:color w:val="auto"/>
        </w:rPr>
      </w:pPr>
      <w:r>
        <w:rPr>
          <w:rFonts w:ascii="Arial" w:cs="Arial" w:eastAsia="Arial" w:hAnsi="Arial"/>
          <w:sz w:val="16"/>
          <w:szCs w:val="16"/>
          <w:color w:val="auto"/>
        </w:rPr>
        <w:t>of such date, unrestricted cash and Cash Equivalents of the Group Members in an amount not to exceed $250,000,000 that may be used to repay that portion of Secured Indebtedness that matures within twenty-four (24) months of such date of determination (the “</w:t>
      </w:r>
      <w:r>
        <w:rPr>
          <w:rFonts w:ascii="Arial" w:cs="Arial" w:eastAsia="Arial" w:hAnsi="Arial"/>
          <w:sz w:val="16"/>
          <w:szCs w:val="16"/>
          <w:u w:val="single" w:color="auto"/>
          <w:color w:val="auto"/>
        </w:rPr>
        <w:t>Secured Debt Reserve</w:t>
      </w:r>
      <w:r>
        <w:rPr>
          <w:rFonts w:ascii="Arial" w:cs="Arial" w:eastAsia="Arial" w:hAnsi="Arial"/>
          <w:sz w:val="16"/>
          <w:szCs w:val="16"/>
          <w:color w:val="auto"/>
        </w:rPr>
        <w:t xml:space="preserve">”), and without duplication of amounts netted in respect of the Unsecured Debt Reserve in </w:t>
      </w:r>
      <w:r>
        <w:rPr>
          <w:rFonts w:ascii="Arial" w:cs="Arial" w:eastAsia="Arial" w:hAnsi="Arial"/>
          <w:sz w:val="16"/>
          <w:szCs w:val="16"/>
          <w:u w:val="single" w:color="auto"/>
          <w:color w:val="auto"/>
        </w:rPr>
        <w:t>Section 7.1(d)</w:t>
      </w:r>
      <w:r>
        <w:rPr>
          <w:rFonts w:ascii="Arial" w:cs="Arial" w:eastAsia="Arial" w:hAnsi="Arial"/>
          <w:sz w:val="16"/>
          <w:szCs w:val="16"/>
          <w:color w:val="auto"/>
        </w:rPr>
        <w:t>, to (B) Total Asset Value (the “</w:t>
      </w:r>
      <w:r>
        <w:rPr>
          <w:rFonts w:ascii="Arial" w:cs="Arial" w:eastAsia="Arial" w:hAnsi="Arial"/>
          <w:sz w:val="16"/>
          <w:szCs w:val="16"/>
          <w:u w:val="single" w:color="auto"/>
          <w:color w:val="auto"/>
        </w:rPr>
        <w:t>Secured Leverage Ratio</w:t>
      </w:r>
      <w:r>
        <w:rPr>
          <w:rFonts w:ascii="Arial" w:cs="Arial" w:eastAsia="Arial" w:hAnsi="Arial"/>
          <w:sz w:val="16"/>
          <w:szCs w:val="16"/>
          <w:color w:val="auto"/>
        </w:rPr>
        <w:t>”) as of such date to exceed (i) prior to the Latest Bridge Facility Termination Date, 30% and (ii) following the Latest Bridge Facility Termination Date, 40%.</w:t>
      </w:r>
    </w:p>
    <w:p>
      <w:pPr>
        <w:spacing w:after="0" w:line="155" w:lineRule="exact"/>
        <w:rPr>
          <w:sz w:val="20"/>
          <w:szCs w:val="20"/>
          <w:color w:val="auto"/>
        </w:rPr>
      </w:pPr>
    </w:p>
    <w:p>
      <w:pPr>
        <w:jc w:val="both"/>
        <w:ind w:firstLine="656"/>
        <w:spacing w:after="0" w:line="238" w:lineRule="auto"/>
        <w:tabs>
          <w:tab w:leader="none" w:pos="1173"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Unsecured Leverage Ratio</w:t>
      </w:r>
      <w:r>
        <w:rPr>
          <w:rFonts w:ascii="Arial" w:cs="Arial" w:eastAsia="Arial" w:hAnsi="Arial"/>
          <w:sz w:val="18"/>
          <w:szCs w:val="18"/>
          <w:color w:val="auto"/>
        </w:rPr>
        <w:t xml:space="preserve">. Following the Latest Bridge Facility Termination Date, permit, as at the last day of any period of four consecutive fiscal quarters of the Borrower, the ratio of (A) (i) Unsecured Indebtedness as of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as of such date, unrestricted cash and Cash Equivalents of the Group Members in an amount not to exceed $250,000,000 that may be used to repay that portion of Unsecured Indebtedness that matures within twenty-four (24) months of such date of determination (“</w:t>
      </w:r>
      <w:r>
        <w:rPr>
          <w:rFonts w:ascii="Arial" w:cs="Arial" w:eastAsia="Arial" w:hAnsi="Arial"/>
          <w:sz w:val="18"/>
          <w:szCs w:val="18"/>
          <w:u w:val="single" w:color="auto"/>
          <w:color w:val="auto"/>
        </w:rPr>
        <w:t>Unsecured Debt Reserve</w:t>
      </w:r>
      <w:r>
        <w:rPr>
          <w:rFonts w:ascii="Arial" w:cs="Arial" w:eastAsia="Arial" w:hAnsi="Arial"/>
          <w:sz w:val="18"/>
          <w:szCs w:val="18"/>
          <w:color w:val="auto"/>
        </w:rPr>
        <w:t xml:space="preserve">”), and without duplication of amounts netted in respect of the Secured Debt Reserve in </w:t>
      </w:r>
      <w:r>
        <w:rPr>
          <w:rFonts w:ascii="Arial" w:cs="Arial" w:eastAsia="Arial" w:hAnsi="Arial"/>
          <w:sz w:val="18"/>
          <w:szCs w:val="18"/>
          <w:u w:val="single" w:color="auto"/>
          <w:color w:val="auto"/>
        </w:rPr>
        <w:t>Section 7.1(c)</w:t>
      </w:r>
      <w:r>
        <w:rPr>
          <w:rFonts w:ascii="Arial" w:cs="Arial" w:eastAsia="Arial" w:hAnsi="Arial"/>
          <w:sz w:val="18"/>
          <w:szCs w:val="18"/>
          <w:color w:val="auto"/>
        </w:rPr>
        <w:t>, to (B) Unencumbered Asset Value (the “</w:t>
      </w:r>
      <w:r>
        <w:rPr>
          <w:rFonts w:ascii="Arial" w:cs="Arial" w:eastAsia="Arial" w:hAnsi="Arial"/>
          <w:sz w:val="18"/>
          <w:szCs w:val="18"/>
          <w:u w:val="single" w:color="auto"/>
          <w:color w:val="auto"/>
        </w:rPr>
        <w:t>Unsecured Leverage Ratio</w:t>
      </w:r>
      <w:r>
        <w:rPr>
          <w:rFonts w:ascii="Arial" w:cs="Arial" w:eastAsia="Arial" w:hAnsi="Arial"/>
          <w:sz w:val="18"/>
          <w:szCs w:val="18"/>
          <w:color w:val="auto"/>
        </w:rPr>
        <w:t xml:space="preserve">”) as of such date to exceed 60%; </w:t>
      </w:r>
      <w:r>
        <w:rPr>
          <w:rFonts w:ascii="Arial" w:cs="Arial" w:eastAsia="Arial" w:hAnsi="Arial"/>
          <w:sz w:val="18"/>
          <w:szCs w:val="18"/>
          <w:u w:val="single" w:color="auto"/>
          <w:color w:val="auto"/>
        </w:rPr>
        <w:t>provided</w:t>
      </w:r>
      <w:r>
        <w:rPr>
          <w:rFonts w:ascii="Arial" w:cs="Arial" w:eastAsia="Arial" w:hAnsi="Arial"/>
          <w:sz w:val="18"/>
          <w:szCs w:val="18"/>
          <w:color w:val="auto"/>
        </w:rPr>
        <w:t>, that such ratio may exceed 60% on or after the consummation of a Significant Acquisition so long as (i) such ratio does not exceed 60% as of the end of more than four (4) consecutive fiscal quarters in relation to any such Significant Acquisition and (ii) such ratio does not exceed 65% as of the end of any such fiscal quarter.</w:t>
      </w:r>
    </w:p>
    <w:p>
      <w:pPr>
        <w:spacing w:after="0" w:line="193" w:lineRule="exact"/>
        <w:rPr>
          <w:rFonts w:ascii="Arial" w:cs="Arial" w:eastAsia="Arial" w:hAnsi="Arial"/>
          <w:sz w:val="18"/>
          <w:szCs w:val="18"/>
          <w:color w:val="auto"/>
        </w:rPr>
      </w:pPr>
    </w:p>
    <w:p>
      <w:pPr>
        <w:jc w:val="both"/>
        <w:ind w:firstLine="656"/>
        <w:spacing w:after="0" w:line="248" w:lineRule="auto"/>
        <w:tabs>
          <w:tab w:leader="none" w:pos="1054"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Unsecured Interest Coverage Ratio</w:t>
      </w:r>
      <w:r>
        <w:rPr>
          <w:rFonts w:ascii="Arial" w:cs="Arial" w:eastAsia="Arial" w:hAnsi="Arial"/>
          <w:sz w:val="18"/>
          <w:szCs w:val="18"/>
          <w:color w:val="auto"/>
        </w:rPr>
        <w:t>. Following the Latest Bridge Facility Termination Date, permit the ratio of Unencumbered NOI for any period of four consecutive fiscal quarters of the Borrower to Unsecured Interest Expense for such period (such ratio, the “</w:t>
      </w:r>
      <w:r>
        <w:rPr>
          <w:rFonts w:ascii="Arial" w:cs="Arial" w:eastAsia="Arial" w:hAnsi="Arial"/>
          <w:sz w:val="18"/>
          <w:szCs w:val="18"/>
          <w:u w:val="single" w:color="auto"/>
          <w:color w:val="auto"/>
        </w:rPr>
        <w:t>Unsecured Interest Coverage</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Ratio</w:t>
      </w:r>
      <w:r>
        <w:rPr>
          <w:rFonts w:ascii="Arial" w:cs="Arial" w:eastAsia="Arial" w:hAnsi="Arial"/>
          <w:sz w:val="18"/>
          <w:szCs w:val="18"/>
          <w:color w:val="auto"/>
        </w:rPr>
        <w:t>”) to be less than 1.75 to 1.0.</w:t>
      </w:r>
    </w:p>
    <w:p>
      <w:pPr>
        <w:spacing w:after="0" w:line="18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Restrictions on Intercompany Transfers</w:t>
      </w:r>
      <w:r>
        <w:rPr>
          <w:rFonts w:ascii="Arial" w:cs="Arial" w:eastAsia="Arial" w:hAnsi="Arial"/>
          <w:sz w:val="16"/>
          <w:szCs w:val="16"/>
          <w:color w:val="auto"/>
        </w:rPr>
        <w:t>. Permit the Borrower or any Restricted Subsidiary, to create or otherwise cause or suffer to exist or become effective any consensual encumbrance or restriction of any kind on the ability of any Restricted Subsidiary to: (a) pay dividends or make any other distribution on any of such Restricted Subsidiary’s capital stock or other equity interests owned by the Borrower or any Restricted Subsidiary; (b) pay any Indebtedness owed to the Borrower or any Restricted Subsidiary; (c) make loans or advances to the Borrower or any Restricted Subsidiary; or (d) transfer or exclusively license any of its property, rights or assets to the Borrower or any Restricted Subsidiary; other than (i) encumbrances or restrictions contained in any Loan Document, (ii) encumbrances or restrictions consistent with market convention (as determined in good faith by the Borrower) contained in any agreement that evidences Indebtedness, including the Senior Indentures and the Bridge Facilities, as well as any restrictions applicable to assets constituting collateral for any secured Indebtedness, (iii) customary restrictions contained in joint venture agreements or other similar agreements applicable to joint ventures, including Permitted Negative JV Pledges, (iv) restrictions under or by reason of applicable law, rule, regulation or order (including requirements imposed by any Gaming Authority, Gaming Laws and any regulations, orders or decrees of any Gaming Authority or other applicable Governmental Authority), (v) restrictions contained in an agreement that governs an Investment in, or other agreement binding on, an Unrestricted Subsidiary (but only to the extent such encumbrance or restriction applies to any direct or indirect Equity Interest in such Unrestricted Subsidiary, as applicable), (vi) Permitted Sale Restrictions and Permitted Transfer Restrictions, (vii) customary provisions restricting assignment of any agreement, lease, license, permit or other contract entered into by the Borrower or any Restricted Subsidiary in the ordinary course of business, (viii) on cash, Cash Equivalents or other deposits or net worth imposed under contracts entered into the ordinary course of business, including such restrictions imposed by customers or insurance, surety or bonding companies, (ix) restrictions contained in agreements or instruments which prohibit the payment or making of dividends or other distributions other than on a pro rata basis, (x) restrictions existing with respect to any Person or the property or assets of any Person acquired by the Borrower or any of its Restricted Subsidiaries or that otherwise becomes a Restricted Subsidiary, or with respect to any Person or the property or assets of any Person newly designated as a Restricted Subsidiary of the Borrower, existing at the time of such acquisition or designation and not incurred solely in contemplation thereof, which encumbrances or restrictions are not applicable to any Person or the property or assets of the Person other than the Person or the property or assets of the Person so acquired or designated, (xi) in the case of clause (d), encumbrances or restrictions consistent with market convention (as determined in good faith by the Borrower) (A) that restrict in a customary manner the subletting, assignment, license or transfer of any property or asset that is a lease, license, conveyance or contract or similar property or asset or (B) existing under or by reason of ground leases, Finance Leases or purchase money obligations for property acquired in the ordinary course of business that impose restrictions on that property; and (xii) existing under or by reason of restrictions on cash or other deposits or net worth imposed by customers under contracts entered into in the ordinary course of business or cash earnest money deposits in favor of sellers in connection with acquisitions not prohibited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21" w:right="339" w:bottom="1440" w:gutter="0" w:footer="0" w:header="0"/>
        </w:sectPr>
      </w:pPr>
    </w:p>
    <w:bookmarkStart w:id="196" w:name="page197"/>
    <w:bookmarkEnd w:id="196"/>
    <w:p>
      <w:pPr>
        <w:ind w:left="660"/>
        <w:spacing w:after="0"/>
        <w:tabs>
          <w:tab w:leader="none" w:pos="10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Merger, Consolidation, Sales of Assets and Other Arrangements</w:t>
      </w:r>
      <w:r>
        <w:rPr>
          <w:rFonts w:ascii="Arial" w:cs="Arial" w:eastAsia="Arial" w:hAnsi="Arial"/>
          <w:sz w:val="16"/>
          <w:szCs w:val="16"/>
          <w:color w:val="auto"/>
        </w:rPr>
        <w:t>.</w:t>
      </w:r>
    </w:p>
    <w:p>
      <w:pPr>
        <w:spacing w:after="0" w:line="21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 xml:space="preserve">Permit the Borrower or any other Loan Party or any other Restricted Subsidiary to, (a) merge or consolidate with another Person; (b) liquidate, windup or dissolve itself (or suffer any liquidation or dissolution); or (c) convey, sell, lease, sublease, transfer or otherwise dispose of, in one transaction or a series of transactions, its business or assets, or the capital stock of or other Equity Interests in any of its Subsidiaries, whether now owned or hereafter acquired; </w:t>
      </w: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188" w:lineRule="exact"/>
        <w:rPr>
          <w:sz w:val="20"/>
          <w:szCs w:val="20"/>
          <w:color w:val="auto"/>
        </w:rPr>
      </w:pPr>
    </w:p>
    <w:p>
      <w:pPr>
        <w:jc w:val="both"/>
        <w:ind w:left="660" w:firstLine="644"/>
        <w:spacing w:after="0" w:line="248" w:lineRule="auto"/>
        <w:tabs>
          <w:tab w:leader="none" w:pos="177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any Subsidiary (A) may merge with a Loan Party so long as the survivor is or becomes a Loan Party to the extent required by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and (B) that is not a Loan Party may merge with a Subsidiary that is not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the case of a consolidation or merger involving the Borrower, the Borrower shall be the survivor thereof;</w:t>
      </w:r>
    </w:p>
    <w:p>
      <w:pPr>
        <w:spacing w:after="0" w:line="181" w:lineRule="exact"/>
        <w:rPr>
          <w:rFonts w:ascii="Arial" w:cs="Arial" w:eastAsia="Arial" w:hAnsi="Arial"/>
          <w:sz w:val="18"/>
          <w:szCs w:val="18"/>
          <w:color w:val="auto"/>
        </w:rPr>
      </w:pPr>
    </w:p>
    <w:p>
      <w:pPr>
        <w:ind w:left="660" w:right="20" w:firstLine="644"/>
        <w:spacing w:after="0" w:line="261" w:lineRule="auto"/>
        <w:tabs>
          <w:tab w:leader="none" w:pos="175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Subsidiary (A) may sell, transfer or dispose of its assets to a Loan Party or (B) that is not a Loan Party may sell, transfer or dispose of its assets to another Subsidiary;</w:t>
      </w:r>
    </w:p>
    <w:p>
      <w:pPr>
        <w:spacing w:after="0" w:line="170" w:lineRule="exact"/>
        <w:rPr>
          <w:rFonts w:ascii="Arial" w:cs="Arial" w:eastAsia="Arial" w:hAnsi="Arial"/>
          <w:sz w:val="18"/>
          <w:szCs w:val="18"/>
          <w:color w:val="auto"/>
        </w:rPr>
      </w:pPr>
    </w:p>
    <w:p>
      <w:pPr>
        <w:jc w:val="both"/>
        <w:ind w:left="660" w:firstLine="644"/>
        <w:spacing w:after="0" w:line="268" w:lineRule="auto"/>
        <w:tabs>
          <w:tab w:leader="none" w:pos="1763"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any Loan Party and any other Subsidiary may, directly or indirectly, (A) merge or consolidate with another Person and (B) sell, lease or otherwise transfer, whether by one or a series of transactions, assets (including capital stock or other securities of Subsidiaries) to any other Person, so long as (i) if such Subsidiary or transaction or series of transactions involves a Subsidiary with assets or assets with a fair market value in excess of a Substantial Amount, (x) the Borrower shall have given the Administrative Agent and the Lenders at least five (5) Business Days written notice (or such longer period as may be acceptable to the Administrative Agent) after the date of such consolidation, merger, sale, lease or other transfer; (y) immediately prior thereto, and immediately thereafter and after giving effect thereto, no Default or Event of Default exists or would be in existence; and (z) immediately thereafter and after giving effect thereto, the Loan Parties would be, calculated on a pro forma basis, in compliance with the financial covenants contained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(ii) in the case of a consolidation or merger involving the Borrower, the Borrower shall be the survivor thereof; (iii) in the case of a consolidation or merger involving a Loan Party (other than the Borrower), such Loan Party shall be the survivor thereof or the survivor thereof shall immediately become a Loan Party to the extent required by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and (iv) at the time the Borrower gives notice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7.3(3)</w:t>
      </w:r>
      <w:r>
        <w:rPr>
          <w:rFonts w:ascii="Arial" w:cs="Arial" w:eastAsia="Arial" w:hAnsi="Arial"/>
          <w:sz w:val="16"/>
          <w:szCs w:val="16"/>
          <w:color w:val="auto"/>
        </w:rPr>
        <w:t xml:space="preserve"> with respect to a sale, lease or other transfer (or a series of related sales, leases or other transfers) of a Substantial Amount of assets, the Borrower shall have delivered to the Administrative Agent for distribution to each of the Lenders a Compliance Certificate, calculated on a pro forma basis, evidencing the continued compliance by the Loan Parties with the terms and conditions of this Agreement and the other Loan Documents, including the financial covenants contained in </w:t>
      </w:r>
      <w:r>
        <w:rPr>
          <w:rFonts w:ascii="Arial" w:cs="Arial" w:eastAsia="Arial" w:hAnsi="Arial"/>
          <w:sz w:val="16"/>
          <w:szCs w:val="16"/>
          <w:u w:val="single" w:color="auto"/>
          <w:color w:val="auto"/>
        </w:rPr>
        <w:t>Section 7.1</w:t>
      </w:r>
      <w:r>
        <w:rPr>
          <w:rFonts w:ascii="Arial" w:cs="Arial" w:eastAsia="Arial" w:hAnsi="Arial"/>
          <w:sz w:val="16"/>
          <w:szCs w:val="16"/>
          <w:color w:val="auto"/>
        </w:rPr>
        <w:t>, after giving effect to such sale, lease or other transfer;</w:t>
      </w:r>
    </w:p>
    <w:p>
      <w:pPr>
        <w:spacing w:after="0" w:line="171" w:lineRule="exact"/>
        <w:rPr>
          <w:rFonts w:ascii="Arial" w:cs="Arial" w:eastAsia="Arial" w:hAnsi="Arial"/>
          <w:sz w:val="16"/>
          <w:szCs w:val="16"/>
          <w:color w:val="auto"/>
        </w:rPr>
      </w:pPr>
    </w:p>
    <w:p>
      <w:pPr>
        <w:ind w:left="660" w:firstLine="644"/>
        <w:spacing w:after="0" w:line="261" w:lineRule="auto"/>
        <w:tabs>
          <w:tab w:leader="none" w:pos="170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Borrower, the other Loan Parties and the other Subsidiaries may lease and sublease their respective assets, as lessor or sublessor (as the case may be), in the ordinary course of their business;</w:t>
      </w:r>
    </w:p>
    <w:p>
      <w:pPr>
        <w:spacing w:after="0" w:line="170" w:lineRule="exact"/>
        <w:rPr>
          <w:rFonts w:ascii="Arial" w:cs="Arial" w:eastAsia="Arial" w:hAnsi="Arial"/>
          <w:sz w:val="18"/>
          <w:szCs w:val="18"/>
          <w:color w:val="auto"/>
        </w:rPr>
      </w:pPr>
    </w:p>
    <w:p>
      <w:pPr>
        <w:jc w:val="both"/>
        <w:ind w:left="660" w:firstLine="644"/>
        <w:spacing w:after="0" w:line="248" w:lineRule="auto"/>
        <w:tabs>
          <w:tab w:leader="none" w:pos="179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Subsidiary may liquidate, wind up or dissolve, if the Borrower determines in good faith that such liquidation, wind-up or dissolution is in the best interests of the Borrower, does not result in a Default or an Event of Default hereunder and such liquidation, wind up or dissolution could not reasonably be expected to result in a Material Adverse Effect; and</w:t>
      </w:r>
    </w:p>
    <w:p>
      <w:pPr>
        <w:spacing w:after="0" w:line="181" w:lineRule="exact"/>
        <w:rPr>
          <w:rFonts w:ascii="Arial" w:cs="Arial" w:eastAsia="Arial" w:hAnsi="Arial"/>
          <w:sz w:val="18"/>
          <w:szCs w:val="18"/>
          <w:color w:val="auto"/>
        </w:rPr>
      </w:pPr>
    </w:p>
    <w:p>
      <w:pPr>
        <w:ind w:left="660" w:firstLine="644"/>
        <w:spacing w:after="0" w:line="261" w:lineRule="auto"/>
        <w:tabs>
          <w:tab w:leader="none" w:pos="175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Borrower and any Restricted Subsidiary may consummate the mergers, equity redemptions and other transactions to occur in connection with the MGP Transactions.</w:t>
      </w:r>
    </w:p>
    <w:p>
      <w:pPr>
        <w:spacing w:after="0" w:line="17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xml:space="preserve">. (a) Prior to receipt by the Borrower of two Investment Grade Ratings, (i) during the existence of any Event of Default or (ii) if the Loan Parties are not or would not be, calculated on a pro forma basis (after giving effect to such Restricted Payments and any Indebtedness incurred in connection therewith), in compliance with the financial covenants contained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and (b) upon receipt by the Borrower of two Investment Grade Ratings, during the existence of any Event of Default, permit the Borrower or any of its Restricted Subsidiaries to declare or make any Restricted Payment other than (A) cash distributions ratably to the holders of the Borrower’s Equity Interests according to their respective holdings of the type of Equity Interests in respect of which such Restricted Payment is being made, to the extent necessary for VICI to distribute cash dividends to the holders of its Equity Interests in order for VICI to maintain its status as a REIT (including the right to distribute 100% of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21" w:right="339" w:bottom="1440" w:gutter="0" w:footer="0" w:header="0"/>
        </w:sectPr>
      </w:pPr>
    </w:p>
    <w:bookmarkStart w:id="197" w:name="page198"/>
    <w:bookmarkEnd w:id="197"/>
    <w:p>
      <w:pPr>
        <w:jc w:val="both"/>
        <w:spacing w:after="0" w:line="251" w:lineRule="auto"/>
        <w:rPr>
          <w:sz w:val="20"/>
          <w:szCs w:val="20"/>
          <w:color w:val="auto"/>
        </w:rPr>
      </w:pPr>
      <w:r>
        <w:rPr>
          <w:rFonts w:ascii="Arial" w:cs="Arial" w:eastAsia="Arial" w:hAnsi="Arial"/>
          <w:sz w:val="17"/>
          <w:szCs w:val="17"/>
          <w:color w:val="auto"/>
        </w:rPr>
        <w:t>capital gain) and to avoid the imposition of income or excise taxes under Section 4981 of the Code (any such distributions, “</w:t>
      </w:r>
      <w:r>
        <w:rPr>
          <w:rFonts w:ascii="Arial" w:cs="Arial" w:eastAsia="Arial" w:hAnsi="Arial"/>
          <w:sz w:val="17"/>
          <w:szCs w:val="17"/>
          <w:u w:val="single" w:color="auto"/>
          <w:color w:val="auto"/>
        </w:rPr>
        <w:t>Necessary Distributions</w:t>
      </w:r>
      <w:r>
        <w:rPr>
          <w:rFonts w:ascii="Arial" w:cs="Arial" w:eastAsia="Arial" w:hAnsi="Arial"/>
          <w:sz w:val="17"/>
          <w:szCs w:val="17"/>
          <w:color w:val="auto"/>
        </w:rPr>
        <w:t xml:space="preserve">”), (B) Restricted Subsidiaries may make Restricted Payments to the Borrower and to other Restricted Subsidiaries and to any Person owning Equity Interests in such Restricted Subsidiary, ratably according to their respective holdings of the type of Equity Interest in respect of which such Restricted Payment is being made, in accordance with the requirements of the organizational documents applicable to such Restricted Subsidiary, (C) to the extent constituting a Restricted Payment, payments may be made by the Borrower to VICI to the extent required to fund administrative and operating expenses of VICI to the extent attributable to any activity of or with respect to the Borrower or any of its Subsidiaries that is not otherwise prohibited by this Agreement, (D) the Borrower and any of its Restricted Subsidiaries may make repurchases, retirements or other acquisitions of Equity Interests in the Borrower or any Restricted Subsidiary (or VICI or any other parent entity of the Borrower) pursuant to any employee or director equity or stock option plan entered into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that the aggregate amount of such repurchases, retirements or other acquisitions in reliance on this clause (D) shall not exceed in any fiscal year (1) $18,000,000, plus (2) (x) the amount of net proceeds contributed to the Borrower that were received by VICI during such calendar year from sales of Equity Interests of VICI (to the extent contributed to the Borrower) to directors, consultants, officers or employees of VICI, the Borrower or any Restricted Subsidiary in connection with permitted employee compensation and incentive arrangements and (y) the amount of net cash proceeds of any key-man life insurance policies received during such calendar year, which, if not used in any year, may be carried forward to any subsequent calendar year, subject, with respect to unused amounts from clause (1) of this proviso that are carried forward, to an overall limit in any fiscal year of $30,000,000, (E) the Borrower (including VICI) or any of its Restricted Subsidiaries may issue Equity Interests in connection with a conversion request by a holder of convertible Indebtedness and make cash payments in lieu of fractional shares in connection with any such conversion and (F) the Borrower and any Restricted Subsidiary may make equity redemptions, Restricted Payments and other transactions to occur in connection with the MGP Transactions.</w:t>
      </w:r>
    </w:p>
    <w:p>
      <w:pPr>
        <w:spacing w:after="0" w:line="18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Amendments to Significant Master Leases</w:t>
      </w:r>
      <w:r>
        <w:rPr>
          <w:rFonts w:ascii="Arial" w:cs="Arial" w:eastAsia="Arial" w:hAnsi="Arial"/>
          <w:sz w:val="18"/>
          <w:szCs w:val="18"/>
          <w:color w:val="auto"/>
        </w:rPr>
        <w:t>. Permit the Borrower or any Restricted Subsidiary to enter into any amendment, modification or waiver of any term of any Significant Master Lease in a manner that would materially impair the ability of the Borrower to satisfy its payment obligations under the Loan Documents.</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Permit the Borrower or any Restricted Subsidiary to exist or enter into any transaction (including the purchase, sale, lease or exchange of any property or the rendering of any service) with any Affiliate, except (a) as set forth on </w:t>
      </w:r>
      <w:r>
        <w:rPr>
          <w:rFonts w:ascii="Arial" w:cs="Arial" w:eastAsia="Arial" w:hAnsi="Arial"/>
          <w:sz w:val="16"/>
          <w:szCs w:val="16"/>
          <w:u w:val="single" w:color="auto"/>
          <w:color w:val="auto"/>
        </w:rPr>
        <w:t>Schedule 7.6</w:t>
      </w:r>
      <w:r>
        <w:rPr>
          <w:rFonts w:ascii="Arial" w:cs="Arial" w:eastAsia="Arial" w:hAnsi="Arial"/>
          <w:sz w:val="16"/>
          <w:szCs w:val="16"/>
          <w:color w:val="auto"/>
        </w:rPr>
        <w:t xml:space="preserve">, (b) pursuant to the reasonable requirements of the business of the Borrower or such Restricted Subsidiary and upon fair and reasonable terms which are no less favorable to the Borrower or such Restricted Subsidiary than would be obtained in a comparable arm’s length transaction with a Person that is not an Affiliate, (c) transactions solely between or among the Borrower and its Restricted Subsidiaries, (d) compensation, bonus and benefit arrangements with employees, officers, directors and trustees of the Borrower or its Restricted Subsidiaries that are customary in the industry or are in the ordinary course, (e) Restricted Payments permitted by </w:t>
      </w:r>
      <w:r>
        <w:rPr>
          <w:rFonts w:ascii="Arial" w:cs="Arial" w:eastAsia="Arial" w:hAnsi="Arial"/>
          <w:sz w:val="16"/>
          <w:szCs w:val="16"/>
          <w:u w:val="single" w:color="auto"/>
          <w:color w:val="auto"/>
        </w:rPr>
        <w:t>Section 7.4</w:t>
      </w:r>
      <w:r>
        <w:rPr>
          <w:rFonts w:ascii="Arial" w:cs="Arial" w:eastAsia="Arial" w:hAnsi="Arial"/>
          <w:sz w:val="16"/>
          <w:szCs w:val="16"/>
          <w:color w:val="auto"/>
        </w:rPr>
        <w:t>, (f) Investments by the Borrower or its Restricted Subsidiaries that are not otherwise prohibited by this Agreement and (g) the mergers, equity redemptions and other transactions to occur in connection with the MGP Transactions.</w:t>
      </w:r>
    </w:p>
    <w:p>
      <w:pPr>
        <w:spacing w:after="0" w:line="16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Swap Agreements</w:t>
      </w:r>
      <w:r>
        <w:rPr>
          <w:rFonts w:ascii="Arial" w:cs="Arial" w:eastAsia="Arial" w:hAnsi="Arial"/>
          <w:sz w:val="18"/>
          <w:szCs w:val="18"/>
          <w:color w:val="auto"/>
        </w:rPr>
        <w:t>. Permit the Borrower or any Restricted Subsidiary to enter into any Swap Agreement, except (a) Swap Agreements entered into to hedge or mitigate risks associated with liabilities, commitments, investments, assets, or property held or reasonably anticipated by the Borrower or any Restricted Subsidiary and for which the Borrower or such Restricted Subsidiary has actual exposure (or a potential exposure in respect of Equity Interests or any convertible Indebtedness) and (b) Swap Agreements entered into in order to effectively cap, collar or exchange interest rates (from fixed to floating rates, from one floating rate to another floating rate or otherwise) with respect to any interest-bearing liability or investment of the Borrower or any Restricted Subsidiary.</w:t>
      </w:r>
    </w:p>
    <w:p>
      <w:pPr>
        <w:spacing w:after="0" w:line="18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u w:val="single" w:color="auto"/>
          <w:color w:val="auto"/>
        </w:rPr>
        <w:t>Changes in Fiscal Periods</w:t>
      </w:r>
      <w:r>
        <w:rPr>
          <w:rFonts w:ascii="Arial" w:cs="Arial" w:eastAsia="Arial" w:hAnsi="Arial"/>
          <w:sz w:val="16"/>
          <w:szCs w:val="16"/>
          <w:color w:val="auto"/>
        </w:rPr>
        <w:t>. Permit the Borrower or any Restricted Subsidiary to, change its fiscal year from that in effect as of the Closing</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9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Negative Pledge Clauses</w:t>
      </w:r>
      <w:r>
        <w:rPr>
          <w:rFonts w:ascii="Arial" w:cs="Arial" w:eastAsia="Arial" w:hAnsi="Arial"/>
          <w:sz w:val="17"/>
          <w:szCs w:val="17"/>
          <w:color w:val="auto"/>
        </w:rPr>
        <w:t>. Permit the Borrower or any Restricted Subsidiary to permit any Unencumbered Property or any direct or indirect ownership interest of the Borrower in any Person owning an Unencumbered Property, to be subject to a Negative Pledge, except for (i) any Negative Pledge contained in (x) the Existing Senior Indentures and any other agreement (or provision thereof) in favor of the holders of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21" w:right="339" w:bottom="1440" w:gutter="0" w:footer="0" w:header="0"/>
        </w:sectPr>
      </w:pPr>
    </w:p>
    <w:bookmarkStart w:id="198" w:name="page199"/>
    <w:bookmarkEnd w:id="198"/>
    <w:p>
      <w:pPr>
        <w:spacing w:after="0"/>
        <w:rPr>
          <w:sz w:val="20"/>
          <w:szCs w:val="20"/>
          <w:color w:val="auto"/>
        </w:rPr>
      </w:pPr>
      <w:r>
        <w:rPr>
          <w:rFonts w:ascii="Arial" w:cs="Arial" w:eastAsia="Arial" w:hAnsi="Arial"/>
          <w:sz w:val="16"/>
          <w:szCs w:val="16"/>
          <w:color w:val="auto"/>
        </w:rPr>
        <w:t>Senior Unsecured Notes on terms no more onerous in any material respect than those set forth in the Existing Senior Indentures, (y) the Bridge Facilities or</w:t>
      </w:r>
    </w:p>
    <w:p>
      <w:pPr>
        <w:spacing w:after="0" w:line="35" w:lineRule="exact"/>
        <w:rPr>
          <w:sz w:val="20"/>
          <w:szCs w:val="20"/>
          <w:color w:val="auto"/>
        </w:rPr>
      </w:pPr>
    </w:p>
    <w:p>
      <w:pPr>
        <w:jc w:val="both"/>
        <w:ind w:firstLine="8"/>
        <w:spacing w:after="0" w:line="254" w:lineRule="auto"/>
        <w:tabs>
          <w:tab w:leader="none" w:pos="252"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any other agreement (or provision thereof) in favor of the holders of Indebtedness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Obligations on terms no more onerous in any material respect than those set forth in this Agreement (as determined by the Borrower in good faith), (ii) with respect to any Unencumbered Property owned by a Controlled JV Subsidiary, a Permitted Negative JV Pledge, (iii) Permitted Sale Restrictions and Permitted Transfer Restrictions and (iv) restrictions under or by reason of applicable law, rule, regulation or order (including requirements imposed by any Gaming Authority, Gaming Laws and any regulations, orders or decrees of any Gaming Authority or other applicable Governmental Authority).</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u w:val="single" w:color="auto"/>
          <w:color w:val="auto"/>
        </w:rPr>
        <w:t>Sanctions, Anti-Corruption, Anti-Money Laundering</w:t>
      </w:r>
      <w:r>
        <w:rPr>
          <w:rFonts w:ascii="Arial" w:cs="Arial" w:eastAsia="Arial" w:hAnsi="Arial"/>
          <w:sz w:val="17"/>
          <w:szCs w:val="17"/>
          <w:color w:val="auto"/>
        </w:rPr>
        <w:t>. Permit the Borrower or any Restricted Subsidiary to use the proceeds, directly or indirectly, of any borrowing or proceeds of any other extension of credit hereunder or lend, contribute or otherwise make available such proceeds to any Subsidiary, Affiliate, joint venture partner or other person or entity, or conduct its business in a manner that (i) would violate Anti-Corruption Laws, (ii) fund any activities of or business with any individual or entity that, at the time of such funding, is (A) the subject of Sanctions or (B) in any Sanctioned Country, in each case, except to the extent permitted for a Person required to comply with Sanctions or (iii) to the knowledge of the Borrower will result in a violation by any individual or entity (including any individual or entity participating in the financing transaction contemplated by this Agreement, whether as a Lender, Administrative Agent or otherwise) of any Anti-Corruption Laws or Sanctions.</w:t>
      </w:r>
    </w:p>
    <w:p>
      <w:pPr>
        <w:spacing w:after="0" w:line="18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Lines of Business</w:t>
      </w:r>
      <w:r>
        <w:rPr>
          <w:rFonts w:ascii="Arial" w:cs="Arial" w:eastAsia="Arial" w:hAnsi="Arial"/>
          <w:sz w:val="18"/>
          <w:szCs w:val="18"/>
          <w:color w:val="auto"/>
        </w:rPr>
        <w:t>. Permit the Borrower or any Restricted Subsidiary to enter into in any material extent any business, either directly or through any Restricted Subsidiary, except for those businesses in which the Borrower and its Restricted Subsidiaries are engaged on the date of this Agreement or that are reasonably related or incidental thereto (it being understood that any business involving an Experiential Facility shall be permitted pursuant to this Section 7.11).</w:t>
      </w:r>
    </w:p>
    <w:p>
      <w:pPr>
        <w:spacing w:after="0" w:line="188" w:lineRule="exact"/>
        <w:rPr>
          <w:sz w:val="20"/>
          <w:szCs w:val="20"/>
          <w:color w:val="auto"/>
        </w:rPr>
      </w:pPr>
    </w:p>
    <w:p>
      <w:pPr>
        <w:ind w:left="4160"/>
        <w:spacing w:after="0"/>
        <w:tabs>
          <w:tab w:leader="none" w:pos="52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color w:val="auto"/>
        </w:rPr>
        <w:t>EVENTS OF DEFAULT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of the following events shall occur and be continuing:</w:t>
      </w:r>
    </w:p>
    <w:p>
      <w:pPr>
        <w:spacing w:after="0" w:line="212" w:lineRule="exact"/>
        <w:rPr>
          <w:sz w:val="20"/>
          <w:szCs w:val="20"/>
          <w:color w:val="auto"/>
        </w:rPr>
      </w:pPr>
    </w:p>
    <w:p>
      <w:pPr>
        <w:jc w:val="both"/>
        <w:ind w:firstLine="656"/>
        <w:spacing w:after="0" w:line="270" w:lineRule="auto"/>
        <w:tabs>
          <w:tab w:leader="none" w:pos="104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Borrower shall fail to pay any principal of any Loan or Reimbursement Obligation when due in accordance with the terms hereof; or the Borrower shall fail to pay any interest on any Loan or Reimbursement Obligation, or any fee or other amount payable hereunder or under any other Loan Document, within five Business Days after any such interest, fee or other amount becomes due in accordance with the terms hereof; or</w:t>
      </w:r>
    </w:p>
    <w:p>
      <w:pPr>
        <w:spacing w:after="0" w:line="163" w:lineRule="exact"/>
        <w:rPr>
          <w:rFonts w:ascii="Arial" w:cs="Arial" w:eastAsia="Arial" w:hAnsi="Arial"/>
          <w:sz w:val="17"/>
          <w:szCs w:val="17"/>
          <w:color w:val="auto"/>
        </w:rPr>
      </w:pPr>
    </w:p>
    <w:p>
      <w:pPr>
        <w:jc w:val="both"/>
        <w:ind w:firstLine="656"/>
        <w:spacing w:after="0" w:line="241" w:lineRule="auto"/>
        <w:tabs>
          <w:tab w:leader="none" w:pos="107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inaccurate (i) in any material respect on or as of the date made or deemed made or (ii) in the case of any representation or warranty qualified by “materiality”, “Material Adverse Effect” or any similar language, in any respect (after giving effect to such materiality qualifier) on or as of the date made or deemed made; or</w:t>
      </w:r>
    </w:p>
    <w:p>
      <w:pPr>
        <w:spacing w:after="0" w:line="189" w:lineRule="exact"/>
        <w:rPr>
          <w:rFonts w:ascii="Arial" w:cs="Arial" w:eastAsia="Arial" w:hAnsi="Arial"/>
          <w:sz w:val="18"/>
          <w:szCs w:val="18"/>
          <w:color w:val="auto"/>
        </w:rPr>
      </w:pPr>
    </w:p>
    <w:p>
      <w:pPr>
        <w:ind w:firstLine="656"/>
        <w:spacing w:after="0" w:line="261" w:lineRule="auto"/>
        <w:tabs>
          <w:tab w:leader="none" w:pos="11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any Loan Party shall default in the observance or performance of any agreement contained in clauses (i) and (ii) of </w:t>
      </w:r>
      <w:r>
        <w:rPr>
          <w:rFonts w:ascii="Arial" w:cs="Arial" w:eastAsia="Arial" w:hAnsi="Arial"/>
          <w:sz w:val="18"/>
          <w:szCs w:val="18"/>
          <w:u w:val="single" w:color="auto"/>
          <w:color w:val="auto"/>
        </w:rPr>
        <w:t>Section 6.4(a)</w:t>
      </w:r>
      <w:r>
        <w:rPr>
          <w:rFonts w:ascii="Arial" w:cs="Arial" w:eastAsia="Arial" w:hAnsi="Arial"/>
          <w:sz w:val="18"/>
          <w:szCs w:val="18"/>
          <w:color w:val="auto"/>
        </w:rPr>
        <w:t xml:space="preserve"> (with respect to the Borrower only), </w:t>
      </w:r>
      <w:r>
        <w:rPr>
          <w:rFonts w:ascii="Arial" w:cs="Arial" w:eastAsia="Arial" w:hAnsi="Arial"/>
          <w:sz w:val="18"/>
          <w:szCs w:val="18"/>
          <w:u w:val="single" w:color="auto"/>
          <w:color w:val="auto"/>
        </w:rPr>
        <w:t>Section 6.7(a)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this Agreement; or</w:t>
      </w:r>
    </w:p>
    <w:p>
      <w:pPr>
        <w:spacing w:after="0" w:line="170" w:lineRule="exact"/>
        <w:rPr>
          <w:rFonts w:ascii="Arial" w:cs="Arial" w:eastAsia="Arial" w:hAnsi="Arial"/>
          <w:sz w:val="18"/>
          <w:szCs w:val="18"/>
          <w:color w:val="auto"/>
        </w:rPr>
      </w:pPr>
    </w:p>
    <w:p>
      <w:pPr>
        <w:jc w:val="both"/>
        <w:ind w:firstLine="656"/>
        <w:spacing w:after="0" w:line="248" w:lineRule="auto"/>
        <w:tabs>
          <w:tab w:leader="none" w:pos="113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any Loan Party shall default in the observance or performance of any other agreement contained in this Agreement or any other Loan Document (other than as provided in </w:t>
      </w:r>
      <w:r>
        <w:rPr>
          <w:rFonts w:ascii="Arial" w:cs="Arial" w:eastAsia="Arial" w:hAnsi="Arial"/>
          <w:sz w:val="18"/>
          <w:szCs w:val="18"/>
          <w:u w:val="single" w:color="auto"/>
          <w:color w:val="auto"/>
        </w:rPr>
        <w:t>paragraphs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8</w:t>
      </w:r>
      <w:r>
        <w:rPr>
          <w:rFonts w:ascii="Arial" w:cs="Arial" w:eastAsia="Arial" w:hAnsi="Arial"/>
          <w:sz w:val="18"/>
          <w:szCs w:val="18"/>
          <w:color w:val="auto"/>
        </w:rPr>
        <w:t>), and such default shall continue unremedied for a period of 30 days after notice to the Borrower from the Administrative Agent or the Required Lenders; or</w:t>
      </w:r>
    </w:p>
    <w:p>
      <w:pPr>
        <w:spacing w:after="0" w:line="181" w:lineRule="exact"/>
        <w:rPr>
          <w:rFonts w:ascii="Arial" w:cs="Arial" w:eastAsia="Arial" w:hAnsi="Arial"/>
          <w:sz w:val="18"/>
          <w:szCs w:val="18"/>
          <w:color w:val="auto"/>
        </w:rPr>
      </w:pPr>
    </w:p>
    <w:p>
      <w:pPr>
        <w:jc w:val="both"/>
        <w:ind w:firstLine="656"/>
        <w:spacing w:after="0" w:line="241" w:lineRule="auto"/>
        <w:tabs>
          <w:tab w:leader="none" w:pos="115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Group Member (other than an Immaterial Subsidiary) shall (i) default in making any payment of any principal of any Recourse Indebtedness (including any Guarantee Obligation, but excluding the Loans) on the scheduled or original due date with respect thereto; or (ii) default in making any payment of any interest on any such Recourse Indebtedness beyond the period of grace, if any, provided in the instrument or agreement under which such Indebtedness was created; or (iii) default in the observance or performance of any other agreement or condition relating to any such Recourse Indebtedness or contained in any instrument or agreement evidencing, securing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21" w:right="339" w:bottom="1440" w:gutter="0" w:footer="0" w:header="0"/>
        </w:sectPr>
      </w:pPr>
    </w:p>
    <w:bookmarkStart w:id="199" w:name="page200"/>
    <w:bookmarkEnd w:id="199"/>
    <w:p>
      <w:pPr>
        <w:jc w:val="both"/>
        <w:spacing w:after="0" w:line="252" w:lineRule="auto"/>
        <w:rPr>
          <w:sz w:val="20"/>
          <w:szCs w:val="20"/>
          <w:color w:val="auto"/>
        </w:rPr>
      </w:pPr>
      <w:r>
        <w:rPr>
          <w:rFonts w:ascii="Arial" w:cs="Arial" w:eastAsia="Arial" w:hAnsi="Arial"/>
          <w:sz w:val="17"/>
          <w:szCs w:val="17"/>
          <w:color w:val="auto"/>
        </w:rPr>
        <w:t xml:space="preserve">relating thereto, or any other event shall occur or condition exist, the effect of which default or other event or condition is to cause, or to permit the holder or beneficiary of such Recourse Indebtedness (or a trustee or agent on behalf of such holder or beneficiary) to cause, with the giving of notice if required, such Indebtedness to become due, prepaid, repurchased, defeased or redeemed prior to its stated maturity or (in the case of any such Indebtedness constituting a Guarantee Obligation) to become payable;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default, event or condition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paragraph (e)</w:t>
      </w:r>
      <w:r>
        <w:rPr>
          <w:rFonts w:ascii="Arial" w:cs="Arial" w:eastAsia="Arial" w:hAnsi="Arial"/>
          <w:sz w:val="17"/>
          <w:szCs w:val="17"/>
          <w:color w:val="auto"/>
        </w:rPr>
        <w:t xml:space="preserve"> shall not at any time constitute an Event of Default unless, at such time, one or more defaults, events or conditions of the type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paragraph (e)</w:t>
      </w:r>
      <w:r>
        <w:rPr>
          <w:rFonts w:ascii="Arial" w:cs="Arial" w:eastAsia="Arial" w:hAnsi="Arial"/>
          <w:sz w:val="17"/>
          <w:szCs w:val="17"/>
          <w:color w:val="auto"/>
        </w:rPr>
        <w:t xml:space="preserve"> shall have occurred and be continuing with respect to Recourse Indebtedness the outstanding principal amount of which exceeds in the aggregate $150,000,000;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shall not apply to secured Recourse Indebtedness that becomes due as a result of (A) customary non-default mandatory prepayment requirements resulting from asset sales, casualty events, debt or equity issuances, extraordinary receipts or borrowing base limitations and (B) any Indebtedness constituting convertible debt becoming due as a result of the exercise by any holder thereof of conversion, exchange or similar rights related to the value of the applicable Group Member’s equity securities so long as such Indebtedness is converted into or exchanged for Equity Interests; or</w:t>
      </w:r>
    </w:p>
    <w:p>
      <w:pPr>
        <w:spacing w:after="0" w:line="186" w:lineRule="exact"/>
        <w:rPr>
          <w:sz w:val="20"/>
          <w:szCs w:val="20"/>
          <w:color w:val="auto"/>
        </w:rPr>
      </w:pPr>
    </w:p>
    <w:p>
      <w:pPr>
        <w:jc w:val="both"/>
        <w:ind w:firstLine="656"/>
        <w:spacing w:after="0" w:line="267" w:lineRule="auto"/>
        <w:tabs>
          <w:tab w:leader="none" w:pos="1071" w:val="left"/>
        </w:tabs>
        <w:numPr>
          <w:ilvl w:val="1"/>
          <w:numId w:val="151"/>
        </w:numPr>
        <w:rPr>
          <w:rFonts w:ascii="Arial" w:cs="Arial" w:eastAsia="Arial" w:hAnsi="Arial"/>
          <w:sz w:val="16"/>
          <w:szCs w:val="16"/>
          <w:color w:val="auto"/>
        </w:rPr>
      </w:pPr>
      <w:r>
        <w:rPr>
          <w:rFonts w:ascii="Arial" w:cs="Arial" w:eastAsia="Arial" w:hAnsi="Arial"/>
          <w:sz w:val="16"/>
          <w:szCs w:val="16"/>
          <w:color w:val="auto"/>
        </w:rPr>
        <w:t xml:space="preserve">(i) any of VICI, the Borrower, the Subsidiary Guarantors or any other Material Subsidiary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any of VICI, the Borrower, the Subsidiary Guarantors or any other Material Subsidiary shall make a general assignment for the benefit of its creditors; or (ii) there shall be commenced against any of VICI, the Borrower, the Subsidiary Guarantors or any other Material Subsidiary any case, proceeding or other action of a nature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that</w:t>
      </w:r>
    </w:p>
    <w:p>
      <w:pPr>
        <w:jc w:val="both"/>
        <w:ind w:firstLine="8"/>
        <w:spacing w:after="0" w:line="277" w:lineRule="auto"/>
        <w:tabs>
          <w:tab w:leader="none" w:pos="30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results in the entry of an order for relief or any such adjudication or appointment or (B) remains undismissed or undischarged for a period of 60 days; or (iii) any of VICI, the Borrower, the Subsidiary Guarantors or any other Material Subsidiary shall take any action in furtherance of, or indicating its consent to, approval of, or acquiescence in, any of the acts set forth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or (iv) any of VICI, the Borrower, the Subsidiary Guarantors or any other Material Subsidiary shall generally not, or shall be unable to, or shall admit in writing its inability to, pay its debts as they become due; or</w:t>
      </w:r>
    </w:p>
    <w:p>
      <w:pPr>
        <w:spacing w:after="0" w:line="160" w:lineRule="exact"/>
        <w:rPr>
          <w:rFonts w:ascii="Arial" w:cs="Arial" w:eastAsia="Arial" w:hAnsi="Arial"/>
          <w:sz w:val="16"/>
          <w:szCs w:val="16"/>
          <w:color w:val="auto"/>
        </w:rPr>
      </w:pPr>
    </w:p>
    <w:p>
      <w:pPr>
        <w:jc w:val="both"/>
        <w:ind w:firstLine="656"/>
        <w:spacing w:after="0" w:line="267" w:lineRule="auto"/>
        <w:tabs>
          <w:tab w:leader="none" w:pos="1106" w:val="left"/>
        </w:tabs>
        <w:numPr>
          <w:ilvl w:val="1"/>
          <w:numId w:val="152"/>
        </w:numPr>
        <w:rPr>
          <w:rFonts w:ascii="Arial" w:cs="Arial" w:eastAsia="Arial" w:hAnsi="Arial"/>
          <w:sz w:val="16"/>
          <w:szCs w:val="16"/>
          <w:color w:val="auto"/>
        </w:rPr>
      </w:pPr>
      <w:r>
        <w:rPr>
          <w:rFonts w:ascii="Arial" w:cs="Arial" w:eastAsia="Arial" w:hAnsi="Arial"/>
          <w:sz w:val="16"/>
          <w:szCs w:val="16"/>
          <w:color w:val="auto"/>
        </w:rPr>
        <w:t>(i) any Person shall engage in any non-exempt Prohibited Transaction involving any Plan, (ii) any “accumulated funding deficiency” (as defined in Section 302 of ERISA), whether or not waived, shall exist with respect to any Plan or any Lien in favor of the PBGC or a Plan shall arise on the assets of any Group Member or any Commonly Controlled Entity, (iii) a Reportable Event shall occur with respect to, or proceedings shall commence to have a trustee appointed, or a trustee shall be appointed, to administer or to terminate, any Single Employer Plan or Multiemployer Plan, which Reportable Event or commencement of proceedings or appointment of a trustee is, in the reasonable opinion of the Required Lenders, likely to result in the termination of such Plan for purposes of Title IV of ERISA, (iv) any Single Employer Plan or Multiemployer Plan shall terminate for purposes of Title IV of ERISA, or</w:t>
      </w:r>
    </w:p>
    <w:p>
      <w:pPr>
        <w:spacing w:after="0" w:line="2" w:lineRule="exact"/>
        <w:rPr>
          <w:rFonts w:ascii="Arial" w:cs="Arial" w:eastAsia="Arial" w:hAnsi="Arial"/>
          <w:sz w:val="16"/>
          <w:szCs w:val="16"/>
          <w:color w:val="auto"/>
        </w:rPr>
      </w:pPr>
    </w:p>
    <w:p>
      <w:pPr>
        <w:jc w:val="both"/>
        <w:spacing w:after="0" w:line="237" w:lineRule="auto"/>
        <w:rPr>
          <w:rFonts w:ascii="Arial" w:cs="Arial" w:eastAsia="Arial" w:hAnsi="Arial"/>
          <w:sz w:val="16"/>
          <w:szCs w:val="16"/>
          <w:color w:val="auto"/>
        </w:rPr>
      </w:pPr>
      <w:r>
        <w:rPr>
          <w:rFonts w:ascii="Arial" w:cs="Arial" w:eastAsia="Arial" w:hAnsi="Arial"/>
          <w:sz w:val="18"/>
          <w:szCs w:val="18"/>
          <w:color w:val="auto"/>
        </w:rPr>
        <w:t xml:space="preserve">(v) any Group Member or any Commonly Controlled Entity shall, or in the reasonable opinion of the Required Lenders would be reasonably likely to, incur any liability in connection with a complete or partial withdrawal from, or a determination that any Multiemployer Plan is, or is expected to be, Insolvent, in “endangered” or “critical” status (within the meaning of Sections 431 or 432 of the Code or Sections 304 or 305 of ERISA); and in each case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above, such event or condition, together with all other such events or conditions, if any, would, in the reasonable judgment of the Required Lenders, reasonably be expected to have a Material Adverse Effect; or</w:t>
      </w:r>
    </w:p>
    <w:p>
      <w:pPr>
        <w:spacing w:after="0" w:line="190" w:lineRule="exact"/>
        <w:rPr>
          <w:rFonts w:ascii="Arial" w:cs="Arial" w:eastAsia="Arial" w:hAnsi="Arial"/>
          <w:sz w:val="16"/>
          <w:szCs w:val="16"/>
          <w:color w:val="auto"/>
        </w:rPr>
      </w:pPr>
    </w:p>
    <w:p>
      <w:pPr>
        <w:jc w:val="both"/>
        <w:ind w:firstLine="656"/>
        <w:spacing w:after="0" w:line="294" w:lineRule="auto"/>
        <w:tabs>
          <w:tab w:leader="none" w:pos="1077" w:val="left"/>
        </w:tabs>
        <w:numPr>
          <w:ilvl w:val="1"/>
          <w:numId w:val="152"/>
        </w:numPr>
        <w:rPr>
          <w:rFonts w:ascii="Arial" w:cs="Arial" w:eastAsia="Arial" w:hAnsi="Arial"/>
          <w:sz w:val="16"/>
          <w:szCs w:val="16"/>
          <w:color w:val="auto"/>
        </w:rPr>
      </w:pPr>
      <w:r>
        <w:rPr>
          <w:rFonts w:ascii="Arial" w:cs="Arial" w:eastAsia="Arial" w:hAnsi="Arial"/>
          <w:sz w:val="16"/>
          <w:szCs w:val="16"/>
          <w:color w:val="auto"/>
        </w:rPr>
        <w:t>one or more final judgments or decrees shall be entered against any Group Member (other than an Immaterial Subsidiary) involving in the aggregate a liability (not paid or fully covered by insurance as to which the relevant insurance company has not denied coverage) of $150,000,000 or more, and all such judgments or decrees shall not have been vacated, discharged, stayed or bonded pending appeal within 60 days from the entry thereof; or</w:t>
      </w:r>
    </w:p>
    <w:p>
      <w:pPr>
        <w:spacing w:after="0" w:line="147" w:lineRule="exact"/>
        <w:rPr>
          <w:rFonts w:ascii="Arial" w:cs="Arial" w:eastAsia="Arial" w:hAnsi="Arial"/>
          <w:sz w:val="16"/>
          <w:szCs w:val="16"/>
          <w:color w:val="auto"/>
        </w:rPr>
      </w:pPr>
    </w:p>
    <w:p>
      <w:pPr>
        <w:ind w:firstLine="656"/>
        <w:spacing w:after="0" w:line="261" w:lineRule="auto"/>
        <w:tabs>
          <w:tab w:leader="none" w:pos="10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of the Loan Documents (or any material provisions thereof) shall cease, for any reason, to be in full force and effect, or any Loan Party or any Affiliate of any Loan Party shall so assert other than as expressly permitted hereunder or thereunder;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21" w:right="339" w:bottom="1440" w:gutter="0" w:footer="0" w:header="0"/>
        </w:sectPr>
      </w:pPr>
    </w:p>
    <w:bookmarkStart w:id="200" w:name="page201"/>
    <w:bookmarkEnd w:id="200"/>
    <w:p>
      <w:pPr>
        <w:ind w:right="40" w:firstLine="656"/>
        <w:spacing w:after="0" w:line="239" w:lineRule="auto"/>
        <w:tabs>
          <w:tab w:leader="none" w:pos="99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other than in connection with any transaction not prohibited by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any Significant Master Lease shall have terminated other than in accordance with its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termination shall not constitute an Event of Default (and neither the Administrative Agent nor any Lender shall take any of the actions referred to in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if, within 90 days of such termination, (x) the Borrower has entered into one or more Permitted Replacement Leases and (y) in the case of a Permitted Replacement Lease, the Borrower shall be in compliance with the financial covenants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on a pro forma basis (including after giving effect to such Permitted Replacement Leases (as if such Permitted Replacement Leases had been in effect for the most recent four fiscal quarter period for which financial statements have been or are required to have been delivered pursuant to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6.1(a)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or</w:t>
      </w:r>
    </w:p>
    <w:p>
      <w:pPr>
        <w:spacing w:after="0" w:line="190" w:lineRule="exact"/>
        <w:rPr>
          <w:rFonts w:ascii="Arial" w:cs="Arial" w:eastAsia="Arial" w:hAnsi="Arial"/>
          <w:sz w:val="18"/>
          <w:szCs w:val="18"/>
          <w:color w:val="auto"/>
        </w:rPr>
      </w:pPr>
    </w:p>
    <w:p>
      <w:pPr>
        <w:ind w:left="1040" w:hanging="384"/>
        <w:spacing w:after="0"/>
        <w:tabs>
          <w:tab w:leader="none" w:pos="10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Change of Control occurs;</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then, and in any such event, (A) if such event is an Event of Default specified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above with respect to the Borrower, automatically the Commitments shall immediately terminate and the Loans (with accrued interest thereon) and all other amounts owing under this Agreement and the other Loan Documents (including all amounts of L/C Obligations, whether or not the beneficiaries of the then outstanding Letters of Credit shall have presented the documents required thereunder) shall immediately become due and payable (and the obligation to deposit cash collateral for Letters of Credit described below shall become effectively immediately and such deposits shall become immediately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Borrower declare the Commitments to be terminated forthwith, whereupon the Commitments shall immediately terminate; and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(including all amounts of L/C Obligations, whether or not the beneficiaries of the then outstanding Letters of Credit shall have presented the documents required thereunder) to be due and payable forthwith, whereupon the same shall immediately become due and payable. With respect to all Letters of Credit with respect to which presentment for honor shall not have occurred at the time of an acceleration pursuant to this paragraph, the Borrower shall at such time deposit in a cash collateral account opened by the Administrative Agent an amount equal to the aggregate then undrawn and unexpired amount of such Letters of Credit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amount of drawings under such Letters of Credit that have not then been reimbursed. Amounts held in such cash collateral account shall be held as collateral for the payment and performance of the Obligations and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other Loan Documents.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After all such Letters of Credit shall have expired or been fully drawn upon, all Reimbursement Obligations shall have been satisfied and all other obligations of the Borrower hereunder and under the other Loan Documents shall have been paid in full, the balance, if any, in such cash collateral account shall be returned to the Borrower (or such other Person as may be lawfully entitled thereto). Except as expressly provided above in this </w:t>
      </w:r>
      <w:r>
        <w:rPr>
          <w:rFonts w:ascii="Arial" w:cs="Arial" w:eastAsia="Arial" w:hAnsi="Arial"/>
          <w:sz w:val="16"/>
          <w:szCs w:val="16"/>
          <w:u w:val="single" w:color="auto"/>
          <w:color w:val="auto"/>
        </w:rPr>
        <w:t>Section 8</w:t>
      </w:r>
      <w:r>
        <w:rPr>
          <w:rFonts w:ascii="Arial" w:cs="Arial" w:eastAsia="Arial" w:hAnsi="Arial"/>
          <w:sz w:val="16"/>
          <w:szCs w:val="16"/>
          <w:color w:val="auto"/>
        </w:rPr>
        <w:t>, presentment, demand, protest and all other notices of any kind are hereby expressly waived by the Borrower.</w:t>
      </w:r>
    </w:p>
    <w:p>
      <w:pPr>
        <w:spacing w:after="0" w:line="182" w:lineRule="exact"/>
        <w:rPr>
          <w:sz w:val="20"/>
          <w:szCs w:val="20"/>
          <w:color w:val="auto"/>
        </w:rPr>
      </w:pPr>
    </w:p>
    <w:p>
      <w:pPr>
        <w:jc w:val="both"/>
        <w:ind w:firstLine="180"/>
        <w:spacing w:after="0" w:line="238" w:lineRule="auto"/>
        <w:rPr>
          <w:sz w:val="20"/>
          <w:szCs w:val="20"/>
          <w:color w:val="auto"/>
        </w:rPr>
      </w:pPr>
      <w:r>
        <w:rPr>
          <w:rFonts w:ascii="Arial" w:cs="Arial" w:eastAsia="Arial" w:hAnsi="Arial"/>
          <w:sz w:val="18"/>
          <w:szCs w:val="18"/>
          <w:color w:val="auto"/>
        </w:rPr>
        <w:t xml:space="preserve">Notwithstanding anything else herein to the contrary, in the event that there shall occur any Default or Event of Default arising as a result of the inclusion of any Real Property as an Unencumbered Property and if such Default or Event of Default is capable of being cured solely by the exclusion of such Real Property as an Unencumbered Property, then within 10 Business Days from the earlier of (i) receipt of written notice of such Default or Event of Default from the Administrative Agent or (ii) the date upon which a Responsible Officer of the Borrower obtains knowledge of such Default or Event of Default, the Borrower may elect to cure such Default or Event of Default by electing to remove such Unencumbered Property upon the delivery of (x) written notice to the Administrative Agent thereof and (y) delivery of a Compliance Certificate excluding such Real Property as an Unencumbered Property and evidencing compliance with the financial covenants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(after giving effect to such removal) for the periods such Real Property was included as an Unencumbered Property. The Borrower’s notice of its election and delivery of the Compliance Certificate pursuant to </w:t>
      </w:r>
      <w:r>
        <w:rPr>
          <w:rFonts w:ascii="Arial" w:cs="Arial" w:eastAsia="Arial" w:hAnsi="Arial"/>
          <w:sz w:val="18"/>
          <w:szCs w:val="18"/>
          <w:u w:val="single" w:color="auto"/>
          <w:color w:val="auto"/>
        </w:rPr>
        <w:t>clause (y)</w:t>
      </w:r>
      <w:r>
        <w:rPr>
          <w:rFonts w:ascii="Arial" w:cs="Arial" w:eastAsia="Arial" w:hAnsi="Arial"/>
          <w:sz w:val="18"/>
          <w:szCs w:val="18"/>
          <w:color w:val="auto"/>
        </w:rPr>
        <w:t xml:space="preserve"> above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21" w:right="339" w:bottom="1440" w:gutter="0" w:footer="0" w:header="0"/>
        </w:sectPr>
      </w:pPr>
    </w:p>
    <w:bookmarkStart w:id="201" w:name="page202"/>
    <w:bookmarkEnd w:id="201"/>
    <w:p>
      <w:pPr>
        <w:spacing w:after="0" w:line="261" w:lineRule="auto"/>
        <w:rPr>
          <w:sz w:val="20"/>
          <w:szCs w:val="20"/>
          <w:color w:val="auto"/>
        </w:rPr>
      </w:pPr>
      <w:r>
        <w:rPr>
          <w:rFonts w:ascii="Arial" w:cs="Arial" w:eastAsia="Arial" w:hAnsi="Arial"/>
          <w:sz w:val="18"/>
          <w:szCs w:val="18"/>
          <w:color w:val="auto"/>
        </w:rPr>
        <w:t>the preceding sentence shall be delivered to the Administrative Agent within the period of 10 Business Days provided above, and if not so delivered the Borrower’s cure period shall immediately terminate and any such Default shall become an Event of Default.</w:t>
      </w:r>
    </w:p>
    <w:p>
      <w:pPr>
        <w:spacing w:after="0" w:line="171" w:lineRule="exact"/>
        <w:rPr>
          <w:sz w:val="20"/>
          <w:szCs w:val="20"/>
          <w:color w:val="auto"/>
        </w:rPr>
      </w:pPr>
    </w:p>
    <w:p>
      <w:pPr>
        <w:ind w:right="20" w:firstLine="648"/>
        <w:spacing w:after="0" w:line="324" w:lineRule="auto"/>
        <w:rPr>
          <w:sz w:val="20"/>
          <w:szCs w:val="20"/>
          <w:color w:val="auto"/>
        </w:rPr>
      </w:pPr>
      <w:r>
        <w:rPr>
          <w:rFonts w:ascii="Arial" w:cs="Arial" w:eastAsia="Arial" w:hAnsi="Arial"/>
          <w:sz w:val="16"/>
          <w:szCs w:val="16"/>
          <w:color w:val="auto"/>
        </w:rPr>
        <w:t>In the event that following the occurrence or during the continuance of any Event of Default, the Administrative Agent or any Lender, as the case may be, receives any monies in connection with the enforcement of any the Loan Documents, such monies shall be distributed for application as follows:</w:t>
      </w:r>
    </w:p>
    <w:p>
      <w:pPr>
        <w:spacing w:after="0" w:line="124" w:lineRule="exact"/>
        <w:rPr>
          <w:sz w:val="20"/>
          <w:szCs w:val="20"/>
          <w:color w:val="auto"/>
        </w:rPr>
      </w:pPr>
    </w:p>
    <w:p>
      <w:pPr>
        <w:jc w:val="both"/>
        <w:ind w:firstLine="656"/>
        <w:spacing w:after="0" w:line="248" w:lineRule="auto"/>
        <w:tabs>
          <w:tab w:leader="none" w:pos="105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First, to pay that portion of the Obligations constituting fees, indemnities, expenses and other amounts payable to the Administrative Agent (including fees and disbursements and other charges of counsel to the Administrative Agent payable under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and amounts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2.6(b)</w:t>
      </w:r>
      <w:r>
        <w:rPr>
          <w:rFonts w:ascii="Arial" w:cs="Arial" w:eastAsia="Arial" w:hAnsi="Arial"/>
          <w:sz w:val="18"/>
          <w:szCs w:val="18"/>
          <w:color w:val="auto"/>
        </w:rPr>
        <w:t xml:space="preserve"> payable to the Administrative Agent in its capacity as such);</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Second, to pay any fees or expense reimbursements then due to the Lenders from the Loan Parties;</w:t>
      </w:r>
    </w:p>
    <w:p>
      <w:pPr>
        <w:spacing w:after="0" w:line="211" w:lineRule="exact"/>
        <w:rPr>
          <w:rFonts w:ascii="Arial" w:cs="Arial" w:eastAsia="Arial" w:hAnsi="Arial"/>
          <w:sz w:val="18"/>
          <w:szCs w:val="18"/>
          <w:color w:val="auto"/>
        </w:rPr>
      </w:pPr>
    </w:p>
    <w:p>
      <w:pPr>
        <w:ind w:left="1040" w:hanging="384"/>
        <w:spacing w:after="0"/>
        <w:tabs>
          <w:tab w:leader="none" w:pos="10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Third, to pay interest then due and payable on the Loans and Reimbursement Obligations ratably,</w:t>
      </w:r>
    </w:p>
    <w:p>
      <w:pPr>
        <w:spacing w:after="0" w:line="211" w:lineRule="exact"/>
        <w:rPr>
          <w:rFonts w:ascii="Arial" w:cs="Arial" w:eastAsia="Arial" w:hAnsi="Arial"/>
          <w:sz w:val="18"/>
          <w:szCs w:val="18"/>
          <w:color w:val="auto"/>
        </w:rPr>
      </w:pPr>
    </w:p>
    <w:p>
      <w:pPr>
        <w:jc w:val="both"/>
        <w:ind w:firstLine="656"/>
        <w:spacing w:after="0" w:line="243" w:lineRule="auto"/>
        <w:tabs>
          <w:tab w:leader="none" w:pos="119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Fourth, to payment of Obligations constituting principal on the Loans and Reimbursement Obligations and obligations under Cash Management Services and Specified Swap Agreements due to the Administrative Agent or any Lender or any Affiliate of the Administrative Agent or any Lender by the Loan Parties, in each case ratably among the Lenders, the Administrative Agent and their Affiliates in proportion to the amounts described in this </w:t>
      </w:r>
      <w:r>
        <w:rPr>
          <w:rFonts w:ascii="Arial" w:cs="Arial" w:eastAsia="Arial" w:hAnsi="Arial"/>
          <w:sz w:val="18"/>
          <w:szCs w:val="18"/>
          <w:u w:val="single" w:color="auto"/>
          <w:color w:val="auto"/>
        </w:rPr>
        <w:t>clause Fourth</w:t>
      </w:r>
      <w:r>
        <w:rPr>
          <w:rFonts w:ascii="Arial" w:cs="Arial" w:eastAsia="Arial" w:hAnsi="Arial"/>
          <w:sz w:val="18"/>
          <w:szCs w:val="18"/>
          <w:color w:val="auto"/>
        </w:rPr>
        <w:t xml:space="preserve"> payable to them,</w:t>
      </w:r>
    </w:p>
    <w:p>
      <w:pPr>
        <w:spacing w:after="0" w:line="187" w:lineRule="exact"/>
        <w:rPr>
          <w:rFonts w:ascii="Arial" w:cs="Arial" w:eastAsia="Arial" w:hAnsi="Arial"/>
          <w:sz w:val="18"/>
          <w:szCs w:val="18"/>
          <w:color w:val="auto"/>
        </w:rPr>
      </w:pPr>
    </w:p>
    <w:p>
      <w:pPr>
        <w:jc w:val="both"/>
        <w:ind w:firstLine="656"/>
        <w:spacing w:after="0" w:line="248" w:lineRule="auto"/>
        <w:tabs>
          <w:tab w:leader="none" w:pos="105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Fifth, to pay an amount to the Administrative Agent equal to one hundred five percent (105%) of the aggregate undrawn face amount of all outstanding Letters of Credit and the aggregate amount of any unpaid Reimbursement Obligations, to be held as cash collateral for such Obligations, in each case ratably among the Issuing Lenders in proportion to the amounts described in this </w:t>
      </w:r>
      <w:r>
        <w:rPr>
          <w:rFonts w:ascii="Arial" w:cs="Arial" w:eastAsia="Arial" w:hAnsi="Arial"/>
          <w:sz w:val="18"/>
          <w:szCs w:val="18"/>
          <w:u w:val="single" w:color="auto"/>
          <w:color w:val="auto"/>
        </w:rPr>
        <w:t>clause Fifth</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ind w:firstLine="656"/>
        <w:spacing w:after="0" w:line="261" w:lineRule="auto"/>
        <w:tabs>
          <w:tab w:leader="none" w:pos="102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Sixth, to the payment of any other Obligation due to the Administrative Agent or any Lender or any Affiliate of the Administrative Agent or any Lender by the Loan Parties.</w:t>
      </w:r>
    </w:p>
    <w:p>
      <w:pPr>
        <w:spacing w:after="0" w:line="171"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Notwithstanding the foregoing, amounts received from any Subsidiary Guarantor shall not be applied to any Excluded Swap Obligation of such Subsidiary Guarantor.</w:t>
      </w:r>
    </w:p>
    <w:p>
      <w:pPr>
        <w:spacing w:after="0" w:line="171"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color w:val="auto"/>
        </w:rPr>
        <w:t>THE ADMINISTRATIVE AGENT</w:t>
      </w:r>
    </w:p>
    <w:p>
      <w:pPr>
        <w:spacing w:after="0" w:line="212"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Authorization and Action</w:t>
      </w:r>
      <w:r>
        <w:rPr>
          <w:rFonts w:ascii="Arial" w:cs="Arial" w:eastAsia="Arial" w:hAnsi="Arial"/>
          <w:sz w:val="17"/>
          <w:szCs w:val="17"/>
          <w:color w:val="auto"/>
        </w:rPr>
        <w:t>. (a) Each Lender and each Issuing Lender hereby irrevocably appoints the entity named as Administrative Agent in the heading of this Agreement and its successors and assigns to serve as the administrative agent under the Loan Documents and each Lender and each Issuing Lender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and each Issuing Lender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80" w:lineRule="exact"/>
        <w:rPr>
          <w:sz w:val="20"/>
          <w:szCs w:val="20"/>
          <w:color w:val="auto"/>
        </w:rPr>
      </w:pPr>
    </w:p>
    <w:p>
      <w:pPr>
        <w:jc w:val="both"/>
        <w:ind w:firstLine="656"/>
        <w:spacing w:after="0" w:line="254" w:lineRule="auto"/>
        <w:tabs>
          <w:tab w:leader="none" w:pos="1202"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Administrative Agent shall not be required to take any action that (1) the Administrative Agent in good faith believes exposes it to liability unless the Administrative Agent receives an indemnification and is exculpated in a manner satisfactory to it from the Lenders and the Issuing Lenders with respect to such action or (2) is contrary to this Agreement or any other Loan Document or applicable law, including any action that may be in violation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21" w:right="339" w:bottom="1440" w:gutter="0" w:footer="0" w:header="0"/>
        </w:sectPr>
      </w:pPr>
    </w:p>
    <w:bookmarkStart w:id="202" w:name="page203"/>
    <w:bookmarkEnd w:id="202"/>
    <w:p>
      <w:pPr>
        <w:jc w:val="both"/>
        <w:spacing w:after="0" w:line="271" w:lineRule="auto"/>
        <w:rPr>
          <w:sz w:val="20"/>
          <w:szCs w:val="20"/>
          <w:color w:val="auto"/>
        </w:rPr>
      </w:pPr>
      <w:r>
        <w:rPr>
          <w:rFonts w:ascii="Arial" w:cs="Arial" w:eastAsia="Arial" w:hAnsi="Arial"/>
          <w:sz w:val="16"/>
          <w:szCs w:val="16"/>
          <w:color w:val="auto"/>
        </w:rPr>
        <w:t xml:space="preserve">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69" w:lineRule="exact"/>
        <w:rPr>
          <w:sz w:val="20"/>
          <w:szCs w:val="20"/>
          <w:color w:val="auto"/>
        </w:rPr>
      </w:pPr>
    </w:p>
    <w:p>
      <w:pPr>
        <w:jc w:val="both"/>
        <w:ind w:firstLine="656"/>
        <w:spacing w:after="0" w:line="248" w:lineRule="auto"/>
        <w:tabs>
          <w:tab w:leader="none" w:pos="103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performing its functions and duties hereunder and under the other Loan Documents, the Administrative Agent is acting solely on behalf of the Lenders and the Issuing Lenders (except in limited circumstances expressly provided for herein relating to the maintenance of the Register), and its duties are entirely mechanical and administrative in nature. Without limiting the generality of the foregoing:</w:t>
      </w:r>
    </w:p>
    <w:p>
      <w:pPr>
        <w:spacing w:after="0" w:line="181" w:lineRule="exact"/>
        <w:rPr>
          <w:rFonts w:ascii="Arial" w:cs="Arial" w:eastAsia="Arial" w:hAnsi="Arial"/>
          <w:sz w:val="18"/>
          <w:szCs w:val="18"/>
          <w:color w:val="auto"/>
        </w:rPr>
      </w:pPr>
    </w:p>
    <w:p>
      <w:pPr>
        <w:jc w:val="both"/>
        <w:ind w:left="1300" w:firstLine="652"/>
        <w:spacing w:after="0" w:line="238" w:lineRule="auto"/>
        <w:tabs>
          <w:tab w:leader="none" w:pos="2416"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Administrative Agent does not assume and shall not be deemed to have assumed any obligation or duty or any other relationship as the agent, fiduciary or trustee of or for any Lender or any Issuing Lender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191" w:lineRule="exact"/>
        <w:rPr>
          <w:rFonts w:ascii="Arial" w:cs="Arial" w:eastAsia="Arial" w:hAnsi="Arial"/>
          <w:sz w:val="18"/>
          <w:szCs w:val="18"/>
          <w:color w:val="auto"/>
        </w:rPr>
      </w:pPr>
    </w:p>
    <w:p>
      <w:pPr>
        <w:ind w:left="1300" w:firstLine="652"/>
        <w:spacing w:after="0" w:line="261" w:lineRule="auto"/>
        <w:tabs>
          <w:tab w:leader="none" w:pos="23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nothing in this Agreement or any Loan Document shall require the Administrative Agent to account to any Lender for any sum or the profit element of any sum received by the Administrative Agent for its own account;</w:t>
      </w:r>
    </w:p>
    <w:p>
      <w:pPr>
        <w:spacing w:after="0" w:line="170" w:lineRule="exact"/>
        <w:rPr>
          <w:rFonts w:ascii="Arial" w:cs="Arial" w:eastAsia="Arial" w:hAnsi="Arial"/>
          <w:sz w:val="18"/>
          <w:szCs w:val="18"/>
          <w:color w:val="auto"/>
        </w:rPr>
      </w:pPr>
    </w:p>
    <w:p>
      <w:pPr>
        <w:jc w:val="both"/>
        <w:ind w:firstLine="656"/>
        <w:spacing w:after="0" w:line="239" w:lineRule="auto"/>
        <w:tabs>
          <w:tab w:leader="none" w:pos="104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90" w:lineRule="exact"/>
        <w:rPr>
          <w:rFonts w:ascii="Arial" w:cs="Arial" w:eastAsia="Arial" w:hAnsi="Arial"/>
          <w:sz w:val="18"/>
          <w:szCs w:val="18"/>
          <w:color w:val="auto"/>
        </w:rPr>
      </w:pPr>
    </w:p>
    <w:p>
      <w:pPr>
        <w:ind w:right="120" w:firstLine="656"/>
        <w:spacing w:after="0" w:line="248" w:lineRule="auto"/>
        <w:tabs>
          <w:tab w:leader="none" w:pos="102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 Arranger, Co-Syndication Agent, or Co-Documentation Agent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81" w:lineRule="exact"/>
        <w:rPr>
          <w:rFonts w:ascii="Arial" w:cs="Arial" w:eastAsia="Arial" w:hAnsi="Arial"/>
          <w:sz w:val="18"/>
          <w:szCs w:val="18"/>
          <w:color w:val="auto"/>
        </w:rPr>
      </w:pPr>
    </w:p>
    <w:p>
      <w:pPr>
        <w:jc w:val="both"/>
        <w:ind w:firstLine="656"/>
        <w:spacing w:after="0" w:line="284" w:lineRule="auto"/>
        <w:tabs>
          <w:tab w:leader="none" w:pos="111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21" w:right="339" w:bottom="1440" w:gutter="0" w:footer="0" w:header="0"/>
        </w:sectPr>
      </w:pPr>
    </w:p>
    <w:bookmarkStart w:id="203" w:name="page204"/>
    <w:bookmarkEnd w:id="203"/>
    <w:p>
      <w:pPr>
        <w:jc w:val="both"/>
        <w:ind w:left="1300" w:firstLine="652"/>
        <w:spacing w:after="0" w:line="243" w:lineRule="auto"/>
        <w:tabs>
          <w:tab w:leader="none" w:pos="239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Lenders and the Administrative Agent (including any claim under </w:t>
      </w:r>
      <w:r>
        <w:rPr>
          <w:rFonts w:ascii="Arial" w:cs="Arial" w:eastAsia="Arial" w:hAnsi="Arial"/>
          <w:sz w:val="18"/>
          <w:szCs w:val="18"/>
          <w:u w:val="single" w:color="auto"/>
          <w:color w:val="auto"/>
        </w:rPr>
        <w:t>Sections 2.6</w:t>
      </w:r>
      <w:r>
        <w:rPr>
          <w:rFonts w:ascii="Arial" w:cs="Arial" w:eastAsia="Arial" w:hAnsi="Arial"/>
          <w:sz w:val="18"/>
          <w:szCs w:val="18"/>
          <w:color w:val="auto"/>
        </w:rPr>
        <w:t xml:space="preserve">, </w:t>
      </w:r>
      <w:r>
        <w:rPr>
          <w:rFonts w:ascii="Arial" w:cs="Arial" w:eastAsia="Arial" w:hAnsi="Arial"/>
          <w:sz w:val="18"/>
          <w:szCs w:val="18"/>
          <w:u w:val="single" w:color="auto"/>
          <w:color w:val="auto"/>
        </w:rPr>
        <w:t>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10.5</w:t>
      </w:r>
      <w:r>
        <w:rPr>
          <w:rFonts w:ascii="Arial" w:cs="Arial" w:eastAsia="Arial" w:hAnsi="Arial"/>
          <w:sz w:val="18"/>
          <w:szCs w:val="18"/>
          <w:color w:val="auto"/>
        </w:rPr>
        <w:t>) allowed in such judicial proceeding; and</w:t>
      </w:r>
    </w:p>
    <w:p>
      <w:pPr>
        <w:spacing w:after="0" w:line="187" w:lineRule="exact"/>
        <w:rPr>
          <w:rFonts w:ascii="Arial" w:cs="Arial" w:eastAsia="Arial" w:hAnsi="Arial"/>
          <w:sz w:val="18"/>
          <w:szCs w:val="18"/>
          <w:color w:val="auto"/>
        </w:rPr>
      </w:pPr>
    </w:p>
    <w:p>
      <w:pPr>
        <w:ind w:left="2380" w:hanging="428"/>
        <w:spacing w:after="0"/>
        <w:tabs>
          <w:tab w:leader="none" w:pos="23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to collect and receive any monies or other property payable or deliverable on any such claims and to distribute the same;</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and any custodian, receiver, assignee, trustee, liquidator, sequestrator or other similar official in any such proceeding is hereby authorized by each Lender and each Issuing Lender to make such payments to the Administrative Agent and, in the event that the Administrative Agent shall consent to the making of such payments directly to the Lenders or the Issuing Lenders, to pay to the Administrative Agent any amount due to it, in its capacity as the Administrative Agent, under the Loan Documents (including under </w:t>
      </w:r>
      <w:r>
        <w:rPr>
          <w:rFonts w:ascii="Arial" w:cs="Arial" w:eastAsia="Arial" w:hAnsi="Arial"/>
          <w:sz w:val="17"/>
          <w:szCs w:val="17"/>
          <w:u w:val="single" w:color="auto"/>
          <w:color w:val="auto"/>
        </w:rPr>
        <w:t>Section 10.5</w:t>
      </w:r>
      <w:r>
        <w:rPr>
          <w:rFonts w:ascii="Arial" w:cs="Arial" w:eastAsia="Arial" w:hAnsi="Arial"/>
          <w:sz w:val="17"/>
          <w:szCs w:val="17"/>
          <w:color w:val="auto"/>
        </w:rPr>
        <w:t>). Nothing contained herein shall be deemed to authorize the Administrative Agent to authorize or consent to or accept or adopt on behalf of any Lender or any Issuing Lender any plan of reorganization, arrangement, adjustment or composition affecting the Obligations or the rights of any Lender or any Issuing Lender or to authorize the Administrative Agent to vote in respect of the claim of any Lender or any Issuing Lender in any such proceeding.</w:t>
      </w:r>
    </w:p>
    <w:p>
      <w:pPr>
        <w:spacing w:after="0" w:line="180" w:lineRule="exact"/>
        <w:rPr>
          <w:sz w:val="20"/>
          <w:szCs w:val="20"/>
          <w:color w:val="auto"/>
        </w:rPr>
      </w:pPr>
    </w:p>
    <w:p>
      <w:pPr>
        <w:jc w:val="both"/>
        <w:ind w:right="20" w:firstLine="656"/>
        <w:spacing w:after="0" w:line="270" w:lineRule="auto"/>
        <w:tabs>
          <w:tab w:leader="none" w:pos="109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are solely for the benefit of the Administrative Agent, the Lenders and the Issuing Lenders,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w:t>
      </w:r>
    </w:p>
    <w:p>
      <w:pPr>
        <w:spacing w:after="0" w:line="16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Administrative Agent’s Reliance, Limitation of Liability, Etc.</w:t>
      </w:r>
      <w:r>
        <w:rPr>
          <w:rFonts w:ascii="Arial" w:cs="Arial" w:eastAsia="Arial" w:hAnsi="Arial"/>
          <w:sz w:val="17"/>
          <w:szCs w:val="17"/>
          <w:color w:val="auto"/>
        </w:rPr>
        <w:t>. (a)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spacing w:after="0" w:line="183" w:lineRule="exact"/>
        <w:rPr>
          <w:sz w:val="20"/>
          <w:szCs w:val="20"/>
          <w:color w:val="auto"/>
        </w:rPr>
      </w:pPr>
    </w:p>
    <w:p>
      <w:pPr>
        <w:jc w:val="both"/>
        <w:ind w:firstLine="656"/>
        <w:spacing w:after="0" w:line="269" w:lineRule="auto"/>
        <w:tabs>
          <w:tab w:leader="none" w:pos="113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The Administrative Agent shall be deemed not to have knowledge of any (i) notice of any of the events or circumstances set forth or described in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unless and until written notice thereof stating that it is a “notice under Section 6.7”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an Issuing Lender. Further, the Administrative Agent shall not be responsible for or have any duty to ascertain or inquire into (A) any statement, warranty or representation made in or in connection with any Loan Document, (B) the contents of any certificate, report or other document delivered thereunder or in connection therewith, (C) the performance or observance of any of the covenants, agreements or other terms or conditions set forth in any Loan Document or the occurrence of any Default or Event of Default, (D) the sufficiency, validity, enforceability, effectiveness or genuineness of any Loan Document or any other agreement, instrument or document, or (E) the satisfaction of any condition set forth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Notwithstanding anything herein to the contrary, the Administrative Agent shall not be liable for, or be responsible for any Liabilities, costs or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21" w:right="339" w:bottom="1440" w:gutter="0" w:footer="0" w:header="0"/>
        </w:sectPr>
      </w:pPr>
    </w:p>
    <w:bookmarkStart w:id="204" w:name="page205"/>
    <w:bookmarkEnd w:id="204"/>
    <w:p>
      <w:pPr>
        <w:jc w:val="both"/>
        <w:spacing w:after="0" w:line="248" w:lineRule="auto"/>
        <w:rPr>
          <w:sz w:val="20"/>
          <w:szCs w:val="20"/>
          <w:color w:val="auto"/>
        </w:rPr>
      </w:pPr>
      <w:r>
        <w:rPr>
          <w:rFonts w:ascii="Arial" w:cs="Arial" w:eastAsia="Arial" w:hAnsi="Arial"/>
          <w:sz w:val="18"/>
          <w:szCs w:val="18"/>
          <w:color w:val="auto"/>
        </w:rPr>
        <w:t xml:space="preserve">suffered by the Borrower, any Subsidiary, any Lender or any Issuing Lender as a result of, any determination of the </w:t>
      </w:r>
      <w:r>
        <w:rPr>
          <w:rFonts w:ascii="Arial" w:cs="Arial" w:eastAsia="Arial" w:hAnsi="Arial"/>
          <w:sz w:val="18"/>
          <w:szCs w:val="18"/>
          <w:u w:val="single" w:color="auto"/>
          <w:color w:val="0000FF"/>
          <w:highlight w:val="lightGray"/>
        </w:rPr>
        <w:t>Multicurrency Revolving Exposure or</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USD</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Revolving Exposure, any of the component amounts thereof or any portion thereof attributable to each Lender or Issuing Lender</w:t>
      </w:r>
      <w:r>
        <w:rPr>
          <w:rFonts w:ascii="Arial" w:cs="Arial" w:eastAsia="Arial" w:hAnsi="Arial"/>
          <w:sz w:val="18"/>
          <w:szCs w:val="18"/>
          <w:color w:val="0000FF"/>
          <w:highlight w:val="lightGray"/>
        </w:rPr>
        <w:t xml:space="preserve"> </w:t>
      </w:r>
      <w:r>
        <w:rPr>
          <w:rFonts w:ascii="Arial" w:cs="Arial" w:eastAsia="Arial" w:hAnsi="Arial"/>
          <w:sz w:val="18"/>
          <w:szCs w:val="18"/>
          <w:color w:val="0000FF"/>
        </w:rPr>
        <w:t>or any exchange rate</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or Dollar Equivalent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-269240</wp:posOffset>
            </wp:positionV>
            <wp:extent cx="97726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977265" cy="128905"/>
                    </a:xfrm>
                    <a:prstGeom prst="rect">
                      <a:avLst/>
                    </a:prstGeom>
                    <a:noFill/>
                  </pic:spPr>
                </pic:pic>
              </a:graphicData>
            </a:graphic>
          </wp:anchor>
        </w:drawing>
      </w:r>
    </w:p>
    <w:p>
      <w:pPr>
        <w:spacing w:after="0" w:line="162" w:lineRule="exact"/>
        <w:rPr>
          <w:sz w:val="20"/>
          <w:szCs w:val="20"/>
          <w:color w:val="auto"/>
        </w:rPr>
      </w:pPr>
    </w:p>
    <w:p>
      <w:pPr>
        <w:jc w:val="both"/>
        <w:ind w:firstLine="656"/>
        <w:spacing w:after="0" w:line="269" w:lineRule="auto"/>
        <w:tabs>
          <w:tab w:leader="none" w:pos="105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Without limiting the foregoing, the Administrative Agent (i) may treat the payee of any promissory note as its holder until such promissory note has been assigned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(ii) may rely on the Register to the extent set forth in </w:t>
      </w:r>
      <w:r>
        <w:rPr>
          <w:rFonts w:ascii="Arial" w:cs="Arial" w:eastAsia="Arial" w:hAnsi="Arial"/>
          <w:sz w:val="16"/>
          <w:szCs w:val="16"/>
          <w:u w:val="single" w:color="auto"/>
          <w:color w:val="auto"/>
        </w:rPr>
        <w:t>Section 10.6(b)</w:t>
      </w:r>
      <w:r>
        <w:rPr>
          <w:rFonts w:ascii="Arial" w:cs="Arial" w:eastAsia="Arial" w:hAnsi="Arial"/>
          <w:sz w:val="16"/>
          <w:szCs w:val="16"/>
          <w:color w:val="auto"/>
        </w:rPr>
        <w:t>,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Lender and shall not be responsible to any Lender or Issuing Lender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Lender, may presume that such condition is satisfactory to such Lender or Issuing Lender unless the Administrative Agent shall have received notice to the contrary from such Lender or Issuing Lender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Posting of Communications</w:t>
      </w:r>
      <w:r>
        <w:rPr>
          <w:rFonts w:ascii="Arial" w:cs="Arial" w:eastAsia="Arial" w:hAnsi="Arial"/>
          <w:sz w:val="17"/>
          <w:szCs w:val="17"/>
          <w:color w:val="auto"/>
        </w:rPr>
        <w:t>. (a) The Borrower agrees that the Administrative Agent may, but shall not be obligated to, make any Communications available to the Lenders and the Issuing Lenders by posting the Communications on IntraLinks™, DebtDomain, SyndTrak, ClearPar or any other electronic platform chosen by the Administrative Agent to be its electronic transmission system (the “</w:t>
      </w:r>
      <w:r>
        <w:rPr>
          <w:rFonts w:ascii="Arial" w:cs="Arial" w:eastAsia="Arial" w:hAnsi="Arial"/>
          <w:sz w:val="17"/>
          <w:szCs w:val="17"/>
          <w:u w:val="single" w:color="auto"/>
          <w:color w:val="auto"/>
        </w:rPr>
        <w:t>Approved Electronic Platform</w:t>
      </w:r>
      <w:r>
        <w:rPr>
          <w:rFonts w:ascii="Arial" w:cs="Arial" w:eastAsia="Arial" w:hAnsi="Arial"/>
          <w:sz w:val="17"/>
          <w:szCs w:val="17"/>
          <w:color w:val="auto"/>
        </w:rPr>
        <w:t>”).</w:t>
      </w:r>
    </w:p>
    <w:p>
      <w:pPr>
        <w:spacing w:after="0" w:line="164" w:lineRule="exact"/>
        <w:rPr>
          <w:sz w:val="20"/>
          <w:szCs w:val="20"/>
          <w:color w:val="auto"/>
        </w:rPr>
      </w:pPr>
    </w:p>
    <w:p>
      <w:pPr>
        <w:jc w:val="both"/>
        <w:ind w:firstLine="656"/>
        <w:spacing w:after="0" w:line="254" w:lineRule="auto"/>
        <w:tabs>
          <w:tab w:leader="none" w:pos="1147"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Lenders, each of the Issuing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Lenders and the Borrower hereby approves distribution of the Communications through the Approved Electronic Platform and understands and assumes the risks of such distribution.</w:t>
      </w:r>
    </w:p>
    <w:p>
      <w:pPr>
        <w:spacing w:after="0" w:line="180" w:lineRule="exact"/>
        <w:rPr>
          <w:rFonts w:ascii="Arial" w:cs="Arial" w:eastAsia="Arial" w:hAnsi="Arial"/>
          <w:sz w:val="17"/>
          <w:szCs w:val="17"/>
          <w:color w:val="auto"/>
        </w:rPr>
      </w:pPr>
    </w:p>
    <w:p>
      <w:pPr>
        <w:jc w:val="both"/>
        <w:ind w:firstLine="656"/>
        <w:spacing w:after="0" w:line="237" w:lineRule="auto"/>
        <w:tabs>
          <w:tab w:leader="none" w:pos="108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CO-SYNDICATION AGENT, ANY CO-DOCUMENTATION AGENT OR ANY OF THEIR RESPECTIVE RELATED PARTIES (COLLECTIVELY, “</w:t>
      </w:r>
      <w:r>
        <w:rPr>
          <w:rFonts w:ascii="Arial" w:cs="Arial" w:eastAsia="Arial" w:hAnsi="Arial"/>
          <w:sz w:val="18"/>
          <w:szCs w:val="18"/>
          <w:u w:val="single" w:color="auto"/>
          <w:color w:val="auto"/>
        </w:rPr>
        <w:t>APPLICABLE PARTIES</w:t>
      </w:r>
      <w:r>
        <w:rPr>
          <w:rFonts w:ascii="Arial" w:cs="Arial" w:eastAsia="Arial" w:hAnsi="Arial"/>
          <w:sz w:val="18"/>
          <w:szCs w:val="18"/>
          <w:color w:val="auto"/>
        </w:rPr>
        <w:t>”) HAVE ANY LIABILITY TO ANY LOAN PARTY, ANY LENDER, ANY ISSUING LENDER OR ANY OTHER PERSON OR ENTITY FOR DAMAGES OF ANY KIND ARISING OUT OF ANY LOAN PARTY’S OR THE ADMINISTRATIVE AGENT’S TRANSMISSION OF COMMUNICATIONS THROUGH THE INTERNET OR THE APPROVED ELECTRONIC PLATFORM, EXCEPT TO THE EXTENT THAT SUCH LIABILITIES ARE DETERMINED BY A COURT OF COMPETENT JURISDICTION BY A FINAL AND NON-APPEALABLE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21" w:right="339" w:bottom="1440" w:gutter="0" w:footer="0" w:header="0"/>
        </w:sectPr>
      </w:pPr>
    </w:p>
    <w:bookmarkStart w:id="205" w:name="page206"/>
    <w:bookmarkEnd w:id="205"/>
    <w:p>
      <w:pPr>
        <w:jc w:val="both"/>
        <w:spacing w:after="0" w:line="243" w:lineRule="auto"/>
        <w:rPr>
          <w:sz w:val="20"/>
          <w:szCs w:val="20"/>
          <w:color w:val="auto"/>
        </w:rPr>
      </w:pPr>
      <w:r>
        <w:rPr>
          <w:rFonts w:ascii="Arial" w:cs="Arial" w:eastAsia="Arial" w:hAnsi="Arial"/>
          <w:sz w:val="18"/>
          <w:szCs w:val="18"/>
          <w:color w:val="auto"/>
        </w:rPr>
        <w:t xml:space="preserve">JUDGMENT TO HAVE RESULTED FROM THE GROSS NEGLIGENCE, BAD FAITH OR WILLFUL MISCONDUCT OF SUCH APPLICABLE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ANY APPLICABLE PARTY HAVE ANY LIABILITY TO ANY LOAN PARTY, ANY LENDER, ANY ISSUING LENDER OR ANY OTHER PERSON OR ENTITY FOR INDIRECT, SPECIAL, INCIDENTAL, CONSEQUENTIAL OR PUNITIVE DAMAGES (AS OPPOSED TO DIRECT OR ACTUAL DAMAGES).</w:t>
      </w:r>
    </w:p>
    <w:p>
      <w:pPr>
        <w:spacing w:after="0" w:line="188" w:lineRule="exact"/>
        <w:rPr>
          <w:sz w:val="20"/>
          <w:szCs w:val="20"/>
          <w:color w:val="auto"/>
        </w:rPr>
      </w:pPr>
    </w:p>
    <w:p>
      <w:pPr>
        <w:jc w:val="both"/>
        <w:ind w:firstLine="656"/>
        <w:spacing w:after="0" w:line="269" w:lineRule="auto"/>
        <w:tabs>
          <w:tab w:leader="none" w:pos="1072" w:val="left"/>
        </w:tabs>
        <w:numPr>
          <w:ilvl w:val="1"/>
          <w:numId w:val="162"/>
        </w:numPr>
        <w:rPr>
          <w:rFonts w:ascii="Arial" w:cs="Arial" w:eastAsia="Arial" w:hAnsi="Arial"/>
          <w:sz w:val="16"/>
          <w:szCs w:val="16"/>
          <w:color w:val="auto"/>
        </w:rPr>
      </w:pPr>
      <w:r>
        <w:rPr>
          <w:rFonts w:ascii="Arial" w:cs="Arial" w:eastAsia="Arial" w:hAnsi="Arial"/>
          <w:sz w:val="16"/>
          <w:szCs w:val="16"/>
          <w:color w:val="auto"/>
        </w:rPr>
        <w:t>Each Lender and each Issuing Lender agrees that notice to it (as provided in the next sentence) specifying that Communications have been posted to the Approved Electronic Platform shall constitute effective delivery of the Communications to such Lender for purposes of the Loan Documents. Each Lender and Issuing Lender agrees (i) to notify the Administrative Agent in writing (which could be in the form of electronic communication) from time to time of such Lender’s or Issuing Lender’s (as applicable) email address to which the foregoing notice may be sent by electronic transmission and</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that the foregoing notice may be sent to such email address.</w:t>
      </w:r>
    </w:p>
    <w:p>
      <w:pPr>
        <w:spacing w:after="0" w:line="195" w:lineRule="exact"/>
        <w:rPr>
          <w:rFonts w:ascii="Arial" w:cs="Arial" w:eastAsia="Arial" w:hAnsi="Arial"/>
          <w:sz w:val="18"/>
          <w:szCs w:val="18"/>
          <w:color w:val="auto"/>
        </w:rPr>
      </w:pPr>
    </w:p>
    <w:p>
      <w:pPr>
        <w:jc w:val="both"/>
        <w:ind w:firstLine="656"/>
        <w:spacing w:after="0" w:line="248" w:lineRule="auto"/>
        <w:tabs>
          <w:tab w:leader="none" w:pos="103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Each of the Lenders, each of the Issuing Lenders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81" w:lineRule="exact"/>
        <w:rPr>
          <w:rFonts w:ascii="Arial" w:cs="Arial" w:eastAsia="Arial" w:hAnsi="Arial"/>
          <w:sz w:val="18"/>
          <w:szCs w:val="18"/>
          <w:color w:val="auto"/>
        </w:rPr>
      </w:pPr>
    </w:p>
    <w:p>
      <w:pPr>
        <w:ind w:right="20" w:firstLine="656"/>
        <w:spacing w:after="0" w:line="261" w:lineRule="auto"/>
        <w:tabs>
          <w:tab w:leader="none" w:pos="114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Nothing herein shall prejudice the right of the Administrative Agent, any Lender or any Issuing Lender to give any notice or other communication pursuant to any Loan Document in any other manner specified in such Loan Document.</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The Administrative Agent Individually</w:t>
      </w:r>
      <w:r>
        <w:rPr>
          <w:rFonts w:ascii="Arial" w:cs="Arial" w:eastAsia="Arial" w:hAnsi="Arial"/>
          <w:sz w:val="17"/>
          <w:szCs w:val="17"/>
          <w:color w:val="auto"/>
        </w:rPr>
        <w:t>. With respect to its Commitments, Loans, Letter of Credit Commitments and Letters of Credit, the Person serving as the Administrative Agent shall have and may exercise the same rights and powers hereunder and is subject to the same obligations and liabilities as and to the extent set forth herein for any other Lender or Issuing Lender, as the case may be. The terms “Issuing Lenders”, “Lenders”, “Required Lenders” and any similar terms shall, unless the context clearly otherwise indicates, include the Administrative Agent in its individual capacity as a Lender, Issuing Lender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Issuing Lenders.</w:t>
      </w:r>
    </w:p>
    <w:p>
      <w:pPr>
        <w:spacing w:after="0" w:line="18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Successor Administrative Agent</w:t>
      </w:r>
      <w:r>
        <w:rPr>
          <w:rFonts w:ascii="Arial" w:cs="Arial" w:eastAsia="Arial" w:hAnsi="Arial"/>
          <w:sz w:val="17"/>
          <w:szCs w:val="17"/>
          <w:color w:val="auto"/>
        </w:rPr>
        <w:t>. (a) The Administrative Agent may resign at any time by giving 30 days’ prior written notice thereof to the Lenders, the Issuing Lenders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Lenders,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80" w:lineRule="exact"/>
        <w:rPr>
          <w:sz w:val="20"/>
          <w:szCs w:val="20"/>
          <w:color w:val="auto"/>
        </w:rPr>
      </w:pPr>
    </w:p>
    <w:p>
      <w:pPr>
        <w:jc w:val="both"/>
        <w:ind w:firstLine="656"/>
        <w:spacing w:after="0" w:line="294" w:lineRule="auto"/>
        <w:tabs>
          <w:tab w:leader="none" w:pos="109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9.5</w:t>
      </w:r>
      <w:r>
        <w:rPr>
          <w:rFonts w:ascii="Arial" w:cs="Arial" w:eastAsia="Arial" w:hAnsi="Arial"/>
          <w:sz w:val="16"/>
          <w:szCs w:val="16"/>
          <w:color w:val="auto"/>
        </w:rPr>
        <w:t>,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Lenders and the Borrower, whereupon, on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21" w:right="339" w:bottom="1440" w:gutter="0" w:footer="0" w:header="0"/>
        </w:sectPr>
      </w:pPr>
    </w:p>
    <w:bookmarkStart w:id="206" w:name="page207"/>
    <w:bookmarkEnd w:id="206"/>
    <w:p>
      <w:pPr>
        <w:jc w:val="both"/>
        <w:spacing w:after="0" w:line="253" w:lineRule="auto"/>
        <w:rPr>
          <w:sz w:val="20"/>
          <w:szCs w:val="20"/>
          <w:color w:val="auto"/>
        </w:rPr>
      </w:pPr>
      <w:r>
        <w:rPr>
          <w:rFonts w:ascii="Arial" w:cs="Arial" w:eastAsia="Arial" w:hAnsi="Arial"/>
          <w:sz w:val="17"/>
          <w:szCs w:val="17"/>
          <w:color w:val="auto"/>
        </w:rPr>
        <w:t xml:space="preserve">effectiveness of such 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Lender. Following the effectiveness of the Administrative Agent’s resignation from its capacity as such, the provisions of this Article and </w:t>
      </w:r>
      <w:r>
        <w:rPr>
          <w:rFonts w:ascii="Arial" w:cs="Arial" w:eastAsia="Arial" w:hAnsi="Arial"/>
          <w:sz w:val="17"/>
          <w:szCs w:val="17"/>
          <w:u w:val="single" w:color="auto"/>
          <w:color w:val="auto"/>
        </w:rPr>
        <w:t>Section 10.5</w:t>
      </w:r>
      <w:r>
        <w:rPr>
          <w:rFonts w:ascii="Arial" w:cs="Arial" w:eastAsia="Arial" w:hAnsi="Arial"/>
          <w:sz w:val="17"/>
          <w:szCs w:val="17"/>
          <w:color w:val="auto"/>
        </w:rPr>
        <w:t>,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Acknowledgments of Lenders and Issuing Lenders</w:t>
      </w:r>
      <w:r>
        <w:rPr>
          <w:rFonts w:ascii="Arial" w:cs="Arial" w:eastAsia="Arial" w:hAnsi="Arial"/>
          <w:sz w:val="17"/>
          <w:szCs w:val="17"/>
          <w:color w:val="auto"/>
        </w:rPr>
        <w:t>. (a) Each Lender and each Issuing Lender represents and warrants that (i) the Loan Documents set forth the terms of a commercial lending facility, (ii) it is engaged in making, acquiring or holding commercial loans and in providing other facilities set forth herein as may be applicable to such Lender or Issuing Lender, in each case in the ordinary course of business, and not for the purpose of purchasing, acquiring or holding any other type of financial instrument (and each Lender and each Issuing Lender agrees not to assert a claim in contravention of the foregoing), (iii) it has, independently and without reliance upon the Administrative Agent, any Arranger, any Co-Syndication Agent, any Co-Documentation Agent or any other Lender or Issuing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Lender also acknowledges that it will, independently and without reliance upon the Administrative Agent, any Arranger, any Co-Syndication Agent, any Co-Documentation Agent or any other Lender or Issuing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5" w:lineRule="exact"/>
        <w:rPr>
          <w:sz w:val="20"/>
          <w:szCs w:val="20"/>
          <w:color w:val="auto"/>
        </w:rPr>
      </w:pPr>
    </w:p>
    <w:p>
      <w:pPr>
        <w:jc w:val="both"/>
        <w:ind w:firstLine="656"/>
        <w:spacing w:after="0" w:line="243" w:lineRule="auto"/>
        <w:tabs>
          <w:tab w:leader="none" w:pos="106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w:t>
      </w:r>
    </w:p>
    <w:p>
      <w:pPr>
        <w:spacing w:after="0" w:line="212" w:lineRule="exact"/>
        <w:rPr>
          <w:sz w:val="20"/>
          <w:szCs w:val="20"/>
          <w:color w:val="auto"/>
        </w:rPr>
      </w:pPr>
    </w:p>
    <w:p>
      <w:pPr>
        <w:jc w:val="both"/>
        <w:ind w:left="1300" w:firstLine="652"/>
        <w:spacing w:after="0" w:line="270" w:lineRule="auto"/>
        <w:tabs>
          <w:tab w:leader="none" w:pos="2256" w:val="left"/>
        </w:tabs>
        <w:numPr>
          <w:ilvl w:val="0"/>
          <w:numId w:val="166"/>
        </w:numPr>
        <w:rPr>
          <w:rFonts w:ascii="Arial" w:cs="Arial" w:eastAsia="Arial" w:hAnsi="Arial"/>
          <w:sz w:val="16"/>
          <w:szCs w:val="16"/>
          <w:color w:val="auto"/>
        </w:rPr>
      </w:pPr>
      <w:r>
        <w:rPr>
          <w:rFonts w:ascii="Arial" w:cs="Arial" w:eastAsia="Arial" w:hAnsi="Arial"/>
          <w:sz w:val="16"/>
          <w:szCs w:val="16"/>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6"/>
          <w:szCs w:val="16"/>
          <w:u w:val="single" w:color="auto"/>
          <w:color w:val="auto"/>
        </w:rPr>
        <w:t>Payment</w:t>
      </w:r>
      <w:r>
        <w:rPr>
          <w:rFonts w:ascii="Arial" w:cs="Arial" w:eastAsia="Arial" w:hAnsi="Arial"/>
          <w:sz w:val="16"/>
          <w:szCs w:val="16"/>
          <w:color w:val="auto"/>
        </w:rPr>
        <w:t>”) were erroneously transmitted to such Lender (whether or not known to such Lender), and demands in writing (email being sufficient)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21" w:right="339" w:bottom="1440" w:gutter="0" w:footer="0" w:header="0"/>
        </w:sectPr>
      </w:pPr>
    </w:p>
    <w:bookmarkStart w:id="207" w:name="page208"/>
    <w:bookmarkEnd w:id="207"/>
    <w:p>
      <w:pPr>
        <w:jc w:val="both"/>
        <w:ind w:left="1300"/>
        <w:spacing w:after="0" w:line="270" w:lineRule="auto"/>
        <w:rPr>
          <w:sz w:val="20"/>
          <w:szCs w:val="20"/>
          <w:color w:val="auto"/>
        </w:rPr>
      </w:pPr>
      <w:r>
        <w:rPr>
          <w:rFonts w:ascii="Arial" w:cs="Arial" w:eastAsia="Arial" w:hAnsi="Arial"/>
          <w:sz w:val="17"/>
          <w:szCs w:val="17"/>
          <w:color w:val="auto"/>
        </w:rPr>
        <w:t xml:space="preserve">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Arial" w:cs="Arial" w:eastAsia="Arial" w:hAnsi="Arial"/>
          <w:sz w:val="17"/>
          <w:szCs w:val="17"/>
          <w:u w:val="single" w:color="auto"/>
          <w:color w:val="auto"/>
        </w:rPr>
        <w:t>Section 9.6(c)</w:t>
      </w:r>
      <w:r>
        <w:rPr>
          <w:rFonts w:ascii="Arial" w:cs="Arial" w:eastAsia="Arial" w:hAnsi="Arial"/>
          <w:sz w:val="17"/>
          <w:szCs w:val="17"/>
          <w:color w:val="auto"/>
        </w:rPr>
        <w:t xml:space="preserve"> shall be conclusive, absent manifest error.</w:t>
      </w:r>
    </w:p>
    <w:p>
      <w:pPr>
        <w:spacing w:after="0" w:line="164" w:lineRule="exact"/>
        <w:rPr>
          <w:sz w:val="20"/>
          <w:szCs w:val="20"/>
          <w:color w:val="auto"/>
        </w:rPr>
      </w:pPr>
    </w:p>
    <w:p>
      <w:pPr>
        <w:jc w:val="both"/>
        <w:ind w:left="1300" w:firstLine="652"/>
        <w:spacing w:after="0" w:line="252" w:lineRule="auto"/>
        <w:tabs>
          <w:tab w:leader="none" w:pos="2397" w:val="left"/>
        </w:tabs>
        <w:numPr>
          <w:ilvl w:val="0"/>
          <w:numId w:val="167"/>
        </w:numPr>
        <w:rPr>
          <w:rFonts w:ascii="Arial" w:cs="Arial" w:eastAsia="Arial" w:hAnsi="Arial"/>
          <w:sz w:val="17"/>
          <w:szCs w:val="17"/>
          <w:color w:val="auto"/>
        </w:rPr>
      </w:pPr>
      <w:r>
        <w:rPr>
          <w:rFonts w:ascii="Arial" w:cs="Arial" w:eastAsia="Arial" w:hAnsi="Arial"/>
          <w:sz w:val="17"/>
          <w:szCs w:val="17"/>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7"/>
          <w:szCs w:val="17"/>
          <w:u w:val="single" w:color="auto"/>
          <w:color w:val="auto"/>
        </w:rPr>
        <w:t>Payment Notice</w:t>
      </w:r>
      <w:r>
        <w:rPr>
          <w:rFonts w:ascii="Arial" w:cs="Arial" w:eastAsia="Arial" w:hAnsi="Arial"/>
          <w:sz w:val="17"/>
          <w:szCs w:val="17"/>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85" w:lineRule="exact"/>
        <w:rPr>
          <w:rFonts w:ascii="Arial" w:cs="Arial" w:eastAsia="Arial" w:hAnsi="Arial"/>
          <w:sz w:val="17"/>
          <w:szCs w:val="17"/>
          <w:color w:val="auto"/>
        </w:rPr>
      </w:pPr>
    </w:p>
    <w:p>
      <w:pPr>
        <w:jc w:val="both"/>
        <w:ind w:left="1300" w:firstLine="652"/>
        <w:spacing w:after="0" w:line="262" w:lineRule="auto"/>
        <w:tabs>
          <w:tab w:leader="none" w:pos="237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w:t>
      </w:r>
    </w:p>
    <w:p>
      <w:pPr>
        <w:spacing w:after="0" w:line="172" w:lineRule="exact"/>
        <w:rPr>
          <w:rFonts w:ascii="Arial" w:cs="Arial" w:eastAsia="Arial" w:hAnsi="Arial"/>
          <w:sz w:val="17"/>
          <w:szCs w:val="17"/>
          <w:color w:val="auto"/>
        </w:rPr>
      </w:pPr>
    </w:p>
    <w:p>
      <w:pPr>
        <w:jc w:val="both"/>
        <w:ind w:left="1300" w:firstLine="652"/>
        <w:spacing w:after="0" w:line="248" w:lineRule="auto"/>
        <w:tabs>
          <w:tab w:leader="none" w:pos="238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9.6(c)</w:t>
      </w:r>
      <w:r>
        <w:rPr>
          <w:rFonts w:ascii="Arial" w:cs="Arial" w:eastAsia="Arial" w:hAnsi="Arial"/>
          <w:sz w:val="18"/>
          <w:szCs w:val="18"/>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81" w:lineRule="exact"/>
        <w:rPr>
          <w:rFonts w:ascii="Arial" w:cs="Arial" w:eastAsia="Arial" w:hAnsi="Arial"/>
          <w:sz w:val="18"/>
          <w:szCs w:val="18"/>
          <w:color w:val="auto"/>
        </w:rPr>
      </w:pPr>
    </w:p>
    <w:p>
      <w:pPr>
        <w:ind w:left="2360" w:hanging="408"/>
        <w:spacing w:after="0"/>
        <w:tabs>
          <w:tab w:leader="none" w:pos="23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Section 9.6(c)</w:t>
      </w:r>
      <w:r>
        <w:rPr>
          <w:rFonts w:ascii="Arial" w:cs="Arial" w:eastAsia="Arial" w:hAnsi="Arial"/>
          <w:sz w:val="18"/>
          <w:szCs w:val="18"/>
          <w:color w:val="auto"/>
        </w:rPr>
        <w:t>, the term “Lender” includes any Issuing Lender.</w:t>
      </w:r>
    </w:p>
    <w:p>
      <w:pPr>
        <w:spacing w:after="0" w:line="21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at least one of the following is and will be true:</w:t>
      </w:r>
    </w:p>
    <w:p>
      <w:pPr>
        <w:spacing w:after="0" w:line="188" w:lineRule="exact"/>
        <w:rPr>
          <w:sz w:val="20"/>
          <w:szCs w:val="20"/>
          <w:color w:val="auto"/>
        </w:rPr>
      </w:pPr>
    </w:p>
    <w:p>
      <w:pPr>
        <w:ind w:left="1300" w:firstLine="652"/>
        <w:spacing w:after="0" w:line="261" w:lineRule="auto"/>
        <w:tabs>
          <w:tab w:leader="none" w:pos="239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Loans, the Letters of Credit or the Commitments,</w:t>
      </w:r>
    </w:p>
    <w:p>
      <w:pPr>
        <w:spacing w:after="0" w:line="170" w:lineRule="exact"/>
        <w:rPr>
          <w:rFonts w:ascii="Arial" w:cs="Arial" w:eastAsia="Arial" w:hAnsi="Arial"/>
          <w:sz w:val="18"/>
          <w:szCs w:val="18"/>
          <w:color w:val="auto"/>
        </w:rPr>
      </w:pPr>
    </w:p>
    <w:p>
      <w:pPr>
        <w:jc w:val="both"/>
        <w:ind w:left="1300" w:firstLine="652"/>
        <w:spacing w:after="0" w:line="276" w:lineRule="auto"/>
        <w:tabs>
          <w:tab w:leader="none" w:pos="2422"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21" w:right="339" w:bottom="1440" w:gutter="0" w:footer="0" w:header="0"/>
        </w:sectPr>
      </w:pPr>
    </w:p>
    <w:bookmarkStart w:id="208" w:name="page209"/>
    <w:bookmarkEnd w:id="208"/>
    <w:p>
      <w:pPr>
        <w:jc w:val="both"/>
        <w:ind w:left="1300" w:firstLine="652"/>
        <w:spacing w:after="0" w:line="255" w:lineRule="auto"/>
        <w:tabs>
          <w:tab w:leader="none" w:pos="239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(1) such Lender is an investment fund managed by a “Qualified Professional Asset Manager” (within the meaning of Part VI of PTE 84-14), (2) such Qualified Professional Asset Manager made the investment decision on behalf of such Lender to enter into, participate in, administer and perform the Loans, the Letters of Credit, the Commitments and this Agreement, (3) the entrance into, participation in, administration of and performance of the Loans, the Letters of Credit, the Commitments and this Agreement satisfies the requirements of subsections (b) through (g) of Part I of PTE 84-14 and (4)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9" w:lineRule="exact"/>
        <w:rPr>
          <w:rFonts w:ascii="Arial" w:cs="Arial" w:eastAsia="Arial" w:hAnsi="Arial"/>
          <w:sz w:val="17"/>
          <w:szCs w:val="17"/>
          <w:color w:val="auto"/>
        </w:rPr>
      </w:pPr>
    </w:p>
    <w:p>
      <w:pPr>
        <w:ind w:left="1300" w:firstLine="652"/>
        <w:spacing w:after="0" w:line="261" w:lineRule="auto"/>
        <w:tabs>
          <w:tab w:leader="none" w:pos="2437" w:val="left"/>
        </w:tabs>
        <w:numPr>
          <w:ilvl w:val="1"/>
          <w:numId w:val="169"/>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jc w:val="both"/>
        <w:ind w:firstLine="850"/>
        <w:spacing w:after="0" w:line="238" w:lineRule="auto"/>
        <w:tabs>
          <w:tab w:leader="none" w:pos="129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In addition, unless </w:t>
      </w:r>
      <w:r>
        <w:rPr>
          <w:rFonts w:ascii="Arial" w:cs="Arial" w:eastAsia="Arial" w:hAnsi="Arial"/>
          <w:sz w:val="18"/>
          <w:szCs w:val="18"/>
          <w:u w:val="single" w:color="auto"/>
          <w:color w:val="auto"/>
        </w:rPr>
        <w:t>sub-clause (i)</w:t>
      </w:r>
      <w:r>
        <w:rPr>
          <w:rFonts w:ascii="Arial" w:cs="Arial" w:eastAsia="Arial" w:hAnsi="Arial"/>
          <w:sz w:val="18"/>
          <w:szCs w:val="18"/>
          <w:color w:val="auto"/>
        </w:rPr>
        <w:t xml:space="preserve"> in the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is true with respect to a Lender or such Lender has provided another representation, warranty and covenant as provided in </w:t>
      </w:r>
      <w:r>
        <w:rPr>
          <w:rFonts w:ascii="Arial" w:cs="Arial" w:eastAsia="Arial" w:hAnsi="Arial"/>
          <w:sz w:val="18"/>
          <w:szCs w:val="18"/>
          <w:u w:val="single" w:color="auto"/>
          <w:color w:val="auto"/>
        </w:rPr>
        <w:t>sub-clause (D)</w:t>
      </w:r>
      <w:r>
        <w:rPr>
          <w:rFonts w:ascii="Arial" w:cs="Arial" w:eastAsia="Arial" w:hAnsi="Arial"/>
          <w:sz w:val="18"/>
          <w:szCs w:val="18"/>
          <w:color w:val="auto"/>
        </w:rPr>
        <w:t xml:space="preserve"> in the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Loan Party, that none of the Administrative Agent, or any Arranger, any Co-Syndication Agent, any Co-Documentation Agent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93" w:lineRule="exact"/>
        <w:rPr>
          <w:rFonts w:ascii="Arial" w:cs="Arial" w:eastAsia="Arial" w:hAnsi="Arial"/>
          <w:sz w:val="18"/>
          <w:szCs w:val="18"/>
          <w:color w:val="auto"/>
        </w:rPr>
      </w:pPr>
    </w:p>
    <w:p>
      <w:pPr>
        <w:jc w:val="both"/>
        <w:ind w:firstLine="850"/>
        <w:spacing w:after="0" w:line="253" w:lineRule="auto"/>
        <w:tabs>
          <w:tab w:leader="none" w:pos="1232"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Administrative Agent, and each Arranger, Co-Syndication Agent and Co-Documentation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0" w:lineRule="exact"/>
        <w:rPr>
          <w:sz w:val="20"/>
          <w:szCs w:val="20"/>
          <w:color w:val="auto"/>
        </w:rPr>
      </w:pPr>
    </w:p>
    <w:p>
      <w:pPr>
        <w:ind w:right="100" w:firstLine="1296"/>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Secured Parties</w:t>
      </w:r>
      <w:r>
        <w:rPr>
          <w:rFonts w:ascii="Arial" w:cs="Arial" w:eastAsia="Arial" w:hAnsi="Arial"/>
          <w:sz w:val="18"/>
          <w:szCs w:val="18"/>
          <w:color w:val="auto"/>
        </w:rPr>
        <w:t>. By accepting the benefits of any collateral securing the Obligations, each Secured Party, whether or not a party hereto, shall be deemed to have appointed the Administrative Agent to serve as administrative agent and collateral agent under the Loan Documents and agreed to be bound by the Loan Documents as a Secured Party thereunder, subject to the limitations set forth in this paragraph. No document with respect to Cash Management Services or a Specified Swap Agreement will create (or be deemed to create) in favor of any Secured Party that is a party thereto any rights in connection with the management or release of any collateral securing the Obligations or of the obligations of any Loan Party under any Loan Document.</w:t>
      </w:r>
    </w:p>
    <w:p>
      <w:pPr>
        <w:spacing w:after="0" w:line="189"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7"/>
          <w:szCs w:val="17"/>
          <w:color w:val="auto"/>
        </w:rPr>
        <w:t>MISCELLANEOUS</w:t>
      </w:r>
    </w:p>
    <w:p>
      <w:pPr>
        <w:spacing w:after="0" w:line="21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Neither this Agreement, any other Loan Document, nor any terms hereof or thereof may be amended, supplemented or modified except in accordance with the provisions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The Required Lenders and each Loan Party to the relevant Loan Document may, or, with the written consent of the Required Lenders, the Administrative Agent and each Loan Party to the relevant Loan Document may, from time to time, (a)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(b) waive, on such terms and conditions as the Required Lenders or the Administrative Agent, as the case may be, may specify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21" w:right="339" w:bottom="1440" w:gutter="0" w:footer="0" w:header="0"/>
        </w:sectPr>
      </w:pPr>
    </w:p>
    <w:bookmarkStart w:id="209" w:name="page210"/>
    <w:bookmarkEnd w:id="209"/>
    <w:p>
      <w:pPr>
        <w:jc w:val="both"/>
        <w:spacing w:after="0" w:line="265" w:lineRule="auto"/>
        <w:rPr>
          <w:sz w:val="20"/>
          <w:szCs w:val="20"/>
          <w:color w:val="auto"/>
        </w:rPr>
      </w:pPr>
      <w:r>
        <w:rPr>
          <w:rFonts w:ascii="Arial" w:cs="Arial" w:eastAsia="Arial" w:hAnsi="Arial"/>
          <w:sz w:val="16"/>
          <w:szCs w:val="16"/>
          <w:color w:val="auto"/>
        </w:rPr>
        <w:t xml:space="preserve">such instrument, any of the requirements of this Agreement or the other Loan Documents or any Default or Event of Default and its consequences;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such waiver and no such amendment, supplement or modification shall: (i) forgive or reduce the principal amount or extend the final scheduled date of maturity of any Loan (except as provided in </w:t>
      </w:r>
      <w:r>
        <w:rPr>
          <w:rFonts w:ascii="Arial" w:cs="Arial" w:eastAsia="Arial" w:hAnsi="Arial"/>
          <w:sz w:val="16"/>
          <w:szCs w:val="16"/>
          <w:u w:val="single" w:color="auto"/>
          <w:color w:val="auto"/>
        </w:rPr>
        <w:t>Sections 2.23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2.24</w:t>
      </w:r>
      <w:r>
        <w:rPr>
          <w:rFonts w:ascii="Arial" w:cs="Arial" w:eastAsia="Arial" w:hAnsi="Arial"/>
          <w:sz w:val="16"/>
          <w:szCs w:val="16"/>
          <w:color w:val="auto"/>
        </w:rPr>
        <w:t xml:space="preserve">), reduce the stated rate of any interest or fee payable hereunder (except (x) in connection with the waiver of applicability of any post-default increase in interest rates (which waiver shall be effective with the consent of the Required Lenders and (y) that any amendment or modification of defined terms used in the financial covenants or the computation thereof in this Agreement shall not constitute a reduction in the rate of interest or fees for purposes of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extend the scheduled date of any payment thereof (excluding mandatory payments), or increase the amount or extend the expiration date of any Lender’s Commitment, in each case without the written consent of each Lender directly affected thereby; (ii) change any provision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the definition of “Required Lenders”, the definition of “Majority Facility Lenders” or any other provision hereof specifying the number or percentage of Lenders required to amend, waive or otherwise modify any rights hereunder or make any determination or grant any consent hereunder, without the written consent of each Lender directly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of this paragraph, the definition of the term “Required Lenders” and “Majority Facility Lenders” may be amended to include references to any new class of loans created under this Agreement in accordance with </w:t>
      </w:r>
      <w:r>
        <w:rPr>
          <w:rFonts w:ascii="Arial" w:cs="Arial" w:eastAsia="Arial" w:hAnsi="Arial"/>
          <w:sz w:val="16"/>
          <w:szCs w:val="16"/>
          <w:u w:val="single" w:color="auto"/>
          <w:color w:val="auto"/>
        </w:rPr>
        <w:t>Sections 2.21</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2.24</w:t>
      </w:r>
      <w:r>
        <w:rPr>
          <w:rFonts w:ascii="Arial" w:cs="Arial" w:eastAsia="Arial" w:hAnsi="Arial"/>
          <w:sz w:val="16"/>
          <w:szCs w:val="16"/>
          <w:color w:val="auto"/>
        </w:rPr>
        <w:t xml:space="preserve"> (or to lenders extending such loans); (iii) consent to the assignment or transfer by the Borrower of any of its rights and obligations under this Agreement and the other Loan Documents, release all or substantially all of the Subsidiary Guarantors from the Guarantee Agreement (except as provided in </w:t>
      </w:r>
      <w:r>
        <w:rPr>
          <w:rFonts w:ascii="Arial" w:cs="Arial" w:eastAsia="Arial" w:hAnsi="Arial"/>
          <w:sz w:val="16"/>
          <w:szCs w:val="16"/>
          <w:u w:val="single" w:color="auto"/>
          <w:color w:val="auto"/>
        </w:rPr>
        <w:t>Section 10.15</w:t>
      </w:r>
      <w:r>
        <w:rPr>
          <w:rFonts w:ascii="Arial" w:cs="Arial" w:eastAsia="Arial" w:hAnsi="Arial"/>
          <w:sz w:val="16"/>
          <w:szCs w:val="16"/>
          <w:color w:val="auto"/>
        </w:rPr>
        <w:t xml:space="preserve">) or release all or substantially all of the collateral required pursuant to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(except as otherwise provided in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or as provided in </w:t>
      </w:r>
      <w:r>
        <w:rPr>
          <w:rFonts w:ascii="Arial" w:cs="Arial" w:eastAsia="Arial" w:hAnsi="Arial"/>
          <w:sz w:val="16"/>
          <w:szCs w:val="16"/>
          <w:u w:val="single" w:color="auto"/>
          <w:color w:val="auto"/>
        </w:rPr>
        <w:t>Section 10.15</w:t>
      </w:r>
      <w:r>
        <w:rPr>
          <w:rFonts w:ascii="Arial" w:cs="Arial" w:eastAsia="Arial" w:hAnsi="Arial"/>
          <w:sz w:val="16"/>
          <w:szCs w:val="16"/>
          <w:color w:val="auto"/>
        </w:rPr>
        <w:t>), in each case, without the written consent of all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release of the Limited Equity Pledge shall only require the consent of the Required Lenders); (iv) amend, modify or waive any provision 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without the written consent of the Administrative Agent; (v) amend, modify or waive any provision of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without the written consent of each Issuing Lender; (vi) change </w:t>
      </w:r>
      <w:r>
        <w:rPr>
          <w:rFonts w:ascii="Arial" w:cs="Arial" w:eastAsia="Arial" w:hAnsi="Arial"/>
          <w:sz w:val="16"/>
          <w:szCs w:val="16"/>
          <w:u w:val="single" w:color="auto"/>
          <w:color w:val="auto"/>
        </w:rPr>
        <w:t>Section 2.15(a)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10.7(a)</w:t>
      </w:r>
      <w:r>
        <w:rPr>
          <w:rFonts w:ascii="Arial" w:cs="Arial" w:eastAsia="Arial" w:hAnsi="Arial"/>
          <w:sz w:val="16"/>
          <w:szCs w:val="16"/>
          <w:color w:val="auto"/>
        </w:rPr>
        <w:t xml:space="preserve"> in a manner that would alter the pro rata sharing of payments required thereby, without the written consent of each Lender affected thereby; (vii) amend, modify or waive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without the consent of the applicable Majority Facility Lenders of the affected Facility (provided that the foregoing shall not limit the ability of the Required Lenders to waive any Default or Event of Default or representation or warranty under the Loan Documents); </w:t>
      </w:r>
      <w:r>
        <w:rPr>
          <w:rFonts w:ascii="Arial" w:cs="Arial" w:eastAsia="Arial" w:hAnsi="Arial"/>
          <w:sz w:val="16"/>
          <w:szCs w:val="16"/>
          <w:color w:val="FF0000"/>
          <w:strike w:val="1"/>
        </w:rPr>
        <w:t>or</w:t>
      </w:r>
    </w:p>
    <w:p>
      <w:pPr>
        <w:spacing w:after="0" w:line="2" w:lineRule="exact"/>
        <w:rPr>
          <w:sz w:val="20"/>
          <w:szCs w:val="20"/>
          <w:color w:val="auto"/>
        </w:rPr>
      </w:pPr>
    </w:p>
    <w:p>
      <w:pPr>
        <w:jc w:val="both"/>
        <w:ind w:firstLine="8"/>
        <w:spacing w:after="0" w:line="236" w:lineRule="auto"/>
        <w:tabs>
          <w:tab w:leader="none" w:pos="4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subordinate the liens on all or substantially all of the collateral that secures the Obligations pursuant to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to any other Indebtedness for borrowed money (other than the Bridge Facilities) without the written consent of each Lender directly and adversely affected thereby </w:t>
      </w:r>
      <w:r>
        <w:rPr>
          <w:rFonts w:ascii="Arial" w:cs="Arial" w:eastAsia="Arial" w:hAnsi="Arial"/>
          <w:sz w:val="18"/>
          <w:szCs w:val="18"/>
          <w:color w:val="0000FF"/>
        </w:rPr>
        <w:t>or (ix) amend or</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modify the definitions of “Alternative Currency” or “Agreed Currency” without the written consent of each Multicurrency Revolving Lender and (to the extent an Issuing Lender is obligated to issue Letters of Credit in an Alternative Currency) each such Issuing Lender</w:t>
      </w:r>
      <w:r>
        <w:rPr>
          <w:rFonts w:ascii="Arial" w:cs="Arial" w:eastAsia="Arial" w:hAnsi="Arial"/>
          <w:sz w:val="18"/>
          <w:szCs w:val="18"/>
          <w:color w:val="000000"/>
        </w:rPr>
        <w:t>. Any such waiver and any such</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-1035050</wp:posOffset>
            </wp:positionV>
            <wp:extent cx="83121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831215" cy="128905"/>
                    </a:xfrm>
                    <a:prstGeom prst="rect">
                      <a:avLst/>
                    </a:prstGeom>
                    <a:noFill/>
                  </pic:spPr>
                </pic:pic>
              </a:graphicData>
            </a:graphic>
          </wp:anchor>
        </w:drawing>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w:t>
      </w:r>
      <w:r>
        <w:rPr>
          <w:rFonts w:ascii="Arial" w:cs="Arial" w:eastAsia="Arial" w:hAnsi="Arial"/>
          <w:sz w:val="17"/>
          <w:szCs w:val="17"/>
          <w:color w:val="auto"/>
        </w:rPr>
        <w:t>r, that (i) any fee letter may be amended, or rights or privileges thereunder waived, in a writing executed only by the parties thereto, (ii) the Administrative Agent may, with the consent of the Borrower only, amend, modify or supplement this Agreement or any other Loan Document to cure any ambiguity, omission, defect or inconsistency (as reasonably determined by the Administrative Agent) so long as the Lenders shall have received at least five Business Days’ prior written notice thereof and Administrative Agent shall not have received, within five Business Days of the date of such notice to the Lenders, a written notice from the Majority Facility Lenders stating that the Majority Facility Lenders object to such amendment and (iii) the Administrative Agent and the Borrower shall be permitted to amend any provision of any collateral documents to better implement the intentions of this Agreement and the other Loan Documents and to add collateral.</w:t>
      </w:r>
    </w:p>
    <w:p>
      <w:pPr>
        <w:spacing w:after="0" w:line="20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The Administrative Agent and the Borrower may (without the consent of any of the Lenders) amend any Loan Document to the extent (but only to the extent) necessary to reflect the existence and terms of any Incremental Commitments as contemplated by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and to reflect the extension of the Delayed Draw Term Loans, Revolving Commitments and Revolving Loans pursuant to </w:t>
      </w:r>
      <w:r>
        <w:rPr>
          <w:rFonts w:ascii="Arial" w:cs="Arial" w:eastAsia="Arial" w:hAnsi="Arial"/>
          <w:sz w:val="18"/>
          <w:szCs w:val="18"/>
          <w:u w:val="single" w:color="auto"/>
          <w:color w:val="auto"/>
        </w:rPr>
        <w:t>Sections 2.23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2.24</w:t>
      </w:r>
      <w:r>
        <w:rPr>
          <w:rFonts w:ascii="Arial" w:cs="Arial" w:eastAsia="Arial" w:hAnsi="Arial"/>
          <w:sz w:val="18"/>
          <w:szCs w:val="18"/>
          <w:color w:val="auto"/>
        </w:rPr>
        <w:t>, as applicable (in each case, including as may be necessary in order to establish new tranches or sub-tranches in respect of the Loans and/or Commitments and to make such technical amendments as may be necessary or appropriate in the reasonable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21" w:right="339" w:bottom="1440" w:gutter="0" w:footer="0" w:header="0"/>
        </w:sectPr>
      </w:pPr>
    </w:p>
    <w:bookmarkStart w:id="210" w:name="page211"/>
    <w:bookmarkEnd w:id="210"/>
    <w:p>
      <w:pPr>
        <w:spacing w:after="0" w:line="261" w:lineRule="auto"/>
        <w:rPr>
          <w:sz w:val="20"/>
          <w:szCs w:val="20"/>
          <w:color w:val="auto"/>
        </w:rPr>
      </w:pPr>
      <w:r>
        <w:rPr>
          <w:rFonts w:ascii="Arial" w:cs="Arial" w:eastAsia="Arial" w:hAnsi="Arial"/>
          <w:sz w:val="18"/>
          <w:szCs w:val="18"/>
          <w:color w:val="auto"/>
        </w:rPr>
        <w:t>of the Administrative Agent and the Borrower in connection therewith). Notwithstanding anything to the contrary contained herein, any such amendment shall become effective without any further consent of any other party to such Loan Document.</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12" w:lineRule="exact"/>
        <w:rPr>
          <w:sz w:val="20"/>
          <w:szCs w:val="20"/>
          <w:color w:val="auto"/>
        </w:rPr>
      </w:pPr>
    </w:p>
    <w:p>
      <w:pPr>
        <w:jc w:val="both"/>
        <w:ind w:firstLine="656"/>
        <w:spacing w:after="0" w:line="241" w:lineRule="auto"/>
        <w:tabs>
          <w:tab w:leader="none" w:pos="107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All notices, requests and demands to or upon the respective parties hereto to be effective shall be in writing (including by telecopy), and, unless otherwise expressly provided herein, shall be deemed to have been duly given or made when delivered, or three Business Days after being deposited in the mail, postage prepaid, or, in the case of telecopy notice, when received, addressed as follows in the case of the Borrower and the Administrative Agent, and as set forth in an Administrative Questionnaire delivered to the Administrative Agent in the case of the Lenders, or to such other address as may be hereafter notified by the respective parties hereto:</w:t>
      </w:r>
    </w:p>
    <w:p>
      <w:pPr>
        <w:spacing w:after="0" w:line="230" w:lineRule="exact"/>
        <w:rPr>
          <w:sz w:val="20"/>
          <w:szCs w:val="20"/>
          <w:color w:val="auto"/>
        </w:rPr>
      </w:pPr>
    </w:p>
    <w:p>
      <w:pPr>
        <w:ind w:left="620"/>
        <w:spacing w:after="0"/>
        <w:tabs>
          <w:tab w:leader="none" w:pos="4800" w:val="left"/>
        </w:tabs>
        <w:rPr>
          <w:sz w:val="20"/>
          <w:szCs w:val="20"/>
          <w:color w:val="auto"/>
        </w:rPr>
      </w:pPr>
      <w:r>
        <w:rPr>
          <w:rFonts w:ascii="Arial" w:cs="Arial" w:eastAsia="Arial" w:hAnsi="Arial"/>
          <w:sz w:val="18"/>
          <w:szCs w:val="18"/>
          <w:color w:val="auto"/>
        </w:rPr>
        <w:t>Borrower:</w:t>
      </w:r>
      <w:r>
        <w:rPr>
          <w:sz w:val="20"/>
          <w:szCs w:val="20"/>
          <w:color w:val="auto"/>
        </w:rPr>
        <w:tab/>
      </w:r>
      <w:r>
        <w:rPr>
          <w:rFonts w:ascii="Arial" w:cs="Arial" w:eastAsia="Arial" w:hAnsi="Arial"/>
          <w:sz w:val="18"/>
          <w:szCs w:val="18"/>
          <w:color w:val="auto"/>
        </w:rPr>
        <w:t>VICI Properties Inc.</w:t>
      </w:r>
    </w:p>
    <w:p>
      <w:pPr>
        <w:spacing w:after="0" w:line="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535 Madison Avenue,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ind w:left="4820"/>
        <w:spacing w:after="0"/>
        <w:rPr>
          <w:sz w:val="20"/>
          <w:szCs w:val="20"/>
          <w:color w:val="auto"/>
        </w:rPr>
      </w:pPr>
      <w:r>
        <w:rPr>
          <w:rFonts w:ascii="Arial" w:cs="Arial" w:eastAsia="Arial" w:hAnsi="Arial"/>
          <w:sz w:val="18"/>
          <w:szCs w:val="18"/>
          <w:color w:val="auto"/>
        </w:rPr>
        <w:t>New York, NY 10022</w:t>
      </w:r>
    </w:p>
    <w:p>
      <w:pPr>
        <w:spacing w:after="0" w:line="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Attention: Chief Financial Officer</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Email: debt@viciproperties.com</w:t>
      </w:r>
    </w:p>
    <w:p>
      <w:pPr>
        <w:spacing w:after="0" w:line="224" w:lineRule="exact"/>
        <w:rPr>
          <w:sz w:val="20"/>
          <w:szCs w:val="20"/>
          <w:color w:val="auto"/>
        </w:rPr>
      </w:pPr>
    </w:p>
    <w:p>
      <w:pPr>
        <w:ind w:left="620"/>
        <w:spacing w:after="0"/>
        <w:tabs>
          <w:tab w:leader="none" w:pos="480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6"/>
          <w:szCs w:val="16"/>
          <w:color w:val="auto"/>
        </w:rPr>
        <w:t>VICI Properties Inc.</w:t>
      </w:r>
    </w:p>
    <w:p>
      <w:pPr>
        <w:spacing w:after="0" w:line="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535 Madison Avenue,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ind w:left="4820"/>
        <w:spacing w:after="0"/>
        <w:rPr>
          <w:sz w:val="20"/>
          <w:szCs w:val="20"/>
          <w:color w:val="auto"/>
        </w:rPr>
      </w:pPr>
      <w:r>
        <w:rPr>
          <w:rFonts w:ascii="Arial" w:cs="Arial" w:eastAsia="Arial" w:hAnsi="Arial"/>
          <w:sz w:val="18"/>
          <w:szCs w:val="18"/>
          <w:color w:val="auto"/>
        </w:rPr>
        <w:t>New York, NY 10022</w:t>
      </w:r>
    </w:p>
    <w:p>
      <w:pPr>
        <w:spacing w:after="0" w:line="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Attention: Corporate Legal</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Email: corplaw@viciproperties.com</w:t>
      </w:r>
    </w:p>
    <w:p>
      <w:pPr>
        <w:spacing w:after="0" w:line="224" w:lineRule="exact"/>
        <w:rPr>
          <w:sz w:val="20"/>
          <w:szCs w:val="20"/>
          <w:color w:val="auto"/>
        </w:rPr>
      </w:pPr>
    </w:p>
    <w:p>
      <w:pPr>
        <w:ind w:left="4820" w:right="3980" w:hanging="4198"/>
        <w:spacing w:after="0" w:line="299" w:lineRule="auto"/>
        <w:tabs>
          <w:tab w:leader="none" w:pos="4800" w:val="left"/>
        </w:tabs>
        <w:rPr>
          <w:sz w:val="20"/>
          <w:szCs w:val="20"/>
          <w:color w:val="auto"/>
        </w:rPr>
      </w:pPr>
      <w:r>
        <w:rPr>
          <w:rFonts w:ascii="Arial" w:cs="Arial" w:eastAsia="Arial" w:hAnsi="Arial"/>
          <w:sz w:val="18"/>
          <w:szCs w:val="18"/>
          <w:color w:val="auto"/>
        </w:rPr>
        <w:t>Administrative Agent:</w:t>
      </w:r>
      <w:r>
        <w:rPr>
          <w:sz w:val="20"/>
          <w:szCs w:val="20"/>
          <w:color w:val="auto"/>
        </w:rPr>
        <w:tab/>
      </w:r>
      <w:r>
        <w:rPr>
          <w:rFonts w:ascii="Arial" w:cs="Arial" w:eastAsia="Arial" w:hAnsi="Arial"/>
          <w:sz w:val="16"/>
          <w:szCs w:val="16"/>
          <w:color w:val="auto"/>
        </w:rPr>
        <w:t>JPMorgan Chase Bank, N.A. Loan and Agency Services Group</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500 Stanton Christiana Road, NCC5/1st Floor</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Newark, DE 19713-2107</w:t>
      </w:r>
    </w:p>
    <w:p>
      <w:pPr>
        <w:spacing w:after="0" w:line="23" w:lineRule="exact"/>
        <w:rPr>
          <w:sz w:val="20"/>
          <w:szCs w:val="20"/>
          <w:color w:val="auto"/>
        </w:rPr>
      </w:pPr>
    </w:p>
    <w:p>
      <w:pPr>
        <w:ind w:left="4820"/>
        <w:spacing w:after="0"/>
        <w:tabs>
          <w:tab w:leader="none" w:pos="57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Benjamin D. Outten</w:t>
      </w:r>
    </w:p>
    <w:p>
      <w:pPr>
        <w:spacing w:after="0" w:line="23" w:lineRule="exact"/>
        <w:rPr>
          <w:sz w:val="20"/>
          <w:szCs w:val="20"/>
          <w:color w:val="auto"/>
        </w:rPr>
      </w:pPr>
    </w:p>
    <w:p>
      <w:pPr>
        <w:ind w:left="4820"/>
        <w:spacing w:after="0"/>
        <w:tabs>
          <w:tab w:leader="none" w:pos="54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benjamin.outten@chase.com</w:t>
      </w:r>
    </w:p>
    <w:p>
      <w:pPr>
        <w:spacing w:after="0" w:line="23" w:lineRule="exact"/>
        <w:rPr>
          <w:sz w:val="20"/>
          <w:szCs w:val="20"/>
          <w:color w:val="auto"/>
        </w:rPr>
      </w:pPr>
    </w:p>
    <w:p>
      <w:pPr>
        <w:ind w:left="4820"/>
        <w:spacing w:after="0"/>
        <w:tabs>
          <w:tab w:leader="none" w:pos="570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6"/>
          <w:szCs w:val="16"/>
          <w:color w:val="auto"/>
        </w:rPr>
        <w:t>12012443629@tls.ldsprod.com</w:t>
      </w:r>
    </w:p>
    <w:p>
      <w:pPr>
        <w:spacing w:after="0" w:line="23" w:lineRule="exact"/>
        <w:rPr>
          <w:sz w:val="20"/>
          <w:szCs w:val="20"/>
          <w:color w:val="auto"/>
        </w:rPr>
      </w:pPr>
    </w:p>
    <w:p>
      <w:pPr>
        <w:ind w:left="4820"/>
        <w:spacing w:after="0"/>
        <w:tabs>
          <w:tab w:leader="none" w:pos="57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(302) 634-8712</w:t>
      </w:r>
    </w:p>
    <w:p>
      <w:pPr>
        <w:spacing w:after="0" w:line="224" w:lineRule="exact"/>
        <w:rPr>
          <w:sz w:val="20"/>
          <w:szCs w:val="20"/>
          <w:color w:val="auto"/>
        </w:rPr>
      </w:pPr>
    </w:p>
    <w:p>
      <w:pPr>
        <w:ind w:left="4820" w:right="3980" w:hanging="4198"/>
        <w:spacing w:after="0" w:line="299" w:lineRule="auto"/>
        <w:tabs>
          <w:tab w:leader="none" w:pos="480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6"/>
          <w:szCs w:val="16"/>
          <w:color w:val="auto"/>
        </w:rPr>
        <w:t>JPMorgan Chase Bank, N.A. Loan and Agency Services Group</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500 Stanton Christiana Road, NCC5/1st Floor</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Newark, DE 19713-2107</w:t>
      </w:r>
    </w:p>
    <w:p>
      <w:pPr>
        <w:spacing w:after="0" w:line="23" w:lineRule="exact"/>
        <w:rPr>
          <w:sz w:val="20"/>
          <w:szCs w:val="20"/>
          <w:color w:val="auto"/>
        </w:rPr>
      </w:pPr>
    </w:p>
    <w:p>
      <w:pPr>
        <w:ind w:left="4820"/>
        <w:spacing w:after="0"/>
        <w:tabs>
          <w:tab w:leader="none" w:pos="57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Barbie Porter</w:t>
      </w:r>
    </w:p>
    <w:p>
      <w:pPr>
        <w:spacing w:after="0" w:line="23" w:lineRule="exact"/>
        <w:rPr>
          <w:sz w:val="20"/>
          <w:szCs w:val="20"/>
          <w:color w:val="auto"/>
        </w:rPr>
      </w:pPr>
    </w:p>
    <w:p>
      <w:pPr>
        <w:ind w:left="4820"/>
        <w:spacing w:after="0"/>
        <w:tabs>
          <w:tab w:leader="none" w:pos="54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barber.porter@chase.com</w:t>
      </w:r>
    </w:p>
    <w:p>
      <w:pPr>
        <w:spacing w:after="0" w:line="23" w:lineRule="exact"/>
        <w:rPr>
          <w:sz w:val="20"/>
          <w:szCs w:val="20"/>
          <w:color w:val="auto"/>
        </w:rPr>
      </w:pPr>
    </w:p>
    <w:p>
      <w:pPr>
        <w:ind w:left="4820"/>
        <w:spacing w:after="0"/>
        <w:tabs>
          <w:tab w:leader="none" w:pos="570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6"/>
          <w:szCs w:val="16"/>
          <w:color w:val="auto"/>
        </w:rPr>
        <w:t>12012443629@tls.ldsprod.com</w:t>
      </w:r>
    </w:p>
    <w:p>
      <w:pPr>
        <w:spacing w:after="0" w:line="305" w:lineRule="exact"/>
        <w:rPr>
          <w:sz w:val="20"/>
          <w:szCs w:val="20"/>
          <w:color w:val="auto"/>
        </w:rPr>
      </w:pPr>
    </w:p>
    <w:p>
      <w:pPr>
        <w:spacing w:after="0" w:line="291"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notice, request or demand to or upon the Administrative Agent or the Lenders shall not be effective until received and (ii) notices delivered through Approved Electronic Platforms, to the extent provided in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below, shall be effective as provided in said </w:t>
      </w:r>
      <w:r>
        <w:rPr>
          <w:rFonts w:ascii="Arial" w:cs="Arial" w:eastAsia="Arial" w:hAnsi="Arial"/>
          <w:sz w:val="17"/>
          <w:szCs w:val="17"/>
          <w:u w:val="single" w:color="auto"/>
          <w:color w:val="auto"/>
        </w:rPr>
        <w:t>paragraph (b)</w:t>
      </w:r>
      <w:r>
        <w:rPr>
          <w:rFonts w:ascii="Arial" w:cs="Arial" w:eastAsia="Arial" w:hAnsi="Arial"/>
          <w:sz w:val="17"/>
          <w:szCs w:val="17"/>
          <w:color w:val="auto"/>
        </w:rPr>
        <w:t>.</w:t>
      </w:r>
    </w:p>
    <w:p>
      <w:pPr>
        <w:spacing w:after="0" w:line="147" w:lineRule="exact"/>
        <w:rPr>
          <w:sz w:val="20"/>
          <w:szCs w:val="20"/>
          <w:color w:val="auto"/>
        </w:rPr>
      </w:pPr>
    </w:p>
    <w:p>
      <w:pPr>
        <w:jc w:val="both"/>
        <w:ind w:firstLine="656"/>
        <w:spacing w:after="0" w:line="294" w:lineRule="auto"/>
        <w:tabs>
          <w:tab w:leader="none" w:pos="1103"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to the Borrower, any Loan Party, the Lenders and the Issuing Lenders hereunder may be delivered or furnished by using Approved Electronic Platforms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unless otherwise agreed by the Administrative Agent and the applicable Lender. The Administrative Agent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21" w:right="339" w:bottom="1440" w:gutter="0" w:footer="0" w:header="0"/>
        </w:sectPr>
      </w:pPr>
    </w:p>
    <w:bookmarkStart w:id="211" w:name="page212"/>
    <w:bookmarkEnd w:id="211"/>
    <w:p>
      <w:pPr>
        <w:spacing w:after="0" w:line="261" w:lineRule="auto"/>
        <w:rPr>
          <w:sz w:val="20"/>
          <w:szCs w:val="20"/>
          <w:color w:val="auto"/>
        </w:rPr>
      </w:pPr>
      <w:r>
        <w:rPr>
          <w:rFonts w:ascii="Arial" w:cs="Arial" w:eastAsia="Arial" w:hAnsi="Arial"/>
          <w:sz w:val="18"/>
          <w:szCs w:val="18"/>
          <w:color w:val="auto"/>
        </w:rPr>
        <w:t xml:space="preserve">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that approval of such procedures may be limited to particular notices or communications.</w:t>
      </w:r>
    </w:p>
    <w:p>
      <w:pPr>
        <w:spacing w:after="0" w:line="171" w:lineRule="exact"/>
        <w:rPr>
          <w:sz w:val="20"/>
          <w:szCs w:val="20"/>
          <w:color w:val="auto"/>
        </w:rPr>
      </w:pPr>
    </w:p>
    <w:p>
      <w:pPr>
        <w:jc w:val="both"/>
        <w:ind w:firstLine="656"/>
        <w:spacing w:after="0" w:line="239" w:lineRule="auto"/>
        <w:tabs>
          <w:tab w:leader="none" w:pos="112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90" w:lineRule="exact"/>
        <w:rPr>
          <w:rFonts w:ascii="Arial" w:cs="Arial" w:eastAsia="Arial" w:hAnsi="Arial"/>
          <w:sz w:val="18"/>
          <w:szCs w:val="18"/>
          <w:color w:val="auto"/>
        </w:rPr>
      </w:pPr>
    </w:p>
    <w:p>
      <w:pPr>
        <w:ind w:left="1060" w:hanging="404"/>
        <w:spacing w:after="0"/>
        <w:tabs>
          <w:tab w:leader="none" w:pos="10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Any party hereto may change its address or telecopy number for notices and other communications hereunder by notice to the other parties</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1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No Waiver; Cumulative Remedies</w:t>
      </w:r>
      <w:r>
        <w:rPr>
          <w:rFonts w:ascii="Arial" w:cs="Arial" w:eastAsia="Arial" w:hAnsi="Arial"/>
          <w:sz w:val="17"/>
          <w:szCs w:val="17"/>
          <w:color w:val="auto"/>
        </w:rPr>
        <w:t xml:space="preserve">. No failure to exercise and no delay in exercising, on the part of the Administrative Agent, any Lender or any Issuing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 or otherwise available. No waiver of any provision of this Agreement or consent to any departure by the Borrower therefrom shall in any event be effective unless the same shall be permitted by </w:t>
      </w:r>
      <w:r>
        <w:rPr>
          <w:rFonts w:ascii="Arial" w:cs="Arial" w:eastAsia="Arial" w:hAnsi="Arial"/>
          <w:sz w:val="17"/>
          <w:szCs w:val="17"/>
          <w:u w:val="single" w:color="auto"/>
          <w:color w:val="auto"/>
        </w:rPr>
        <w:t>Section 10.1</w:t>
      </w:r>
      <w:r>
        <w:rPr>
          <w:rFonts w:ascii="Arial" w:cs="Arial" w:eastAsia="Arial" w:hAnsi="Arial"/>
          <w:sz w:val="17"/>
          <w:szCs w:val="17"/>
          <w:color w:val="auto"/>
        </w:rPr>
        <w:t>,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Lender may have had notice or knowledge of such Default at the time.</w:t>
      </w:r>
    </w:p>
    <w:p>
      <w:pPr>
        <w:spacing w:after="0" w:line="18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covenants, representations and warranties made by the Borrower hereunder, in the other Loan Documents and in any document, certificate or statement delivered pursuant hereto or in connection herewith shall be considered to have been relied upon by the other parties hereto and shall survive the execution and delivery of this Agreement and the making of the Loans and other extensions of credit hereunder, regardless of any investigation made by any such other party or on its behalf and notwithstanding that the Administrative Agent, any Issuing Lender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8"/>
          <w:szCs w:val="18"/>
          <w:u w:val="single" w:color="auto"/>
          <w:color w:val="auto"/>
        </w:rPr>
        <w:t>Sections 2.16</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18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u w:val="single" w:color="auto"/>
          <w:color w:val="auto"/>
        </w:rPr>
        <w:t>Expenses; Limitation of Liability; Indemnity, Etc.</w:t>
      </w:r>
      <w:r>
        <w:rPr>
          <w:rFonts w:ascii="Arial" w:cs="Arial" w:eastAsia="Arial" w:hAnsi="Arial"/>
          <w:sz w:val="16"/>
          <w:szCs w:val="16"/>
          <w:color w:val="auto"/>
        </w:rPr>
        <w:t>.</w:t>
      </w:r>
    </w:p>
    <w:p>
      <w:pPr>
        <w:spacing w:after="0" w:line="212" w:lineRule="exact"/>
        <w:rPr>
          <w:sz w:val="20"/>
          <w:szCs w:val="20"/>
          <w:color w:val="auto"/>
        </w:rPr>
      </w:pPr>
    </w:p>
    <w:p>
      <w:pPr>
        <w:jc w:val="both"/>
        <w:ind w:firstLine="656"/>
        <w:spacing w:after="0" w:line="253" w:lineRule="auto"/>
        <w:tabs>
          <w:tab w:leader="none" w:pos="1044"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Borrower shall pay (i) all reasonable out-of-pocket documented expenses incurred by the Administrative Agent, the Arrangers and their Affiliates (including the reasonable out-of-pocket documented fees, charges and disbursements of one primary counsel and, to the extent reasonably necessary, one local counsel in each applicable jurisdiction (which may be a single counsel acting in multiple jurisdictions) for the Administrative Agent and the Arrangers), in connection with the syndication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out-of-pocket documented expenses incurred by any Issuing Lender in connection with the issuance, amendment, renewal or extension of any Letter of Credit or any demand for payment thereunder and (iii) all out-of-pocket documented expenses incurred by the Administrative Agent, any Issuing Lender or any Lender (including the reasonable out-of-pocket documented fees, charges and disbursements of one primary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21" w:right="339" w:bottom="1440" w:gutter="0" w:footer="0" w:header="0"/>
        </w:sectPr>
      </w:pPr>
    </w:p>
    <w:bookmarkStart w:id="212" w:name="page213"/>
    <w:bookmarkEnd w:id="212"/>
    <w:p>
      <w:pPr>
        <w:jc w:val="both"/>
        <w:spacing w:after="0" w:line="279" w:lineRule="auto"/>
        <w:rPr>
          <w:sz w:val="20"/>
          <w:szCs w:val="20"/>
          <w:color w:val="auto"/>
        </w:rPr>
      </w:pPr>
      <w:r>
        <w:rPr>
          <w:rFonts w:ascii="Arial" w:cs="Arial" w:eastAsia="Arial" w:hAnsi="Arial"/>
          <w:sz w:val="16"/>
          <w:szCs w:val="16"/>
          <w:color w:val="auto"/>
        </w:rPr>
        <w:t xml:space="preserve">and, to the extent reasonably necessary, one local counsel in each applicable jurisdiction (which may be a single counsel acting in multiple jurisdictions) and, in the case of any actual or perceived conflict of interest, one additional counsel in each applicable jurisdiction for each such affected Person) for the Administrative Agent, any Issuing Lender or any Lender, in connection with the enforcement or protection of its rights in connection with this Agreement and the other Loan Documents, including its rights under this </w:t>
      </w:r>
      <w:r>
        <w:rPr>
          <w:rFonts w:ascii="Arial" w:cs="Arial" w:eastAsia="Arial" w:hAnsi="Arial"/>
          <w:sz w:val="16"/>
          <w:szCs w:val="16"/>
          <w:u w:val="single" w:color="auto"/>
          <w:color w:val="auto"/>
        </w:rPr>
        <w:t>Section 10.5</w:t>
      </w:r>
      <w:r>
        <w:rPr>
          <w:rFonts w:ascii="Arial" w:cs="Arial" w:eastAsia="Arial" w:hAnsi="Arial"/>
          <w:sz w:val="16"/>
          <w:szCs w:val="16"/>
          <w:color w:val="auto"/>
        </w:rPr>
        <w:t>, or in connection with the Loans made or Letters of Credit issued hereunder, including all such out-of-pocket expenses incurred during any workout, restructuring or negotiations in respect of such Loans or Letters of Credit.</w:t>
      </w:r>
    </w:p>
    <w:p>
      <w:pPr>
        <w:spacing w:after="0" w:line="159" w:lineRule="exact"/>
        <w:rPr>
          <w:sz w:val="20"/>
          <w:szCs w:val="20"/>
          <w:color w:val="auto"/>
        </w:rPr>
      </w:pPr>
    </w:p>
    <w:p>
      <w:pPr>
        <w:jc w:val="both"/>
        <w:ind w:firstLine="656"/>
        <w:spacing w:after="0" w:line="257" w:lineRule="auto"/>
        <w:tabs>
          <w:tab w:leader="none" w:pos="103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To the extent permitted by applicable law (i) the Borrower and any Loan Party shall not assert, and the Borrower and each Loan Party hereby waives, any claim against the Administrative Agent, any Arranger, any Co-Syndication Agent, any Co-Documentation Agent, any Issuing Lender and any Lender, and any Related Party of any of the foregoing Persons (each such Person being called a “</w:t>
      </w:r>
      <w:r>
        <w:rPr>
          <w:rFonts w:ascii="Arial" w:cs="Arial" w:eastAsia="Arial" w:hAnsi="Arial"/>
          <w:sz w:val="17"/>
          <w:szCs w:val="17"/>
          <w:u w:val="single" w:color="auto"/>
          <w:color w:val="auto"/>
        </w:rPr>
        <w:t>Lender-Related Person</w:t>
      </w:r>
      <w:r>
        <w:rPr>
          <w:rFonts w:ascii="Arial" w:cs="Arial" w:eastAsia="Arial" w:hAnsi="Arial"/>
          <w:sz w:val="17"/>
          <w:szCs w:val="17"/>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other than Liabilities resulting from the gross negligence, bad faith or willful misconduct of such Lender-Related Person as determined in a final and non-appealable judgment by a court of competent jurisdiction,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contemplated hereby or thereby, any Loan or Letter of Credit or the use of the proceeds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10.5(b)</w:t>
      </w:r>
      <w:r>
        <w:rPr>
          <w:rFonts w:ascii="Arial" w:cs="Arial" w:eastAsia="Arial" w:hAnsi="Arial"/>
          <w:sz w:val="17"/>
          <w:szCs w:val="17"/>
          <w:color w:val="auto"/>
        </w:rPr>
        <w:t xml:space="preserve"> shall relieve the Borrower and each Loan Party of any obligation it may have to indemnify an Indemnitee, as provided in </w:t>
      </w:r>
      <w:r>
        <w:rPr>
          <w:rFonts w:ascii="Arial" w:cs="Arial" w:eastAsia="Arial" w:hAnsi="Arial"/>
          <w:sz w:val="17"/>
          <w:szCs w:val="17"/>
          <w:u w:val="single" w:color="auto"/>
          <w:color w:val="auto"/>
        </w:rPr>
        <w:t>Section 10.5(c)</w:t>
      </w:r>
      <w:r>
        <w:rPr>
          <w:rFonts w:ascii="Arial" w:cs="Arial" w:eastAsia="Arial" w:hAnsi="Arial"/>
          <w:sz w:val="17"/>
          <w:szCs w:val="17"/>
          <w:color w:val="auto"/>
        </w:rPr>
        <w:t>, against any special, indirect, consequential or punitive damages asserted against such Indemnitee by a third party.</w:t>
      </w:r>
    </w:p>
    <w:p>
      <w:pPr>
        <w:spacing w:after="0" w:line="174" w:lineRule="exact"/>
        <w:rPr>
          <w:rFonts w:ascii="Arial" w:cs="Arial" w:eastAsia="Arial" w:hAnsi="Arial"/>
          <w:sz w:val="17"/>
          <w:szCs w:val="17"/>
          <w:color w:val="auto"/>
        </w:rPr>
      </w:pPr>
    </w:p>
    <w:p>
      <w:pPr>
        <w:jc w:val="both"/>
        <w:ind w:firstLine="656"/>
        <w:spacing w:after="0" w:line="266" w:lineRule="auto"/>
        <w:tabs>
          <w:tab w:leader="none" w:pos="107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Borrower shall indemnify the Administrative Agent, each Arranger, each Co-Syndication Agent, each Co-Documentation Agent, each Issuing Lender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Liabilities and expenses (including the reasonable out-of-pocket documented fees, charges and disbursements of one primary counsel and, to the extent reasonably necessary, one local counsel in each applicable jurisdiction (which may be a single counsel acting in multiple jurisdictions) and, in the case of any actual or perceived conflict of interest, one additional counsel in each applicable jurisdiction for each such affected Person) for any Indemnitee, incurred by or asserted against any Indemnitee arising out of, in connection with, or as a result of (i) the execution or delivery of this Agreement, any other Loan Document, or any agreement or instrument contemplated hereby or thereby, (ii) the performance by the parties hereto of their respective obligations hereunder or thereunder or the consummation of the transactions contemplated hereby, including the funding of the Facilities, the issuance of any Letter of Credit, and any other extension of credit hereunder, (iii) any action taken in connection with this Agreement, including but not limited to, the payment of principal, interest and fees, (iv) any Loan or Letter of Credit or the use or proposed use of the proceeds therefrom (including any refusal by an Issuing Lender to honor a demand for payment under a Letter of Credit if the documents presented in connection with such demand do not strictly comply with the terms of such Letter of Credit), (v) any actual or alleged presence or release of Materials of Environmental Concern on or from any property owned or operated by the Borrower or any of its Subsidiaries, or any Environmental Liability related in any way to the Borrower or any of its Subsidiaries, (vi) any act or omission of the Administrative Agent in connection with the administration of this Agreement, any other Loan Document, or any agreement or instrument contemplated hereby or thereby or (vii) any actual or prospective Proceeding relating to any of the foregoing (including in relation to enforcing the terms of the limitation of liability and indemnification referred to herein), whether or not such Proceeding is brought by the Borrower or any other Loan Party or its or their respective equity holders, Affiliates, creditors or any other third Person, whether or not any Indemnitee is a party thereto and whether based on contract, tort or any other theory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(i) to the extent that such Liabilities or expenses are determined by a court of competent jurisdiction by final and non-appealable judgment to have resulted primarily from the willful misconduct, bad faith or gross negligence of such Indemnitee or the material breach of any Loan Documents by such Indemnitee or (ii) in the case of a Proceeding solely among Indemnitees to the extent such Proceeding does not arise from any act or omission of the Borrower or any of its Subsidiaries (in each case other than any Proceeding against the Administrative Agent, any Arranger or any other Indemnitee in its similar capacity or role under any Facility), in each case, acting in such capacities or fulfilling such roles. This </w:t>
      </w:r>
      <w:r>
        <w:rPr>
          <w:rFonts w:ascii="Arial" w:cs="Arial" w:eastAsia="Arial" w:hAnsi="Arial"/>
          <w:sz w:val="16"/>
          <w:szCs w:val="16"/>
          <w:u w:val="single" w:color="auto"/>
          <w:color w:val="auto"/>
        </w:rPr>
        <w:t>Section 10.5(c)</w:t>
      </w:r>
      <w:r>
        <w:rPr>
          <w:rFonts w:ascii="Arial" w:cs="Arial" w:eastAsia="Arial" w:hAnsi="Arial"/>
          <w:sz w:val="16"/>
          <w:szCs w:val="16"/>
          <w:color w:val="auto"/>
        </w:rPr>
        <w:t xml:space="preserve"> shall not apply with respect to Taxes other than any Taxes that represent losses, claims or damages arising from any non-Tax claim and shall be without duplication of any matters addressed under </w:t>
      </w:r>
      <w:r>
        <w:rPr>
          <w:rFonts w:ascii="Arial" w:cs="Arial" w:eastAsia="Arial" w:hAnsi="Arial"/>
          <w:sz w:val="16"/>
          <w:szCs w:val="16"/>
          <w:u w:val="single" w:color="auto"/>
          <w:color w:val="auto"/>
        </w:rPr>
        <w:t>Sections 2.16</w:t>
      </w:r>
      <w:r>
        <w:rPr>
          <w:rFonts w:ascii="Arial" w:cs="Arial" w:eastAsia="Arial" w:hAnsi="Arial"/>
          <w:sz w:val="16"/>
          <w:szCs w:val="16"/>
          <w:color w:val="auto"/>
        </w:rPr>
        <w:t xml:space="preser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21" w:right="339" w:bottom="1440" w:gutter="0" w:footer="0" w:header="0"/>
        </w:sectPr>
      </w:pPr>
    </w:p>
    <w:bookmarkStart w:id="213" w:name="page214"/>
    <w:bookmarkEnd w:id="213"/>
    <w:p>
      <w:pPr>
        <w:jc w:val="both"/>
        <w:spacing w:after="0" w:line="243" w:lineRule="auto"/>
        <w:rPr>
          <w:sz w:val="20"/>
          <w:szCs w:val="20"/>
          <w:color w:val="auto"/>
        </w:rPr>
      </w:pPr>
      <w:r>
        <w:rPr>
          <w:rFonts w:ascii="Arial" w:cs="Arial" w:eastAsia="Arial" w:hAnsi="Arial"/>
          <w:sz w:val="18"/>
          <w:szCs w:val="18"/>
          <w:u w:val="single" w:color="auto"/>
          <w:color w:val="auto"/>
        </w:rPr>
        <w:t>2.17</w:t>
      </w:r>
      <w:r>
        <w:rPr>
          <w:rFonts w:ascii="Arial" w:cs="Arial" w:eastAsia="Arial" w:hAnsi="Arial"/>
          <w:sz w:val="18"/>
          <w:szCs w:val="18"/>
          <w:color w:val="auto"/>
        </w:rPr>
        <w:t>. Without limiting the foregoing, 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w:t>
      </w:r>
    </w:p>
    <w:p>
      <w:pPr>
        <w:spacing w:after="0" w:line="188" w:lineRule="exact"/>
        <w:rPr>
          <w:sz w:val="20"/>
          <w:szCs w:val="20"/>
          <w:color w:val="auto"/>
        </w:rPr>
      </w:pPr>
    </w:p>
    <w:p>
      <w:pPr>
        <w:jc w:val="both"/>
        <w:ind w:firstLine="656"/>
        <w:spacing w:after="0" w:line="268" w:lineRule="auto"/>
        <w:tabs>
          <w:tab w:leader="none" w:pos="1062"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Each Lender severally agrees to pay any amount required to be paid by the Borrower under </w:t>
      </w:r>
      <w:r>
        <w:rPr>
          <w:rFonts w:ascii="Arial" w:cs="Arial" w:eastAsia="Arial" w:hAnsi="Arial"/>
          <w:sz w:val="16"/>
          <w:szCs w:val="16"/>
          <w:u w:val="single" w:color="auto"/>
          <w:color w:val="auto"/>
        </w:rPr>
        <w:t>paragraphs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to the Administrative Agent, each Issuing Lender and each Related Party of any of the foregoing Persons (each, an “</w:t>
      </w:r>
      <w:r>
        <w:rPr>
          <w:rFonts w:ascii="Arial" w:cs="Arial" w:eastAsia="Arial" w:hAnsi="Arial"/>
          <w:sz w:val="16"/>
          <w:szCs w:val="16"/>
          <w:u w:val="single" w:color="auto"/>
          <w:color w:val="auto"/>
        </w:rPr>
        <w:t>Agent-Related Person</w:t>
      </w:r>
      <w:r>
        <w:rPr>
          <w:rFonts w:ascii="Arial" w:cs="Arial" w:eastAsia="Arial" w:hAnsi="Arial"/>
          <w:sz w:val="16"/>
          <w:szCs w:val="16"/>
          <w:color w:val="auto"/>
        </w:rPr>
        <w:t xml:space="preserve">”) (to the extent not reimbursed by the Borrower and without limiting the obligation of the Borrower to do so), ratably according to their respective Aggregate Exposure in effect on the date on which such payment is sought under this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(or, if such payment is sought after the date upon which the Commitments shall have terminated and the Loans shall have been paid in full, ratably in accordance with such Aggregate Exposure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Liability or related expense, as the case may be, was incurred by or asserted against such Agent-Related Person in its capacity as such;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shall survive the termination of this Agreement and the payment of the Loans and all other amounts payable hereunder.</w:t>
      </w:r>
    </w:p>
    <w:p>
      <w:pPr>
        <w:spacing w:after="0" w:line="174" w:lineRule="exact"/>
        <w:rPr>
          <w:rFonts w:ascii="Arial" w:cs="Arial" w:eastAsia="Arial" w:hAnsi="Arial"/>
          <w:sz w:val="16"/>
          <w:szCs w:val="16"/>
          <w:color w:val="auto"/>
        </w:rPr>
      </w:pPr>
    </w:p>
    <w:p>
      <w:pPr>
        <w:ind w:firstLine="656"/>
        <w:spacing w:after="0" w:line="261" w:lineRule="auto"/>
        <w:tabs>
          <w:tab w:leader="none" w:pos="110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All amounts due under this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shall be payable within ten (10) Business Days after written demand therefor and receipt of a reasonably detailed invoice.</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u w:val="single" w:color="auto"/>
          <w:color w:val="auto"/>
        </w:rPr>
        <w:t>Successors and Assigns; Participations and Assignments</w:t>
      </w:r>
      <w:r>
        <w:rPr>
          <w:rFonts w:ascii="Arial" w:cs="Arial" w:eastAsia="Arial" w:hAnsi="Arial"/>
          <w:sz w:val="15"/>
          <w:szCs w:val="15"/>
          <w:color w:val="auto"/>
        </w:rPr>
        <w:t>.</w:t>
      </w:r>
    </w:p>
    <w:p>
      <w:pPr>
        <w:spacing w:after="0" w:line="212" w:lineRule="exact"/>
        <w:rPr>
          <w:sz w:val="20"/>
          <w:szCs w:val="20"/>
          <w:color w:val="auto"/>
        </w:rPr>
      </w:pPr>
    </w:p>
    <w:p>
      <w:pPr>
        <w:jc w:val="both"/>
        <w:ind w:firstLine="656"/>
        <w:spacing w:after="0" w:line="272" w:lineRule="auto"/>
        <w:tabs>
          <w:tab w:leader="none" w:pos="1091"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parties hereto and their respective successors and assigns permitted hereby (including any Affiliate of an Issuing Lender that issues any Letter of Credit), except that (1) the Borrower may not assign or otherwise transfer any of its rights or obligations hereunder without the prior written consent of each Lender (and any attempted assignment or transfer by the Borrower without such consent shall be null and void) and (2) no Lender may assign or otherwise transfer its rights or obligations hereunder except in accordance with this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Nothing in this Agreement, expressed or implied, shall be construed to confer upon any Person (other than the parties hereto, their respective successors and assigns permitted hereby (including any Affiliate of an Issuing Lender that issues any Letter of Credit), Participants (to the extent provided in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10.6</w:t>
      </w:r>
      <w:r>
        <w:rPr>
          <w:rFonts w:ascii="Arial" w:cs="Arial" w:eastAsia="Arial" w:hAnsi="Arial"/>
          <w:sz w:val="16"/>
          <w:szCs w:val="16"/>
          <w:color w:val="auto"/>
        </w:rPr>
        <w:t>) and, to the extent expressly contemplated hereby, the Related Parties of each of the Administrative Agent, the Issuing Lenders and the Lenders) any legal or equitable right, remedy or claim under or by reason of this Agreement.</w:t>
      </w:r>
    </w:p>
    <w:p>
      <w:pPr>
        <w:spacing w:after="0" w:line="167" w:lineRule="exact"/>
        <w:rPr>
          <w:rFonts w:ascii="Arial" w:cs="Arial" w:eastAsia="Arial" w:hAnsi="Arial"/>
          <w:sz w:val="16"/>
          <w:szCs w:val="16"/>
          <w:color w:val="auto"/>
        </w:rPr>
      </w:pPr>
    </w:p>
    <w:p>
      <w:pPr>
        <w:jc w:val="both"/>
        <w:ind w:firstLine="656"/>
        <w:spacing w:after="0" w:line="243" w:lineRule="auto"/>
        <w:tabs>
          <w:tab w:leader="none" w:pos="106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(i) Subject to the conditions set forth in </w:t>
      </w:r>
      <w:r>
        <w:rPr>
          <w:rFonts w:ascii="Arial" w:cs="Arial" w:eastAsia="Arial" w:hAnsi="Arial"/>
          <w:sz w:val="18"/>
          <w:szCs w:val="18"/>
          <w:u w:val="single" w:color="auto"/>
          <w:color w:val="auto"/>
        </w:rPr>
        <w:t>paragraph (b)(ii)</w:t>
      </w:r>
      <w:r>
        <w:rPr>
          <w:rFonts w:ascii="Arial" w:cs="Arial" w:eastAsia="Arial" w:hAnsi="Arial"/>
          <w:sz w:val="18"/>
          <w:szCs w:val="18"/>
          <w:color w:val="auto"/>
        </w:rPr>
        <w:t xml:space="preserve"> below, any Lender may assign to one or more Persons that are Eligible Assignees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 participations in Letters of Credit and the Loans at the time owing to it) with the prior written consent (such consent not to be unreasonably withheld, conditioned or delayed) of:</w:t>
      </w:r>
    </w:p>
    <w:p>
      <w:pPr>
        <w:spacing w:after="0" w:line="187" w:lineRule="exact"/>
        <w:rPr>
          <w:rFonts w:ascii="Arial" w:cs="Arial" w:eastAsia="Arial" w:hAnsi="Arial"/>
          <w:sz w:val="18"/>
          <w:szCs w:val="18"/>
          <w:color w:val="auto"/>
        </w:rPr>
      </w:pPr>
    </w:p>
    <w:p>
      <w:pPr>
        <w:jc w:val="both"/>
        <w:ind w:left="1300" w:firstLine="652"/>
        <w:spacing w:after="0" w:line="262" w:lineRule="auto"/>
        <w:tabs>
          <w:tab w:leader="none" w:pos="2405" w:val="left"/>
        </w:tabs>
        <w:numPr>
          <w:ilvl w:val="1"/>
          <w:numId w:val="178"/>
        </w:numPr>
        <w:rPr>
          <w:rFonts w:ascii="Arial" w:cs="Arial" w:eastAsia="Arial" w:hAnsi="Arial"/>
          <w:sz w:val="17"/>
          <w:szCs w:val="17"/>
          <w:color w:val="auto"/>
        </w:rPr>
      </w:pPr>
      <w:r>
        <w:rPr>
          <w:rFonts w:ascii="Arial" w:cs="Arial" w:eastAsia="Arial" w:hAnsi="Arial"/>
          <w:sz w:val="17"/>
          <w:szCs w:val="17"/>
          <w:color w:val="auto"/>
        </w:rPr>
        <w:t xml:space="preserve">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Borrower shall be required for an assignment to a Lender, an affiliate of a Lender, an Approved Fund (as defined below) or, if an Event of Default has occurred and is continuing, any other Person that is an Eligible Assignee;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Borrower shall be deemed to have consented to an assignment unless it shall have objected thereto by written notice to the Administrative Agent within ten (10) Business Days after having received notice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21" w:right="339" w:bottom="1440" w:gutter="0" w:footer="0" w:header="0"/>
        </w:sectPr>
      </w:pPr>
    </w:p>
    <w:bookmarkStart w:id="214" w:name="page215"/>
    <w:bookmarkEnd w:id="214"/>
    <w:p>
      <w:pPr>
        <w:jc w:val="both"/>
        <w:ind w:left="1300" w:firstLine="652"/>
        <w:spacing w:after="0" w:line="294" w:lineRule="auto"/>
        <w:tabs>
          <w:tab w:leader="none" w:pos="2375" w:val="left"/>
        </w:tabs>
        <w:numPr>
          <w:ilvl w:val="2"/>
          <w:numId w:val="179"/>
        </w:numPr>
        <w:rPr>
          <w:rFonts w:ascii="Arial" w:cs="Arial" w:eastAsia="Arial" w:hAnsi="Arial"/>
          <w:sz w:val="16"/>
          <w:szCs w:val="16"/>
          <w:color w:val="auto"/>
        </w:rPr>
      </w:pPr>
      <w:r>
        <w:rPr>
          <w:rFonts w:ascii="Arial" w:cs="Arial" w:eastAsia="Arial" w:hAnsi="Arial"/>
          <w:sz w:val="16"/>
          <w:szCs w:val="16"/>
          <w:color w:val="auto"/>
        </w:rPr>
        <w:t xml:space="preserve">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Administrative Agent shall be required for an assignment of (i) all or any portion of a Delayed Draw Term Loan to a Lender, an Affiliate of a Lender or an Approved Fund or (ii) any Revolving Commitment to an assignee that is a Lender with a Revolving Commitment immediately prior to giving effect to such assignment; and</w:t>
      </w:r>
    </w:p>
    <w:p>
      <w:pPr>
        <w:spacing w:after="0" w:line="147" w:lineRule="exact"/>
        <w:rPr>
          <w:rFonts w:ascii="Arial" w:cs="Arial" w:eastAsia="Arial" w:hAnsi="Arial"/>
          <w:sz w:val="16"/>
          <w:szCs w:val="16"/>
          <w:color w:val="auto"/>
        </w:rPr>
      </w:pPr>
    </w:p>
    <w:p>
      <w:pPr>
        <w:ind w:left="2380" w:hanging="428"/>
        <w:spacing w:after="0"/>
        <w:tabs>
          <w:tab w:leader="none" w:pos="238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 xml:space="preserve">solely in the case of </w:t>
      </w:r>
      <w:r>
        <w:rPr>
          <w:rFonts w:ascii="Arial" w:cs="Arial" w:eastAsia="Arial" w:hAnsi="Arial"/>
          <w:sz w:val="18"/>
          <w:szCs w:val="18"/>
          <w:color w:val="FF0000"/>
          <w:strike w:val="1"/>
        </w:rPr>
        <w:t>the</w:t>
      </w:r>
      <w:r>
        <w:rPr>
          <w:rFonts w:ascii="Arial" w:cs="Arial" w:eastAsia="Arial" w:hAnsi="Arial"/>
          <w:sz w:val="18"/>
          <w:szCs w:val="18"/>
          <w:u w:val="single" w:color="auto"/>
          <w:color w:val="0000FF"/>
          <w:highlight w:val="lightGray"/>
        </w:rPr>
        <w:t>a</w:t>
      </w:r>
      <w:r>
        <w:rPr>
          <w:rFonts w:ascii="Arial" w:cs="Arial" w:eastAsia="Arial" w:hAnsi="Arial"/>
          <w:sz w:val="18"/>
          <w:szCs w:val="18"/>
          <w:color w:val="auto"/>
        </w:rPr>
        <w:t xml:space="preserve"> Revolving Facility, each Issuing Lender.</w:t>
      </w:r>
    </w:p>
    <w:p>
      <w:pPr>
        <w:spacing w:after="0" w:line="211" w:lineRule="exact"/>
        <w:rPr>
          <w:rFonts w:ascii="Arial" w:cs="Arial" w:eastAsia="Arial" w:hAnsi="Arial"/>
          <w:sz w:val="18"/>
          <w:szCs w:val="18"/>
          <w:color w:val="auto"/>
        </w:rPr>
      </w:pPr>
    </w:p>
    <w:p>
      <w:pPr>
        <w:ind w:left="1220" w:hanging="384"/>
        <w:spacing w:after="0"/>
        <w:tabs>
          <w:tab w:leader="none" w:pos="12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11" w:lineRule="exact"/>
        <w:rPr>
          <w:rFonts w:ascii="Arial" w:cs="Arial" w:eastAsia="Arial" w:hAnsi="Arial"/>
          <w:sz w:val="18"/>
          <w:szCs w:val="18"/>
          <w:color w:val="auto"/>
        </w:rPr>
      </w:pPr>
    </w:p>
    <w:p>
      <w:pPr>
        <w:jc w:val="both"/>
        <w:ind w:left="1300" w:firstLine="652"/>
        <w:spacing w:after="0" w:line="239" w:lineRule="auto"/>
        <w:tabs>
          <w:tab w:leader="none" w:pos="2432" w:val="left"/>
        </w:tabs>
        <w:numPr>
          <w:ilvl w:val="2"/>
          <w:numId w:val="180"/>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or an Affiliate of a Lender,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in the case of Revolving Loans and Revolving Commitments, $5,000,000 or, in the case of Delayed Draw Term Loans and Delayed Draw Term Commitments, $1,000,000 unless each of the Borrower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consent of the Borrower shall be required if an Event of Default has occurred and is continuing;</w:t>
      </w:r>
    </w:p>
    <w:p>
      <w:pPr>
        <w:spacing w:after="0" w:line="190" w:lineRule="exact"/>
        <w:rPr>
          <w:rFonts w:ascii="Arial" w:cs="Arial" w:eastAsia="Arial" w:hAnsi="Arial"/>
          <w:sz w:val="18"/>
          <w:szCs w:val="18"/>
          <w:color w:val="auto"/>
        </w:rPr>
      </w:pPr>
    </w:p>
    <w:p>
      <w:pPr>
        <w:jc w:val="both"/>
        <w:ind w:left="1300" w:firstLine="652"/>
        <w:spacing w:after="0" w:line="248" w:lineRule="auto"/>
        <w:tabs>
          <w:tab w:leader="none" w:pos="2423" w:val="left"/>
        </w:tabs>
        <w:numPr>
          <w:ilvl w:val="2"/>
          <w:numId w:val="180"/>
        </w:numPr>
        <w:rPr>
          <w:rFonts w:ascii="Arial" w:cs="Arial" w:eastAsia="Arial" w:hAnsi="Arial"/>
          <w:sz w:val="18"/>
          <w:szCs w:val="18"/>
          <w:color w:val="auto"/>
        </w:rPr>
      </w:pPr>
      <w:r>
        <w:rPr>
          <w:rFonts w:ascii="Arial" w:cs="Arial" w:eastAsia="Arial" w:hAnsi="Arial"/>
          <w:sz w:val="18"/>
          <w:szCs w:val="18"/>
          <w:color w:val="auto"/>
        </w:rPr>
        <w:t xml:space="preserve">each partial assignment shall be made as an assignment of a proportionate part of all the assigning Lender’s rights and 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shall not be construed to prohibit the assignment of a proportionate part of all the assigning Lender’s rights and obligations in respect of one Class of Commitments or Loans;</w:t>
      </w:r>
    </w:p>
    <w:p>
      <w:pPr>
        <w:spacing w:after="0" w:line="181" w:lineRule="exact"/>
        <w:rPr>
          <w:rFonts w:ascii="Arial" w:cs="Arial" w:eastAsia="Arial" w:hAnsi="Arial"/>
          <w:sz w:val="18"/>
          <w:szCs w:val="18"/>
          <w:color w:val="auto"/>
        </w:rPr>
      </w:pPr>
    </w:p>
    <w:p>
      <w:pPr>
        <w:ind w:left="2360" w:hanging="408"/>
        <w:spacing w:after="0"/>
        <w:tabs>
          <w:tab w:leader="none" w:pos="2360" w:val="left"/>
        </w:tabs>
        <w:numPr>
          <w:ilvl w:val="2"/>
          <w:numId w:val="180"/>
        </w:numPr>
        <w:rPr>
          <w:rFonts w:ascii="Arial" w:cs="Arial" w:eastAsia="Arial" w:hAnsi="Arial"/>
          <w:sz w:val="16"/>
          <w:szCs w:val="16"/>
          <w:color w:val="auto"/>
        </w:rPr>
      </w:pPr>
      <w:r>
        <w:rPr>
          <w:rFonts w:ascii="Arial" w:cs="Arial" w:eastAsia="Arial" w:hAnsi="Arial"/>
          <w:sz w:val="16"/>
          <w:szCs w:val="16"/>
          <w:color w:val="auto"/>
        </w:rPr>
        <w:t>the parties to each assignment shall execute and deliver to the Administrative Agent (x) an Assignment and Assumption or</w:t>
      </w:r>
    </w:p>
    <w:p>
      <w:pPr>
        <w:spacing w:after="0" w:line="34" w:lineRule="exact"/>
        <w:rPr>
          <w:rFonts w:ascii="Arial" w:cs="Arial" w:eastAsia="Arial" w:hAnsi="Arial"/>
          <w:sz w:val="16"/>
          <w:szCs w:val="16"/>
          <w:color w:val="auto"/>
        </w:rPr>
      </w:pPr>
    </w:p>
    <w:p>
      <w:pPr>
        <w:jc w:val="both"/>
        <w:ind w:left="1300" w:firstLine="4"/>
        <w:spacing w:after="0" w:line="239" w:lineRule="auto"/>
        <w:tabs>
          <w:tab w:leader="none" w:pos="1557"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spacing w:after="0" w:line="189" w:lineRule="exact"/>
        <w:rPr>
          <w:rFonts w:ascii="Arial" w:cs="Arial" w:eastAsia="Arial" w:hAnsi="Arial"/>
          <w:sz w:val="18"/>
          <w:szCs w:val="18"/>
          <w:color w:val="auto"/>
        </w:rPr>
      </w:pPr>
    </w:p>
    <w:p>
      <w:pPr>
        <w:ind w:left="2380" w:hanging="428"/>
        <w:spacing w:after="0"/>
        <w:tabs>
          <w:tab w:leader="none" w:pos="2380" w:val="left"/>
        </w:tabs>
        <w:numPr>
          <w:ilvl w:val="2"/>
          <w:numId w:val="181"/>
        </w:numPr>
        <w:rPr>
          <w:rFonts w:ascii="Arial" w:cs="Arial" w:eastAsia="Arial" w:hAnsi="Arial"/>
          <w:sz w:val="17"/>
          <w:szCs w:val="17"/>
          <w:color w:val="auto"/>
        </w:rPr>
      </w:pPr>
      <w:r>
        <w:rPr>
          <w:rFonts w:ascii="Arial" w:cs="Arial" w:eastAsia="Arial" w:hAnsi="Arial"/>
          <w:sz w:val="17"/>
          <w:szCs w:val="17"/>
          <w:color w:val="auto"/>
        </w:rPr>
        <w:t>the Assignee, if it shall not be a Lender, shall deliver to the Administrative Agent an Administrative Questionnaire.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Section 10.6(b)</w:t>
      </w:r>
      <w:r>
        <w:rPr>
          <w:rFonts w:ascii="Arial" w:cs="Arial" w:eastAsia="Arial" w:hAnsi="Arial"/>
          <w:sz w:val="18"/>
          <w:szCs w:val="18"/>
          <w:color w:val="auto"/>
        </w:rPr>
        <w:t>, the term “Approved Fund” has the following meaning:</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2" w:lineRule="exact"/>
        <w:rPr>
          <w:sz w:val="20"/>
          <w:szCs w:val="20"/>
          <w:color w:val="auto"/>
        </w:rPr>
      </w:pPr>
    </w:p>
    <w:p>
      <w:pPr>
        <w:jc w:val="both"/>
        <w:ind w:left="660" w:firstLine="193"/>
        <w:spacing w:after="0" w:line="272" w:lineRule="auto"/>
        <w:tabs>
          <w:tab w:leader="none" w:pos="1323"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pursuant to </w:t>
      </w:r>
      <w:r>
        <w:rPr>
          <w:rFonts w:ascii="Arial" w:cs="Arial" w:eastAsia="Arial" w:hAnsi="Arial"/>
          <w:sz w:val="16"/>
          <w:szCs w:val="16"/>
          <w:u w:val="single" w:color="auto"/>
          <w:color w:val="auto"/>
        </w:rPr>
        <w:t>paragraph (b)(iv)</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10.5</w:t>
      </w:r>
      <w:r>
        <w:rPr>
          <w:rFonts w:ascii="Arial" w:cs="Arial" w:eastAsia="Arial" w:hAnsi="Arial"/>
          <w:sz w:val="16"/>
          <w:szCs w:val="16"/>
          <w:color w:val="auto"/>
        </w:rPr>
        <w:t xml:space="preserve">). Any assignment or transfer by a Lender of rights or obligations under this Agreement that does not comply with this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10.6</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660" w:firstLine="197"/>
        <w:spacing w:after="0" w:line="248" w:lineRule="auto"/>
        <w:tabs>
          <w:tab w:leader="none" w:pos="131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21" w:right="339" w:bottom="1440" w:gutter="0" w:footer="0" w:header="0"/>
        </w:sectPr>
      </w:pPr>
    </w:p>
    <w:bookmarkStart w:id="215" w:name="page216"/>
    <w:bookmarkEnd w:id="215"/>
    <w:p>
      <w:pPr>
        <w:jc w:val="both"/>
        <w:ind w:left="660"/>
        <w:spacing w:after="0" w:line="241" w:lineRule="auto"/>
        <w:rPr>
          <w:sz w:val="20"/>
          <w:szCs w:val="20"/>
          <w:color w:val="auto"/>
        </w:rPr>
      </w:pPr>
      <w:r>
        <w:rPr>
          <w:rFonts w:ascii="Arial" w:cs="Arial" w:eastAsia="Arial" w:hAnsi="Arial"/>
          <w:sz w:val="18"/>
          <w:szCs w:val="18"/>
          <w:color w:val="auto"/>
        </w:rPr>
        <w:t>principal amount (and stated interest) of the Loans and L/C Disbursements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and the Borrower,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Lender and any Lender, at any reasonable time and from time to time upon reasonable prior notice.</w:t>
      </w:r>
    </w:p>
    <w:p>
      <w:pPr>
        <w:spacing w:after="0" w:line="189" w:lineRule="exact"/>
        <w:rPr>
          <w:sz w:val="20"/>
          <w:szCs w:val="20"/>
          <w:color w:val="auto"/>
        </w:rPr>
      </w:pPr>
    </w:p>
    <w:p>
      <w:pPr>
        <w:jc w:val="both"/>
        <w:ind w:left="660" w:firstLine="239"/>
        <w:spacing w:after="0" w:line="255" w:lineRule="auto"/>
        <w:tabs>
          <w:tab w:leader="none" w:pos="1356" w:val="left"/>
        </w:tabs>
        <w:numPr>
          <w:ilvl w:val="2"/>
          <w:numId w:val="183"/>
        </w:numPr>
        <w:rPr>
          <w:rFonts w:ascii="Arial" w:cs="Arial" w:eastAsia="Arial" w:hAnsi="Arial"/>
          <w:sz w:val="17"/>
          <w:szCs w:val="17"/>
          <w:color w:val="auto"/>
        </w:rPr>
      </w:pPr>
      <w:r>
        <w:rPr>
          <w:rFonts w:ascii="Arial" w:cs="Arial" w:eastAsia="Arial" w:hAnsi="Arial"/>
          <w:sz w:val="17"/>
          <w:szCs w:val="17"/>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and any written consent to such assignment required by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the Administrative Agent shall accept such Assignment and Assumption and record the information contained therein in the Register. No assignment shall be effective for purposes of this Agreement unless it has been recorded in the Register as provided in this </w:t>
      </w:r>
      <w:r>
        <w:rPr>
          <w:rFonts w:ascii="Arial" w:cs="Arial" w:eastAsia="Arial" w:hAnsi="Arial"/>
          <w:sz w:val="17"/>
          <w:szCs w:val="17"/>
          <w:u w:val="single" w:color="auto"/>
          <w:color w:val="auto"/>
        </w:rPr>
        <w:t>Section 10.6</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jc w:val="both"/>
        <w:ind w:firstLine="656"/>
        <w:spacing w:after="0" w:line="267" w:lineRule="auto"/>
        <w:tabs>
          <w:tab w:leader="none" w:pos="103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 Any Lender may, without the consent of, or notice to, the Borrower, the Administrative Agent or the Issuing Lenders, sell participations to one or more banks or other entities (other than the Borrower or its Subsidiaries or Affiliates or a natural person)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 and/or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such Lender’s obligations under this Agreement shall remain unchanged; (y) such Lender shall remain solely responsible to the other parties hereto for the performance of such obligations; and (z) the Borrower, the Administrative Agent, the Issuing Lenders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that affects such Participant. The Borrower agrees that each Participant shall be entitled to the benefits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2.18</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To the extent permitted by law, each Participant also shall be entitled to the benefits of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0" w:lineRule="exact"/>
        <w:rPr>
          <w:rFonts w:ascii="Arial" w:cs="Arial" w:eastAsia="Arial" w:hAnsi="Arial"/>
          <w:sz w:val="16"/>
          <w:szCs w:val="16"/>
          <w:color w:val="auto"/>
        </w:rPr>
      </w:pPr>
    </w:p>
    <w:p>
      <w:pPr>
        <w:jc w:val="both"/>
        <w:ind w:left="660" w:right="20" w:firstLine="179"/>
        <w:spacing w:after="0" w:line="241" w:lineRule="auto"/>
        <w:tabs>
          <w:tab w:leader="none" w:pos="1245"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Each Participant shall agree to be subject to the provisions of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as though it were a Lender. A Participant shall not be entitled to receive any greater payment under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than the applicable Lender would have been entitled to receive with respect to the participation sold to such Participant, except to the extent such entitlement to receive a greater payment results from a Change in Law that occurs after the Participant acquired the applicable participation or the sale of the participation to such Participant is made with the Borrower’s prior written consent, which consent specifically refers to this </w:t>
      </w:r>
      <w:r>
        <w:rPr>
          <w:rFonts w:ascii="Arial" w:cs="Arial" w:eastAsia="Arial" w:hAnsi="Arial"/>
          <w:sz w:val="18"/>
          <w:szCs w:val="18"/>
          <w:u w:val="single" w:color="auto"/>
          <w:color w:val="auto"/>
        </w:rPr>
        <w:t>Section 10.6(c)(ii)</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21" w:right="339" w:bottom="1440" w:gutter="0" w:footer="0" w:header="0"/>
        </w:sectPr>
      </w:pPr>
    </w:p>
    <w:bookmarkStart w:id="216" w:name="page217"/>
    <w:bookmarkEnd w:id="216"/>
    <w:p>
      <w:pPr>
        <w:jc w:val="both"/>
        <w:ind w:firstLine="656"/>
        <w:spacing w:after="0" w:line="243" w:lineRule="auto"/>
        <w:tabs>
          <w:tab w:leader="none" w:pos="104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pledge or assignment of a security interest shall release a Lender from any of its obligations hereunder or substitute any such pledgee or Assignee for such Lender as a party hereto.</w:t>
      </w:r>
    </w:p>
    <w:p>
      <w:pPr>
        <w:spacing w:after="0" w:line="187" w:lineRule="exact"/>
        <w:rPr>
          <w:rFonts w:ascii="Arial" w:cs="Arial" w:eastAsia="Arial" w:hAnsi="Arial"/>
          <w:sz w:val="18"/>
          <w:szCs w:val="18"/>
          <w:color w:val="auto"/>
        </w:rPr>
      </w:pPr>
    </w:p>
    <w:p>
      <w:pPr>
        <w:ind w:left="1060" w:hanging="404"/>
        <w:spacing w:after="0"/>
        <w:tabs>
          <w:tab w:leader="none" w:pos="10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If requested by any Lender, the Borrower shall execute and deliver a Note to such Lender, and, if requested, replacement Notes executed by</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Borrower.</w:t>
      </w:r>
    </w:p>
    <w:p>
      <w:pPr>
        <w:spacing w:after="0" w:line="195" w:lineRule="exact"/>
        <w:rPr>
          <w:rFonts w:ascii="Arial" w:cs="Arial" w:eastAsia="Arial" w:hAnsi="Arial"/>
          <w:sz w:val="16"/>
          <w:szCs w:val="16"/>
          <w:color w:val="auto"/>
        </w:rPr>
      </w:pPr>
    </w:p>
    <w:p>
      <w:pPr>
        <w:jc w:val="both"/>
        <w:ind w:firstLine="656"/>
        <w:spacing w:after="0" w:line="271" w:lineRule="auto"/>
        <w:tabs>
          <w:tab w:leader="none" w:pos="1008"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Disqualified Institutions</w:t>
      </w:r>
      <w:r>
        <w:rPr>
          <w:rFonts w:ascii="Arial" w:cs="Arial" w:eastAsia="Arial" w:hAnsi="Arial"/>
          <w:sz w:val="16"/>
          <w:szCs w:val="16"/>
          <w:color w:val="auto"/>
        </w:rPr>
        <w:t>. (i) No assignment or participation shall be made to any Person that was a Disqualified Institution as of the date (the “</w:t>
      </w:r>
      <w:r>
        <w:rPr>
          <w:rFonts w:ascii="Arial" w:cs="Arial" w:eastAsia="Arial" w:hAnsi="Arial"/>
          <w:sz w:val="16"/>
          <w:szCs w:val="16"/>
          <w:u w:val="single" w:color="auto"/>
          <w:color w:val="auto"/>
        </w:rPr>
        <w:t>Trade Date</w:t>
      </w:r>
      <w:r>
        <w:rPr>
          <w:rFonts w:ascii="Arial" w:cs="Arial" w:eastAsia="Arial" w:hAnsi="Arial"/>
          <w:sz w:val="16"/>
          <w:szCs w:val="16"/>
          <w:color w:val="auto"/>
        </w:rPr>
        <w:t xml:space="preserve">”) on which the assigning Lender entered into a binding agreement to sell and assign or grant a participation in all or a portion of its rights and obligations under this Agreement to such Person (unless the Borrower has consented to such assignment or participation in writing in its sole and absolute discretion, in which case such Person will not be considered a Disqualified Institution for the purpose of such assignment or participation). For the avoidance of doubt, with respect to any assignee or Participant that becomes a Disqualified Institution after the applicable Trade Date (including as a result of the delivery of a notice pursuant to, and/or the expiration of the notice period referred to in, the definition of “Disqualified Institution”), (x) such assignee or Participant shall not retroactively be disqualified from becoming a Lender or Participant and (y) the execution by the Borrower of an Assignment and Assumption with respect to such assignee will not by itself result in such assignee no longer being considered a Disqualified Institution. Any assignment or participation in violation of this </w:t>
      </w:r>
      <w:r>
        <w:rPr>
          <w:rFonts w:ascii="Arial" w:cs="Arial" w:eastAsia="Arial" w:hAnsi="Arial"/>
          <w:sz w:val="16"/>
          <w:szCs w:val="16"/>
          <w:u w:val="single" w:color="auto"/>
          <w:color w:val="auto"/>
        </w:rPr>
        <w:t>clause (f)(i)</w:t>
      </w:r>
      <w:r>
        <w:rPr>
          <w:rFonts w:ascii="Arial" w:cs="Arial" w:eastAsia="Arial" w:hAnsi="Arial"/>
          <w:sz w:val="16"/>
          <w:szCs w:val="16"/>
          <w:color w:val="auto"/>
        </w:rPr>
        <w:t xml:space="preserve"> shall not be void, but the other provisions of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shall apply.</w:t>
      </w:r>
    </w:p>
    <w:p>
      <w:pPr>
        <w:spacing w:after="0" w:line="168" w:lineRule="exact"/>
        <w:rPr>
          <w:rFonts w:ascii="Arial" w:cs="Arial" w:eastAsia="Arial" w:hAnsi="Arial"/>
          <w:sz w:val="16"/>
          <w:szCs w:val="16"/>
          <w:color w:val="auto"/>
        </w:rPr>
      </w:pPr>
    </w:p>
    <w:p>
      <w:pPr>
        <w:jc w:val="both"/>
        <w:ind w:left="660" w:firstLine="644"/>
        <w:spacing w:after="0" w:line="252" w:lineRule="auto"/>
        <w:tabs>
          <w:tab w:leader="none" w:pos="1737" w:val="left"/>
        </w:tabs>
        <w:numPr>
          <w:ilvl w:val="1"/>
          <w:numId w:val="185"/>
        </w:numPr>
        <w:rPr>
          <w:rFonts w:ascii="Arial" w:cs="Arial" w:eastAsia="Arial" w:hAnsi="Arial"/>
          <w:sz w:val="17"/>
          <w:szCs w:val="17"/>
          <w:color w:val="auto"/>
        </w:rPr>
      </w:pPr>
      <w:r>
        <w:rPr>
          <w:rFonts w:ascii="Arial" w:cs="Arial" w:eastAsia="Arial" w:hAnsi="Arial"/>
          <w:sz w:val="17"/>
          <w:szCs w:val="17"/>
          <w:color w:val="auto"/>
        </w:rPr>
        <w:t xml:space="preserve">If any assignment or participation is made to any Disqualified Institution without the Borrower’s prior written consent in violation of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or if any Person becomes a Disqualified Institution after the applicable Trade Date, the Borrower may, at its sole expense and effort, upon notice to the applicable Disqualified Institution and the Administrative Agent, (A) terminate any Revolving Commitment of such Disqualified Institution and repay all obligations of the Borrower owing to such Disqualified Institution in connection with such Revolving Commitment,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accrued interest, accrued fees and all other amounts payable to it hereunder, (B) terminate any Delayed Draw Term Commitment of such Disqualified Institution and repay all obligations of the Borrower owing to such Disqualified Institution in connection with such Delayed Draw Term Commitment,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accrued interest, accrued fees and all other amounts payable to it hereunder, (C) in the case of outstanding Delayed Draw Term Loans held by Disqualified Institutions, purchase or prepay such Delayed Draw Term Loans by paying the principal amount thereof plus accrued interest fees and other amounts payable to it hereunder and/or (D) require such Disqualified Institution to assign, without recourse (in accordance with and subject to the restrictions contained in this </w:t>
      </w:r>
      <w:r>
        <w:rPr>
          <w:rFonts w:ascii="Arial" w:cs="Arial" w:eastAsia="Arial" w:hAnsi="Arial"/>
          <w:sz w:val="17"/>
          <w:szCs w:val="17"/>
          <w:u w:val="single" w:color="auto"/>
          <w:color w:val="auto"/>
        </w:rPr>
        <w:t>Section 10.6</w:t>
      </w:r>
      <w:r>
        <w:rPr>
          <w:rFonts w:ascii="Arial" w:cs="Arial" w:eastAsia="Arial" w:hAnsi="Arial"/>
          <w:sz w:val="17"/>
          <w:szCs w:val="17"/>
          <w:color w:val="auto"/>
        </w:rPr>
        <w:t>), all of its interest, rights and obligations under this Agreement to one or more Eligible Assignees at the principal amount thereof plus accrued interest, accrued fees and all other amounts payable to it hereunder.</w:t>
      </w:r>
    </w:p>
    <w:p>
      <w:pPr>
        <w:spacing w:after="0" w:line="183" w:lineRule="exact"/>
        <w:rPr>
          <w:rFonts w:ascii="Arial" w:cs="Arial" w:eastAsia="Arial" w:hAnsi="Arial"/>
          <w:sz w:val="17"/>
          <w:szCs w:val="17"/>
          <w:color w:val="auto"/>
        </w:rPr>
      </w:pPr>
    </w:p>
    <w:p>
      <w:pPr>
        <w:jc w:val="both"/>
        <w:ind w:left="660" w:firstLine="644"/>
        <w:spacing w:after="0" w:line="254" w:lineRule="auto"/>
        <w:tabs>
          <w:tab w:leader="none" w:pos="1894" w:val="left"/>
        </w:tabs>
        <w:numPr>
          <w:ilvl w:val="1"/>
          <w:numId w:val="185"/>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Agreement, Disqualified Institutions to whom an assignment or participation is made in violation of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(A) will not (x) have the right to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w:t>
      </w:r>
    </w:p>
    <w:p>
      <w:pPr>
        <w:spacing w:after="0" w:line="180" w:lineRule="exact"/>
        <w:rPr>
          <w:rFonts w:ascii="Arial" w:cs="Arial" w:eastAsia="Arial" w:hAnsi="Arial"/>
          <w:sz w:val="17"/>
          <w:szCs w:val="17"/>
          <w:color w:val="auto"/>
        </w:rPr>
      </w:pPr>
    </w:p>
    <w:p>
      <w:pPr>
        <w:jc w:val="both"/>
        <w:ind w:left="660" w:firstLine="644"/>
        <w:spacing w:after="0" w:line="243" w:lineRule="auto"/>
        <w:tabs>
          <w:tab w:leader="none" w:pos="175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Administrative Agent shall have the right, and the Borrower hereby expressly authorizes the Administrative Agent, to (A) post the list of Disqualified Institutions provided by the Borrower and any updates thereto from time to time (collectively, the “</w:t>
      </w:r>
      <w:r>
        <w:rPr>
          <w:rFonts w:ascii="Arial" w:cs="Arial" w:eastAsia="Arial" w:hAnsi="Arial"/>
          <w:sz w:val="18"/>
          <w:szCs w:val="18"/>
          <w:u w:val="single" w:color="auto"/>
          <w:color w:val="auto"/>
        </w:rPr>
        <w:t>Disqualified Institution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List</w:t>
      </w:r>
      <w:r>
        <w:rPr>
          <w:rFonts w:ascii="Arial" w:cs="Arial" w:eastAsia="Arial" w:hAnsi="Arial"/>
          <w:sz w:val="18"/>
          <w:szCs w:val="18"/>
          <w:color w:val="auto"/>
        </w:rPr>
        <w:t>”) on an Approved Electronic Platform, including that portion of such Approved Electronic Platform that is designated for “public side” Lenders and/or (B) provide the Disqualified Institution List to each Lender requesting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21" w:right="339" w:bottom="1440" w:gutter="0" w:footer="0" w:header="0"/>
        </w:sectPr>
      </w:pPr>
    </w:p>
    <w:bookmarkStart w:id="217" w:name="page218"/>
    <w:bookmarkEnd w:id="217"/>
    <w:p>
      <w:pPr>
        <w:ind w:left="660"/>
        <w:spacing w:after="0"/>
        <w:tabs>
          <w:tab w:leader="none" w:pos="11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u w:val="single" w:color="auto"/>
          <w:color w:val="auto"/>
        </w:rPr>
        <w:t>Adjustments; Setoff</w:t>
      </w:r>
      <w:r>
        <w:rPr>
          <w:rFonts w:ascii="Arial" w:cs="Arial" w:eastAsia="Arial" w:hAnsi="Arial"/>
          <w:sz w:val="16"/>
          <w:szCs w:val="16"/>
          <w:color w:val="auto"/>
        </w:rPr>
        <w:t>.</w:t>
      </w:r>
    </w:p>
    <w:p>
      <w:pPr>
        <w:spacing w:after="0" w:line="212" w:lineRule="exact"/>
        <w:rPr>
          <w:sz w:val="20"/>
          <w:szCs w:val="20"/>
          <w:color w:val="auto"/>
        </w:rPr>
      </w:pPr>
    </w:p>
    <w:p>
      <w:pPr>
        <w:jc w:val="both"/>
        <w:ind w:firstLine="656"/>
        <w:spacing w:after="0" w:line="253" w:lineRule="auto"/>
        <w:tabs>
          <w:tab w:leader="none" w:pos="1084" w:val="left"/>
        </w:tabs>
        <w:numPr>
          <w:ilvl w:val="0"/>
          <w:numId w:val="186"/>
        </w:numPr>
        <w:rPr>
          <w:rFonts w:ascii="Arial" w:cs="Arial" w:eastAsia="Arial" w:hAnsi="Arial"/>
          <w:sz w:val="17"/>
          <w:szCs w:val="17"/>
          <w:color w:val="auto"/>
        </w:rPr>
      </w:pPr>
      <w:r>
        <w:rPr>
          <w:rFonts w:ascii="Arial" w:cs="Arial" w:eastAsia="Arial" w:hAnsi="Arial"/>
          <w:sz w:val="17"/>
          <w:szCs w:val="17"/>
          <w:color w:val="auto"/>
        </w:rPr>
        <w:t>Except to the extent that this Agreement expressly provides for payments to be allocated to a particular Lender or to the Lenders under a particular Facility, if any Lender (a “</w:t>
      </w:r>
      <w:r>
        <w:rPr>
          <w:rFonts w:ascii="Arial" w:cs="Arial" w:eastAsia="Arial" w:hAnsi="Arial"/>
          <w:sz w:val="17"/>
          <w:szCs w:val="17"/>
          <w:u w:val="single" w:color="auto"/>
          <w:color w:val="auto"/>
        </w:rPr>
        <w:t>Benefitted Lender</w:t>
      </w:r>
      <w:r>
        <w:rPr>
          <w:rFonts w:ascii="Arial" w:cs="Arial" w:eastAsia="Arial" w:hAnsi="Arial"/>
          <w:sz w:val="17"/>
          <w:szCs w:val="17"/>
          <w:color w:val="auto"/>
        </w:rPr>
        <w:t xml:space="preserve">”) shall receive any payment of all or part of the Obligations owing to it, or receive any collateral in respect thereof (whether voluntarily or involuntarily, by set-off, pursuant to events or proceedings of the nature referred to in </w:t>
      </w:r>
      <w:r>
        <w:rPr>
          <w:rFonts w:ascii="Arial" w:cs="Arial" w:eastAsia="Arial" w:hAnsi="Arial"/>
          <w:sz w:val="17"/>
          <w:szCs w:val="17"/>
          <w:u w:val="single" w:color="auto"/>
          <w:color w:val="auto"/>
        </w:rPr>
        <w:t>Section 8(f)</w:t>
      </w:r>
      <w:r>
        <w:rPr>
          <w:rFonts w:ascii="Arial" w:cs="Arial" w:eastAsia="Arial" w:hAnsi="Arial"/>
          <w:sz w:val="17"/>
          <w:szCs w:val="17"/>
          <w:color w:val="auto"/>
        </w:rPr>
        <w:t xml:space="preserve">,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83" w:lineRule="exact"/>
        <w:rPr>
          <w:rFonts w:ascii="Arial" w:cs="Arial" w:eastAsia="Arial" w:hAnsi="Arial"/>
          <w:sz w:val="17"/>
          <w:szCs w:val="17"/>
          <w:color w:val="auto"/>
        </w:rPr>
      </w:pPr>
    </w:p>
    <w:p>
      <w:pPr>
        <w:jc w:val="both"/>
        <w:ind w:firstLine="656"/>
        <w:spacing w:after="0" w:line="274" w:lineRule="auto"/>
        <w:tabs>
          <w:tab w:leader="none" w:pos="1044"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In addition to any rights and remedies of the Lenders provided by law, each Lender shall have the right, without prior notice to the Borrower, any such notice being expressly waived by the Borrower to the extent permitted by applicable law, upon any amount becoming due and payable by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agrees promptly to notify the Borrower and the Administrative Agent after any such setoff and application made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to give such notice shall not affect the validity of such setoff and application.</w:t>
      </w:r>
    </w:p>
    <w:p>
      <w:pPr>
        <w:spacing w:after="0" w:line="16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u w:val="single" w:color="auto"/>
          <w:color w:val="auto"/>
        </w:rPr>
        <w:t>Counterparts; Integration; Effectiveness; Electronic Execution</w:t>
      </w:r>
      <w:r>
        <w:rPr>
          <w:rFonts w:ascii="Arial" w:cs="Arial" w:eastAsia="Arial" w:hAnsi="Arial"/>
          <w:sz w:val="16"/>
          <w:szCs w:val="16"/>
          <w:color w:val="auto"/>
        </w:rPr>
        <w:t>.</w:t>
      </w:r>
    </w:p>
    <w:p>
      <w:pPr>
        <w:spacing w:after="0" w:line="212" w:lineRule="exact"/>
        <w:rPr>
          <w:sz w:val="20"/>
          <w:szCs w:val="20"/>
          <w:color w:val="auto"/>
        </w:rPr>
      </w:pPr>
    </w:p>
    <w:p>
      <w:pPr>
        <w:jc w:val="both"/>
        <w:ind w:firstLine="656"/>
        <w:spacing w:after="0" w:line="238" w:lineRule="auto"/>
        <w:tabs>
          <w:tab w:leader="none" w:pos="103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the reductions of the Letter of Credit Commitment of any Issuing Lender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93" w:lineRule="exact"/>
        <w:rPr>
          <w:rFonts w:ascii="Arial" w:cs="Arial" w:eastAsia="Arial" w:hAnsi="Arial"/>
          <w:sz w:val="18"/>
          <w:szCs w:val="18"/>
          <w:color w:val="auto"/>
        </w:rPr>
      </w:pPr>
    </w:p>
    <w:p>
      <w:pPr>
        <w:jc w:val="both"/>
        <w:ind w:firstLine="656"/>
        <w:spacing w:after="0" w:line="251" w:lineRule="auto"/>
        <w:tabs>
          <w:tab w:leader="none" w:pos="112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Delivery of an executed counterpart of a signature page of (x) this Agreement, (y) any other Loan Document and/or (z) any document, amendment, approval, consent, information, notice (including, for the avoidance of doubt, any notice delivered pursuant to </w:t>
      </w:r>
      <w:r>
        <w:rPr>
          <w:rFonts w:ascii="Arial" w:cs="Arial" w:eastAsia="Arial" w:hAnsi="Arial"/>
          <w:sz w:val="17"/>
          <w:szCs w:val="17"/>
          <w:u w:val="single" w:color="auto"/>
          <w:color w:val="auto"/>
        </w:rPr>
        <w:t>Section 10.2</w:t>
      </w:r>
      <w:r>
        <w:rPr>
          <w:rFonts w:ascii="Arial" w:cs="Arial" w:eastAsia="Arial" w:hAnsi="Arial"/>
          <w:sz w:val="17"/>
          <w:szCs w:val="17"/>
          <w:color w:val="auto"/>
        </w:rPr>
        <w:t>), certificate, request, statement, disclosure or authorization related to this Agreement, any other Loan Document and/or the transactions contemplated hereby and/or thereby (each, an “</w:t>
      </w:r>
      <w:r>
        <w:rPr>
          <w:rFonts w:ascii="Arial" w:cs="Arial" w:eastAsia="Arial" w:hAnsi="Arial"/>
          <w:sz w:val="17"/>
          <w:szCs w:val="17"/>
          <w:u w:val="single" w:color="auto"/>
          <w:color w:val="auto"/>
        </w:rPr>
        <w:t>Ancillary Document</w:t>
      </w:r>
      <w:r>
        <w:rPr>
          <w:rFonts w:ascii="Arial" w:cs="Arial" w:eastAsia="Arial" w:hAnsi="Arial"/>
          <w:sz w:val="17"/>
          <w:szCs w:val="17"/>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require the Administrative Agent to accept Electronic Signatures in any form or format without its prior written consent and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21" w:right="339" w:bottom="1440" w:gutter="0" w:footer="0" w:header="0"/>
        </w:sectPr>
      </w:pPr>
    </w:p>
    <w:bookmarkStart w:id="218" w:name="page219"/>
    <w:bookmarkEnd w:id="218"/>
    <w:p>
      <w:pPr>
        <w:jc w:val="both"/>
        <w:spacing w:after="0" w:line="251" w:lineRule="auto"/>
        <w:rPr>
          <w:sz w:val="20"/>
          <w:szCs w:val="20"/>
          <w:color w:val="auto"/>
        </w:rPr>
      </w:pPr>
      <w:r>
        <w:rPr>
          <w:rFonts w:ascii="Arial" w:cs="Arial" w:eastAsia="Arial" w:hAnsi="Arial"/>
          <w:sz w:val="17"/>
          <w:szCs w:val="17"/>
          <w:color w:val="auto"/>
        </w:rPr>
        <w:t>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(A) agrees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No Fiduciary Duty, Etc.</w:t>
      </w:r>
      <w:r>
        <w:rPr>
          <w:rFonts w:ascii="Arial" w:cs="Arial" w:eastAsia="Arial" w:hAnsi="Arial"/>
          <w:sz w:val="16"/>
          <w:szCs w:val="16"/>
          <w:color w:val="auto"/>
        </w:rPr>
        <w:t>. (a) 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 with respect thereto.</w:t>
      </w:r>
    </w:p>
    <w:p>
      <w:pPr>
        <w:spacing w:after="0" w:line="169" w:lineRule="exact"/>
        <w:rPr>
          <w:sz w:val="20"/>
          <w:szCs w:val="20"/>
          <w:color w:val="auto"/>
        </w:rPr>
      </w:pPr>
    </w:p>
    <w:p>
      <w:pPr>
        <w:jc w:val="both"/>
        <w:ind w:firstLine="656"/>
        <w:spacing w:after="0" w:line="255" w:lineRule="auto"/>
        <w:tabs>
          <w:tab w:leader="none" w:pos="107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79" w:lineRule="exact"/>
        <w:rPr>
          <w:rFonts w:ascii="Arial" w:cs="Arial" w:eastAsia="Arial" w:hAnsi="Arial"/>
          <w:sz w:val="17"/>
          <w:szCs w:val="17"/>
          <w:color w:val="auto"/>
        </w:rPr>
      </w:pPr>
    </w:p>
    <w:p>
      <w:pPr>
        <w:jc w:val="both"/>
        <w:ind w:firstLine="656"/>
        <w:spacing w:after="0"/>
        <w:tabs>
          <w:tab w:leader="none" w:pos="115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21" w:right="339" w:bottom="1440" w:gutter="0" w:footer="0" w:header="0"/>
        </w:sectPr>
      </w:pPr>
    </w:p>
    <w:bookmarkStart w:id="219" w:name="page220"/>
    <w:bookmarkEnd w:id="219"/>
    <w:p>
      <w:pPr>
        <w:spacing w:after="0" w:line="261" w:lineRule="auto"/>
        <w:rPr>
          <w:sz w:val="20"/>
          <w:szCs w:val="20"/>
          <w:color w:val="auto"/>
        </w:rPr>
      </w:pPr>
      <w:r>
        <w:rPr>
          <w:rFonts w:ascii="Arial" w:cs="Arial" w:eastAsia="Arial" w:hAnsi="Arial"/>
          <w:sz w:val="18"/>
          <w:szCs w:val="18"/>
          <w:color w:val="auto"/>
        </w:rPr>
        <w:t>acknowledges that no Credit Party has any obligation to use in connection with the transactions contemplated by the Loan Documents, or to furnish to the Borrower, confidential information obtained from other companies.</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7"/>
          <w:szCs w:val="17"/>
          <w:color w:val="auto"/>
        </w:rPr>
        <w:t xml:space="preserve">10.12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RIGHTS AND OBLIGATIONS OF THE PARTIES UNDER THIS AGREEMENT SHALL BE GOVERNED BY, AND CONSTRUED AND INTERPRETED IN ACCORDANCE WITH, THE LAW OF THE STATE OF NEW YORK.</w:t>
      </w:r>
    </w:p>
    <w:p>
      <w:pPr>
        <w:spacing w:after="0" w:line="14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 The Borrower hereby irrevocably and unconditionally:</w:t>
      </w:r>
    </w:p>
    <w:p>
      <w:pPr>
        <w:spacing w:after="0" w:line="212" w:lineRule="exact"/>
        <w:rPr>
          <w:sz w:val="20"/>
          <w:szCs w:val="20"/>
          <w:color w:val="auto"/>
        </w:rPr>
      </w:pPr>
    </w:p>
    <w:p>
      <w:pPr>
        <w:jc w:val="both"/>
        <w:ind w:firstLine="656"/>
        <w:spacing w:after="0" w:line="254" w:lineRule="auto"/>
        <w:tabs>
          <w:tab w:leader="none" w:pos="1082" w:val="left"/>
        </w:tabs>
        <w:numPr>
          <w:ilvl w:val="0"/>
          <w:numId w:val="189"/>
        </w:numPr>
        <w:rPr>
          <w:rFonts w:ascii="Arial" w:cs="Arial" w:eastAsia="Arial" w:hAnsi="Arial"/>
          <w:sz w:val="17"/>
          <w:szCs w:val="17"/>
          <w:color w:val="auto"/>
        </w:rPr>
      </w:pPr>
      <w:r>
        <w:rPr>
          <w:rFonts w:ascii="Arial" w:cs="Arial" w:eastAsia="Arial" w:hAnsi="Arial"/>
          <w:sz w:val="17"/>
          <w:szCs w:val="17"/>
          <w:color w:val="auto"/>
        </w:rPr>
        <w:t>submits, for itself and its property,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and agrees that a final judgment in any such action or proceeding shall be conclusive and may be enforced in other jurisdictions by suit on the judgment or in any other manner provided by law;</w:t>
      </w:r>
    </w:p>
    <w:p>
      <w:pPr>
        <w:spacing w:after="0" w:line="180" w:lineRule="exact"/>
        <w:rPr>
          <w:rFonts w:ascii="Arial" w:cs="Arial" w:eastAsia="Arial" w:hAnsi="Arial"/>
          <w:sz w:val="17"/>
          <w:szCs w:val="17"/>
          <w:color w:val="auto"/>
        </w:rPr>
      </w:pPr>
    </w:p>
    <w:p>
      <w:pPr>
        <w:jc w:val="both"/>
        <w:ind w:firstLine="656"/>
        <w:spacing w:after="0" w:line="248" w:lineRule="auto"/>
        <w:tabs>
          <w:tab w:leader="none" w:pos="104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jc w:val="both"/>
        <w:ind w:firstLine="656"/>
        <w:spacing w:after="0" w:line="248" w:lineRule="auto"/>
        <w:tabs>
          <w:tab w:leader="none" w:pos="105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may be effected by mailing a copy thereof by registered or certified mail (or any substantially similar form of mail), postage prepaid, to the Borrower, as the case may be at its address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or at such other address of which the Administrative Agent shall have been notified pursuant thereto;</w:t>
      </w:r>
    </w:p>
    <w:p>
      <w:pPr>
        <w:spacing w:after="0" w:line="181" w:lineRule="exact"/>
        <w:rPr>
          <w:rFonts w:ascii="Arial" w:cs="Arial" w:eastAsia="Arial" w:hAnsi="Arial"/>
          <w:sz w:val="18"/>
          <w:szCs w:val="18"/>
          <w:color w:val="auto"/>
        </w:rPr>
      </w:pPr>
    </w:p>
    <w:p>
      <w:pPr>
        <w:ind w:right="20" w:firstLine="656"/>
        <w:spacing w:after="0" w:line="261" w:lineRule="auto"/>
        <w:tabs>
          <w:tab w:leader="none" w:pos="104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w:t>
      </w:r>
    </w:p>
    <w:p>
      <w:pPr>
        <w:spacing w:after="0" w:line="170" w:lineRule="exact"/>
        <w:rPr>
          <w:rFonts w:ascii="Arial" w:cs="Arial" w:eastAsia="Arial" w:hAnsi="Arial"/>
          <w:sz w:val="18"/>
          <w:szCs w:val="18"/>
          <w:color w:val="auto"/>
        </w:rPr>
      </w:pPr>
    </w:p>
    <w:p>
      <w:pPr>
        <w:ind w:firstLine="656"/>
        <w:spacing w:after="0" w:line="261" w:lineRule="auto"/>
        <w:tabs>
          <w:tab w:leader="none" w:pos="104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waives, to the maximum extent not prohibited by law, any right it may have to claim or recover in any legal action or proceeding referred to in this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any special, exemplary, punitive or consequential damages; and</w:t>
      </w:r>
    </w:p>
    <w:p>
      <w:pPr>
        <w:spacing w:after="0" w:line="170" w:lineRule="exact"/>
        <w:rPr>
          <w:rFonts w:ascii="Arial" w:cs="Arial" w:eastAsia="Arial" w:hAnsi="Arial"/>
          <w:sz w:val="18"/>
          <w:szCs w:val="18"/>
          <w:color w:val="auto"/>
        </w:rPr>
      </w:pPr>
    </w:p>
    <w:p>
      <w:pPr>
        <w:jc w:val="both"/>
        <w:ind w:firstLine="656"/>
        <w:spacing w:after="0" w:line="248" w:lineRule="auto"/>
        <w:tabs>
          <w:tab w:leader="none" w:pos="101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agrees that nothing in this Agreement or in any other Loan Document shall affect any right that the Administrative Agent, any Issuing Lender or any Lender may otherwise have to bring any action or proceeding relating to this Agreement against the Borrower, any Loan Party or its properties in the courts of any jurisdiction.</w:t>
      </w:r>
    </w:p>
    <w:p>
      <w:pPr>
        <w:spacing w:after="0" w:line="19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 xml:space="preserve">. (a) EACH LENDER ACKNOWLEDGES THAT INFORMATION AS DEFINED IN </w:t>
      </w:r>
      <w:r>
        <w:rPr>
          <w:rFonts w:ascii="Arial" w:cs="Arial" w:eastAsia="Arial" w:hAnsi="Arial"/>
          <w:sz w:val="18"/>
          <w:szCs w:val="18"/>
          <w:u w:val="single" w:color="auto"/>
          <w:color w:val="auto"/>
        </w:rPr>
        <w:t>SECTION 10.16</w:t>
      </w:r>
      <w:r>
        <w:rPr>
          <w:rFonts w:ascii="Arial" w:cs="Arial" w:eastAsia="Arial" w:hAnsi="Arial"/>
          <w:sz w:val="18"/>
          <w:szCs w:val="18"/>
          <w:color w:val="auto"/>
        </w:rPr>
        <w:t xml:space="preserve">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9" w:lineRule="exact"/>
        <w:rPr>
          <w:sz w:val="20"/>
          <w:szCs w:val="20"/>
          <w:color w:val="auto"/>
        </w:rPr>
      </w:pPr>
    </w:p>
    <w:p>
      <w:pPr>
        <w:jc w:val="both"/>
        <w:ind w:firstLine="656"/>
        <w:spacing w:after="0" w:line="241" w:lineRule="auto"/>
        <w:tabs>
          <w:tab w:leader="none" w:pos="112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LOAN PARTIES AND THEIR RELATED PARTIES OR THEIR RESPECTIVE SECURITIES. ACCORDINGLY, EACH LENDER REPRESENTS TO THE BORROWER AND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21" w:right="339" w:bottom="1440" w:gutter="0" w:footer="0" w:header="0"/>
        </w:sectPr>
      </w:pPr>
    </w:p>
    <w:bookmarkStart w:id="220" w:name="page221"/>
    <w:bookmarkEnd w:id="220"/>
    <w:p>
      <w:pPr>
        <w:jc w:val="both"/>
        <w:spacing w:after="0" w:line="248" w:lineRule="auto"/>
        <w:rPr>
          <w:sz w:val="20"/>
          <w:szCs w:val="20"/>
          <w:color w:val="auto"/>
        </w:rPr>
      </w:pPr>
      <w:r>
        <w:rPr>
          <w:rFonts w:ascii="Arial" w:cs="Arial" w:eastAsia="Arial" w:hAnsi="Arial"/>
          <w:sz w:val="18"/>
          <w:szCs w:val="18"/>
          <w:color w:val="auto"/>
        </w:rPr>
        <w:t>AGENT THAT IT HAS IDENTIFIED IN ITS ADMINISTRATIVE QUESTIONNAIRE A CREDIT CONTACT WHO MAY RECEIVE INFORMATION THAT MAY CONTAIN MATERIAL NON-PUBLIC INFORMATION IN ACCORDANCE WITH ITS COMPLIANCE PROCEDURES AND APPLICABLE LAW.</w:t>
      </w:r>
    </w:p>
    <w:p>
      <w:pPr>
        <w:spacing w:after="0" w:line="18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5"/>
          <w:szCs w:val="15"/>
          <w:u w:val="single" w:color="auto"/>
          <w:color w:val="auto"/>
        </w:rPr>
        <w:t>Releases of Guarantees and Liens</w:t>
      </w:r>
      <w:r>
        <w:rPr>
          <w:rFonts w:ascii="Arial" w:cs="Arial" w:eastAsia="Arial" w:hAnsi="Arial"/>
          <w:sz w:val="15"/>
          <w:szCs w:val="15"/>
          <w:color w:val="auto"/>
        </w:rPr>
        <w:t>.</w:t>
      </w:r>
    </w:p>
    <w:p>
      <w:pPr>
        <w:spacing w:after="0" w:line="212" w:lineRule="exact"/>
        <w:rPr>
          <w:sz w:val="20"/>
          <w:szCs w:val="20"/>
          <w:color w:val="auto"/>
        </w:rPr>
      </w:pPr>
    </w:p>
    <w:p>
      <w:pPr>
        <w:jc w:val="both"/>
        <w:ind w:firstLine="656"/>
        <w:spacing w:after="0" w:line="241" w:lineRule="auto"/>
        <w:tabs>
          <w:tab w:leader="none" w:pos="108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To the extent any collateral secures the Facilities pursuant to </w:t>
      </w:r>
      <w:r>
        <w:rPr>
          <w:rFonts w:ascii="Arial" w:cs="Arial" w:eastAsia="Arial" w:hAnsi="Arial"/>
          <w:sz w:val="18"/>
          <w:szCs w:val="18"/>
          <w:u w:val="single" w:color="auto"/>
          <w:color w:val="auto"/>
        </w:rPr>
        <w:t>Section 6.16(a)</w:t>
      </w:r>
      <w:r>
        <w:rPr>
          <w:rFonts w:ascii="Arial" w:cs="Arial" w:eastAsia="Arial" w:hAnsi="Arial"/>
          <w:sz w:val="18"/>
          <w:szCs w:val="18"/>
          <w:color w:val="auto"/>
        </w:rPr>
        <w:t xml:space="preserve"> and not pursuant to </w:t>
      </w:r>
      <w:r>
        <w:rPr>
          <w:rFonts w:ascii="Arial" w:cs="Arial" w:eastAsia="Arial" w:hAnsi="Arial"/>
          <w:sz w:val="18"/>
          <w:szCs w:val="18"/>
          <w:u w:val="single" w:color="auto"/>
          <w:color w:val="auto"/>
        </w:rPr>
        <w:t>Section 6.16(b)</w:t>
      </w:r>
      <w:r>
        <w:rPr>
          <w:rFonts w:ascii="Arial" w:cs="Arial" w:eastAsia="Arial" w:hAnsi="Arial"/>
          <w:sz w:val="18"/>
          <w:szCs w:val="18"/>
          <w:color w:val="auto"/>
        </w:rPr>
        <w:t>, such collateral shall be automatically released on the MGP Bridge Facility Termination Date so long as no Event of Default has occurred and is continuing on such date (it being understood that if the collateral is not released as a result of an Event of Default having occurred and being continuing on the MGP Bridge Facility Termination Date, the collateral shall be automatically released on the first date after the MGP Bridge Facility Termination Date on which there is no Event of Default).</w:t>
      </w:r>
    </w:p>
    <w:p>
      <w:pPr>
        <w:spacing w:after="0" w:line="189" w:lineRule="exact"/>
        <w:rPr>
          <w:rFonts w:ascii="Arial" w:cs="Arial" w:eastAsia="Arial" w:hAnsi="Arial"/>
          <w:sz w:val="18"/>
          <w:szCs w:val="18"/>
          <w:color w:val="auto"/>
        </w:rPr>
      </w:pPr>
    </w:p>
    <w:p>
      <w:pPr>
        <w:jc w:val="both"/>
        <w:ind w:firstLine="656"/>
        <w:spacing w:after="0" w:line="241" w:lineRule="auto"/>
        <w:tabs>
          <w:tab w:leader="none" w:pos="114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To the extent any collateral secures the Facilities pursuant to </w:t>
      </w:r>
      <w:r>
        <w:rPr>
          <w:rFonts w:ascii="Arial" w:cs="Arial" w:eastAsia="Arial" w:hAnsi="Arial"/>
          <w:sz w:val="18"/>
          <w:szCs w:val="18"/>
          <w:u w:val="single" w:color="auto"/>
          <w:color w:val="auto"/>
        </w:rPr>
        <w:t>Section 6.16(b)</w:t>
      </w:r>
      <w:r>
        <w:rPr>
          <w:rFonts w:ascii="Arial" w:cs="Arial" w:eastAsia="Arial" w:hAnsi="Arial"/>
          <w:sz w:val="18"/>
          <w:szCs w:val="18"/>
          <w:color w:val="auto"/>
        </w:rPr>
        <w:t xml:space="preserve"> and not pursuant to </w:t>
      </w:r>
      <w:r>
        <w:rPr>
          <w:rFonts w:ascii="Arial" w:cs="Arial" w:eastAsia="Arial" w:hAnsi="Arial"/>
          <w:sz w:val="18"/>
          <w:szCs w:val="18"/>
          <w:u w:val="single" w:color="auto"/>
          <w:color w:val="auto"/>
        </w:rPr>
        <w:t>Section 6.16(a)</w:t>
      </w:r>
      <w:r>
        <w:rPr>
          <w:rFonts w:ascii="Arial" w:cs="Arial" w:eastAsia="Arial" w:hAnsi="Arial"/>
          <w:sz w:val="18"/>
          <w:szCs w:val="18"/>
          <w:color w:val="auto"/>
        </w:rPr>
        <w:t>, such collateral shall be automatically released on the Venetian Bridge Facility Termination Date so long as no Event of Default has occurred and is continuing on such date (it being understood that if the collateral is not released as a result of an Event of Default having occurred and being continuing on the Venetian Bridge Facility Termination Date, the collateral shall be automatically released on the first date after the Venetian Bridge Facility Termination Date on which there is no Event of Default).</w:t>
      </w:r>
    </w:p>
    <w:p>
      <w:pPr>
        <w:spacing w:after="0" w:line="189" w:lineRule="exact"/>
        <w:rPr>
          <w:rFonts w:ascii="Arial" w:cs="Arial" w:eastAsia="Arial" w:hAnsi="Arial"/>
          <w:sz w:val="18"/>
          <w:szCs w:val="18"/>
          <w:color w:val="auto"/>
        </w:rPr>
      </w:pPr>
    </w:p>
    <w:p>
      <w:pPr>
        <w:jc w:val="both"/>
        <w:ind w:firstLine="656"/>
        <w:spacing w:after="0" w:line="284" w:lineRule="auto"/>
        <w:tabs>
          <w:tab w:leader="none" w:pos="111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To the extent any collateral secures the Facilities pursuant to </w:t>
      </w:r>
      <w:r>
        <w:rPr>
          <w:rFonts w:ascii="Arial" w:cs="Arial" w:eastAsia="Arial" w:hAnsi="Arial"/>
          <w:sz w:val="16"/>
          <w:szCs w:val="16"/>
          <w:u w:val="single" w:color="auto"/>
          <w:color w:val="auto"/>
        </w:rPr>
        <w:t>Section 6.16(a)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6.16(b)</w:t>
      </w:r>
      <w:r>
        <w:rPr>
          <w:rFonts w:ascii="Arial" w:cs="Arial" w:eastAsia="Arial" w:hAnsi="Arial"/>
          <w:sz w:val="16"/>
          <w:szCs w:val="16"/>
          <w:color w:val="auto"/>
        </w:rPr>
        <w:t xml:space="preserve"> such collateral shall be automatically released on the Latest Bridge Facility Termination Date so long as no Event of Default has occurred and is continuing on such date (it being understood that if the collateral is not released as a result of an Event of Default having occurred and being continuing on the Latest Bridge Facility Termination Date, the collateral shall be automatically released on the first date after the Latest Bridge Facility Termination Date on which there is no Event of Default).</w:t>
      </w:r>
    </w:p>
    <w:p>
      <w:pPr>
        <w:spacing w:after="0" w:line="155" w:lineRule="exact"/>
        <w:rPr>
          <w:rFonts w:ascii="Arial" w:cs="Arial" w:eastAsia="Arial" w:hAnsi="Arial"/>
          <w:sz w:val="16"/>
          <w:szCs w:val="16"/>
          <w:color w:val="auto"/>
        </w:rPr>
      </w:pPr>
    </w:p>
    <w:p>
      <w:pPr>
        <w:ind w:left="1040" w:hanging="384"/>
        <w:spacing w:after="0"/>
        <w:tabs>
          <w:tab w:leader="none" w:pos="10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To the extent any collateral secures the Facilities pursuant to </w:t>
      </w:r>
      <w:r>
        <w:rPr>
          <w:rFonts w:ascii="Arial" w:cs="Arial" w:eastAsia="Arial" w:hAnsi="Arial"/>
          <w:sz w:val="18"/>
          <w:szCs w:val="18"/>
          <w:u w:val="single" w:color="auto"/>
          <w:color w:val="auto"/>
        </w:rPr>
        <w:t>Section 6.16</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304"/>
        <w:spacing w:after="0" w:line="255" w:lineRule="auto"/>
        <w:tabs>
          <w:tab w:leader="none" w:pos="1696" w:val="left"/>
        </w:tabs>
        <w:numPr>
          <w:ilvl w:val="1"/>
          <w:numId w:val="191"/>
        </w:numPr>
        <w:rPr>
          <w:rFonts w:ascii="Arial" w:cs="Arial" w:eastAsia="Arial" w:hAnsi="Arial"/>
          <w:sz w:val="17"/>
          <w:szCs w:val="17"/>
          <w:color w:val="auto"/>
        </w:rPr>
      </w:pPr>
      <w:r>
        <w:rPr>
          <w:rFonts w:ascii="Arial" w:cs="Arial" w:eastAsia="Arial" w:hAnsi="Arial"/>
          <w:sz w:val="17"/>
          <w:szCs w:val="17"/>
          <w:color w:val="auto"/>
        </w:rPr>
        <w:t xml:space="preserve">(A) upon any sale, transfer or other Disposition by any Loan Party (other than any such sale, transfer or other Disposition to another Loan Party) of any such collateral in a transaction permitted by this Agreement, or upon the effectiveness of any written consent (pursuant to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to the release of the security interest in any such collateral created under any security document executed pursuant to </w:t>
      </w:r>
      <w:r>
        <w:rPr>
          <w:rFonts w:ascii="Arial" w:cs="Arial" w:eastAsia="Arial" w:hAnsi="Arial"/>
          <w:sz w:val="17"/>
          <w:szCs w:val="17"/>
          <w:u w:val="single" w:color="auto"/>
          <w:color w:val="auto"/>
        </w:rPr>
        <w:t>Section 6.16</w:t>
      </w:r>
      <w:r>
        <w:rPr>
          <w:rFonts w:ascii="Arial" w:cs="Arial" w:eastAsia="Arial" w:hAnsi="Arial"/>
          <w:sz w:val="17"/>
          <w:szCs w:val="17"/>
          <w:color w:val="auto"/>
        </w:rPr>
        <w:t xml:space="preserve">, the security interests in such collateral created by such security documents shall be automatically released and should any Subsidiary Guarantor no longer constitute a Required Guarantor or a Subsidiary, such Subsidiary Guarantor shall automatically be released from its Guarantee Obligations and (B) in connection with any termination or release pursuant to this </w:t>
      </w:r>
      <w:r>
        <w:rPr>
          <w:rFonts w:ascii="Arial" w:cs="Arial" w:eastAsia="Arial" w:hAnsi="Arial"/>
          <w:sz w:val="17"/>
          <w:szCs w:val="17"/>
          <w:u w:val="single" w:color="auto"/>
          <w:color w:val="auto"/>
        </w:rPr>
        <w:t>clause (i)</w:t>
      </w:r>
      <w:r>
        <w:rPr>
          <w:rFonts w:ascii="Arial" w:cs="Arial" w:eastAsia="Arial" w:hAnsi="Arial"/>
          <w:sz w:val="17"/>
          <w:szCs w:val="17"/>
          <w:color w:val="auto"/>
        </w:rPr>
        <w:t>, the Administrative Agent shall execute and deliver to any Loan Party, at such Loan Party’s expense, all documents that such Loan Party shall reasonably request to evidence such release; and</w:t>
      </w:r>
    </w:p>
    <w:p>
      <w:pPr>
        <w:spacing w:after="0" w:line="179" w:lineRule="exact"/>
        <w:rPr>
          <w:rFonts w:ascii="Arial" w:cs="Arial" w:eastAsia="Arial" w:hAnsi="Arial"/>
          <w:sz w:val="17"/>
          <w:szCs w:val="17"/>
          <w:color w:val="auto"/>
        </w:rPr>
      </w:pPr>
    </w:p>
    <w:p>
      <w:pPr>
        <w:jc w:val="both"/>
        <w:ind w:firstLine="1304"/>
        <w:spacing w:after="0" w:line="253" w:lineRule="auto"/>
        <w:tabs>
          <w:tab w:leader="none" w:pos="1708" w:val="left"/>
        </w:tabs>
        <w:numPr>
          <w:ilvl w:val="1"/>
          <w:numId w:val="191"/>
        </w:numPr>
        <w:rPr>
          <w:rFonts w:ascii="Arial" w:cs="Arial" w:eastAsia="Arial" w:hAnsi="Arial"/>
          <w:sz w:val="17"/>
          <w:szCs w:val="17"/>
          <w:color w:val="auto"/>
        </w:rPr>
      </w:pPr>
      <w:r>
        <w:rPr>
          <w:rFonts w:ascii="Arial" w:cs="Arial" w:eastAsia="Arial" w:hAnsi="Arial"/>
          <w:sz w:val="17"/>
          <w:szCs w:val="17"/>
          <w:color w:val="auto"/>
        </w:rPr>
        <w:t xml:space="preserve">(A) at such time as all Obligations (other than indemnification or reimbursement obligations under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2.17(a)</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2.18</w:t>
      </w:r>
      <w:r>
        <w:rPr>
          <w:rFonts w:ascii="Arial" w:cs="Arial" w:eastAsia="Arial" w:hAnsi="Arial"/>
          <w:sz w:val="17"/>
          <w:szCs w:val="17"/>
          <w:color w:val="auto"/>
        </w:rPr>
        <w:t xml:space="preserve"> for which the Borrower has not been notified, contingent indemnification obligations and obligations in respect of Specified Swap Agreements and Cash Management Services) shall have been paid in full and the Commitments have been terminated and no Letters of Credit shall be outstanding (other than any Letter of Credit cash collateralized or otherwise backstopped or subject to credit support reasonably satisfactory to the Administrative Agent and the applicable Issuing Lender), all collateral securing the Facilities pursuant to </w:t>
      </w:r>
      <w:r>
        <w:rPr>
          <w:rFonts w:ascii="Arial" w:cs="Arial" w:eastAsia="Arial" w:hAnsi="Arial"/>
          <w:sz w:val="17"/>
          <w:szCs w:val="17"/>
          <w:u w:val="single" w:color="auto"/>
          <w:color w:val="auto"/>
        </w:rPr>
        <w:t>Section 6.16</w:t>
      </w:r>
      <w:r>
        <w:rPr>
          <w:rFonts w:ascii="Arial" w:cs="Arial" w:eastAsia="Arial" w:hAnsi="Arial"/>
          <w:sz w:val="17"/>
          <w:szCs w:val="17"/>
          <w:color w:val="auto"/>
        </w:rPr>
        <w:t xml:space="preserve"> shall be released from the Liens created by the security documents executed pursuant to </w:t>
      </w:r>
      <w:r>
        <w:rPr>
          <w:rFonts w:ascii="Arial" w:cs="Arial" w:eastAsia="Arial" w:hAnsi="Arial"/>
          <w:sz w:val="17"/>
          <w:szCs w:val="17"/>
          <w:u w:val="single" w:color="auto"/>
          <w:color w:val="auto"/>
        </w:rPr>
        <w:t>Section 6.16</w:t>
      </w:r>
      <w:r>
        <w:rPr>
          <w:rFonts w:ascii="Arial" w:cs="Arial" w:eastAsia="Arial" w:hAnsi="Arial"/>
          <w:sz w:val="17"/>
          <w:szCs w:val="17"/>
          <w:color w:val="auto"/>
        </w:rPr>
        <w:t xml:space="preserve">, and the security documents executed pursuant to </w:t>
      </w:r>
      <w:r>
        <w:rPr>
          <w:rFonts w:ascii="Arial" w:cs="Arial" w:eastAsia="Arial" w:hAnsi="Arial"/>
          <w:sz w:val="17"/>
          <w:szCs w:val="17"/>
          <w:u w:val="single" w:color="auto"/>
          <w:color w:val="auto"/>
        </w:rPr>
        <w:t>Section 6.16</w:t>
      </w:r>
      <w:r>
        <w:rPr>
          <w:rFonts w:ascii="Arial" w:cs="Arial" w:eastAsia="Arial" w:hAnsi="Arial"/>
          <w:sz w:val="17"/>
          <w:szCs w:val="17"/>
          <w:color w:val="auto"/>
        </w:rPr>
        <w:t xml:space="preserve"> and all obligations (other than those expressly stated to survive such termination) of the Administrative Agent and each Loan Party under such security documents shall terminate, all without delivery of any instrument or performance of any act by any Person and (B) in connection with any termination or release pursuant to this </w:t>
      </w:r>
      <w:r>
        <w:rPr>
          <w:rFonts w:ascii="Arial" w:cs="Arial" w:eastAsia="Arial" w:hAnsi="Arial"/>
          <w:sz w:val="17"/>
          <w:szCs w:val="17"/>
          <w:u w:val="single" w:color="auto"/>
          <w:color w:val="auto"/>
        </w:rPr>
        <w:t>clause (ii)</w:t>
      </w:r>
      <w:r>
        <w:rPr>
          <w:rFonts w:ascii="Arial" w:cs="Arial" w:eastAsia="Arial" w:hAnsi="Arial"/>
          <w:sz w:val="17"/>
          <w:szCs w:val="17"/>
          <w:color w:val="auto"/>
        </w:rPr>
        <w:t>, the Administrative Agent shall execute and deliver to any Loan Party, at such Loan Party’s expense, all documents that such Loan Party shall reasonably request to evidence such termination or release.</w:t>
      </w:r>
    </w:p>
    <w:p>
      <w:pPr>
        <w:spacing w:after="0" w:line="180" w:lineRule="exact"/>
        <w:rPr>
          <w:rFonts w:ascii="Arial" w:cs="Arial" w:eastAsia="Arial" w:hAnsi="Arial"/>
          <w:sz w:val="17"/>
          <w:szCs w:val="17"/>
          <w:color w:val="auto"/>
        </w:rPr>
      </w:pPr>
    </w:p>
    <w:p>
      <w:pPr>
        <w:jc w:val="both"/>
        <w:ind w:firstLine="656"/>
        <w:spacing w:after="0" w:line="294" w:lineRule="auto"/>
        <w:tabs>
          <w:tab w:leader="none" w:pos="1064"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or in any other Loan Document, the Administrative Agent is hereby irrevocably authorized by each Lender (without requirement of notice to or consent of any Lender except as expressly required by </w:t>
      </w:r>
      <w:r>
        <w:rPr>
          <w:rFonts w:ascii="Arial" w:cs="Arial" w:eastAsia="Arial" w:hAnsi="Arial"/>
          <w:sz w:val="16"/>
          <w:szCs w:val="16"/>
          <w:u w:val="single" w:color="auto"/>
          <w:color w:val="auto"/>
        </w:rPr>
        <w:t>Section 10.1</w:t>
      </w:r>
      <w:r>
        <w:rPr>
          <w:rFonts w:ascii="Arial" w:cs="Arial" w:eastAsia="Arial" w:hAnsi="Arial"/>
          <w:sz w:val="16"/>
          <w:szCs w:val="16"/>
          <w:color w:val="auto"/>
        </w:rPr>
        <w:t>) to take any action requested by the Borrower having the effect of releasing any Guarantee Obligations (i) to the extent necessary to permit consummation of any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21" w:right="339" w:bottom="1440" w:gutter="0" w:footer="0" w:header="0"/>
        </w:sectPr>
      </w:pPr>
    </w:p>
    <w:bookmarkStart w:id="221" w:name="page222"/>
    <w:bookmarkEnd w:id="221"/>
    <w:p>
      <w:pPr>
        <w:spacing w:after="0"/>
        <w:rPr>
          <w:sz w:val="20"/>
          <w:szCs w:val="20"/>
          <w:color w:val="auto"/>
        </w:rPr>
      </w:pPr>
      <w:r>
        <w:rPr>
          <w:rFonts w:ascii="Arial" w:cs="Arial" w:eastAsia="Arial" w:hAnsi="Arial"/>
          <w:sz w:val="16"/>
          <w:szCs w:val="16"/>
          <w:color w:val="auto"/>
        </w:rPr>
        <w:t xml:space="preserve">not prohibited by any Loan Document or that has been consented to in accordance with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or (ii) under the circumstances described in </w:t>
      </w:r>
      <w:r>
        <w:rPr>
          <w:rFonts w:ascii="Arial" w:cs="Arial" w:eastAsia="Arial" w:hAnsi="Arial"/>
          <w:sz w:val="16"/>
          <w:szCs w:val="16"/>
          <w:u w:val="single" w:color="auto"/>
          <w:color w:val="auto"/>
        </w:rPr>
        <w:t>paragraph</w:t>
      </w:r>
    </w:p>
    <w:p>
      <w:pPr>
        <w:spacing w:after="0" w:line="35" w:lineRule="exact"/>
        <w:rPr>
          <w:sz w:val="20"/>
          <w:szCs w:val="20"/>
          <w:color w:val="auto"/>
        </w:rPr>
      </w:pPr>
    </w:p>
    <w:p>
      <w:pPr>
        <w:ind w:left="240" w:hanging="232"/>
        <w:spacing w:after="0"/>
        <w:tabs>
          <w:tab w:leader="none" w:pos="240" w:val="left"/>
        </w:tabs>
        <w:numPr>
          <w:ilvl w:val="0"/>
          <w:numId w:val="192"/>
        </w:numPr>
        <w:rPr>
          <w:rFonts w:ascii="Arial" w:cs="Arial" w:eastAsia="Arial" w:hAnsi="Arial"/>
          <w:sz w:val="18"/>
          <w:szCs w:val="18"/>
          <w:u w:val="single" w:color="auto"/>
          <w:color w:val="auto"/>
        </w:rPr>
      </w:pPr>
      <w:r>
        <w:rPr>
          <w:rFonts w:ascii="Arial" w:cs="Arial" w:eastAsia="Arial" w:hAnsi="Arial"/>
          <w:sz w:val="18"/>
          <w:szCs w:val="18"/>
          <w:color w:val="auto"/>
        </w:rPr>
        <w:t>below.</w:t>
      </w:r>
    </w:p>
    <w:p>
      <w:pPr>
        <w:spacing w:after="0" w:line="195" w:lineRule="exact"/>
        <w:rPr>
          <w:rFonts w:ascii="Arial" w:cs="Arial" w:eastAsia="Arial" w:hAnsi="Arial"/>
          <w:sz w:val="18"/>
          <w:szCs w:val="18"/>
          <w:u w:val="single" w:color="auto"/>
          <w:color w:val="auto"/>
        </w:rPr>
      </w:pPr>
    </w:p>
    <w:p>
      <w:pPr>
        <w:jc w:val="both"/>
        <w:ind w:firstLine="656"/>
        <w:spacing w:after="0" w:line="252" w:lineRule="auto"/>
        <w:tabs>
          <w:tab w:leader="none" w:pos="1068" w:val="left"/>
        </w:tabs>
        <w:numPr>
          <w:ilvl w:val="1"/>
          <w:numId w:val="192"/>
        </w:numPr>
        <w:rPr>
          <w:rFonts w:ascii="Arial" w:cs="Arial" w:eastAsia="Arial" w:hAnsi="Arial"/>
          <w:sz w:val="17"/>
          <w:szCs w:val="17"/>
          <w:color w:val="auto"/>
        </w:rPr>
      </w:pPr>
      <w:r>
        <w:rPr>
          <w:rFonts w:ascii="Arial" w:cs="Arial" w:eastAsia="Arial" w:hAnsi="Arial"/>
          <w:sz w:val="17"/>
          <w:szCs w:val="17"/>
          <w:color w:val="auto"/>
        </w:rPr>
        <w:t xml:space="preserve">At such time as all Obligations (other than indemnification or reimbursement obligations under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2.17(a)</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2.18</w:t>
      </w:r>
      <w:r>
        <w:rPr>
          <w:rFonts w:ascii="Arial" w:cs="Arial" w:eastAsia="Arial" w:hAnsi="Arial"/>
          <w:sz w:val="17"/>
          <w:szCs w:val="17"/>
          <w:color w:val="auto"/>
        </w:rPr>
        <w:t xml:space="preserve"> for which the Borrower has not been notified, contingent indemnification obligations and obligations in respect of Specified Swap Agreements and Cash Management Services) shall have been paid in full, the Commitments have been terminated and no Letters of Credit shall be outstanding (other than any Letter of Credit cash collateralized or otherwise backstopped or subject to credit support reasonably satisfactory to the Administrative Agent and the applicable Issuing Lender), the Subsidiary Guarantors shall be released from their obligations under the Guarantee Agreement (other than those expressly stated to survive such termination), all without delivery of any instrument or performance of any act by any Person. Any such release of Guarantee Obligations shall be deemed subject to the provision that such Guarantee Obligations shall be reinstated if after such release any portion of any payment in respect of the Obligations guaranteed thereby shall be rescinded or must otherwise be restored or returned upon the insolvency, bankruptcy, dissolution, liquidation or reorganization of the Borrower or any Subsidiary Guarantor, or upon or as a result of the appointment of a receiver, intervenor or conservator of, or trustee or similar officer for, the Borrower or any Subsidiary Guarantor or any substantial part of its property, or otherwise, all as though such payment had not been made.</w:t>
      </w:r>
    </w:p>
    <w:p>
      <w:pPr>
        <w:spacing w:after="0" w:line="185" w:lineRule="exact"/>
        <w:rPr>
          <w:rFonts w:ascii="Arial" w:cs="Arial" w:eastAsia="Arial" w:hAnsi="Arial"/>
          <w:sz w:val="17"/>
          <w:szCs w:val="17"/>
          <w:color w:val="auto"/>
        </w:rPr>
      </w:pPr>
    </w:p>
    <w:p>
      <w:pPr>
        <w:jc w:val="both"/>
        <w:ind w:firstLine="656"/>
        <w:spacing w:after="0" w:line="279" w:lineRule="auto"/>
        <w:tabs>
          <w:tab w:leader="none" w:pos="1068" w:val="left"/>
        </w:tabs>
        <w:numPr>
          <w:ilvl w:val="1"/>
          <w:numId w:val="192"/>
        </w:numPr>
        <w:rPr>
          <w:rFonts w:ascii="Arial" w:cs="Arial" w:eastAsia="Arial" w:hAnsi="Arial"/>
          <w:sz w:val="16"/>
          <w:szCs w:val="16"/>
          <w:color w:val="auto"/>
        </w:rPr>
      </w:pPr>
      <w:r>
        <w:rPr>
          <w:rFonts w:ascii="Arial" w:cs="Arial" w:eastAsia="Arial" w:hAnsi="Arial"/>
          <w:sz w:val="16"/>
          <w:szCs w:val="16"/>
          <w:color w:val="auto"/>
        </w:rPr>
        <w:t xml:space="preserve">A Subsidiary Guarantor may be released from its Guarantee Obligations in respect of the Obligations so long as (i) no Default or Event of Default has occurred and is continuing and (ii) after giving effect to the termination of such Guarantee Obligations in respect of the Obligations (and any Guarantees Obligations terminated substantially simultaneously therewith), such Subsidiary Guarantor is not required to be a Subsidiary Guarantor under the definition of “Required Guarantor”. In connection with any release pursuant to this </w:t>
      </w:r>
      <w:r>
        <w:rPr>
          <w:rFonts w:ascii="Arial" w:cs="Arial" w:eastAsia="Arial" w:hAnsi="Arial"/>
          <w:sz w:val="16"/>
          <w:szCs w:val="16"/>
          <w:u w:val="single" w:color="auto"/>
          <w:color w:val="auto"/>
        </w:rPr>
        <w:t>Section 10.15(g)</w:t>
      </w:r>
      <w:r>
        <w:rPr>
          <w:rFonts w:ascii="Arial" w:cs="Arial" w:eastAsia="Arial" w:hAnsi="Arial"/>
          <w:sz w:val="16"/>
          <w:szCs w:val="16"/>
          <w:color w:val="auto"/>
        </w:rPr>
        <w:t>, the Administrative Agent shall execute and deliver to any Loan Party, at such Loan Party’s expense, all documents that such Loan Party shall reasonably request to evidence such release.</w:t>
      </w:r>
    </w:p>
    <w:p>
      <w:pPr>
        <w:spacing w:after="0" w:line="15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of the Administrative Agent, the Issuing Lenders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applicable laws or regulations or by any subpoena or similar legal process;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permitted by law, rule or regulation and reasonably practicable, the Person required to disclose such information shall take reasonable efforts (at the Borrower’s expense) to ensure that any Information so disclosed shall be afforded confidential treatment and, to the extent permitted by applicable law, rule or legal process, notify the Borrower promptly in advance thereof, (d) to any other party to this Agreement, (e) in connection with the exercise of any remedies hereunder or under any other Loan Document or any suit, action or proceeding relating to this Agreement or the enforcement of rights hereunder or under any other Loan Document, (f) subject to an agreement containing provisions substantially the same as those of this </w:t>
      </w:r>
      <w:r>
        <w:rPr>
          <w:rFonts w:ascii="Arial" w:cs="Arial" w:eastAsia="Arial" w:hAnsi="Arial"/>
          <w:sz w:val="16"/>
          <w:szCs w:val="16"/>
          <w:u w:val="single" w:color="auto"/>
          <w:color w:val="auto"/>
        </w:rPr>
        <w:t>Section 10.16</w:t>
      </w:r>
      <w:r>
        <w:rPr>
          <w:rFonts w:ascii="Arial" w:cs="Arial" w:eastAsia="Arial" w:hAnsi="Arial"/>
          <w:sz w:val="16"/>
          <w:szCs w:val="16"/>
          <w:color w:val="auto"/>
        </w:rPr>
        <w:t xml:space="preserve">, to (i) any assignee of or Participant in, or any prospective assignee of or Participant in, any of its rights or obligations under this Agreement or (ii) any actual or prospective counterparty (or its advisors) to any swap or derivative transaction relating to the Borrower and its obligations, (g) on a confidential basis to (i) any rating agency in connection with rating the Borrower or its Subsidiaries or the credit facilities provided for herein or (ii) the CUSIP Service Bureau or any similar agency in connection with the issuance and monitoring of identification numbers with respect to the credit facilities provided for herein, (h) with the consent of the Borrower, (i) to the extent such Information (i) becomes publicly available other than as a result of a breach of this </w:t>
      </w:r>
      <w:r>
        <w:rPr>
          <w:rFonts w:ascii="Arial" w:cs="Arial" w:eastAsia="Arial" w:hAnsi="Arial"/>
          <w:sz w:val="16"/>
          <w:szCs w:val="16"/>
          <w:u w:val="single" w:color="auto"/>
          <w:color w:val="auto"/>
        </w:rPr>
        <w:t>Section 10.16</w:t>
      </w:r>
      <w:r>
        <w:rPr>
          <w:rFonts w:ascii="Arial" w:cs="Arial" w:eastAsia="Arial" w:hAnsi="Arial"/>
          <w:sz w:val="16"/>
          <w:szCs w:val="16"/>
          <w:color w:val="auto"/>
        </w:rPr>
        <w:t xml:space="preserve"> or (ii) becomes available to the Administrative Agent, any Issuing Lender or any</w:t>
      </w:r>
    </w:p>
    <w:p>
      <w:pPr>
        <w:spacing w:after="0" w:line="5"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Lender on a non-confidential basis from a source other than the Borrower who is not, to the knowledge of the Administrative Agent, such Issuing Lender or such Lender, under an obligation of confidentiality to the Borrower with respect to such Information and (j) to market data collectors, similar service providers to the lending industry and service providers to the Administrative Agent or any Lender only to the extent necessary in connection with the administration, settlement and management of this Agreement, the other Loan Documents, the Commitments, and the Loans and Letters of Credit incurred hereunder or to any credit insurance provider relating to the Borrower and its Obligations. For the purposes of this </w:t>
      </w:r>
      <w:r>
        <w:rPr>
          <w:rFonts w:ascii="Arial" w:cs="Arial" w:eastAsia="Arial" w:hAnsi="Arial"/>
          <w:sz w:val="18"/>
          <w:szCs w:val="18"/>
          <w:u w:val="single" w:color="auto"/>
          <w:color w:val="auto"/>
        </w:rPr>
        <w:t>Section 10.16</w:t>
      </w:r>
      <w:r>
        <w:rPr>
          <w:rFonts w:ascii="Arial" w:cs="Arial" w:eastAsia="Arial" w:hAnsi="Arial"/>
          <w:sz w:val="18"/>
          <w:szCs w:val="18"/>
          <w:color w:val="auto"/>
        </w:rPr>
        <w:t>, “</w:t>
      </w:r>
      <w:r>
        <w:rPr>
          <w:rFonts w:ascii="Arial" w:cs="Arial" w:eastAsia="Arial" w:hAnsi="Arial"/>
          <w:sz w:val="18"/>
          <w:szCs w:val="18"/>
          <w:u w:val="single" w:color="auto"/>
          <w:color w:val="auto"/>
        </w:rPr>
        <w:t>Information</w:t>
      </w:r>
      <w:r>
        <w:rPr>
          <w:rFonts w:ascii="Arial" w:cs="Arial" w:eastAsia="Arial" w:hAnsi="Arial"/>
          <w:sz w:val="18"/>
          <w:szCs w:val="18"/>
          <w:color w:val="auto"/>
        </w:rPr>
        <w:t>” means all information received from the Borrower relating to the Borrower or its business, other than any such information that is available to the Administrative Agent, any Issuing Lender or any Lender on a non-confidential basis prior to disclosure by the Borrower and other than information pertaining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21" w:right="3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t>routinely provided by arrangers to data service providers, including league table providers, that serve the lending industry.</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WAIVERS OF JURY TRIAL</w:t>
      </w:r>
      <w:r>
        <w:rPr>
          <w:rFonts w:ascii="Arial" w:cs="Arial" w:eastAsia="Arial" w:hAnsi="Arial"/>
          <w:sz w:val="18"/>
          <w:szCs w:val="18"/>
          <w:color w:val="auto"/>
        </w:rPr>
        <w:t xml:space="preserve">.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Arial" w:cs="Arial" w:eastAsia="Arial" w:hAnsi="Arial"/>
          <w:sz w:val="18"/>
          <w:szCs w:val="18"/>
          <w:u w:val="single" w:color="auto"/>
          <w:color w:val="auto"/>
        </w:rPr>
        <w:t>SECTION 10.17</w:t>
      </w:r>
      <w:r>
        <w:rPr>
          <w:rFonts w:ascii="Arial" w:cs="Arial" w:eastAsia="Arial" w:hAnsi="Arial"/>
          <w:sz w:val="18"/>
          <w:szCs w:val="18"/>
          <w:color w:val="auto"/>
        </w:rPr>
        <w:t>.</w:t>
      </w:r>
    </w:p>
    <w:p>
      <w:pPr>
        <w:spacing w:after="0" w:line="1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USA PATRIOT Act of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hereby notifies the Borrower that pursuant to the requirements of the Patriot Act, it is required to obtain, verify and record information that identifies the Borrower, which information includes the name and address of the Borrower and other information that will allow such Lender to identify the Borrower in accordance with the Patriot Act.</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 xml:space="preserve">10.19 </w:t>
      </w:r>
      <w:r>
        <w:rPr>
          <w:rFonts w:ascii="Arial" w:cs="Arial" w:eastAsia="Arial" w:hAnsi="Arial"/>
          <w:sz w:val="16"/>
          <w:szCs w:val="16"/>
          <w:u w:val="single" w:color="auto"/>
          <w:color w:val="auto"/>
        </w:rPr>
        <w:t>Judgment Currency</w:t>
      </w:r>
      <w:r>
        <w:rPr>
          <w:rFonts w:ascii="Arial" w:cs="Arial" w:eastAsia="Arial" w:hAnsi="Arial"/>
          <w:sz w:val="16"/>
          <w:szCs w:val="16"/>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that in which such sum is denominated in accordance with the applicable provisions of this Agreement (the “</w:t>
      </w:r>
      <w:r>
        <w:rPr>
          <w:rFonts w:ascii="Arial" w:cs="Arial" w:eastAsia="Arial" w:hAnsi="Arial"/>
          <w:sz w:val="16"/>
          <w:szCs w:val="16"/>
          <w:u w:val="single" w:color="auto"/>
          <w:color w:val="auto"/>
        </w:rPr>
        <w:t>Agreement Currency</w:t>
      </w:r>
      <w:r>
        <w:rPr>
          <w:rFonts w:ascii="Arial" w:cs="Arial" w:eastAsia="Arial" w:hAnsi="Arial"/>
          <w:sz w:val="16"/>
          <w:szCs w:val="16"/>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10.20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 xml:space="preserve">10.21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7"/>
          <w:szCs w:val="17"/>
          <w:u w:val="single" w:color="auto"/>
          <w:color w:val="auto"/>
        </w:rPr>
        <w:t>Charges</w:t>
      </w:r>
      <w:r>
        <w:rPr>
          <w:rFonts w:ascii="Arial" w:cs="Arial" w:eastAsia="Arial" w:hAnsi="Arial"/>
          <w:sz w:val="17"/>
          <w:szCs w:val="17"/>
          <w:color w:val="auto"/>
        </w:rPr>
        <w:t>”), shall exceed the maximum lawful rate (the “</w:t>
      </w:r>
      <w:r>
        <w:rPr>
          <w:rFonts w:ascii="Arial" w:cs="Arial" w:eastAsia="Arial" w:hAnsi="Arial"/>
          <w:sz w:val="17"/>
          <w:szCs w:val="17"/>
          <w:u w:val="single" w:color="auto"/>
          <w:color w:val="auto"/>
        </w:rPr>
        <w:t>Maximum Rate</w:t>
      </w:r>
      <w:r>
        <w:rPr>
          <w:rFonts w:ascii="Arial" w:cs="Arial" w:eastAsia="Arial" w:hAnsi="Arial"/>
          <w:sz w:val="17"/>
          <w:szCs w:val="17"/>
          <w:color w:val="auto"/>
        </w:rPr>
        <w:t xml:space="preserv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w:t>
      </w:r>
      <w:r>
        <w:rPr>
          <w:rFonts w:ascii="Arial" w:cs="Arial" w:eastAsia="Arial" w:hAnsi="Arial"/>
          <w:sz w:val="17"/>
          <w:szCs w:val="17"/>
          <w:u w:val="single" w:color="auto"/>
          <w:color w:val="auto"/>
        </w:rPr>
        <w:t>Section 10.21</w:t>
      </w:r>
      <w:r>
        <w:rPr>
          <w:rFonts w:ascii="Arial" w:cs="Arial" w:eastAsia="Arial" w:hAnsi="Arial"/>
          <w:sz w:val="17"/>
          <w:szCs w:val="17"/>
          <w:color w:val="auto"/>
        </w:rPr>
        <w:t xml:space="preserve">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18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 xml:space="preserve">10.22 </w:t>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21" w:right="339" w:bottom="1440" w:gutter="0" w:footer="0" w:header="0"/>
        </w:sectPr>
      </w:pPr>
    </w:p>
    <w:bookmarkStart w:id="223" w:name="page224"/>
    <w:bookmarkEnd w:id="223"/>
    <w:p>
      <w:pPr>
        <w:ind w:right="20"/>
        <w:spacing w:after="0" w:line="261" w:lineRule="auto"/>
        <w:rPr>
          <w:sz w:val="20"/>
          <w:szCs w:val="20"/>
          <w:color w:val="auto"/>
        </w:rPr>
      </w:pPr>
      <w:r>
        <w:rPr>
          <w:rFonts w:ascii="Arial" w:cs="Arial" w:eastAsia="Arial" w:hAnsi="Arial"/>
          <w:sz w:val="18"/>
          <w:szCs w:val="18"/>
          <w:color w:val="auto"/>
        </w:rPr>
        <w:t>any Loan Document may be subject to the Write-Down and Conversion Powers of the applicable Resolution Authority and agrees and consents to, and acknowledges and agrees to be bound by:</w:t>
      </w:r>
    </w:p>
    <w:p>
      <w:pPr>
        <w:spacing w:after="0" w:line="171" w:lineRule="exact"/>
        <w:rPr>
          <w:sz w:val="20"/>
          <w:szCs w:val="20"/>
          <w:color w:val="auto"/>
        </w:rPr>
      </w:pPr>
    </w:p>
    <w:p>
      <w:pPr>
        <w:ind w:firstLine="656"/>
        <w:spacing w:after="0" w:line="261" w:lineRule="auto"/>
        <w:tabs>
          <w:tab w:leader="none" w:pos="106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11" w:lineRule="exact"/>
        <w:rPr>
          <w:rFonts w:ascii="Arial" w:cs="Arial" w:eastAsia="Arial" w:hAnsi="Arial"/>
          <w:sz w:val="18"/>
          <w:szCs w:val="18"/>
          <w:color w:val="auto"/>
        </w:rPr>
      </w:pPr>
    </w:p>
    <w:p>
      <w:pPr>
        <w:ind w:left="1660" w:hanging="356"/>
        <w:spacing w:after="0"/>
        <w:tabs>
          <w:tab w:leader="none" w:pos="166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11" w:lineRule="exact"/>
        <w:rPr>
          <w:rFonts w:ascii="Arial" w:cs="Arial" w:eastAsia="Arial" w:hAnsi="Arial"/>
          <w:sz w:val="18"/>
          <w:szCs w:val="18"/>
          <w:color w:val="auto"/>
        </w:rPr>
      </w:pPr>
    </w:p>
    <w:p>
      <w:pPr>
        <w:jc w:val="both"/>
        <w:ind w:left="660" w:firstLine="644"/>
        <w:spacing w:after="0" w:line="259" w:lineRule="auto"/>
        <w:tabs>
          <w:tab w:leader="none" w:pos="184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Borrower shall be entitled to transfer, assign or waive its right to receive any such shares or other instruments to the extent necessary or prudent to preserve its status as a REIT, to the extent permitted by applicable law); or</w:t>
      </w:r>
    </w:p>
    <w:p>
      <w:pPr>
        <w:spacing w:after="0" w:line="173" w:lineRule="exact"/>
        <w:rPr>
          <w:rFonts w:ascii="Arial" w:cs="Arial" w:eastAsia="Arial" w:hAnsi="Arial"/>
          <w:sz w:val="17"/>
          <w:szCs w:val="17"/>
          <w:color w:val="auto"/>
        </w:rPr>
      </w:pPr>
    </w:p>
    <w:p>
      <w:pPr>
        <w:ind w:left="660" w:firstLine="644"/>
        <w:spacing w:after="0" w:line="261" w:lineRule="auto"/>
        <w:tabs>
          <w:tab w:leader="none" w:pos="1857"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 xml:space="preserve">10.23 </w:t>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To the extent that the Loan Documents provide support, through a guarantee or otherwise, for Swap Agreements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1" w:lineRule="exact"/>
        <w:rPr>
          <w:sz w:val="20"/>
          <w:szCs w:val="20"/>
          <w:color w:val="auto"/>
        </w:rPr>
      </w:pPr>
    </w:p>
    <w:p>
      <w:pPr>
        <w:jc w:val="both"/>
        <w:ind w:firstLine="656"/>
        <w:spacing w:after="0" w:line="252" w:lineRule="auto"/>
        <w:tabs>
          <w:tab w:leader="none" w:pos="109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 xml:space="preserve">10.24 </w:t>
      </w:r>
      <w:r>
        <w:rPr>
          <w:rFonts w:ascii="Arial" w:cs="Arial" w:eastAsia="Arial" w:hAnsi="Arial"/>
          <w:sz w:val="17"/>
          <w:szCs w:val="17"/>
          <w:u w:val="single" w:color="auto"/>
          <w:color w:val="auto"/>
        </w:rPr>
        <w:t>Non-Recourse</w:t>
      </w:r>
      <w:r>
        <w:rPr>
          <w:rFonts w:ascii="Arial" w:cs="Arial" w:eastAsia="Arial" w:hAnsi="Arial"/>
          <w:sz w:val="17"/>
          <w:szCs w:val="17"/>
          <w:color w:val="auto"/>
        </w:rPr>
        <w:t xml:space="preserve">. Notwithstanding anything to the contrary contained in this Agreement, in any of the other Loan Documents, or in any other instruments, certificates, documents or agreements executed in connection with this Agreement (all of the foregoing, for purposes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10.24</w:t>
      </w:r>
      <w:r>
        <w:rPr>
          <w:rFonts w:ascii="Arial" w:cs="Arial" w:eastAsia="Arial" w:hAnsi="Arial"/>
          <w:sz w:val="17"/>
          <w:szCs w:val="17"/>
          <w:color w:val="auto"/>
        </w:rPr>
        <w:t>, hereinafter referred to, individually and collectively, as the “</w:t>
      </w:r>
      <w:r>
        <w:rPr>
          <w:rFonts w:ascii="Arial" w:cs="Arial" w:eastAsia="Arial" w:hAnsi="Arial"/>
          <w:sz w:val="17"/>
          <w:szCs w:val="17"/>
          <w:u w:val="single" w:color="auto"/>
          <w:color w:val="auto"/>
        </w:rPr>
        <w:t>Relevant Documents</w:t>
      </w:r>
      <w:r>
        <w:rPr>
          <w:rFonts w:ascii="Arial" w:cs="Arial" w:eastAsia="Arial" w:hAnsi="Arial"/>
          <w:sz w:val="17"/>
          <w:szCs w:val="17"/>
          <w:color w:val="auto"/>
        </w:rPr>
        <w:t xml:space="preserve">”), no recourse under or upon any Obligation, representation, warranty, promise or other matter whatsoever shall be had against any of the constituent general or limited partners of the Borrower or their successors and assigns (said constituent partners and their successors and assigns, for purposes of this </w:t>
      </w:r>
      <w:r>
        <w:rPr>
          <w:rFonts w:ascii="Arial" w:cs="Arial" w:eastAsia="Arial" w:hAnsi="Arial"/>
          <w:sz w:val="17"/>
          <w:szCs w:val="17"/>
          <w:u w:val="single" w:color="auto"/>
          <w:color w:val="auto"/>
        </w:rPr>
        <w:t>Section 10.24</w:t>
      </w:r>
      <w:r>
        <w:rPr>
          <w:rFonts w:ascii="Arial" w:cs="Arial" w:eastAsia="Arial" w:hAnsi="Arial"/>
          <w:sz w:val="17"/>
          <w:szCs w:val="17"/>
          <w:color w:val="auto"/>
        </w:rPr>
        <w:t>, hereinafter referred to, individually and collectively, as the “</w:t>
      </w:r>
      <w:r>
        <w:rPr>
          <w:rFonts w:ascii="Arial" w:cs="Arial" w:eastAsia="Arial" w:hAnsi="Arial"/>
          <w:sz w:val="17"/>
          <w:szCs w:val="17"/>
          <w:u w:val="single" w:color="auto"/>
          <w:color w:val="auto"/>
        </w:rPr>
        <w:t>VICI OP Partners</w:t>
      </w:r>
      <w:r>
        <w:rPr>
          <w:rFonts w:ascii="Arial" w:cs="Arial" w:eastAsia="Arial" w:hAnsi="Arial"/>
          <w:sz w:val="17"/>
          <w:szCs w:val="17"/>
          <w:color w:val="auto"/>
        </w:rPr>
        <w:t>”), and each Lender expressly waives and releases, on behalf of itself and its successors and assigns, all right to assert any liability whatsoever under or with respect to the Relevant Documents against, or to satisfy any claim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21" w:right="339" w:bottom="1440" w:gutter="0" w:footer="0" w:header="0"/>
        </w:sectPr>
      </w:pPr>
    </w:p>
    <w:bookmarkStart w:id="224" w:name="page225"/>
    <w:bookmarkEnd w:id="224"/>
    <w:p>
      <w:pPr>
        <w:jc w:val="both"/>
        <w:spacing w:after="0" w:line="268" w:lineRule="auto"/>
        <w:rPr>
          <w:sz w:val="20"/>
          <w:szCs w:val="20"/>
          <w:color w:val="auto"/>
        </w:rPr>
      </w:pPr>
      <w:r>
        <w:rPr>
          <w:rFonts w:ascii="Arial" w:cs="Arial" w:eastAsia="Arial" w:hAnsi="Arial"/>
          <w:sz w:val="16"/>
          <w:szCs w:val="16"/>
          <w:color w:val="auto"/>
        </w:rPr>
        <w:t xml:space="preserve">obligation arising thereunder against, any of the VICI OP Partners or out of any assets of the VICI OP Partners, provided, however, that nothing in this </w:t>
      </w:r>
      <w:r>
        <w:rPr>
          <w:rFonts w:ascii="Arial" w:cs="Arial" w:eastAsia="Arial" w:hAnsi="Arial"/>
          <w:sz w:val="16"/>
          <w:szCs w:val="16"/>
          <w:u w:val="single" w:color="auto"/>
          <w:color w:val="auto"/>
        </w:rPr>
        <w:t>Section 10.24</w:t>
      </w:r>
      <w:r>
        <w:rPr>
          <w:rFonts w:ascii="Arial" w:cs="Arial" w:eastAsia="Arial" w:hAnsi="Arial"/>
          <w:sz w:val="16"/>
          <w:szCs w:val="16"/>
          <w:color w:val="auto"/>
        </w:rPr>
        <w:t xml:space="preserve"> shall be deemed to (1) release the Borrower or the other Loan Parties from any personal liability pursuant to, or from any of its respective obligations under, the Relevant Documents, or from personal liability for its fraudulent actions or fraudulent omissions, (2) release any VICI OP Partner from personal liability for its own fraudulent actions or fraudulent omissions in relation to which liability would otherwise exist under applicable law, (3) constitute a waiver of any obligation evidenced by, or contained in, the Relevant Documents or affect in any way the validity or enforceability of the Relevant Documents or (4) limit the right of Administrative Agent and/or the Lenders to proceed against or realize upon any and all of the assets of the Borrower or the other Loan Parties (notwithstanding the fact that the VICI OP Partners have an ownership interest in and, thereby, an interest in the assets of the Borrower or the other Loan Parties) or to name the Borrower or the other Loan Parties (or, to the extent that the same are required by applicable law or are determined by a court to be necessary parties in connection with an action or suit against the Borrower or the other Loan Parties, any of the VICI OP Partners) as a party defendant in, and to enforce against all or any part of the assets of the Borrower or the other Loan Parties any judgment obtained by Administrative Agent and/or the Lenders with respect to, any action or suit under the Relevant Documents so long as no judgment shall be taken or shall be enforced against the VICI OP Partners, their successors and assigns, or their assets (except (i) to the extent taking a judgment is required by applicable law or determined by a court to be necessary to preserve Administrative Agent’s and/or Lender’s rights against the Borrower or the other Loan Parties, but not otherwise and (ii) any judgment or enforcement in respect of personal liability of a VICI OP Partner described in clause (2) above).</w:t>
      </w:r>
    </w:p>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 xml:space="preserve">10.25 </w:t>
      </w:r>
      <w:r>
        <w:rPr>
          <w:rFonts w:ascii="Arial" w:cs="Arial" w:eastAsia="Arial" w:hAnsi="Arial"/>
          <w:sz w:val="17"/>
          <w:szCs w:val="17"/>
          <w:u w:val="single" w:color="auto"/>
          <w:color w:val="auto"/>
        </w:rPr>
        <w:t>Limited Equity Pledge</w:t>
      </w:r>
      <w:r>
        <w:rPr>
          <w:rFonts w:ascii="Arial" w:cs="Arial" w:eastAsia="Arial" w:hAnsi="Arial"/>
          <w:sz w:val="17"/>
          <w:szCs w:val="17"/>
          <w:color w:val="auto"/>
        </w:rPr>
        <w:t>. No later than the closing of the MGP Transactions, Borrower shall cause its direct parent entity at such time (the “</w:t>
      </w:r>
      <w:r>
        <w:rPr>
          <w:rFonts w:ascii="Arial" w:cs="Arial" w:eastAsia="Arial" w:hAnsi="Arial"/>
          <w:sz w:val="17"/>
          <w:szCs w:val="17"/>
          <w:u w:val="single" w:color="auto"/>
          <w:color w:val="auto"/>
        </w:rPr>
        <w:t>Borrower Parent</w:t>
      </w:r>
      <w:r>
        <w:rPr>
          <w:rFonts w:ascii="Arial" w:cs="Arial" w:eastAsia="Arial" w:hAnsi="Arial"/>
          <w:sz w:val="17"/>
          <w:szCs w:val="17"/>
          <w:color w:val="auto"/>
        </w:rPr>
        <w:t>”) to deliver a pledge of the limited partnership interests of the Borrower owned by such Borrower Parent as collateral to secure the Obligations pursuant to a pledge agreement (the “</w:t>
      </w:r>
      <w:r>
        <w:rPr>
          <w:rFonts w:ascii="Arial" w:cs="Arial" w:eastAsia="Arial" w:hAnsi="Arial"/>
          <w:sz w:val="17"/>
          <w:szCs w:val="17"/>
          <w:u w:val="single" w:color="auto"/>
          <w:color w:val="auto"/>
        </w:rPr>
        <w:t>Limited Equity Pledge Agreement</w:t>
      </w:r>
      <w:r>
        <w:rPr>
          <w:rFonts w:ascii="Arial" w:cs="Arial" w:eastAsia="Arial" w:hAnsi="Arial"/>
          <w:sz w:val="17"/>
          <w:szCs w:val="17"/>
          <w:color w:val="auto"/>
        </w:rPr>
        <w:t>”, and such pledge under the Limited Equity Pledge Agreement, the “</w:t>
      </w:r>
      <w:r>
        <w:rPr>
          <w:rFonts w:ascii="Arial" w:cs="Arial" w:eastAsia="Arial" w:hAnsi="Arial"/>
          <w:sz w:val="17"/>
          <w:szCs w:val="17"/>
          <w:u w:val="single" w:color="auto"/>
          <w:color w:val="auto"/>
        </w:rPr>
        <w:t>Limited Equity Pledge</w:t>
      </w:r>
      <w:r>
        <w:rPr>
          <w:rFonts w:ascii="Arial" w:cs="Arial" w:eastAsia="Arial" w:hAnsi="Arial"/>
          <w:sz w:val="17"/>
          <w:szCs w:val="17"/>
          <w:color w:val="auto"/>
        </w:rPr>
        <w:t>”) in form and substance reasonably agreed by the Borrower and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that (x) it being agreed and understood the execution of, and being obligated under, such Limited Equity Pledge Agreement shall not cause the Borrower Parent to have a Guarantee Obligation in respect of the Obligations and there shall not be any recourse against the Borrower Parent in connection therewith and (y) notwithstanding anything to the contrary herein, the existence of the Limited Equity Pledge Agreement shall not, in and of itself, cause the Indebtedness under the Loan Documents (or any other Indebtedness that may from time to time benefit from such Limited Equity Pledge Agreement or any similar other agreement granting a substantially identical lien as the Limited Equity Pledge Agreement) to be Secured Indebtedness. The Limited Equity Pledge Agreement (and the security interests thereunder) shall remain in effect until released or terminated in accordance with its terms or with the consent of the Required Lenders, and upon such release or termination, the Administrative Agent is authorized by the Lenders to execute and deliver any release or assignment documents reasonably requested by, and at the expense of, the Borrower.</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 xml:space="preserve">10.26 </w:t>
      </w:r>
      <w:r>
        <w:rPr>
          <w:rFonts w:ascii="Arial" w:cs="Arial" w:eastAsia="Arial" w:hAnsi="Arial"/>
          <w:sz w:val="16"/>
          <w:szCs w:val="16"/>
          <w:u w:val="single" w:color="auto"/>
          <w:color w:val="auto"/>
        </w:rPr>
        <w:t>Payments Set Aside</w:t>
      </w:r>
      <w:r>
        <w:rPr>
          <w:rFonts w:ascii="Arial" w:cs="Arial" w:eastAsia="Arial" w:hAnsi="Arial"/>
          <w:sz w:val="16"/>
          <w:szCs w:val="16"/>
          <w:color w:val="auto"/>
        </w:rPr>
        <w:t>.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greater of the NYFRB Rate from time to time in effect and a rate determined by the Administrative Agent in accordance with banking industry rules on interbank compensation.</w:t>
      </w:r>
    </w:p>
    <w:p>
      <w:pPr>
        <w:spacing w:after="0" w:line="200" w:lineRule="exact"/>
        <w:rPr>
          <w:sz w:val="20"/>
          <w:szCs w:val="20"/>
          <w:color w:val="auto"/>
        </w:rPr>
      </w:pPr>
    </w:p>
    <w:p>
      <w:pPr>
        <w:spacing w:after="0" w:line="239" w:lineRule="exact"/>
        <w:rPr>
          <w:sz w:val="20"/>
          <w:szCs w:val="20"/>
          <w:color w:val="auto"/>
        </w:rPr>
      </w:pPr>
    </w:p>
    <w:p>
      <w:pPr>
        <w:ind w:left="3980"/>
        <w:spacing w:after="0"/>
        <w:rPr>
          <w:sz w:val="20"/>
          <w:szCs w:val="20"/>
          <w:color w:val="auto"/>
        </w:rPr>
      </w:pPr>
      <w:r>
        <w:rPr>
          <w:rFonts w:ascii="Arial" w:cs="Arial" w:eastAsia="Arial" w:hAnsi="Arial"/>
          <w:sz w:val="18"/>
          <w:szCs w:val="18"/>
          <w:u w:val="single" w:color="auto"/>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21"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0" w:hanging="320"/>
        <w:spacing w:after="0" w:line="342" w:lineRule="auto"/>
        <w:tabs>
          <w:tab w:leader="none" w:pos="129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July 27, 2022</w:t>
      </w:r>
    </w:p>
    <w:p>
      <w:pPr>
        <w:spacing w:after="0" w:line="23" w:lineRule="exact"/>
        <w:rPr>
          <w:sz w:val="20"/>
          <w:szCs w:val="20"/>
          <w:color w:val="auto"/>
        </w:rPr>
      </w:pPr>
    </w:p>
    <w:p>
      <w:pPr>
        <w:ind w:left="458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18" w:right="339" w:bottom="1440" w:gutter="0" w:footer="0" w:header="0"/>
        </w:sectPr>
      </w:pPr>
    </w:p>
    <w:bookmarkStart w:id="226" w:name="page227"/>
    <w:bookmarkEnd w:id="226"/>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0" w:hanging="320"/>
        <w:spacing w:after="0" w:line="342" w:lineRule="auto"/>
        <w:tabs>
          <w:tab w:leader="none" w:pos="129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19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Date:</w:t>
        <w:tab/>
        <w:t>July 27, 2022</w:t>
      </w:r>
    </w:p>
    <w:p>
      <w:pPr>
        <w:spacing w:after="0" w:line="23" w:lineRule="exact"/>
        <w:rPr>
          <w:sz w:val="20"/>
          <w:szCs w:val="20"/>
          <w:color w:val="auto"/>
        </w:rPr>
      </w:pPr>
    </w:p>
    <w:p>
      <w:pPr>
        <w:ind w:left="460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9344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David A. Kieske</w:t>
      </w:r>
    </w:p>
    <w:p>
      <w:pPr>
        <w:spacing w:after="0" w:line="27"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18"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20"/>
          <w:szCs w:val="20"/>
          <w:b w:val="1"/>
          <w:bCs w:val="1"/>
          <w:color w:val="auto"/>
        </w:rPr>
        <w:t>Exhibit 31.3</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L.P.;</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0" w:hanging="320"/>
        <w:spacing w:after="0" w:line="342" w:lineRule="auto"/>
        <w:tabs>
          <w:tab w:leader="none" w:pos="129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19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July 27, 2022</w:t>
      </w:r>
    </w:p>
    <w:p>
      <w:pPr>
        <w:spacing w:after="0" w:line="23" w:lineRule="exact"/>
        <w:rPr>
          <w:sz w:val="20"/>
          <w:szCs w:val="20"/>
          <w:color w:val="auto"/>
        </w:rPr>
      </w:pPr>
    </w:p>
    <w:p>
      <w:pPr>
        <w:ind w:left="458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18"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20"/>
          <w:szCs w:val="20"/>
          <w:b w:val="1"/>
          <w:bCs w:val="1"/>
          <w:color w:val="auto"/>
        </w:rPr>
        <w:t>Exhibit 31.4</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L.P.;</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0" w:hanging="320"/>
        <w:spacing w:after="0" w:line="342" w:lineRule="auto"/>
        <w:tabs>
          <w:tab w:leader="none" w:pos="129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19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Date:</w:t>
        <w:tab/>
        <w:t>July 27, 2022</w:t>
      </w:r>
    </w:p>
    <w:p>
      <w:pPr>
        <w:spacing w:after="0" w:line="23" w:lineRule="exact"/>
        <w:rPr>
          <w:sz w:val="20"/>
          <w:szCs w:val="20"/>
          <w:color w:val="auto"/>
        </w:rPr>
      </w:pPr>
    </w:p>
    <w:p>
      <w:pPr>
        <w:ind w:left="460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9344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David A. Kieske</w:t>
      </w:r>
    </w:p>
    <w:p>
      <w:pPr>
        <w:spacing w:after="0" w:line="27"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18" w:right="339" w:bottom="1440" w:gutter="0" w:footer="0" w:header="0"/>
        </w:sectPr>
      </w:pPr>
    </w:p>
    <w:bookmarkStart w:id="229" w:name="page230"/>
    <w:bookmarkEnd w:id="229"/>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6" w:lineRule="exact"/>
        <w:rPr>
          <w:sz w:val="20"/>
          <w:szCs w:val="20"/>
          <w:color w:val="auto"/>
        </w:rPr>
      </w:pPr>
    </w:p>
    <w:p>
      <w:pPr>
        <w:ind w:firstLine="413"/>
        <w:spacing w:after="0" w:line="277" w:lineRule="auto"/>
        <w:tabs>
          <w:tab w:leader="none" w:pos="64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2022 (the “Report”) fully complies with the requirements of Section 13(a) or Section 15(d), as applicable, of the Securities Exchange Act of 1934, as amended; and</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(ii)the information contained in the Report fairly presents, in all material respects, the financial condition and results of operations of the Company.</w:t>
      </w:r>
    </w:p>
    <w:p>
      <w:pPr>
        <w:spacing w:after="0" w:line="23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July 27, 2022</w:t>
      </w:r>
    </w:p>
    <w:p>
      <w:pPr>
        <w:spacing w:after="0" w:line="23" w:lineRule="exact"/>
        <w:rPr>
          <w:sz w:val="20"/>
          <w:szCs w:val="20"/>
          <w:color w:val="auto"/>
        </w:rPr>
      </w:pPr>
    </w:p>
    <w:p>
      <w:pPr>
        <w:ind w:left="458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pacing w:after="0" w:line="2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18" w:right="339" w:bottom="1440" w:gutter="0" w:footer="0" w:header="0"/>
        </w:sectPr>
      </w:pPr>
    </w:p>
    <w:bookmarkStart w:id="230" w:name="page231"/>
    <w:bookmarkEnd w:id="230"/>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6" w:lineRule="exact"/>
        <w:rPr>
          <w:sz w:val="20"/>
          <w:szCs w:val="20"/>
          <w:color w:val="auto"/>
        </w:rPr>
      </w:pPr>
    </w:p>
    <w:p>
      <w:pPr>
        <w:ind w:firstLine="413"/>
        <w:spacing w:after="0" w:line="277" w:lineRule="auto"/>
        <w:tabs>
          <w:tab w:leader="none" w:pos="64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2022 (the “Report”) fully complies with the requirements of Section 13(a) or Section 15(d), as applicable, of the Securities Exchange Act of 1934, as amended; and</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(ii)the information contained in the Report fairly presents, in all material respects, the financial condition and results of operations of the Company.</w:t>
      </w:r>
    </w:p>
    <w:p>
      <w:pPr>
        <w:spacing w:after="0" w:line="23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July 27, 2022</w:t>
      </w:r>
    </w:p>
    <w:p>
      <w:pPr>
        <w:spacing w:after="0" w:line="23" w:lineRule="exact"/>
        <w:rPr>
          <w:sz w:val="20"/>
          <w:szCs w:val="20"/>
          <w:color w:val="auto"/>
        </w:rPr>
      </w:pPr>
    </w:p>
    <w:p>
      <w:pPr>
        <w:ind w:left="458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David A. Kieske</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Financial Officer</w:t>
      </w:r>
    </w:p>
    <w:p>
      <w:pPr>
        <w:spacing w:after="0" w:line="2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18" w:right="339" w:bottom="1440" w:gutter="0" w:footer="0" w:header="0"/>
        </w:sectPr>
      </w:pPr>
    </w:p>
    <w:bookmarkStart w:id="231" w:name="page232"/>
    <w:bookmarkEnd w:id="231"/>
    <w:p>
      <w:pPr>
        <w:jc w:val="right"/>
        <w:spacing w:after="0"/>
        <w:rPr>
          <w:sz w:val="20"/>
          <w:szCs w:val="20"/>
          <w:color w:val="auto"/>
        </w:rPr>
      </w:pPr>
      <w:r>
        <w:rPr>
          <w:rFonts w:ascii="Arial" w:cs="Arial" w:eastAsia="Arial" w:hAnsi="Arial"/>
          <w:sz w:val="20"/>
          <w:szCs w:val="20"/>
          <w:b w:val="1"/>
          <w:bCs w:val="1"/>
          <w:color w:val="auto"/>
        </w:rPr>
        <w:t>Exhibit 32.3</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L.P. (the “Partnership”), hereby certifies, to such officer's knowledge, that:</w:t>
      </w:r>
    </w:p>
    <w:p>
      <w:pPr>
        <w:spacing w:after="0" w:line="116" w:lineRule="exact"/>
        <w:rPr>
          <w:sz w:val="20"/>
          <w:szCs w:val="20"/>
          <w:color w:val="auto"/>
        </w:rPr>
      </w:pPr>
    </w:p>
    <w:p>
      <w:pPr>
        <w:ind w:right="20" w:firstLine="413"/>
        <w:spacing w:after="0" w:line="308" w:lineRule="auto"/>
        <w:tabs>
          <w:tab w:leader="none" w:pos="642"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Partnership for the quarterly period ended March 31, 2022 (the “Report”) fully complies with the requirements of Section 13(a) or Section 15(d), as applicable, of the Securities Exchange Act of 1934, as amended; and</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(ii)the information contained in the Report fairly presents, in all material respects, the financial condition and results of operations of the Partnership.</w:t>
      </w:r>
    </w:p>
    <w:p>
      <w:pPr>
        <w:spacing w:after="0" w:line="23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July 27, 2022</w:t>
      </w:r>
    </w:p>
    <w:p>
      <w:pPr>
        <w:spacing w:after="0" w:line="23" w:lineRule="exact"/>
        <w:rPr>
          <w:sz w:val="20"/>
          <w:szCs w:val="20"/>
          <w:color w:val="auto"/>
        </w:rPr>
      </w:pPr>
    </w:p>
    <w:p>
      <w:pPr>
        <w:ind w:left="458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pacing w:after="0" w:line="2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w:t>
      </w:r>
    </w:p>
    <w:p>
      <w:pPr>
        <w:sectPr>
          <w:pgSz w:w="11900" w:h="16838" w:orient="portrait"/>
          <w:cols w:equalWidth="0" w:num="1">
            <w:col w:w="11240"/>
          </w:cols>
          <w:pgMar w:left="320" w:top="118"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20"/>
          <w:szCs w:val="20"/>
          <w:b w:val="1"/>
          <w:bCs w:val="1"/>
          <w:color w:val="auto"/>
        </w:rPr>
        <w:t>Exhibit 32.4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L.P. (the “Partnership”), hereby certifies, to such officer's knowledge, that:</w:t>
      </w:r>
    </w:p>
    <w:p>
      <w:pPr>
        <w:spacing w:after="0" w:line="116" w:lineRule="exact"/>
        <w:rPr>
          <w:sz w:val="20"/>
          <w:szCs w:val="20"/>
          <w:color w:val="auto"/>
        </w:rPr>
      </w:pPr>
    </w:p>
    <w:p>
      <w:pPr>
        <w:ind w:right="20" w:firstLine="413"/>
        <w:spacing w:after="0" w:line="308" w:lineRule="auto"/>
        <w:tabs>
          <w:tab w:leader="none" w:pos="642"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Partnership for the quarterly period ended March 31, 2022 (the “Report”) fully complies with the requirements of Section 13(a) or Section 15(d), as applicable, of the Securities Exchange Act of 1934, as amended; and</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(ii)the information contained in the Report fairly presents, in all material respects, the financial condition and results of operations of the Partnership.</w:t>
      </w:r>
    </w:p>
    <w:p>
      <w:pPr>
        <w:spacing w:after="0" w:line="23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July 27, 2022</w:t>
      </w:r>
    </w:p>
    <w:p>
      <w:pPr>
        <w:spacing w:after="0" w:line="23" w:lineRule="exact"/>
        <w:rPr>
          <w:sz w:val="20"/>
          <w:szCs w:val="20"/>
          <w:color w:val="auto"/>
        </w:rPr>
      </w:pPr>
    </w:p>
    <w:p>
      <w:pPr>
        <w:ind w:left="458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David A. Kieske</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Financial Officer</w:t>
      </w:r>
    </w:p>
    <w:p>
      <w:pPr>
        <w:spacing w:after="0" w:line="2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A1821B"/>
    <w:multiLevelType w:val="hybridMultilevel"/>
    <w:lvl w:ilvl="0">
      <w:lvlJc w:val="left"/>
      <w:lvlText w:val="☒"/>
      <w:numFmt w:val="bullet"/>
      <w:start w:val="1"/>
    </w:lvl>
  </w:abstractNum>
  <w:abstractNum w:abstractNumId="1">
    <w:nsid w:val="7DE67713"/>
    <w:multiLevelType w:val="hybridMultilevel"/>
    <w:lvl w:ilvl="0">
      <w:lvlJc w:val="left"/>
      <w:lvlText w:val="☐"/>
      <w:numFmt w:val="bullet"/>
      <w:start w:val="1"/>
    </w:lvl>
  </w:abstractNum>
  <w:abstractNum w:abstractNumId="2">
    <w:nsid w:val="555C55B5"/>
    <w:multiLevelType w:val="hybridMultilevel"/>
    <w:lvl w:ilvl="0">
      <w:lvlJc w:val="left"/>
      <w:lvlText w:val="•"/>
      <w:numFmt w:val="bullet"/>
      <w:start w:val="1"/>
    </w:lvl>
  </w:abstractNum>
  <w:abstractNum w:abstractNumId="3">
    <w:nsid w:val="3FA62ACA"/>
    <w:multiLevelType w:val="hybridMultilevel"/>
    <w:lvl w:ilvl="0">
      <w:lvlJc w:val="left"/>
      <w:lvlText w:val="•"/>
      <w:numFmt w:val="bullet"/>
      <w:start w:val="1"/>
    </w:lvl>
  </w:abstractNum>
  <w:abstractNum w:abstractNumId="4">
    <w:nsid w:val="14FCE74E"/>
    <w:multiLevelType w:val="hybridMultilevel"/>
    <w:lvl w:ilvl="0">
      <w:lvlJc w:val="left"/>
      <w:lvlText w:val="•"/>
      <w:numFmt w:val="bullet"/>
      <w:start w:val="1"/>
    </w:lvl>
  </w:abstractNum>
  <w:abstractNum w:abstractNumId="5">
    <w:nsid w:val="6A3DD3E8"/>
    <w:multiLevelType w:val="hybridMultilevel"/>
    <w:lvl w:ilvl="0">
      <w:lvlJc w:val="left"/>
      <w:lvlText w:val="•"/>
      <w:numFmt w:val="bullet"/>
      <w:start w:val="1"/>
    </w:lvl>
  </w:abstractNum>
  <w:abstractNum w:abstractNumId="6">
    <w:nsid w:val="71C91298"/>
    <w:multiLevelType w:val="hybridMultilevel"/>
    <w:lvl w:ilvl="0">
      <w:lvlJc w:val="left"/>
      <w:lvlText w:val="•"/>
      <w:numFmt w:val="bullet"/>
      <w:start w:val="1"/>
    </w:lvl>
  </w:abstractNum>
  <w:abstractNum w:abstractNumId="7">
    <w:nsid w:val="9DAF632"/>
    <w:multiLevelType w:val="hybridMultilevel"/>
    <w:lvl w:ilvl="0">
      <w:lvlJc w:val="left"/>
      <w:lvlText w:val="(%1)"/>
      <w:numFmt w:val="decimal"/>
      <w:start w:val="1"/>
    </w:lvl>
  </w:abstractNum>
  <w:abstractNum w:abstractNumId="8">
    <w:nsid w:val="53299938"/>
    <w:multiLevelType w:val="hybridMultilevel"/>
    <w:lvl w:ilvl="0">
      <w:lvlJc w:val="left"/>
      <w:lvlText w:val="$"/>
      <w:numFmt w:val="bullet"/>
      <w:start w:val="1"/>
    </w:lvl>
  </w:abstractNum>
  <w:abstractNum w:abstractNumId="9">
    <w:nsid w:val="1FBFE8E0"/>
    <w:multiLevelType w:val="hybridMultilevel"/>
    <w:lvl w:ilvl="0">
      <w:lvlJc w:val="left"/>
      <w:lvlText w:val="$"/>
      <w:numFmt w:val="bullet"/>
      <w:start w:val="1"/>
    </w:lvl>
  </w:abstractNum>
  <w:abstractNum w:abstractNumId="10">
    <w:nsid w:val="5092CA79"/>
    <w:multiLevelType w:val="hybridMultilevel"/>
    <w:lvl w:ilvl="0">
      <w:lvlJc w:val="left"/>
      <w:lvlText w:val="(%1)"/>
      <w:numFmt w:val="decimal"/>
      <w:start w:val="1"/>
    </w:lvl>
  </w:abstractNum>
  <w:abstractNum w:abstractNumId="11">
    <w:nsid w:val="1D545C4D"/>
    <w:multiLevelType w:val="hybridMultilevel"/>
    <w:lvl w:ilvl="0">
      <w:lvlJc w:val="left"/>
      <w:lvlText w:val="•"/>
      <w:numFmt w:val="bullet"/>
      <w:start w:val="1"/>
    </w:lvl>
  </w:abstractNum>
  <w:abstractNum w:abstractNumId="12">
    <w:nsid w:val="59ADEA3D"/>
    <w:multiLevelType w:val="hybridMultilevel"/>
    <w:lvl w:ilvl="0">
      <w:lvlJc w:val="left"/>
      <w:lvlText w:val="(%1)"/>
      <w:numFmt w:val="decimal"/>
      <w:start w:val="1"/>
    </w:lvl>
  </w:abstractNum>
  <w:abstractNum w:abstractNumId="13">
    <w:nsid w:val="288F1A34"/>
    <w:multiLevelType w:val="hybridMultilevel"/>
    <w:lvl w:ilvl="0">
      <w:lvlJc w:val="left"/>
      <w:lvlText w:val="(%1)"/>
      <w:numFmt w:val="decimal"/>
      <w:start w:val="1"/>
    </w:lvl>
  </w:abstractNum>
  <w:abstractNum w:abstractNumId="14">
    <w:nsid w:val="2A155DBC"/>
    <w:multiLevelType w:val="hybridMultilevel"/>
    <w:lvl w:ilvl="0">
      <w:lvlJc w:val="left"/>
      <w:lvlText w:val="(%1)"/>
      <w:numFmt w:val="decimal"/>
      <w:start w:val="1"/>
    </w:lvl>
  </w:abstractNum>
  <w:abstractNum w:abstractNumId="15">
    <w:nsid w:val="1D9F6E5F"/>
    <w:multiLevelType w:val="hybridMultilevel"/>
    <w:lvl w:ilvl="0">
      <w:lvlJc w:val="left"/>
      <w:lvlText w:val="(%1)"/>
      <w:numFmt w:val="decimal"/>
      <w:start w:val="1"/>
    </w:lvl>
  </w:abstractNum>
  <w:abstractNum w:abstractNumId="16">
    <w:nsid w:val="97E1B4E"/>
    <w:multiLevelType w:val="hybridMultilevel"/>
    <w:lvl w:ilvl="0">
      <w:lvlJc w:val="left"/>
      <w:lvlText w:val="&gt;"/>
      <w:numFmt w:val="bullet"/>
      <w:start w:val="1"/>
    </w:lvl>
  </w:abstractNum>
  <w:abstractNum w:abstractNumId="17">
    <w:nsid w:val="51088277"/>
    <w:multiLevelType w:val="hybridMultilevel"/>
    <w:lvl w:ilvl="0">
      <w:lvlJc w:val="left"/>
      <w:lvlText w:val="%1:"/>
      <w:numFmt w:val="decimal"/>
      <w:start w:val="11"/>
    </w:lvl>
  </w:abstractNum>
  <w:abstractNum w:abstractNumId="18">
    <w:nsid w:val="1CA0C5FA"/>
    <w:multiLevelType w:val="hybridMultilevel"/>
    <w:lvl w:ilvl="0">
      <w:lvlJc w:val="left"/>
      <w:lvlText w:val="(%1)"/>
      <w:numFmt w:val="decimal"/>
      <w:start w:val="1"/>
    </w:lvl>
  </w:abstractNum>
  <w:abstractNum w:abstractNumId="19">
    <w:nsid w:val="53584BCB"/>
    <w:multiLevelType w:val="hybridMultilevel"/>
    <w:lvl w:ilvl="0">
      <w:lvlJc w:val="left"/>
      <w:lvlText w:val="(%1)"/>
      <w:numFmt w:val="decimal"/>
      <w:start w:val="1"/>
    </w:lvl>
  </w:abstractNum>
  <w:abstractNum w:abstractNumId="20">
    <w:nsid w:val="415E286C"/>
    <w:multiLevelType w:val="hybridMultilevel"/>
    <w:lvl w:ilvl="0">
      <w:lvlJc w:val="left"/>
      <w:lvlText w:val="(%1)"/>
      <w:numFmt w:val="decimal"/>
      <w:start w:val="1"/>
    </w:lvl>
  </w:abstractNum>
  <w:abstractNum w:abstractNumId="21">
    <w:nsid w:val="7C58FD05"/>
    <w:multiLevelType w:val="hybridMultilevel"/>
    <w:lvl w:ilvl="0">
      <w:lvlJc w:val="left"/>
      <w:lvlText w:val="(%1)"/>
      <w:numFmt w:val="decimal"/>
      <w:start w:val="1"/>
    </w:lvl>
  </w:abstractNum>
  <w:abstractNum w:abstractNumId="22">
    <w:nsid w:val="23D86AAC"/>
    <w:multiLevelType w:val="hybridMultilevel"/>
    <w:lvl w:ilvl="0">
      <w:lvlJc w:val="left"/>
      <w:lvlText w:val="(%1)"/>
      <w:numFmt w:val="decimal"/>
      <w:start w:val="1"/>
    </w:lvl>
  </w:abstractNum>
  <w:abstractNum w:abstractNumId="23">
    <w:nsid w:val="45E6D486"/>
    <w:multiLevelType w:val="hybridMultilevel"/>
    <w:lvl w:ilvl="0">
      <w:lvlJc w:val="left"/>
      <w:lvlText w:val="(%1)"/>
      <w:numFmt w:val="decimal"/>
      <w:start w:val="1"/>
    </w:lvl>
  </w:abstractNum>
  <w:abstractNum w:abstractNumId="24">
    <w:nsid w:val="5C10FE21"/>
    <w:multiLevelType w:val="hybridMultilevel"/>
    <w:lvl w:ilvl="0">
      <w:lvlJc w:val="left"/>
      <w:lvlText w:val="(%1)"/>
      <w:numFmt w:val="decimal"/>
      <w:start w:val="1"/>
    </w:lvl>
  </w:abstractNum>
  <w:abstractNum w:abstractNumId="25">
    <w:nsid w:val="E7FFA2B"/>
    <w:multiLevelType w:val="hybridMultilevel"/>
    <w:lvl w:ilvl="0">
      <w:lvlJc w:val="left"/>
      <w:lvlText w:val="(%1)"/>
      <w:numFmt w:val="lowerRoman"/>
      <w:start w:val="3"/>
    </w:lvl>
  </w:abstractNum>
  <w:abstractNum w:abstractNumId="26">
    <w:nsid w:val="3C5991AA"/>
    <w:multiLevelType w:val="hybridMultilevel"/>
    <w:lvl w:ilvl="0">
      <w:lvlJc w:val="left"/>
      <w:lvlText w:val="(%1)"/>
      <w:numFmt w:val="decimal"/>
      <w:start w:val="1"/>
    </w:lvl>
  </w:abstractNum>
  <w:abstractNum w:abstractNumId="27">
    <w:nsid w:val="4BD8591A"/>
    <w:multiLevelType w:val="hybridMultilevel"/>
    <w:lvl w:ilvl="0">
      <w:lvlJc w:val="left"/>
      <w:lvlText w:val="(%1)"/>
      <w:numFmt w:val="decimal"/>
      <w:start w:val="1"/>
    </w:lvl>
  </w:abstractNum>
  <w:abstractNum w:abstractNumId="28">
    <w:nsid w:val="78DF6A55"/>
    <w:multiLevelType w:val="hybridMultilevel"/>
    <w:lvl w:ilvl="0">
      <w:lvlJc w:val="left"/>
      <w:lvlText w:val="(%1)"/>
      <w:numFmt w:val="decimal"/>
      <w:start w:val="1"/>
    </w:lvl>
  </w:abstractNum>
  <w:abstractNum w:abstractNumId="29">
    <w:nsid w:val="39B7AAA2"/>
    <w:multiLevelType w:val="hybridMultilevel"/>
    <w:lvl w:ilvl="0">
      <w:lvlJc w:val="left"/>
      <w:lvlText w:val="(%1)"/>
      <w:numFmt w:val="decimal"/>
      <w:start w:val="1"/>
    </w:lvl>
  </w:abstractNum>
  <w:abstractNum w:abstractNumId="30">
    <w:nsid w:val="2B0D8DBE"/>
    <w:multiLevelType w:val="hybridMultilevel"/>
    <w:lvl w:ilvl="0">
      <w:lvlJc w:val="left"/>
      <w:lvlText w:val="•"/>
      <w:numFmt w:val="bullet"/>
      <w:start w:val="1"/>
    </w:lvl>
  </w:abstractNum>
  <w:abstractNum w:abstractNumId="31">
    <w:nsid w:val="6C80EC70"/>
    <w:multiLevelType w:val="hybridMultilevel"/>
    <w:lvl w:ilvl="0">
      <w:lvlJc w:val="left"/>
      <w:lvlText w:val="•"/>
      <w:numFmt w:val="bullet"/>
      <w:start w:val="1"/>
    </w:lvl>
  </w:abstractNum>
  <w:abstractNum w:abstractNumId="32">
    <w:nsid w:val="379E21B5"/>
    <w:multiLevelType w:val="hybridMultilevel"/>
    <w:lvl w:ilvl="0">
      <w:lvlJc w:val="left"/>
      <w:lvlText w:val="•"/>
      <w:numFmt w:val="bullet"/>
      <w:start w:val="1"/>
    </w:lvl>
  </w:abstractNum>
  <w:abstractNum w:abstractNumId="33">
    <w:nsid w:val="69E373"/>
    <w:multiLevelType w:val="hybridMultilevel"/>
    <w:lvl w:ilvl="0">
      <w:lvlJc w:val="left"/>
      <w:lvlText w:val="•"/>
      <w:numFmt w:val="bullet"/>
      <w:start w:val="1"/>
    </w:lvl>
  </w:abstractNum>
  <w:abstractNum w:abstractNumId="34">
    <w:nsid w:val="2C27173B"/>
    <w:multiLevelType w:val="hybridMultilevel"/>
    <w:lvl w:ilvl="0">
      <w:lvlJc w:val="left"/>
      <w:lvlText w:val="•"/>
      <w:numFmt w:val="bullet"/>
      <w:start w:val="1"/>
    </w:lvl>
  </w:abstractNum>
  <w:abstractNum w:abstractNumId="35">
    <w:nsid w:val="4C9B0904"/>
    <w:multiLevelType w:val="hybridMultilevel"/>
    <w:lvl w:ilvl="0">
      <w:lvlJc w:val="left"/>
      <w:lvlText w:val="(%1)"/>
      <w:numFmt w:val="decimal"/>
      <w:start w:val="1"/>
    </w:lvl>
  </w:abstractNum>
  <w:abstractNum w:abstractNumId="36">
    <w:nsid w:val="6AA7B75C"/>
    <w:multiLevelType w:val="hybridMultilevel"/>
    <w:lvl w:ilvl="0">
      <w:lvlJc w:val="left"/>
      <w:lvlText w:val="(%1)"/>
      <w:numFmt w:val="decimal"/>
      <w:start w:val="1"/>
    </w:lvl>
  </w:abstractNum>
  <w:abstractNum w:abstractNumId="37">
    <w:nsid w:val="1DF029D3"/>
    <w:multiLevelType w:val="hybridMultilevel"/>
    <w:lvl w:ilvl="0">
      <w:lvlJc w:val="left"/>
      <w:lvlText w:val="(%1)"/>
      <w:numFmt w:val="decimal"/>
      <w:start w:val="1"/>
    </w:lvl>
  </w:abstractNum>
  <w:abstractNum w:abstractNumId="38">
    <w:nsid w:val="5675FF36"/>
    <w:multiLevelType w:val="hybridMultilevel"/>
    <w:lvl w:ilvl="0">
      <w:lvlJc w:val="left"/>
      <w:lvlText w:val="(%1)"/>
      <w:numFmt w:val="decimal"/>
      <w:start w:val="1"/>
    </w:lvl>
  </w:abstractNum>
  <w:abstractNum w:abstractNumId="39">
    <w:nsid w:val="3DD15094"/>
    <w:multiLevelType w:val="hybridMultilevel"/>
    <w:lvl w:ilvl="0">
      <w:lvlJc w:val="left"/>
      <w:lvlText w:val="•"/>
      <w:numFmt w:val="bullet"/>
      <w:start w:val="1"/>
    </w:lvl>
  </w:abstractNum>
  <w:abstractNum w:abstractNumId="40">
    <w:nsid w:val="3DB012B3"/>
    <w:multiLevelType w:val="hybridMultilevel"/>
    <w:lvl w:ilvl="0">
      <w:lvlJc w:val="left"/>
      <w:lvlText w:val="•"/>
      <w:numFmt w:val="bullet"/>
      <w:start w:val="1"/>
    </w:lvl>
  </w:abstractNum>
  <w:abstractNum w:abstractNumId="41">
    <w:nsid w:val="2708C9AF"/>
    <w:multiLevelType w:val="hybridMultilevel"/>
    <w:lvl w:ilvl="0">
      <w:lvlJc w:val="left"/>
      <w:lvlText w:val="•"/>
      <w:numFmt w:val="bullet"/>
      <w:start w:val="1"/>
    </w:lvl>
  </w:abstractNum>
  <w:abstractNum w:abstractNumId="42">
    <w:nsid w:val="5B25ACE2"/>
    <w:multiLevelType w:val="hybridMultilevel"/>
    <w:lvl w:ilvl="0">
      <w:lvlJc w:val="left"/>
      <w:lvlText w:val="•"/>
      <w:numFmt w:val="bullet"/>
      <w:start w:val="1"/>
    </w:lvl>
  </w:abstractNum>
  <w:abstractNum w:abstractNumId="43">
    <w:nsid w:val="175DFCF0"/>
    <w:multiLevelType w:val="hybridMultilevel"/>
    <w:lvl w:ilvl="0">
      <w:lvlJc w:val="left"/>
      <w:lvlText w:val="*"/>
      <w:numFmt w:val="bullet"/>
      <w:start w:val="1"/>
    </w:lvl>
    <w:lvl w:ilvl="1">
      <w:lvlJc w:val="left"/>
      <w:lvlText w:val="%2"/>
      <w:numFmt w:val="decimal"/>
      <w:start w:val="104"/>
    </w:lvl>
  </w:abstractNum>
  <w:abstractNum w:abstractNumId="44">
    <w:nsid w:val="4F97E3E4"/>
    <w:multiLevelType w:val="hybridMultilevel"/>
    <w:lvl w:ilvl="0">
      <w:lvlJc w:val="left"/>
      <w:lvlText w:val="+"/>
      <w:numFmt w:val="bullet"/>
      <w:start w:val="1"/>
    </w:lvl>
  </w:abstractNum>
  <w:abstractNum w:abstractNumId="45">
    <w:nsid w:val="53B0A9E"/>
    <w:multiLevelType w:val="hybridMultilevel"/>
    <w:lvl w:ilvl="0">
      <w:lvlJc w:val="left"/>
      <w:lvlText w:val="(%1)"/>
      <w:numFmt w:val="lowerLetter"/>
      <w:start w:val="1"/>
    </w:lvl>
  </w:abstractNum>
  <w:abstractNum w:abstractNumId="46">
    <w:nsid w:val="34FD6B4F"/>
    <w:multiLevelType w:val="hybridMultilevel"/>
    <w:lvl w:ilvl="0">
      <w:lvlJc w:val="left"/>
      <w:lvlText w:val="(%1)"/>
      <w:numFmt w:val="decimal"/>
      <w:start w:val="1"/>
    </w:lvl>
  </w:abstractNum>
  <w:abstractNum w:abstractNumId="47">
    <w:nsid w:val="5915FF32"/>
    <w:multiLevelType w:val="hybridMultilevel"/>
    <w:lvl w:ilvl="0">
      <w:lvlJc w:val="left"/>
      <w:lvlText w:val="1"/>
      <w:numFmt w:val="bullet"/>
      <w:start w:val="1"/>
    </w:lvl>
  </w:abstractNum>
  <w:abstractNum w:abstractNumId="48">
    <w:nsid w:val="56438D15"/>
    <w:multiLevelType w:val="hybridMultilevel"/>
    <w:lvl w:ilvl="0">
      <w:lvlJc w:val="left"/>
      <w:lvlText w:val="A"/>
      <w:numFmt w:val="bullet"/>
      <w:start w:val="1"/>
    </w:lvl>
  </w:abstractNum>
  <w:abstractNum w:abstractNumId="49">
    <w:nsid w:val="519E3149"/>
    <w:multiLevelType w:val="hybridMultilevel"/>
    <w:lvl w:ilvl="0">
      <w:lvlJc w:val="left"/>
      <w:lvlText w:val="(%1)"/>
      <w:numFmt w:val="lowerRoman"/>
      <w:start w:val="4"/>
    </w:lvl>
  </w:abstractNum>
  <w:abstractNum w:abstractNumId="50">
    <w:nsid w:val="2C6E4AFD"/>
    <w:multiLevelType w:val="hybridMultilevel"/>
    <w:lvl w:ilvl="0">
      <w:lvlJc w:val="left"/>
      <w:lvlText w:val="(%1)"/>
      <w:numFmt w:val="decimal"/>
      <w:start w:val="1"/>
    </w:lvl>
  </w:abstractNum>
  <w:abstractNum w:abstractNumId="51">
    <w:nsid w:val="17A1B582"/>
    <w:multiLevelType w:val="hybridMultilevel"/>
    <w:lvl w:ilvl="0">
      <w:lvlJc w:val="left"/>
      <w:lvlText w:val="(%1)"/>
      <w:numFmt w:val="decimal"/>
      <w:start w:val="1"/>
    </w:lvl>
  </w:abstractNum>
  <w:abstractNum w:abstractNumId="52">
    <w:nsid w:val="4DF72E4E"/>
    <w:multiLevelType w:val="hybridMultilevel"/>
    <w:lvl w:ilvl="0">
      <w:lvlJc w:val="left"/>
      <w:lvlText w:val="(%1)"/>
      <w:numFmt w:val="lowerLetter"/>
      <w:start w:val="10"/>
    </w:lvl>
  </w:abstractNum>
  <w:abstractNum w:abstractNumId="53">
    <w:nsid w:val="5046B5A9"/>
    <w:multiLevelType w:val="hybridMultilevel"/>
    <w:lvl w:ilvl="0">
      <w:lvlJc w:val="left"/>
      <w:lvlText w:val="(%1)"/>
      <w:numFmt w:val="lowerLetter"/>
      <w:start w:val="1"/>
    </w:lvl>
  </w:abstractNum>
  <w:abstractNum w:abstractNumId="54">
    <w:nsid w:val="5D888A08"/>
    <w:multiLevelType w:val="hybridMultilevel"/>
    <w:lvl w:ilvl="0">
      <w:lvlJc w:val="left"/>
      <w:lvlText w:val="(%1)"/>
      <w:numFmt w:val="lowerRoman"/>
      <w:start w:val="1"/>
    </w:lvl>
  </w:abstractNum>
  <w:abstractNum w:abstractNumId="55">
    <w:nsid w:val="2A082C70"/>
    <w:multiLevelType w:val="hybridMultilevel"/>
    <w:lvl w:ilvl="0">
      <w:lvlJc w:val="left"/>
      <w:lvlText w:val="(%1)"/>
      <w:numFmt w:val="lowerLetter"/>
      <w:start w:val="1"/>
    </w:lvl>
  </w:abstractNum>
  <w:abstractNum w:abstractNumId="56">
    <w:nsid w:val="5EC6AFD4"/>
    <w:multiLevelType w:val="hybridMultilevel"/>
    <w:lvl w:ilvl="0">
      <w:lvlJc w:val="left"/>
      <w:lvlText w:val="(%1)"/>
      <w:numFmt w:val="lowerRoman"/>
      <w:start w:val="1"/>
    </w:lvl>
  </w:abstractNum>
  <w:abstractNum w:abstractNumId="57">
    <w:nsid w:val="19E21BB2"/>
    <w:multiLevelType w:val="hybridMultilevel"/>
    <w:lvl w:ilvl="0">
      <w:lvlJc w:val="left"/>
      <w:lvlText w:val="(%1)"/>
      <w:numFmt w:val="lowerRoman"/>
      <w:start w:val="2"/>
    </w:lvl>
  </w:abstractNum>
  <w:abstractNum w:abstractNumId="58">
    <w:nsid w:val="75E0858A"/>
    <w:multiLevelType w:val="hybridMultilevel"/>
    <w:lvl w:ilvl="0">
      <w:lvlJc w:val="left"/>
      <w:lvlText w:val="(%1)"/>
      <w:numFmt w:val="lowerRoman"/>
      <w:start w:val="2"/>
    </w:lvl>
  </w:abstractNum>
  <w:abstractNum w:abstractNumId="59">
    <w:nsid w:val="57A61A29"/>
    <w:multiLevelType w:val="hybridMultilevel"/>
    <w:lvl w:ilvl="0">
      <w:lvlJc w:val="left"/>
      <w:lvlText w:val="(%1)"/>
      <w:numFmt w:val="lowerRoman"/>
      <w:start w:val="5"/>
    </w:lvl>
  </w:abstractNum>
  <w:abstractNum w:abstractNumId="60">
    <w:nsid w:val="5399C654"/>
    <w:multiLevelType w:val="hybridMultilevel"/>
    <w:lvl w:ilvl="0">
      <w:lvlJc w:val="left"/>
      <w:lvlText w:val="(%1)"/>
      <w:numFmt w:val="lowerLetter"/>
      <w:start w:val="1"/>
    </w:lvl>
  </w:abstractNum>
  <w:abstractNum w:abstractNumId="61">
    <w:nsid w:val="20EE1348"/>
    <w:multiLevelType w:val="hybridMultilevel"/>
    <w:lvl w:ilvl="0">
      <w:lvlJc w:val="left"/>
      <w:lvlText w:val="(%1)"/>
      <w:numFmt w:val="lowerLetter"/>
      <w:start w:val="2"/>
    </w:lvl>
  </w:abstractNum>
  <w:abstractNum w:abstractNumId="62">
    <w:nsid w:val="4427069A"/>
    <w:multiLevelType w:val="hybridMultilevel"/>
    <w:lvl w:ilvl="0">
      <w:lvlJc w:val="left"/>
      <w:lvlText w:val="(%1)"/>
      <w:numFmt w:val="lowerLetter"/>
      <w:start w:val="2"/>
    </w:lvl>
  </w:abstractNum>
  <w:abstractNum w:abstractNumId="63">
    <w:nsid w:val="B37E80A"/>
    <w:multiLevelType w:val="hybridMultilevel"/>
    <w:lvl w:ilvl="0">
      <w:lvlJc w:val="left"/>
      <w:lvlText w:val="(%1)"/>
      <w:numFmt w:val="lowerLetter"/>
      <w:start w:val="4"/>
    </w:lvl>
  </w:abstractNum>
  <w:abstractNum w:abstractNumId="64">
    <w:nsid w:val="2157F6BC"/>
    <w:multiLevelType w:val="hybridMultilevel"/>
    <w:lvl w:ilvl="0">
      <w:lvlJc w:val="left"/>
      <w:lvlText w:val="%1."/>
      <w:numFmt w:val="decimal"/>
      <w:start w:val="1"/>
    </w:lvl>
    <w:lvl w:ilvl="1">
      <w:lvlJc w:val="left"/>
      <w:lvlText w:val="(%2)"/>
      <w:numFmt w:val="lowerLetter"/>
      <w:start w:val="26"/>
    </w:lvl>
  </w:abstractNum>
  <w:abstractNum w:abstractNumId="65">
    <w:nsid w:val="704E1DD5"/>
    <w:multiLevelType w:val="hybridMultilevel"/>
    <w:lvl w:ilvl="0">
      <w:lvlJc w:val="left"/>
      <w:lvlText w:val="%1."/>
      <w:numFmt w:val="decimal"/>
      <w:start w:val="2"/>
    </w:lvl>
  </w:abstractNum>
  <w:abstractNum w:abstractNumId="66">
    <w:nsid w:val="57D2F10E"/>
    <w:multiLevelType w:val="hybridMultilevel"/>
    <w:lvl w:ilvl="0">
      <w:lvlJc w:val="left"/>
      <w:lvlText w:val="(%1)"/>
      <w:numFmt w:val="lowerLetter"/>
      <w:start w:val="2"/>
    </w:lvl>
  </w:abstractNum>
  <w:abstractNum w:abstractNumId="67">
    <w:nsid w:val="BFFAE18"/>
    <w:multiLevelType w:val="hybridMultilevel"/>
    <w:lvl w:ilvl="0">
      <w:lvlJc w:val="left"/>
      <w:lvlText w:val="(%1)"/>
      <w:numFmt w:val="lowerLetter"/>
      <w:start w:val="2"/>
    </w:lvl>
  </w:abstractNum>
  <w:abstractNum w:abstractNumId="68">
    <w:nsid w:val="E3E47A8"/>
    <w:multiLevelType w:val="hybridMultilevel"/>
    <w:lvl w:ilvl="0">
      <w:lvlJc w:val="left"/>
      <w:lvlText w:val="%1"/>
      <w:numFmt w:val="lowerLetter"/>
      <w:start w:val="1"/>
    </w:lvl>
    <w:lvl w:ilvl="1">
      <w:lvlJc w:val="left"/>
      <w:lvlText w:val="(%2)"/>
      <w:numFmt w:val="lowerLetter"/>
      <w:start w:val="3"/>
    </w:lvl>
  </w:abstractNum>
  <w:abstractNum w:abstractNumId="69">
    <w:nsid w:val="2E48F044"/>
    <w:multiLevelType w:val="hybridMultilevel"/>
    <w:lvl w:ilvl="0">
      <w:lvlJc w:val="left"/>
      <w:lvlText w:val="(%1)"/>
      <w:numFmt w:val="lowerLetter"/>
      <w:start w:val="4"/>
    </w:lvl>
    <w:lvl w:ilvl="1">
      <w:lvlJc w:val="left"/>
      <w:lvlText w:val="%2"/>
      <w:numFmt w:val="lowerLetter"/>
      <w:start w:val="1"/>
    </w:lvl>
  </w:abstractNum>
  <w:abstractNum w:abstractNumId="70">
    <w:nsid w:val="49D0FEAC"/>
    <w:multiLevelType w:val="hybridMultilevel"/>
    <w:lvl w:ilvl="0">
      <w:lvlJc w:val="left"/>
      <w:lvlText w:val="(%1)"/>
      <w:numFmt w:val="lowerLetter"/>
      <w:start w:val="1"/>
    </w:lvl>
  </w:abstractNum>
  <w:abstractNum w:abstractNumId="71">
    <w:nsid w:val="4BEE5A5B"/>
    <w:multiLevelType w:val="hybridMultilevel"/>
    <w:lvl w:ilvl="0">
      <w:lvlJc w:val="left"/>
      <w:lvlText w:val="(%1)"/>
      <w:numFmt w:val="lowerLetter"/>
      <w:start w:val="1"/>
    </w:lvl>
  </w:abstractNum>
  <w:abstractNum w:abstractNumId="72">
    <w:nsid w:val="5551B9F3"/>
    <w:multiLevelType w:val="hybridMultilevel"/>
    <w:lvl w:ilvl="0">
      <w:lvlJc w:val="left"/>
      <w:lvlText w:val="(%1)"/>
      <w:numFmt w:val="lowerLetter"/>
      <w:start w:val="1"/>
    </w:lvl>
  </w:abstractNum>
  <w:abstractNum w:abstractNumId="73">
    <w:nsid w:val="24F6AB8E"/>
    <w:multiLevelType w:val="hybridMultilevel"/>
    <w:lvl w:ilvl="0">
      <w:lvlJc w:val="left"/>
      <w:lvlText w:val="(%1)"/>
      <w:numFmt w:val="lowerLetter"/>
      <w:start w:val="2"/>
    </w:lvl>
  </w:abstractNum>
  <w:abstractNum w:abstractNumId="74">
    <w:nsid w:val="634C574C"/>
    <w:multiLevelType w:val="hybridMultilevel"/>
    <w:lvl w:ilvl="0">
      <w:lvlJc w:val="left"/>
      <w:lvlText w:val="(%1)"/>
      <w:numFmt w:val="lowerLetter"/>
      <w:start w:val="1"/>
    </w:lvl>
  </w:abstractNum>
  <w:abstractNum w:abstractNumId="75">
    <w:nsid w:val="24E99DD7"/>
    <w:multiLevelType w:val="hybridMultilevel"/>
    <w:lvl w:ilvl="0">
      <w:lvlJc w:val="left"/>
      <w:lvlText w:val="%1"/>
      <w:numFmt w:val="lowerLetter"/>
      <w:start w:val="1"/>
    </w:lvl>
    <w:lvl w:ilvl="1">
      <w:lvlJc w:val="left"/>
      <w:lvlText w:val="(%2)"/>
      <w:numFmt w:val="lowerLetter"/>
      <w:start w:val="1"/>
    </w:lvl>
  </w:abstractNum>
  <w:abstractNum w:abstractNumId="76">
    <w:nsid w:val="2A31B62D"/>
    <w:multiLevelType w:val="hybridMultilevel"/>
    <w:lvl w:ilvl="0">
      <w:lvlJc w:val="left"/>
      <w:lvlText w:val="(%1)"/>
      <w:numFmt w:val="lowerLetter"/>
      <w:start w:val="35"/>
    </w:lvl>
    <w:lvl w:ilvl="1">
      <w:lvlJc w:val="left"/>
      <w:lvlText w:val="%2"/>
      <w:numFmt w:val="lowerLetter"/>
      <w:start w:val="1"/>
    </w:lvl>
  </w:abstractNum>
  <w:abstractNum w:abstractNumId="77">
    <w:nsid w:val="1849C29B"/>
    <w:multiLevelType w:val="hybridMultilevel"/>
    <w:lvl w:ilvl="0">
      <w:lvlJc w:val="left"/>
      <w:lvlText w:val="(%1)"/>
      <w:numFmt w:val="lowerLetter"/>
      <w:start w:val="1"/>
    </w:lvl>
  </w:abstractNum>
  <w:abstractNum w:abstractNumId="78">
    <w:nsid w:val="7DFF9D09"/>
    <w:multiLevelType w:val="hybridMultilevel"/>
    <w:lvl w:ilvl="0">
      <w:lvlJc w:val="left"/>
      <w:lvlText w:val="(%1)"/>
      <w:numFmt w:val="lowerLetter"/>
      <w:start w:val="2"/>
    </w:lvl>
  </w:abstractNum>
  <w:abstractNum w:abstractNumId="79">
    <w:nsid w:val="754342"/>
    <w:multiLevelType w:val="hybridMultilevel"/>
    <w:lvl w:ilvl="0">
      <w:lvlJc w:val="left"/>
      <w:lvlText w:val="(%1)"/>
      <w:numFmt w:val="lowerLetter"/>
      <w:start w:val="1"/>
    </w:lvl>
  </w:abstractNum>
  <w:abstractNum w:abstractNumId="80">
    <w:nsid w:val="69E7F3E5"/>
    <w:multiLevelType w:val="hybridMultilevel"/>
    <w:lvl w:ilvl="0">
      <w:lvlJc w:val="left"/>
      <w:lvlText w:val="(%1)"/>
      <w:numFmt w:val="lowerLetter"/>
      <w:start w:val="1"/>
    </w:lvl>
  </w:abstractNum>
  <w:abstractNum w:abstractNumId="81">
    <w:nsid w:val="2A6DE806"/>
    <w:multiLevelType w:val="hybridMultilevel"/>
    <w:lvl w:ilvl="0">
      <w:lvlJc w:val="left"/>
      <w:lvlText w:val="(%1)"/>
      <w:numFmt w:val="lowerRoman"/>
      <w:start w:val="1"/>
    </w:lvl>
  </w:abstractNum>
  <w:abstractNum w:abstractNumId="82">
    <w:nsid w:val="1816F8C4"/>
    <w:multiLevelType w:val="hybridMultilevel"/>
    <w:lvl w:ilvl="0">
      <w:lvlJc w:val="left"/>
      <w:lvlText w:val="(%1)"/>
      <w:numFmt w:val="lowerRoman"/>
      <w:start w:val="10"/>
    </w:lvl>
  </w:abstractNum>
  <w:abstractNum w:abstractNumId="83">
    <w:nsid w:val="37DF2233"/>
    <w:multiLevelType w:val="hybridMultilevel"/>
    <w:lvl w:ilvl="0">
      <w:lvlJc w:val="left"/>
      <w:lvlText w:val="(%1)"/>
      <w:numFmt w:val="lowerRoman"/>
      <w:start w:val="1"/>
    </w:lvl>
  </w:abstractNum>
  <w:abstractNum w:abstractNumId="84">
    <w:nsid w:val="7AB49DAF"/>
    <w:multiLevelType w:val="hybridMultilevel"/>
    <w:lvl w:ilvl="0">
      <w:lvlJc w:val="left"/>
      <w:lvlText w:val="(%1)"/>
      <w:numFmt w:val="lowerLetter"/>
      <w:start w:val="25"/>
    </w:lvl>
    <w:lvl w:ilvl="1">
      <w:lvlJc w:val="left"/>
      <w:lvlText w:val="(%2)"/>
      <w:numFmt w:val="lowerLetter"/>
      <w:start w:val="2"/>
    </w:lvl>
  </w:abstractNum>
  <w:abstractNum w:abstractNumId="85">
    <w:nsid w:val="759F82CD"/>
    <w:multiLevelType w:val="hybridMultilevel"/>
    <w:lvl w:ilvl="0">
      <w:lvlJc w:val="left"/>
      <w:lvlText w:val="(%1)"/>
      <w:numFmt w:val="lowerLetter"/>
      <w:start w:val="3"/>
    </w:lvl>
    <w:lvl w:ilvl="1">
      <w:lvlJc w:val="left"/>
      <w:lvlText w:val="(%2)"/>
      <w:numFmt w:val="lowerLetter"/>
      <w:start w:val="4"/>
    </w:lvl>
  </w:abstractNum>
  <w:abstractNum w:abstractNumId="86">
    <w:nsid w:val="61E74EA3"/>
    <w:multiLevelType w:val="hybridMultilevel"/>
    <w:lvl w:ilvl="0">
      <w:lvlJc w:val="left"/>
      <w:lvlText w:val="(%1)"/>
      <w:numFmt w:val="lowerLetter"/>
      <w:start w:val="1"/>
    </w:lvl>
  </w:abstractNum>
  <w:abstractNum w:abstractNumId="87">
    <w:nsid w:val="597B4D84"/>
    <w:multiLevelType w:val="hybridMultilevel"/>
    <w:lvl w:ilvl="0">
      <w:lvlJc w:val="left"/>
      <w:lvlText w:val="(%1)"/>
      <w:numFmt w:val="lowerLetter"/>
      <w:start w:val="5"/>
    </w:lvl>
  </w:abstractNum>
  <w:abstractNum w:abstractNumId="88">
    <w:nsid w:val="F819E7F"/>
    <w:multiLevelType w:val="hybridMultilevel"/>
    <w:lvl w:ilvl="0">
      <w:lvlJc w:val="left"/>
      <w:lvlText w:val="(%1)"/>
      <w:numFmt w:val="lowerLetter"/>
      <w:start w:val="1"/>
    </w:lvl>
    <w:lvl w:ilvl="1">
      <w:lvlJc w:val="left"/>
      <w:lvlText w:val="(%2)"/>
      <w:numFmt w:val="lowerRoman"/>
      <w:start w:val="1"/>
    </w:lvl>
  </w:abstractNum>
  <w:abstractNum w:abstractNumId="89">
    <w:nsid w:val="57C7D42D"/>
    <w:multiLevelType w:val="hybridMultilevel"/>
    <w:lvl w:ilvl="0">
      <w:lvlJc w:val="left"/>
      <w:lvlText w:val="(%1)"/>
      <w:numFmt w:val="lowerRoman"/>
      <w:start w:val="3"/>
    </w:lvl>
  </w:abstractNum>
  <w:abstractNum w:abstractNumId="90">
    <w:nsid w:val="312167AD"/>
    <w:multiLevelType w:val="hybridMultilevel"/>
    <w:lvl w:ilvl="0">
      <w:lvlJc w:val="left"/>
      <w:lvlText w:val="(%1)"/>
      <w:numFmt w:val="lowerLetter"/>
      <w:start w:val="2"/>
    </w:lvl>
  </w:abstractNum>
  <w:abstractNum w:abstractNumId="91">
    <w:nsid w:val="631B64D4"/>
    <w:multiLevelType w:val="hybridMultilevel"/>
    <w:lvl w:ilvl="0">
      <w:lvlJc w:val="left"/>
      <w:lvlText w:val="(%1)"/>
      <w:numFmt w:val="lowerLetter"/>
      <w:start w:val="1"/>
    </w:lvl>
  </w:abstractNum>
  <w:abstractNum w:abstractNumId="92">
    <w:nsid w:val="78B5E776"/>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93">
    <w:nsid w:val="75486E47"/>
    <w:multiLevelType w:val="hybridMultilevel"/>
    <w:lvl w:ilvl="0">
      <w:lvlJc w:val="left"/>
      <w:lvlText w:val="(%1)"/>
      <w:numFmt w:val="lowerLetter"/>
      <w:start w:val="9"/>
    </w:lvl>
    <w:lvl w:ilvl="1">
      <w:lvlJc w:val="left"/>
      <w:lvlText w:val="(%2)"/>
      <w:numFmt w:val="lowerLetter"/>
      <w:start w:val="6"/>
    </w:lvl>
    <w:lvl w:ilvl="2">
      <w:lvlJc w:val="left"/>
      <w:lvlText w:val="(%3)"/>
      <w:numFmt w:val="lowerLetter"/>
      <w:start w:val="35"/>
    </w:lvl>
  </w:abstractNum>
  <w:abstractNum w:abstractNumId="94">
    <w:nsid w:val="6E534CDE"/>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95">
    <w:nsid w:val="1A0DDE32"/>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96">
    <w:nsid w:val="65968C1C"/>
    <w:multiLevelType w:val="hybridMultilevel"/>
    <w:lvl w:ilvl="0">
      <w:lvlJc w:val="left"/>
      <w:lvlText w:val="(%1)"/>
      <w:numFmt w:val="upperLetter"/>
      <w:start w:val="1"/>
    </w:lvl>
    <w:lvl w:ilvl="1">
      <w:lvlJc w:val="left"/>
      <w:lvlText w:val="(%2)"/>
      <w:numFmt w:val="decimal"/>
      <w:start w:val="4"/>
    </w:lvl>
    <w:lvl w:ilvl="2">
      <w:lvlJc w:val="left"/>
      <w:lvlText w:val="(%3)"/>
      <w:numFmt w:val="upperLetter"/>
      <w:start w:val="3"/>
    </w:lvl>
  </w:abstractNum>
  <w:abstractNum w:abstractNumId="97">
    <w:nsid w:val="46263DEC"/>
    <w:multiLevelType w:val="hybridMultilevel"/>
    <w:lvl w:ilvl="0">
      <w:lvlJc w:val="left"/>
      <w:lvlText w:val="(%1)"/>
      <w:numFmt w:val="lowerLetter"/>
      <w:start w:val="7"/>
    </w:lvl>
  </w:abstractNum>
  <w:abstractNum w:abstractNumId="98">
    <w:nsid w:val="260D8C4A"/>
    <w:multiLevelType w:val="hybridMultilevel"/>
    <w:lvl w:ilvl="0">
      <w:lvlJc w:val="left"/>
      <w:lvlText w:val="(%1)"/>
      <w:numFmt w:val="lowerLetter"/>
      <w:start w:val="2"/>
    </w:lvl>
  </w:abstractNum>
  <w:abstractNum w:abstractNumId="99">
    <w:nsid w:val="73D4D3C4"/>
    <w:multiLevelType w:val="hybridMultilevel"/>
    <w:lvl w:ilvl="0">
      <w:lvlJc w:val="left"/>
      <w:lvlText w:val="(%1)"/>
      <w:numFmt w:val="lowerRoman"/>
      <w:start w:val="2"/>
    </w:lvl>
  </w:abstractNum>
  <w:abstractNum w:abstractNumId="100">
    <w:nsid w:val="746F2E30"/>
    <w:multiLevelType w:val="hybridMultilevel"/>
    <w:lvl w:ilvl="0">
      <w:lvlJc w:val="left"/>
      <w:lvlText w:val="(%1)"/>
      <w:numFmt w:val="lowerLetter"/>
      <w:start w:val="1"/>
    </w:lvl>
  </w:abstractNum>
  <w:abstractNum w:abstractNumId="101">
    <w:nsid w:val="6FDE8AF6"/>
    <w:multiLevelType w:val="hybridMultilevel"/>
    <w:lvl w:ilvl="0">
      <w:lvlJc w:val="left"/>
      <w:lvlText w:val="(%1)"/>
      <w:numFmt w:val="lowerLetter"/>
      <w:start w:val="4"/>
    </w:lvl>
  </w:abstractNum>
  <w:abstractNum w:abstractNumId="102">
    <w:nsid w:val="3FC32E20"/>
    <w:multiLevelType w:val="hybridMultilevel"/>
    <w:lvl w:ilvl="0">
      <w:lvlJc w:val="left"/>
      <w:lvlText w:val="(%1)"/>
      <w:numFmt w:val="lowerLetter"/>
      <w:start w:val="1"/>
    </w:lvl>
  </w:abstractNum>
  <w:abstractNum w:abstractNumId="103">
    <w:nsid w:val="49C0E823"/>
    <w:multiLevelType w:val="hybridMultilevel"/>
    <w:lvl w:ilvl="0">
      <w:lvlJc w:val="left"/>
      <w:lvlText w:val="(%1)"/>
      <w:numFmt w:val="lowerLetter"/>
      <w:start w:val="3"/>
    </w:lvl>
    <w:lvl w:ilvl="1">
      <w:lvlJc w:val="left"/>
      <w:lvlText w:val="(%2)"/>
      <w:numFmt w:val="lowerRoman"/>
      <w:start w:val="1"/>
    </w:lvl>
  </w:abstractNum>
  <w:abstractNum w:abstractNumId="104">
    <w:nsid w:val="14D53685"/>
    <w:multiLevelType w:val="hybridMultilevel"/>
    <w:lvl w:ilvl="0">
      <w:lvlJc w:val="left"/>
      <w:lvlText w:val="(%1)"/>
      <w:numFmt w:val="lowerRoman"/>
      <w:start w:val="3"/>
    </w:lvl>
  </w:abstractNum>
  <w:abstractNum w:abstractNumId="105">
    <w:nsid w:val="230F856C"/>
    <w:multiLevelType w:val="hybridMultilevel"/>
    <w:lvl w:ilvl="0">
      <w:lvlJc w:val="left"/>
      <w:lvlText w:val="(%1)"/>
      <w:numFmt w:val="lowerLetter"/>
      <w:start w:val="6"/>
    </w:lvl>
  </w:abstractNum>
  <w:abstractNum w:abstractNumId="106">
    <w:nsid w:val="6EAA85FB"/>
    <w:multiLevelType w:val="hybridMultilevel"/>
    <w:lvl w:ilvl="0">
      <w:lvlJc w:val="left"/>
      <w:lvlText w:val="(%1)"/>
      <w:numFmt w:val="lowerLetter"/>
      <w:start w:val="8"/>
    </w:lvl>
  </w:abstractNum>
  <w:abstractNum w:abstractNumId="107">
    <w:nsid w:val="3F06ECB2"/>
    <w:multiLevelType w:val="hybridMultilevel"/>
    <w:lvl w:ilvl="0">
      <w:lvlJc w:val="left"/>
      <w:lvlText w:val="(%1)"/>
      <w:numFmt w:val="lowerLetter"/>
      <w:start w:val="1"/>
    </w:lvl>
  </w:abstractNum>
  <w:abstractNum w:abstractNumId="108">
    <w:nsid w:val="3B594807"/>
    <w:multiLevelType w:val="hybridMultilevel"/>
    <w:lvl w:ilvl="0">
      <w:lvlJc w:val="left"/>
      <w:lvlText w:val="(%1)"/>
      <w:numFmt w:val="lowerLetter"/>
      <w:start w:val="2"/>
    </w:lvl>
  </w:abstractNum>
  <w:abstractNum w:abstractNumId="109">
    <w:nsid w:val="6CAA2304"/>
    <w:multiLevelType w:val="hybridMultilevel"/>
    <w:lvl w:ilvl="0">
      <w:lvlJc w:val="left"/>
      <w:lvlText w:val="(%1)"/>
      <w:numFmt w:val="decimal"/>
      <w:start w:val="1"/>
    </w:lvl>
  </w:abstractNum>
  <w:abstractNum w:abstractNumId="110">
    <w:nsid w:val="3F7C2FF4"/>
    <w:multiLevelType w:val="hybridMultilevel"/>
    <w:lvl w:ilvl="0">
      <w:lvlJc w:val="left"/>
      <w:lvlText w:val="(%1)"/>
      <w:numFmt w:val="lowerRoman"/>
      <w:start w:val="2"/>
    </w:lvl>
  </w:abstractNum>
  <w:abstractNum w:abstractNumId="111">
    <w:nsid w:val="25413BEC"/>
    <w:multiLevelType w:val="hybridMultilevel"/>
    <w:lvl w:ilvl="0">
      <w:lvlJc w:val="left"/>
      <w:lvlText w:val="(%1)"/>
      <w:numFmt w:val="decimal"/>
      <w:start w:val="2"/>
    </w:lvl>
  </w:abstractNum>
  <w:abstractNum w:abstractNumId="112">
    <w:nsid w:val="17180B0B"/>
    <w:multiLevelType w:val="hybridMultilevel"/>
    <w:lvl w:ilvl="0">
      <w:lvlJc w:val="left"/>
      <w:lvlText w:val="(%1)"/>
      <w:numFmt w:val="lowerLetter"/>
      <w:start w:val="3"/>
    </w:lvl>
  </w:abstractNum>
  <w:abstractNum w:abstractNumId="113">
    <w:nsid w:val="579328B9"/>
    <w:multiLevelType w:val="hybridMultilevel"/>
    <w:lvl w:ilvl="0">
      <w:lvlJc w:val="left"/>
      <w:lvlText w:val="(%1)"/>
      <w:numFmt w:val="decimal"/>
      <w:start w:val="1"/>
    </w:lvl>
  </w:abstractNum>
  <w:abstractNum w:abstractNumId="114">
    <w:nsid w:val="5D205E20"/>
    <w:multiLevelType w:val="hybridMultilevel"/>
    <w:lvl w:ilvl="0">
      <w:lvlJc w:val="left"/>
      <w:lvlText w:val="(%1)"/>
      <w:numFmt w:val="lowerRoman"/>
      <w:start w:val="2"/>
    </w:lvl>
  </w:abstractNum>
  <w:abstractNum w:abstractNumId="115">
    <w:nsid w:val="11CCA8BA"/>
    <w:multiLevelType w:val="hybridMultilevel"/>
    <w:lvl w:ilvl="0">
      <w:lvlJc w:val="left"/>
      <w:lvlText w:val="(%1)"/>
      <w:numFmt w:val="decimal"/>
      <w:start w:val="2"/>
    </w:lvl>
  </w:abstractNum>
  <w:abstractNum w:abstractNumId="116">
    <w:nsid w:val="4D32AB86"/>
    <w:multiLevelType w:val="hybridMultilevel"/>
    <w:lvl w:ilvl="0">
      <w:lvlJc w:val="left"/>
      <w:lvlText w:val="(%1)"/>
      <w:numFmt w:val="decimal"/>
      <w:start w:val="3"/>
    </w:lvl>
  </w:abstractNum>
  <w:abstractNum w:abstractNumId="117">
    <w:nsid w:val="3F07ACC3"/>
    <w:multiLevelType w:val="hybridMultilevel"/>
    <w:lvl w:ilvl="0">
      <w:lvlJc w:val="left"/>
      <w:lvlText w:val="(%1)"/>
      <w:numFmt w:val="lowerLetter"/>
      <w:start w:val="1"/>
    </w:lvl>
  </w:abstractNum>
  <w:abstractNum w:abstractNumId="118">
    <w:nsid w:val="6B47F63E"/>
    <w:multiLevelType w:val="hybridMultilevel"/>
    <w:lvl w:ilvl="0">
      <w:lvlJc w:val="left"/>
      <w:lvlText w:val="(%1)"/>
      <w:numFmt w:val="lowerLetter"/>
      <w:start w:val="2"/>
    </w:lvl>
  </w:abstractNum>
  <w:abstractNum w:abstractNumId="119">
    <w:nsid w:val="5CB44A05"/>
    <w:multiLevelType w:val="hybridMultilevel"/>
    <w:lvl w:ilvl="0">
      <w:lvlJc w:val="left"/>
      <w:lvlText w:val="(%1)"/>
      <w:numFmt w:val="decimal"/>
      <w:start w:val="1"/>
    </w:lvl>
  </w:abstractNum>
  <w:abstractNum w:abstractNumId="120">
    <w:nsid w:val="16CF80F1"/>
    <w:multiLevelType w:val="hybridMultilevel"/>
    <w:lvl w:ilvl="0">
      <w:lvlJc w:val="left"/>
      <w:lvlText w:val="(%1)"/>
      <w:numFmt w:val="lowerRoman"/>
      <w:start w:val="2"/>
    </w:lvl>
  </w:abstractNum>
  <w:abstractNum w:abstractNumId="121">
    <w:nsid w:val="1C695DEC"/>
    <w:multiLevelType w:val="hybridMultilevel"/>
    <w:lvl w:ilvl="0">
      <w:lvlJc w:val="left"/>
      <w:lvlText w:val="(%1)"/>
      <w:numFmt w:val="decimal"/>
      <w:start w:val="2"/>
    </w:lvl>
  </w:abstractNum>
  <w:abstractNum w:abstractNumId="122">
    <w:nsid w:val="3FCFAED9"/>
    <w:multiLevelType w:val="hybridMultilevel"/>
    <w:lvl w:ilvl="0">
      <w:lvlJc w:val="left"/>
      <w:lvlText w:val="(%1)"/>
      <w:numFmt w:val="decimal"/>
      <w:start w:val="3"/>
    </w:lvl>
  </w:abstractNum>
  <w:abstractNum w:abstractNumId="123">
    <w:nsid w:val="F856867"/>
    <w:multiLevelType w:val="hybridMultilevel"/>
    <w:lvl w:ilvl="0">
      <w:lvlJc w:val="left"/>
      <w:lvlText w:val="(%1)"/>
      <w:numFmt w:val="lowerLetter"/>
      <w:start w:val="1"/>
    </w:lvl>
  </w:abstractNum>
  <w:abstractNum w:abstractNumId="124">
    <w:nsid w:val="11B1CC33"/>
    <w:multiLevelType w:val="hybridMultilevel"/>
    <w:lvl w:ilvl="0">
      <w:lvlJc w:val="left"/>
      <w:lvlText w:val="(%1)"/>
      <w:numFmt w:val="lowerLetter"/>
      <w:start w:val="2"/>
    </w:lvl>
  </w:abstractNum>
  <w:abstractNum w:abstractNumId="125">
    <w:nsid w:val="2E22FBB7"/>
    <w:multiLevelType w:val="hybridMultilevel"/>
    <w:lvl w:ilvl="0">
      <w:lvlJc w:val="left"/>
      <w:lvlText w:val="(%1)"/>
      <w:numFmt w:val="lowerLetter"/>
      <w:start w:val="1"/>
    </w:lvl>
  </w:abstractNum>
  <w:abstractNum w:abstractNumId="126">
    <w:nsid w:val="29934699"/>
    <w:multiLevelType w:val="hybridMultilevel"/>
    <w:lvl w:ilvl="0">
      <w:lvlJc w:val="left"/>
      <w:lvlText w:val="(%1)"/>
      <w:numFmt w:val="lowerLetter"/>
      <w:start w:val="1"/>
    </w:lvl>
  </w:abstractNum>
  <w:abstractNum w:abstractNumId="127">
    <w:nsid w:val="77485850"/>
    <w:multiLevelType w:val="hybridMultilevel"/>
    <w:lvl w:ilvl="0">
      <w:lvlJc w:val="left"/>
      <w:lvlText w:val="(%1)"/>
      <w:numFmt w:val="lowerLetter"/>
      <w:start w:val="2"/>
    </w:lvl>
  </w:abstractNum>
  <w:abstractNum w:abstractNumId="128">
    <w:nsid w:val="744939A3"/>
    <w:multiLevelType w:val="hybridMultilevel"/>
    <w:lvl w:ilvl="0">
      <w:lvlJc w:val="left"/>
      <w:lvlText w:val="(%1)"/>
      <w:numFmt w:val="lowerRoman"/>
      <w:start w:val="2"/>
    </w:lvl>
  </w:abstractNum>
  <w:abstractNum w:abstractNumId="129">
    <w:nsid w:val="4FA0D2E3"/>
    <w:multiLevelType w:val="hybridMultilevel"/>
    <w:lvl w:ilvl="0">
      <w:lvlJc w:val="left"/>
      <w:lvlText w:val="(%1)"/>
      <w:numFmt w:val="lowerLetter"/>
      <w:start w:val="1"/>
    </w:lvl>
  </w:abstractNum>
  <w:abstractNum w:abstractNumId="130">
    <w:nsid w:val="6B1D2C14"/>
    <w:multiLevelType w:val="hybridMultilevel"/>
    <w:lvl w:ilvl="0">
      <w:lvlJc w:val="left"/>
      <w:lvlText w:val="(%1)"/>
      <w:numFmt w:val="lowerLetter"/>
      <w:start w:val="1"/>
    </w:lvl>
  </w:abstractNum>
  <w:abstractNum w:abstractNumId="131">
    <w:nsid w:val="68B867D3"/>
    <w:multiLevelType w:val="hybridMultilevel"/>
    <w:lvl w:ilvl="0">
      <w:lvlJc w:val="left"/>
      <w:lvlText w:val="(%1)"/>
      <w:numFmt w:val="lowerLetter"/>
      <w:start w:val="1"/>
    </w:lvl>
  </w:abstractNum>
  <w:abstractNum w:abstractNumId="132">
    <w:nsid w:val="3F7F5DD9"/>
    <w:multiLevelType w:val="hybridMultilevel"/>
    <w:lvl w:ilvl="0">
      <w:lvlJc w:val="left"/>
      <w:lvlText w:val="(%1)"/>
      <w:numFmt w:val="lowerLetter"/>
      <w:start w:val="9"/>
    </w:lvl>
  </w:abstractNum>
  <w:abstractNum w:abstractNumId="133">
    <w:nsid w:val="2AE05A34"/>
    <w:multiLevelType w:val="hybridMultilevel"/>
    <w:lvl w:ilvl="0">
      <w:lvlJc w:val="left"/>
      <w:lvlText w:val="(%1)"/>
      <w:numFmt w:val="lowerLetter"/>
      <w:start w:val="1"/>
    </w:lvl>
  </w:abstractNum>
  <w:abstractNum w:abstractNumId="134">
    <w:nsid w:val="32794FF7"/>
    <w:multiLevelType w:val="hybridMultilevel"/>
    <w:lvl w:ilvl="0">
      <w:lvlJc w:val="left"/>
      <w:lvlText w:val="(%1)"/>
      <w:numFmt w:val="lowerLetter"/>
      <w:start w:val="1"/>
    </w:lvl>
  </w:abstractNum>
  <w:abstractNum w:abstractNumId="135">
    <w:nsid w:val="5454945E"/>
    <w:multiLevelType w:val="hybridMultilevel"/>
    <w:lvl w:ilvl="0">
      <w:lvlJc w:val="left"/>
      <w:lvlText w:val="%1"/>
      <w:numFmt w:val="upperLetter"/>
      <w:start w:val="1"/>
    </w:lvl>
    <w:lvl w:ilvl="1">
      <w:lvlJc w:val="left"/>
      <w:lvlText w:val="(%2)"/>
      <w:numFmt w:val="lowerLetter"/>
      <w:start w:val="1"/>
    </w:lvl>
  </w:abstractNum>
  <w:abstractNum w:abstractNumId="136">
    <w:nsid w:val="4DEFDFA0"/>
    <w:multiLevelType w:val="hybridMultilevel"/>
    <w:lvl w:ilvl="0">
      <w:lvlJc w:val="left"/>
      <w:lvlText w:val="(%1)"/>
      <w:numFmt w:val="upperLetter"/>
      <w:start w:val="35"/>
    </w:lvl>
    <w:lvl w:ilvl="1">
      <w:lvlJc w:val="left"/>
      <w:lvlText w:val="(%2)"/>
      <w:numFmt w:val="lowerLetter"/>
      <w:start w:val="2"/>
    </w:lvl>
  </w:abstractNum>
  <w:abstractNum w:abstractNumId="137">
    <w:nsid w:val="2123D5F2"/>
    <w:multiLevelType w:val="hybridMultilevel"/>
    <w:lvl w:ilvl="0">
      <w:lvlJc w:val="left"/>
      <w:lvlText w:val="(%1)"/>
      <w:numFmt w:val="lowerLetter"/>
      <w:start w:val="3"/>
    </w:lvl>
  </w:abstractNum>
  <w:abstractNum w:abstractNumId="138">
    <w:nsid w:val="135B8110"/>
    <w:multiLevelType w:val="hybridMultilevel"/>
    <w:lvl w:ilvl="0">
      <w:lvlJc w:val="left"/>
      <w:lvlText w:val="(%1)"/>
      <w:numFmt w:val="lowerLetter"/>
      <w:start w:val="1"/>
    </w:lvl>
  </w:abstractNum>
  <w:abstractNum w:abstractNumId="139">
    <w:nsid w:val="94927A8"/>
    <w:multiLevelType w:val="hybridMultilevel"/>
    <w:lvl w:ilvl="0">
      <w:lvlJc w:val="left"/>
      <w:lvlText w:val="(%1)"/>
      <w:numFmt w:val="lowerLetter"/>
      <w:start w:val="5"/>
    </w:lvl>
  </w:abstractNum>
  <w:abstractNum w:abstractNumId="140">
    <w:nsid w:val="DCDF8F6"/>
    <w:multiLevelType w:val="hybridMultilevel"/>
    <w:lvl w:ilvl="0">
      <w:lvlJc w:val="left"/>
      <w:lvlText w:val="(%1)"/>
      <w:numFmt w:val="lowerLetter"/>
      <w:start w:val="1"/>
    </w:lvl>
  </w:abstractNum>
  <w:abstractNum w:abstractNumId="141">
    <w:nsid w:val="52D7B105"/>
    <w:multiLevelType w:val="hybridMultilevel"/>
    <w:lvl w:ilvl="0">
      <w:lvlJc w:val="left"/>
      <w:lvlText w:val="(%1)"/>
      <w:numFmt w:val="lowerLetter"/>
      <w:start w:val="1"/>
    </w:lvl>
  </w:abstractNum>
  <w:abstractNum w:abstractNumId="142">
    <w:nsid w:val="2E8A6394"/>
    <w:multiLevelType w:val="hybridMultilevel"/>
    <w:lvl w:ilvl="0">
      <w:lvlJc w:val="left"/>
      <w:lvlText w:val="(%1)"/>
      <w:numFmt w:val="upperLetter"/>
      <w:start w:val="1"/>
    </w:lvl>
  </w:abstractNum>
  <w:abstractNum w:abstractNumId="143">
    <w:nsid w:val="24E60401"/>
    <w:multiLevelType w:val="hybridMultilevel"/>
    <w:lvl w:ilvl="0">
      <w:lvlJc w:val="left"/>
      <w:lvlText w:val="(%1)"/>
      <w:numFmt w:val="lowerLetter"/>
      <w:start w:val="1"/>
    </w:lvl>
  </w:abstractNum>
  <w:abstractNum w:abstractNumId="144">
    <w:nsid w:val="2A6AD9BE"/>
    <w:multiLevelType w:val="hybridMultilevel"/>
    <w:lvl w:ilvl="0">
      <w:lvlJc w:val="left"/>
      <w:lvlText w:val="(%1)"/>
      <w:numFmt w:val="lowerLetter"/>
      <w:start w:val="2"/>
    </w:lvl>
  </w:abstractNum>
  <w:abstractNum w:abstractNumId="145">
    <w:nsid w:val="BAAC1B4"/>
    <w:multiLevelType w:val="hybridMultilevel"/>
    <w:lvl w:ilvl="0">
      <w:lvlJc w:val="left"/>
      <w:lvlText w:val="(%1)"/>
      <w:numFmt w:val="lowerLetter"/>
      <w:start w:val="1"/>
    </w:lvl>
  </w:abstractNum>
  <w:abstractNum w:abstractNumId="146">
    <w:nsid w:val="36B2ACBC"/>
    <w:multiLevelType w:val="hybridMultilevel"/>
    <w:lvl w:ilvl="0">
      <w:lvlJc w:val="left"/>
      <w:lvlText w:val="(%1)"/>
      <w:numFmt w:val="lowerLetter"/>
      <w:start w:val="4"/>
    </w:lvl>
  </w:abstractNum>
  <w:abstractNum w:abstractNumId="147">
    <w:nsid w:val="779D8544"/>
    <w:multiLevelType w:val="hybridMultilevel"/>
    <w:lvl w:ilvl="0">
      <w:lvlJc w:val="left"/>
      <w:lvlText w:val="(%1)"/>
      <w:numFmt w:val="decimal"/>
      <w:start w:val="1"/>
    </w:lvl>
  </w:abstractNum>
  <w:abstractNum w:abstractNumId="148">
    <w:nsid w:val="4AB26E78"/>
    <w:multiLevelType w:val="hybridMultilevel"/>
    <w:lvl w:ilvl="0">
      <w:lvlJc w:val="left"/>
      <w:lvlText w:val="(%1)"/>
      <w:numFmt w:val="lowerLetter"/>
      <w:start w:val="26"/>
    </w:lvl>
  </w:abstractNum>
  <w:abstractNum w:abstractNumId="149">
    <w:nsid w:val="21FAA2FA"/>
    <w:multiLevelType w:val="hybridMultilevel"/>
    <w:lvl w:ilvl="0">
      <w:lvlJc w:val="left"/>
      <w:lvlText w:val="(%1)"/>
      <w:numFmt w:val="lowerLetter"/>
      <w:start w:val="1"/>
    </w:lvl>
  </w:abstractNum>
  <w:abstractNum w:abstractNumId="150">
    <w:nsid w:val="5451CF49"/>
    <w:multiLevelType w:val="hybridMultilevel"/>
    <w:lvl w:ilvl="0">
      <w:lvlJc w:val="left"/>
      <w:lvlText w:val="%1"/>
      <w:numFmt w:val="upperLetter"/>
      <w:start w:val="1"/>
    </w:lvl>
    <w:lvl w:ilvl="1">
      <w:lvlJc w:val="left"/>
      <w:lvlText w:val="(%2)"/>
      <w:numFmt w:val="lowerLetter"/>
      <w:start w:val="6"/>
    </w:lvl>
  </w:abstractNum>
  <w:abstractNum w:abstractNumId="151">
    <w:nsid w:val="6181EF69"/>
    <w:multiLevelType w:val="hybridMultilevel"/>
    <w:lvl w:ilvl="0">
      <w:lvlJc w:val="left"/>
      <w:lvlText w:val="(%1)"/>
      <w:numFmt w:val="upperLetter"/>
      <w:start w:val="1"/>
    </w:lvl>
    <w:lvl w:ilvl="1">
      <w:lvlJc w:val="left"/>
      <w:lvlText w:val="(%2)"/>
      <w:numFmt w:val="lowerLetter"/>
      <w:start w:val="7"/>
    </w:lvl>
  </w:abstractNum>
  <w:abstractNum w:abstractNumId="152">
    <w:nsid w:val="3E6400E6"/>
    <w:multiLevelType w:val="hybridMultilevel"/>
    <w:lvl w:ilvl="0">
      <w:lvlJc w:val="left"/>
      <w:lvlText w:val="(%1)"/>
      <w:numFmt w:val="lowerLetter"/>
      <w:start w:val="10"/>
    </w:lvl>
  </w:abstractNum>
  <w:abstractNum w:abstractNumId="153">
    <w:nsid w:val="14217E23"/>
    <w:multiLevelType w:val="hybridMultilevel"/>
    <w:lvl w:ilvl="0">
      <w:lvlJc w:val="left"/>
      <w:lvlText w:val="(%1)"/>
      <w:numFmt w:val="lowerLetter"/>
      <w:start w:val="1"/>
    </w:lvl>
  </w:abstractNum>
  <w:abstractNum w:abstractNumId="154">
    <w:nsid w:val="710757D0"/>
    <w:multiLevelType w:val="hybridMultilevel"/>
    <w:lvl w:ilvl="0">
      <w:lvlJc w:val="left"/>
      <w:lvlText w:val="(%1)"/>
      <w:numFmt w:val="lowerLetter"/>
      <w:start w:val="2"/>
    </w:lvl>
  </w:abstractNum>
  <w:abstractNum w:abstractNumId="155">
    <w:nsid w:val="5015CD1A"/>
    <w:multiLevelType w:val="hybridMultilevel"/>
    <w:lvl w:ilvl="0">
      <w:lvlJc w:val="left"/>
      <w:lvlText w:val="(%1)"/>
      <w:numFmt w:val="lowerLetter"/>
      <w:start w:val="3"/>
    </w:lvl>
    <w:lvl w:ilvl="1">
      <w:lvlJc w:val="left"/>
      <w:lvlText w:val="(%2)"/>
      <w:numFmt w:val="upperLetter"/>
      <w:start w:val="1"/>
    </w:lvl>
  </w:abstractNum>
  <w:abstractNum w:abstractNumId="156">
    <w:nsid w:val="424479DA"/>
    <w:multiLevelType w:val="hybridMultilevel"/>
    <w:lvl w:ilvl="0">
      <w:lvlJc w:val="left"/>
      <w:lvlText w:val="(%1)"/>
      <w:numFmt w:val="upperLetter"/>
      <w:start w:val="1"/>
    </w:lvl>
  </w:abstractNum>
  <w:abstractNum w:abstractNumId="157">
    <w:nsid w:val="1A9A9E69"/>
    <w:multiLevelType w:val="hybridMultilevel"/>
    <w:lvl w:ilvl="0">
      <w:lvlJc w:val="left"/>
      <w:lvlText w:val="(%1)"/>
      <w:numFmt w:val="lowerLetter"/>
      <w:start w:val="7"/>
    </w:lvl>
  </w:abstractNum>
  <w:abstractNum w:abstractNumId="158">
    <w:nsid w:val="475E256A"/>
    <w:multiLevelType w:val="hybridMultilevel"/>
    <w:lvl w:ilvl="0">
      <w:lvlJc w:val="left"/>
      <w:lvlText w:val="(%1)"/>
      <w:numFmt w:val="lowerLetter"/>
      <w:start w:val="2"/>
    </w:lvl>
  </w:abstractNum>
  <w:abstractNum w:abstractNumId="159">
    <w:nsid w:val="368DB37E"/>
    <w:multiLevelType w:val="hybridMultilevel"/>
    <w:lvl w:ilvl="0">
      <w:lvlJc w:val="left"/>
      <w:lvlText w:val="(%1)"/>
      <w:numFmt w:val="lowerLetter"/>
      <w:start w:val="3"/>
    </w:lvl>
  </w:abstractNum>
  <w:abstractNum w:abstractNumId="160">
    <w:nsid w:val="6A3B714C"/>
    <w:multiLevelType w:val="hybridMultilevel"/>
    <w:lvl w:ilvl="0">
      <w:lvlJc w:val="left"/>
      <w:lvlText w:val="(%1)"/>
      <w:numFmt w:val="lowerLetter"/>
      <w:start w:val="2"/>
    </w:lvl>
  </w:abstractNum>
  <w:abstractNum w:abstractNumId="161">
    <w:nsid w:val="327B517E"/>
    <w:multiLevelType w:val="hybridMultilevel"/>
    <w:lvl w:ilvl="0">
      <w:lvlJc w:val="left"/>
      <w:lvlText w:val="%1"/>
      <w:numFmt w:val="lowerLetter"/>
      <w:start w:val="1"/>
    </w:lvl>
    <w:lvl w:ilvl="1">
      <w:lvlJc w:val="left"/>
      <w:lvlText w:val="(%2)"/>
      <w:numFmt w:val="lowerLetter"/>
      <w:start w:val="4"/>
    </w:lvl>
  </w:abstractNum>
  <w:abstractNum w:abstractNumId="162">
    <w:nsid w:val="1F461B51"/>
    <w:multiLevelType w:val="hybridMultilevel"/>
    <w:lvl w:ilvl="0">
      <w:lvlJc w:val="left"/>
      <w:lvlText w:val="(%1)"/>
      <w:numFmt w:val="lowerLetter"/>
      <w:start w:val="35"/>
    </w:lvl>
    <w:lvl w:ilvl="1">
      <w:lvlJc w:val="left"/>
      <w:lvlText w:val="(%2)"/>
      <w:numFmt w:val="lowerLetter"/>
      <w:start w:val="5"/>
    </w:lvl>
  </w:abstractNum>
  <w:abstractNum w:abstractNumId="163">
    <w:nsid w:val="29BACF25"/>
    <w:multiLevelType w:val="hybridMultilevel"/>
    <w:lvl w:ilvl="0">
      <w:lvlJc w:val="left"/>
      <w:lvlText w:val="(%1)"/>
      <w:numFmt w:val="lowerLetter"/>
      <w:start w:val="2"/>
    </w:lvl>
  </w:abstractNum>
  <w:abstractNum w:abstractNumId="164">
    <w:nsid w:val="5D5BABB3"/>
    <w:multiLevelType w:val="hybridMultilevel"/>
    <w:lvl w:ilvl="0">
      <w:lvlJc w:val="left"/>
      <w:lvlText w:val="(%1)"/>
      <w:numFmt w:val="lowerLetter"/>
      <w:start w:val="2"/>
    </w:lvl>
  </w:abstractNum>
  <w:abstractNum w:abstractNumId="165">
    <w:nsid w:val="51BF6B48"/>
    <w:multiLevelType w:val="hybridMultilevel"/>
    <w:lvl w:ilvl="0">
      <w:lvlJc w:val="left"/>
      <w:lvlText w:val="(%1)"/>
      <w:numFmt w:val="upperLetter"/>
      <w:start w:val="1"/>
    </w:lvl>
  </w:abstractNum>
  <w:abstractNum w:abstractNumId="166">
    <w:nsid w:val="7E0F6384"/>
    <w:multiLevelType w:val="hybridMultilevel"/>
    <w:lvl w:ilvl="0">
      <w:lvlJc w:val="left"/>
      <w:lvlText w:val="(%1)"/>
      <w:numFmt w:val="upperLetter"/>
      <w:start w:val="2"/>
    </w:lvl>
  </w:abstractNum>
  <w:abstractNum w:abstractNumId="167">
    <w:nsid w:val="2B4B8B53"/>
    <w:multiLevelType w:val="hybridMultilevel"/>
    <w:lvl w:ilvl="0">
      <w:lvlJc w:val="left"/>
      <w:lvlText w:val="(%1)"/>
      <w:numFmt w:val="upperLetter"/>
      <w:start w:val="1"/>
    </w:lvl>
  </w:abstractNum>
  <w:abstractNum w:abstractNumId="168">
    <w:nsid w:val="72E3413A"/>
    <w:multiLevelType w:val="hybridMultilevel"/>
    <w:lvl w:ilvl="0">
      <w:lvlJc w:val="left"/>
      <w:lvlText w:val="%1"/>
      <w:numFmt w:val="lowerLetter"/>
      <w:start w:val="1"/>
    </w:lvl>
    <w:lvl w:ilvl="1">
      <w:lvlJc w:val="left"/>
      <w:lvlText w:val="(%2)"/>
      <w:numFmt w:val="upperLetter"/>
      <w:start w:val="3"/>
    </w:lvl>
  </w:abstractNum>
  <w:abstractNum w:abstractNumId="169">
    <w:nsid w:val="116AE494"/>
    <w:multiLevelType w:val="hybridMultilevel"/>
    <w:lvl w:ilvl="0">
      <w:lvlJc w:val="left"/>
      <w:lvlText w:val="(%1)"/>
      <w:numFmt w:val="lowerLetter"/>
      <w:start w:val="2"/>
    </w:lvl>
    <w:lvl w:ilvl="1">
      <w:lvlJc w:val="left"/>
      <w:lvlText w:val="%2"/>
      <w:numFmt w:val="upperLetter"/>
      <w:start w:val="1"/>
    </w:lvl>
  </w:abstractNum>
  <w:abstractNum w:abstractNumId="170">
    <w:nsid w:val="3494B2FB"/>
    <w:multiLevelType w:val="hybridMultilevel"/>
    <w:lvl w:ilvl="0">
      <w:lvlJc w:val="left"/>
      <w:lvlText w:val="(%1)"/>
      <w:numFmt w:val="lowerRoman"/>
      <w:start w:val="8"/>
    </w:lvl>
  </w:abstractNum>
  <w:abstractNum w:abstractNumId="171">
    <w:nsid w:val="B13A31"/>
    <w:multiLevelType w:val="hybridMultilevel"/>
    <w:lvl w:ilvl="0">
      <w:lvlJc w:val="left"/>
      <w:lvlText w:val="(%1)"/>
      <w:numFmt w:val="lowerLetter"/>
      <w:start w:val="1"/>
    </w:lvl>
  </w:abstractNum>
  <w:abstractNum w:abstractNumId="172">
    <w:nsid w:val="64429599"/>
    <w:multiLevelType w:val="hybridMultilevel"/>
    <w:lvl w:ilvl="0">
      <w:lvlJc w:val="left"/>
      <w:lvlText w:val="(%1)"/>
      <w:numFmt w:val="lowerLetter"/>
      <w:start w:val="2"/>
    </w:lvl>
  </w:abstractNum>
  <w:abstractNum w:abstractNumId="173">
    <w:nsid w:val="631F1690"/>
    <w:multiLevelType w:val="hybridMultilevel"/>
    <w:lvl w:ilvl="0">
      <w:lvlJc w:val="left"/>
      <w:lvlText w:val="(%1)"/>
      <w:numFmt w:val="lowerLetter"/>
      <w:start w:val="3"/>
    </w:lvl>
  </w:abstractNum>
  <w:abstractNum w:abstractNumId="174">
    <w:nsid w:val="25973E32"/>
    <w:multiLevelType w:val="hybridMultilevel"/>
    <w:lvl w:ilvl="0">
      <w:lvlJc w:val="left"/>
      <w:lvlText w:val="(%1)"/>
      <w:numFmt w:val="lowerLetter"/>
      <w:start w:val="1"/>
    </w:lvl>
  </w:abstractNum>
  <w:abstractNum w:abstractNumId="175">
    <w:nsid w:val="EAD6F57"/>
    <w:multiLevelType w:val="hybridMultilevel"/>
    <w:lvl w:ilvl="0">
      <w:lvlJc w:val="left"/>
      <w:lvlText w:val="(%1)"/>
      <w:numFmt w:val="lowerLetter"/>
      <w:start w:val="2"/>
    </w:lvl>
  </w:abstractNum>
  <w:abstractNum w:abstractNumId="176">
    <w:nsid w:val="6EC9D844"/>
    <w:multiLevelType w:val="hybridMultilevel"/>
    <w:lvl w:ilvl="0">
      <w:lvlJc w:val="left"/>
      <w:lvlText w:val="(%1)"/>
      <w:numFmt w:val="lowerLetter"/>
      <w:start w:val="4"/>
    </w:lvl>
  </w:abstractNum>
  <w:abstractNum w:abstractNumId="177">
    <w:nsid w:val="5C49EAEE"/>
    <w:multiLevelType w:val="hybridMultilevel"/>
    <w:lvl w:ilvl="0">
      <w:lvlJc w:val="left"/>
      <w:lvlText w:val="(%1)"/>
      <w:numFmt w:val="lowerLetter"/>
      <w:start w:val="1"/>
    </w:lvl>
    <w:lvl w:ilvl="1">
      <w:lvlJc w:val="left"/>
      <w:lvlText w:val="(%2)"/>
      <w:numFmt w:val="upperLetter"/>
      <w:start w:val="1"/>
    </w:lvl>
  </w:abstractNum>
  <w:abstractNum w:abstractNumId="178">
    <w:nsid w:val="64AF49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79">
    <w:nsid w:val="397C46BC"/>
    <w:multiLevelType w:val="hybridMultilevel"/>
    <w:lvl w:ilvl="0">
      <w:lvlJc w:val="left"/>
      <w:lvlText w:val="(%1)"/>
      <w:numFmt w:val="lowerLetter"/>
      <w:start w:val="35"/>
    </w:lvl>
    <w:lvl w:ilvl="1">
      <w:lvlJc w:val="left"/>
      <w:lvlText w:val="(%2)"/>
      <w:numFmt w:val="lowerLetter"/>
      <w:start w:val="24"/>
    </w:lvl>
    <w:lvl w:ilvl="2">
      <w:lvlJc w:val="left"/>
      <w:lvlText w:val="(%3)"/>
      <w:numFmt w:val="upperLetter"/>
      <w:start w:val="4"/>
    </w:lvl>
  </w:abstractNum>
  <w:abstractNum w:abstractNumId="180">
    <w:nsid w:val="7E448DE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7"/>
    </w:lvl>
  </w:abstractNum>
  <w:abstractNum w:abstractNumId="181">
    <w:nsid w:val="5A9CC3E5"/>
    <w:multiLevelType w:val="hybridMultilevel"/>
    <w:lvl w:ilvl="0">
      <w:lvlJc w:val="left"/>
      <w:lvlText w:val="(%1)"/>
      <w:numFmt w:val="lowerRoman"/>
      <w:start w:val="3"/>
    </w:lvl>
  </w:abstractNum>
  <w:abstractNum w:abstractNumId="182">
    <w:nsid w:val="1AFE362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2"/>
    </w:lvl>
  </w:abstractNum>
  <w:abstractNum w:abstractNumId="183">
    <w:nsid w:val="3CA88ECF"/>
    <w:multiLevelType w:val="hybridMultilevel"/>
    <w:lvl w:ilvl="0">
      <w:lvlJc w:val="left"/>
      <w:lvlText w:val="(%1)"/>
      <w:numFmt w:val="lowerLetter"/>
      <w:start w:val="3"/>
    </w:lvl>
    <w:lvl w:ilvl="1">
      <w:lvlJc w:val="left"/>
      <w:lvlText w:val="(%2)"/>
      <w:numFmt w:val="lowerLetter"/>
      <w:start w:val="35"/>
    </w:lvl>
    <w:lvl w:ilvl="2">
      <w:lvlJc w:val="left"/>
      <w:lvlText w:val="%3"/>
      <w:numFmt w:val="lowerLetter"/>
      <w:start w:val="1"/>
    </w:lvl>
  </w:abstractNum>
  <w:abstractNum w:abstractNumId="184">
    <w:nsid w:val="6EBE4208"/>
    <w:multiLevelType w:val="hybridMultilevel"/>
    <w:lvl w:ilvl="0">
      <w:lvlJc w:val="left"/>
      <w:lvlText w:val="(%1)"/>
      <w:numFmt w:val="lowerLetter"/>
      <w:start w:val="4"/>
    </w:lvl>
    <w:lvl w:ilvl="1">
      <w:lvlJc w:val="left"/>
      <w:lvlText w:val="(%2)"/>
      <w:numFmt w:val="lowerRoman"/>
      <w:start w:val="2"/>
    </w:lvl>
  </w:abstractNum>
  <w:abstractNum w:abstractNumId="185">
    <w:nsid w:val="C058DF5"/>
    <w:multiLevelType w:val="hybridMultilevel"/>
    <w:lvl w:ilvl="0">
      <w:lvlJc w:val="left"/>
      <w:lvlText w:val="(%1)"/>
      <w:numFmt w:val="lowerLetter"/>
      <w:start w:val="1"/>
    </w:lvl>
  </w:abstractNum>
  <w:abstractNum w:abstractNumId="186">
    <w:nsid w:val="CBE5BE9"/>
    <w:multiLevelType w:val="hybridMultilevel"/>
    <w:lvl w:ilvl="0">
      <w:lvlJc w:val="left"/>
      <w:lvlText w:val="(%1)"/>
      <w:numFmt w:val="lowerLetter"/>
      <w:start w:val="1"/>
    </w:lvl>
  </w:abstractNum>
  <w:abstractNum w:abstractNumId="187">
    <w:nsid w:val="3102BBE2"/>
    <w:multiLevelType w:val="hybridMultilevel"/>
    <w:lvl w:ilvl="0">
      <w:lvlJc w:val="left"/>
      <w:lvlText w:val="(%1)"/>
      <w:numFmt w:val="lowerLetter"/>
      <w:start w:val="2"/>
    </w:lvl>
  </w:abstractNum>
  <w:abstractNum w:abstractNumId="188">
    <w:nsid w:val="26A02C5E"/>
    <w:multiLevelType w:val="hybridMultilevel"/>
    <w:lvl w:ilvl="0">
      <w:lvlJc w:val="left"/>
      <w:lvlText w:val="(%1)"/>
      <w:numFmt w:val="lowerLetter"/>
      <w:start w:val="1"/>
    </w:lvl>
  </w:abstractNum>
  <w:abstractNum w:abstractNumId="189">
    <w:nsid w:val="541C8153"/>
    <w:multiLevelType w:val="hybridMultilevel"/>
    <w:lvl w:ilvl="0">
      <w:lvlJc w:val="left"/>
      <w:lvlText w:val="(%1)"/>
      <w:numFmt w:val="lowerLetter"/>
      <w:start w:val="2"/>
    </w:lvl>
  </w:abstractNum>
  <w:abstractNum w:abstractNumId="190">
    <w:nsid w:val="67906F60"/>
    <w:multiLevelType w:val="hybridMultilevel"/>
    <w:lvl w:ilvl="0">
      <w:lvlJc w:val="left"/>
      <w:lvlText w:val="(%1)"/>
      <w:numFmt w:val="lowerLetter"/>
      <w:start w:val="1"/>
    </w:lvl>
    <w:lvl w:ilvl="1">
      <w:lvlJc w:val="left"/>
      <w:lvlText w:val="(%2)"/>
      <w:numFmt w:val="lowerRoman"/>
      <w:start w:val="1"/>
    </w:lvl>
  </w:abstractNum>
  <w:abstractNum w:abstractNumId="191">
    <w:nsid w:val="10DB9DAA"/>
    <w:multiLevelType w:val="hybridMultilevel"/>
    <w:lvl w:ilvl="0">
      <w:lvlJc w:val="left"/>
      <w:lvlText w:val="(%1)"/>
      <w:numFmt w:val="lowerLetter"/>
      <w:start w:val="6"/>
    </w:lvl>
    <w:lvl w:ilvl="1">
      <w:lvlJc w:val="left"/>
      <w:lvlText w:val="(%2)"/>
      <w:numFmt w:val="lowerLetter"/>
      <w:start w:val="6"/>
    </w:lvl>
  </w:abstractNum>
  <w:abstractNum w:abstractNumId="192">
    <w:nsid w:val="697D2D2"/>
    <w:multiLevelType w:val="hybridMultilevel"/>
    <w:lvl w:ilvl="0">
      <w:lvlJc w:val="left"/>
      <w:lvlText w:val="(%1)"/>
      <w:numFmt w:val="lowerLetter"/>
      <w:start w:val="1"/>
    </w:lvl>
    <w:lvl w:ilvl="1">
      <w:lvlJc w:val="left"/>
      <w:lvlText w:val="(%2)"/>
      <w:numFmt w:val="lowerRoman"/>
      <w:start w:val="1"/>
    </w:lvl>
  </w:abstractNum>
  <w:abstractNum w:abstractNumId="193">
    <w:nsid w:val="6D68AB2"/>
    <w:multiLevelType w:val="hybridMultilevel"/>
    <w:lvl w:ilvl="0">
      <w:lvlJc w:val="left"/>
      <w:lvlText w:val="(%1)"/>
      <w:numFmt w:val="lowerLetter"/>
      <w:start w:val="1"/>
    </w:lvl>
  </w:abstractNum>
  <w:abstractNum w:abstractNumId="194">
    <w:nsid w:val="3A966CD0"/>
    <w:multiLevelType w:val="hybridMultilevel"/>
    <w:lvl w:ilvl="0">
      <w:lvlJc w:val="left"/>
      <w:lvlText w:val="%1."/>
      <w:numFmt w:val="decimal"/>
      <w:start w:val="1"/>
    </w:lvl>
    <w:lvl w:ilvl="1">
      <w:lvlJc w:val="left"/>
      <w:lvlText w:val="%2."/>
      <w:numFmt w:val="lowerLetter"/>
      <w:start w:val="1"/>
    </w:lvl>
  </w:abstractNum>
  <w:abstractNum w:abstractNumId="195">
    <w:nsid w:val="63F37E85"/>
    <w:multiLevelType w:val="hybridMultilevel"/>
    <w:lvl w:ilvl="0">
      <w:lvlJc w:val="left"/>
      <w:lvlText w:val="%1."/>
      <w:numFmt w:val="decimal"/>
      <w:start w:val="1"/>
    </w:lvl>
    <w:lvl w:ilvl="1">
      <w:lvlJc w:val="left"/>
      <w:lvlText w:val="%2."/>
      <w:numFmt w:val="lowerLetter"/>
      <w:start w:val="1"/>
    </w:lvl>
  </w:abstractNum>
  <w:abstractNum w:abstractNumId="196">
    <w:nsid w:val="5895F5FA"/>
    <w:multiLevelType w:val="hybridMultilevel"/>
    <w:lvl w:ilvl="0">
      <w:lvlJc w:val="left"/>
      <w:lvlText w:val="%1."/>
      <w:numFmt w:val="decimal"/>
      <w:start w:val="1"/>
    </w:lvl>
    <w:lvl w:ilvl="1">
      <w:lvlJc w:val="left"/>
      <w:lvlText w:val="%2."/>
      <w:numFmt w:val="lowerLetter"/>
      <w:start w:val="1"/>
    </w:lvl>
  </w:abstractNum>
  <w:abstractNum w:abstractNumId="197">
    <w:nsid w:val="38A5D054"/>
    <w:multiLevelType w:val="hybridMultilevel"/>
    <w:lvl w:ilvl="0">
      <w:lvlJc w:val="left"/>
      <w:lvlText w:val="%1."/>
      <w:numFmt w:val="decimal"/>
      <w:start w:val="1"/>
    </w:lvl>
    <w:lvl w:ilvl="1">
      <w:lvlJc w:val="left"/>
      <w:lvlText w:val="%2."/>
      <w:numFmt w:val="lowerLetter"/>
      <w:start w:val="1"/>
    </w:lvl>
  </w:abstractNum>
  <w:abstractNum w:abstractNumId="198">
    <w:nsid w:val="F3F09D8"/>
    <w:multiLevelType w:val="hybridMultilevel"/>
    <w:lvl w:ilvl="0">
      <w:lvlJc w:val="left"/>
      <w:lvlText w:val="(%1)"/>
      <w:numFmt w:val="lowerRoman"/>
      <w:start w:val="1"/>
    </w:lvl>
  </w:abstractNum>
  <w:abstractNum w:abstractNumId="199">
    <w:nsid w:val="4B793735"/>
    <w:multiLevelType w:val="hybridMultilevel"/>
    <w:lvl w:ilvl="0">
      <w:lvlJc w:val="left"/>
      <w:lvlText w:val="(%1)"/>
      <w:numFmt w:val="lowerRoman"/>
      <w:start w:val="1"/>
    </w:lvl>
  </w:abstractNum>
  <w:abstractNum w:abstractNumId="200">
    <w:nsid w:val="4A10B4E8"/>
    <w:multiLevelType w:val="hybridMultilevel"/>
    <w:lvl w:ilvl="0">
      <w:lvlJc w:val="left"/>
      <w:lvlText w:val="(%1)"/>
      <w:numFmt w:val="lowerRoman"/>
      <w:start w:val="1"/>
    </w:lvl>
  </w:abstractNum>
  <w:abstractNum w:abstractNumId="201">
    <w:nsid w:val="43D3BC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13"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29" Type="http://schemas.openxmlformats.org/officeDocument/2006/relationships/hyperlink" Target="http://www.sec.gov/Archives/edgar/data/0001705696/000119312522107429/d271785dex993.htm" TargetMode="External"/><Relationship Id="rId81" Type="http://schemas.openxmlformats.org/officeDocument/2006/relationships/hyperlink" Target="https://www.sec.gov/ix?doc=/Archives/edgar/data/1705696/000170569622000046/vici-20211231.htm" TargetMode="External"/><Relationship Id="rId103" Type="http://schemas.openxmlformats.org/officeDocument/2006/relationships/hyperlink" Target="http://www.sec.gov/Archives/edgar/data/1705696/000119312522134159/d291163dex41.htm" TargetMode="External"/><Relationship Id="rId104" Type="http://schemas.openxmlformats.org/officeDocument/2006/relationships/hyperlink" Target="https://www.sec.gov/Archives/edgar/data/1705696/000119312522134159/d291163dex42.htm" TargetMode="External"/><Relationship Id="rId105" Type="http://schemas.openxmlformats.org/officeDocument/2006/relationships/hyperlink" Target="http://www.sec.gov/Archives/edgar/data/1705696/000119312522134159/d291163dex42.htm" TargetMode="External"/><Relationship Id="rId106" Type="http://schemas.openxmlformats.org/officeDocument/2006/relationships/hyperlink" Target="https://www.sec.gov/Archives/edgar/data/1705696/000119312522134159/d291163dex48.htm" TargetMode="External"/><Relationship Id="rId107" Type="http://schemas.openxmlformats.org/officeDocument/2006/relationships/hyperlink" Target="http://www.sec.gov/Archives/edgar/data/1705696/000119312522134159/d291163dex48.htm" TargetMode="External"/><Relationship Id="rId108" Type="http://schemas.openxmlformats.org/officeDocument/2006/relationships/hyperlink" Target="http://www.sec.gov/Archives/edgar/data/1705696/000119312522134159/d291163dex49.htm" TargetMode="External"/><Relationship Id="rId109" Type="http://schemas.openxmlformats.org/officeDocument/2006/relationships/hyperlink" Target="http://www.sec.gov/Archives/edgar/data/1705696/000119312522134159/d291163dex410.htm" TargetMode="External"/><Relationship Id="rId110" Type="http://schemas.openxmlformats.org/officeDocument/2006/relationships/hyperlink" Target="http://www.sec.gov/Archives/edgar/data/1705696/000119312522134159/d291163dex411.htm" TargetMode="External"/><Relationship Id="rId111" Type="http://schemas.openxmlformats.org/officeDocument/2006/relationships/hyperlink" Target="http://www.sec.gov/Archives/edgar/data/1705696/000119312522134159/d291163dex412.htm" TargetMode="External"/><Relationship Id="rId112" Type="http://schemas.openxmlformats.org/officeDocument/2006/relationships/hyperlink" Target="http://www.sec.gov/Archives/edgar/data/1705696/000119312522134159/d291163dex413.htm" TargetMode="External"/><Relationship Id="rId114" Type="http://schemas.openxmlformats.org/officeDocument/2006/relationships/hyperlink" Target="http://www.sec.gov/Archives/edgar/data/1705696/000119312522134159/d291163dex101.htm" TargetMode="External"/><Relationship Id="rId115" Type="http://schemas.openxmlformats.org/officeDocument/2006/relationships/hyperlink" Target="http://www.sec.gov/Archives/edgar/data/1705696/000119312522134159/d291163dex102.htm" TargetMode="External"/><Relationship Id="rId116" Type="http://schemas.openxmlformats.org/officeDocument/2006/relationships/hyperlink" Target="http://www.sec.gov/Archives/edgar/data/1705696/000119312522134159/d291163dex103.htm" TargetMode="External"/><Relationship Id="rId117" Type="http://schemas.openxmlformats.org/officeDocument/2006/relationships/hyperlink" Target="http://www.sec.gov/Archives/edgar/data/1705696/000119312522134159/d291163dex104.htm" TargetMode="External"/><Relationship Id="rId118" Type="http://schemas.openxmlformats.org/officeDocument/2006/relationships/hyperlink" Target="http://www.sec.gov/Archives/edgar/data/1705696/000119312522134159/d291163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2022-07-27T16:32:51Z</dcterms:created>
  <dcterms:modified xsi:type="dcterms:W3CDTF">2022-07-27T16:32:51Z</dcterms:modified>
</cp:coreProperties>
</file>