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4327.xml.htm"/>
      <w:bookmarkStart w:id="1" w:name="kswkform4_17912343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MACNAB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VICI PROPERTIES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MADISON AVENUE, 28TH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VICI PROPERTIES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82,694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1, 2026, the Reporting Person was granted 530 shares of common stock under the VICI Properties Inc. 2017 Stock Incentive Plan, consisting of shares issuable in respect of a portion of the Reporting Person's annual committee retainer fee.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Sacks Gallagher, as attorney-in-fact for Craig Macnab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20280" TargetMode="External"/><Relationship Id="rId5" Type="http://schemas.openxmlformats.org/officeDocument/2006/relationships/hyperlink" Target="http://www.sec.gov/cgi-bin/browse-edgar?action=getcompany&amp;CIK=0001705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3316</Characters>
  <CharactersWithSpaces>3860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