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846-1_424b5.htm"/>
        <w:bookmarkStart w:id="1" w:name="kstm2621846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relates to an effective registration statement under the Securities Act of 1933, as amended, but is not complete and may be changed.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relates to an effective registration statement under the Securities Act of 1933, as amended, but is not complete and may be changed.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7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333-286854-01</w:t>
      </w:r>
      <w:r>
        <w:rPr>
          <w:rFonts w:ascii="Times New Roman;Times;serif" w:hAnsi="Times New Roman;Times;serif"/>
          <w:b/>
          <w:i w:val="false"/>
          <w:caps w:val="false"/>
          <w:smallCaps w:val="false"/>
          <w:color w:val="000000"/>
          <w:sz w:val="20"/>
        </w:rPr>
        <w:t>​</w:t>
      </w:r>
    </w:p>
    <w:p>
      <w:pPr>
        <w:pStyle w:val="TextBody"/>
        <w:bidi w:val="0"/>
        <w:spacing w:lineRule="atLeast" w:line="180" w:before="0" w:after="283"/>
        <w:jc w:val="center"/>
        <w:rPr>
          <w:rFonts w:ascii="Times New Roman;Times;serif" w:hAnsi="Times New Roman;Times;serif"/>
          <w:b/>
          <w:i w:val="false"/>
          <w:caps w:val="false"/>
          <w:smallCaps w:val="false"/>
          <w:color w:val="FC0014"/>
          <w:sz w:val="17"/>
        </w:rPr>
      </w:pPr>
      <w:r>
        <w:rPr>
          <w:rFonts w:ascii="Times New Roman;Times;serif" w:hAnsi="Times New Roman;Times;serif"/>
          <w:b/>
          <w:i w:val="false"/>
          <w:caps w:val="false"/>
          <w:smallCaps w:val="false"/>
          <w:color w:val="FC0014"/>
          <w:spacing w:val="-3"/>
          <w:sz w:val="17"/>
        </w:rPr>
        <w:t xml:space="preserve">Subject to Completion </w:t>
      </w:r>
      <w:r>
        <w:rPr>
          <w:rFonts w:ascii="Times New Roman;Times;serif" w:hAnsi="Times New Roman;Times;serif"/>
          <w:b/>
          <w:i w:val="false"/>
          <w:caps w:val="false"/>
          <w:smallCaps w:val="false"/>
          <w:color w:val="FC0014"/>
          <w:sz w:val="17"/>
        </w:rPr>
        <w:br/>
      </w:r>
      <w:r>
        <w:rPr>
          <w:rFonts w:ascii="Times New Roman;Times;serif" w:hAnsi="Times New Roman;Times;serif"/>
          <w:b/>
          <w:i w:val="false"/>
          <w:caps w:val="false"/>
          <w:smallCaps w:val="false"/>
          <w:color w:val="FC0014"/>
          <w:spacing w:val="-3"/>
          <w:sz w:val="17"/>
        </w:rPr>
        <w:t>Preliminary Prospectus Supplement dated August 5, 2026</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60" w:after="283"/>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PROSPECTUS SUPPLEMENT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(To Prospectus dated April 30, 2025)</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210" w:before="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 xml:space="preserve"> </w:t>
      </w:r>
    </w:p>
    <w:p>
      <w:pPr>
        <w:pStyle w:val="TextBody"/>
        <w:bidi w:val="0"/>
        <w:spacing w:before="76" w:after="283"/>
        <w:jc w:val="center"/>
        <w:rPr>
          <w:caps w:val="false"/>
          <w:smallCaps w:val="false"/>
          <w:color w:val="000000"/>
        </w:rPr>
      </w:pPr>
      <w:r>
        <w:rPr>
          <w:caps w:val="false"/>
          <w:smallCaps w:val="false"/>
          <w:color w:val="000000"/>
        </w:rPr>
        <w:drawing>
          <wp:inline distT="0" distB="0" distL="0" distR="0">
            <wp:extent cx="1438275" cy="428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438275" cy="428625"/>
                    </a:xfrm>
                    <a:prstGeom prst="rect">
                      <a:avLst/>
                    </a:prstGeom>
                  </pic:spPr>
                </pic:pic>
              </a:graphicData>
            </a:graphic>
          </wp:inline>
        </w:drawing>
      </w:r>
      <w:r>
        <w:rPr>
          <w:caps w:val="false"/>
          <w:smallCaps w:val="false"/>
          <w:color w:val="000000"/>
        </w:rPr>
        <w:t xml:space="preserve"> </w:t>
      </w:r>
    </w:p>
    <w:p>
      <w:pPr>
        <w:pStyle w:val="TextBody"/>
        <w:bidi w:val="0"/>
        <w:spacing w:lineRule="atLeast" w:line="330" w:before="11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VICI Properties L.P.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5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$       % Senior Notes Due 20  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 Senior Notes Due 20  </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VICI Properties L.P., a Delaware limited partnership (“VICI LP”), is offering $       aggregate amount of    % Senior Notes due 20   (the “20   Notes”) and $      aggregate amount of    % Senior Notes due 20   (the “20   Notes” and, together with the 20   Notes, the “Notes”).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20   Notes will bear interest at a rate of    % per annum and will mature on           , 20  . The 20   Notes will bear interest at a rate of    % per annum and will mature on         , 20  .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Interest on the 20   Notes will be payable in cash in arrears on          and          of each year, beginning on            , 2027. Interest on the 20   Notes will be payable in cash in arrears on          and          of each year, beginning on        , 2027.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have the option to redeem all or a portion of the 20   Notes and the 20   Notes at any time prior to maturity, at the applicable redemption price as described in this prospectus supplement under the heading “Description of the Notes — Optional Redemption.” In addition, the Notes will be subject to redemption requirements imposed by gaming laws and regulations of gaming authorities in jurisdictions in which we conduct gaming operations. See “Description of the Notes — Gaming Redemption.”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be VICI LP’s unsecured and unsubordinated obligations and will rank equally in right of payment with all of VICI LP’s existing and future unsecured and unsubordinated indebtedness. The Notes will be effectively subordinated in right of payment to VICI LP’s future secured indebtedness (to the extent of the value of the collateral securing such indebtedness).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also be structurally subordinated in right of payment to all existing and future indebtedness, whether secured or unsecured, and other liabilities of, and any preferred equity in, VICI LP’s subsidiaries. The Notes will benefit from a pledge of all of the limited partnership interests of VICI LP directly owned by VICI OP (as defined below). The Notes will not be secured by any other assets, including any properties or the equity of any subsidiaries of VICI LP.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As more fully described herein, the net proceeds from the Notes offered hereby will be used by VICI Properties Inc., a Maryland corporation (“VICI REIT”) and the indirect parent company of VICI LP, to repay all or a portion of our outstanding (i) $480.5 million in aggregate principal amount of 4.500% Senior Notes due 2026 (the “September 2026 Maturity Notes”), (ii) $19.5 million in aggregate principal amount of 4.500% MGP OP Notes (as defined herein) due 2026 (the “2026 MGP Notes”), and (iii) $1.25 billion in aggregate principal amount of 4.250% Senior Notes due 2026 (the “December 2026 Maturity Notes”), and we expect that any remaining net proceeds will be used for general corporate purposes, which may include the acquisition and improvement of properties, capital expenditures, working capital and the repayment or refinancing of indebtedness. See “Use of Proceeds.”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not be guaranteed by VICI REIT or any of its subsidiaries. On the issue date, the Notes will not be guaranteed by any subsidiary of VICI LP; however, certain subsidiaries of VICI LP will be required to guarantee the Notes in the future under the limited circumstances described herein. See “Description of the Notes — Possible Future Guarantees.”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are a new issue of securities with no established trading market. We do not intend to apply to list the Notes on any national securities exchange or include the Notes in any automated quotation system. The Notes will be issued only in registered form in minimum denominations of $2,000 and integral multiples of $1,000 in excess thereof.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2" w:after="283"/>
        <w:ind w:left="1753" w:right="0" w:firstLine="400"/>
        <w:jc w:val="left"/>
        <w:rPr/>
      </w:pPr>
      <w:r>
        <w:rPr>
          <w:rFonts w:ascii="Times New Roman;Times;serif" w:hAnsi="Times New Roman;Times;serif"/>
          <w:b/>
          <w:i w:val="false"/>
          <w:caps w:val="false"/>
          <w:smallCaps w:val="false"/>
          <w:color w:val="000000"/>
          <w:spacing w:val="-3"/>
          <w:sz w:val="17"/>
        </w:rPr>
        <w:t xml:space="preserve">Investing in the Notes involves risks. You should read carefully and consider the “Risk Factors” beginning on page </w:t>
      </w:r>
      <w:hyperlink w:anchor="sRIFA">
        <w:r>
          <w:rPr>
            <w:rStyle w:val="InternetLink"/>
          </w:rPr>
          <w:t>S-6</w:t>
        </w:r>
      </w:hyperlink>
      <w:r>
        <w:rPr>
          <w:rFonts w:ascii="Times New Roman;Times;serif" w:hAnsi="Times New Roman;Times;serif"/>
          <w:b/>
          <w:i w:val="false"/>
          <w:caps w:val="false"/>
          <w:smallCaps w:val="false"/>
          <w:color w:val="000000"/>
          <w:spacing w:val="-3"/>
          <w:sz w:val="17"/>
        </w:rPr>
        <w:t xml:space="preserve"> of this prospectus supplement, the risk factors described in VICI REIT’s and VICI LP’s </w:t>
      </w:r>
      <w:hyperlink r:id="rId3">
        <w:r>
          <w:rPr>
            <w:rStyle w:val="InternetLink"/>
          </w:rPr>
          <w:t>Annual Report on Form 10-K for the year ended December 31, 2025</w:t>
        </w:r>
      </w:hyperlink>
      <w:r>
        <w:rPr>
          <w:rFonts w:ascii="Times New Roman;Times;serif" w:hAnsi="Times New Roman;Times;serif"/>
          <w:b/>
          <w:i w:val="false"/>
          <w:caps w:val="false"/>
          <w:smallCaps w:val="false"/>
          <w:color w:val="000000"/>
          <w:spacing w:val="-3"/>
          <w:sz w:val="17"/>
        </w:rPr>
        <w:t xml:space="preserve"> and VICI REIT’s and VICI LP’s filings with the Securities and Exchange Commission (the “SEC”) incorporated by reference into this prospectus supplement and the accompanying prospectus.</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Neither the SEC nor any state or other securities commission has approved or disapproved these securities or passed upon the accuracy or adequacy of this prospectus supplement. Any representation to the contrary is a criminal offense. </w:t>
      </w:r>
    </w:p>
    <w:tbl>
      <w:tblPr>
        <w:tblW w:w="8452" w:type="dxa"/>
        <w:jc w:val="left"/>
        <w:tblInd w:w="1753" w:type="dxa"/>
        <w:tblLayout w:type="fixed"/>
        <w:tblCellMar>
          <w:top w:w="0" w:type="dxa"/>
          <w:left w:w="0" w:type="dxa"/>
          <w:bottom w:w="28" w:type="dxa"/>
          <w:right w:w="0" w:type="dxa"/>
        </w:tblCellMar>
      </w:tblPr>
      <w:tblGrid>
        <w:gridCol w:w="3504"/>
        <w:gridCol w:w="109"/>
        <w:gridCol w:w="109"/>
        <w:gridCol w:w="109"/>
        <w:gridCol w:w="109"/>
        <w:gridCol w:w="698"/>
        <w:gridCol w:w="109"/>
        <w:gridCol w:w="109"/>
        <w:gridCol w:w="109"/>
        <w:gridCol w:w="109"/>
        <w:gridCol w:w="226"/>
        <w:gridCol w:w="491"/>
        <w:gridCol w:w="109"/>
        <w:gridCol w:w="109"/>
        <w:gridCol w:w="109"/>
        <w:gridCol w:w="109"/>
        <w:gridCol w:w="109"/>
        <w:gridCol w:w="698"/>
        <w:gridCol w:w="109"/>
        <w:gridCol w:w="109"/>
        <w:gridCol w:w="109"/>
        <w:gridCol w:w="109"/>
        <w:gridCol w:w="226"/>
        <w:gridCol w:w="491"/>
        <w:gridCol w:w="109"/>
        <w:gridCol w:w="156"/>
      </w:tblGrid>
      <w:tr>
        <w:trPr/>
        <w:tc>
          <w:tcPr>
            <w:tcW w:w="35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78"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20  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78"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20   Note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5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8"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8"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504" w:type="dxa"/>
            <w:tcBorders/>
            <w:tcMar>
              <w:bottom w:w="0" w:type="dxa"/>
            </w:tcMar>
            <w:vAlign w:val="center"/>
          </w:tcPr>
          <w:p>
            <w:pPr>
              <w:pStyle w:val="TableContents"/>
              <w:bidi w:val="0"/>
              <w:spacing w:before="0" w:after="0"/>
              <w:jc w:val="left"/>
              <w:rPr/>
            </w:pPr>
            <w:r>
              <w:rPr>
                <w:spacing w:val="3"/>
              </w:rPr>
              <w:t>Underwriting Discount</w:t>
            </w:r>
            <w:r>
              <w:rPr>
                <w:spacing w:val="3"/>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8"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9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8"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9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0"/>
              <w:jc w:val="left"/>
              <w:rPr>
                <w:spacing w:val="3"/>
              </w:rPr>
            </w:pPr>
            <w:r>
              <w:rPr>
                <w:spacing w:val="3"/>
              </w:rPr>
              <w:t xml:space="preserve">Estimated 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9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9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6" w:before="102" w:after="0"/>
        <w:ind w:left="2153"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Plus accrued interest from           , 2026 if settlement occurs after that date. </w:t>
      </w:r>
      <w:r>
        <mc:AlternateContent>
          <mc:Choice Requires="wps">
            <w:drawing>
              <wp:anchor behindDoc="0" distT="6477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86" w:before="56" w:after="0"/>
        <w:ind w:left="2153"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See “Underwriting (Conflicts of Interest)” for additional information regarding fees and expenses of this offering. </w:t>
      </w:r>
      <w:r>
        <mc:AlternateContent>
          <mc:Choice Requires="wps">
            <w:drawing>
              <wp:anchor behindDoc="0" distT="3556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6"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lineRule="atLeast" w:line="186"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80" w:before="60" w:after="283"/>
        <w:ind w:left="1753"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underwriters expect to deliver the Notes to purchasers in book-entry form only through the facilities of The Depository Trust Company (“DTC”) for the account of its participants, including Euroclear Bank SA/NV, as operator of the Euroclear System, and Clearstream Banking S.A., against payment in New York, New York on or about            , 2026. </w:t>
      </w:r>
    </w:p>
    <w:p>
      <w:pPr>
        <w:pStyle w:val="TextBody"/>
        <w:bidi w:val="0"/>
        <w:spacing w:lineRule="atLeast" w:line="180" w:before="120"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Joint Book-Running Managers</w:t>
      </w:r>
      <w:r>
        <w:rPr>
          <w:rFonts w:ascii="Times New Roman;Times;serif" w:hAnsi="Times New Roman;Times;serif"/>
          <w:b/>
          <w:i/>
          <w:caps w:val="false"/>
          <w:smallCaps w:val="false"/>
          <w:color w:val="000000"/>
          <w:spacing w:val="3"/>
          <w:sz w:val="17"/>
        </w:rPr>
        <w:t xml:space="preserve"> </w:t>
      </w:r>
    </w:p>
    <w:p>
      <w:pPr>
        <w:pStyle w:val="TextBody"/>
        <w:bidi w:val="0"/>
        <w:spacing w:lineRule="atLeast" w:line="330" w:before="60" w:after="283"/>
        <w:ind w:left="2242" w:right="0" w:hanging="0"/>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Wells Fargo Securities Barclays Mizuho Truist Securities</w:t>
      </w:r>
      <w:r>
        <w:rPr>
          <w:rFonts w:ascii="Times New Roman;Times;serif" w:hAnsi="Times New Roman;Times;serif"/>
          <w:b/>
          <w:i w:val="false"/>
          <w:caps w:val="false"/>
          <w:smallCaps w:val="false"/>
          <w:color w:val="000000"/>
          <w:sz w:val="32"/>
        </w:rPr>
        <w:t xml:space="preserve"> </w:t>
      </w:r>
    </w:p>
    <w:p>
      <w:pPr>
        <w:pStyle w:val="TextBody"/>
        <w:bidi w:val="0"/>
        <w:spacing w:lineRule="atLeast" w:line="180" w:before="14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The date of this prospectus supplement is           , 2026.</w:t>
      </w:r>
      <w:r>
        <w:rPr>
          <w:rFonts w:ascii="Times New Roman;Times;serif" w:hAnsi="Times New Roman;Times;serif"/>
          <w:b/>
          <w:i w:val="false"/>
          <w:caps w:val="false"/>
          <w:smallCaps w:val="false"/>
          <w:color w:val="000000"/>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26"/>
        <w:gridCol w:w="109"/>
        <w:gridCol w:w="109"/>
        <w:gridCol w:w="109"/>
        <w:gridCol w:w="109"/>
        <w:gridCol w:w="686"/>
        <w:gridCol w:w="109"/>
        <w:gridCol w:w="155"/>
      </w:tblGrid>
      <w:tr>
        <w:trPr/>
        <w:tc>
          <w:tcPr>
            <w:tcW w:w="7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CIRC">
              <w:r>
                <w:rPr>
                  <w:rStyle w:val="InternetLink"/>
                  <w:spacing w:val="4"/>
                </w:rPr>
                <w:t xml:space="preserve">CERTAIN INFORMATION REGARDING CAESARS AND MGM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CIRC">
              <w:r>
                <w:rPr>
                  <w:rStyle w:val="InternetLink"/>
                  <w:spacing w:val="4"/>
                </w:rPr>
                <w:t>S-v</w:t>
              </w:r>
            </w:hyperlink>
            <w:hyperlink w:anchor="sCIR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TATN">
              <w:r>
                <w:rPr>
                  <w:rStyle w:val="InternetLink"/>
                  <w:spacing w:val="4"/>
                </w:rPr>
                <w:t xml:space="preserve">TRADEMARKS AND TRADE NAMES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TATN">
              <w:r>
                <w:rPr>
                  <w:rStyle w:val="InternetLink"/>
                  <w:spacing w:val="4"/>
                </w:rPr>
                <w:t>S-vi</w:t>
              </w:r>
            </w:hyperlink>
            <w:hyperlink w:anchor="sTA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MAID">
              <w:r>
                <w:rPr>
                  <w:rStyle w:val="InternetLink"/>
                  <w:spacing w:val="4"/>
                </w:rPr>
                <w:t xml:space="preserve">MARKET AND INDUSTRY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MAID">
              <w:r>
                <w:rPr>
                  <w:rStyle w:val="InternetLink"/>
                  <w:spacing w:val="4"/>
                </w:rPr>
                <w:t>S-vii</w:t>
              </w:r>
            </w:hyperlink>
            <w:hyperlink w:anchor="sMAI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CNRF">
              <w:r>
                <w:rPr>
                  <w:rStyle w:val="InternetLink"/>
                  <w:spacing w:val="4"/>
                </w:rPr>
                <w:t>S-viii</w:t>
              </w:r>
            </w:hyperlink>
            <w:hyperlink w:anchor="s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S-3</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S-11</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DOOI">
              <w:r>
                <w:rPr>
                  <w:rStyle w:val="InternetLink"/>
                  <w:spacing w:val="4"/>
                </w:rPr>
                <w:t xml:space="preserve">DESCRIPTION OF OTHER INDEBTEDNESS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DOOI">
              <w:r>
                <w:rPr>
                  <w:rStyle w:val="InternetLink"/>
                  <w:spacing w:val="4"/>
                </w:rPr>
                <w:t>S-12</w:t>
              </w:r>
            </w:hyperlink>
            <w:hyperlink w:anchor="sDO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DOTN">
              <w:r>
                <w:rPr>
                  <w:rStyle w:val="InternetLink"/>
                  <w:spacing w:val="4"/>
                </w:rPr>
                <w:t>S-16</w:t>
              </w:r>
            </w:hyperlink>
            <w:hyperlink w:anchor="s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SUFI">
              <w:r>
                <w:rPr>
                  <w:rStyle w:val="InternetLink"/>
                  <w:spacing w:val="4"/>
                </w:rPr>
                <w:t xml:space="preserve">SUPPLEMENTAL 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SUFI">
              <w:r>
                <w:rPr>
                  <w:rStyle w:val="InternetLink"/>
                  <w:spacing w:val="4"/>
                </w:rPr>
                <w:t>S-37</w:t>
              </w:r>
            </w:hyperlink>
            <w:hyperlink w:anchor="sS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UCOI">
              <w:r>
                <w:rPr>
                  <w:rStyle w:val="InternetLink"/>
                  <w:spacing w:val="4"/>
                </w:rPr>
                <w:t>S-41</w:t>
              </w:r>
            </w:hyperlink>
            <w:hyperlink w:anchor="sU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LEMA">
              <w:r>
                <w:rPr>
                  <w:rStyle w:val="InternetLink"/>
                  <w:spacing w:val="4"/>
                </w:rPr>
                <w:t>S-47</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26"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S-48</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26" w:type="dxa"/>
            <w:tcBorders/>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hyperlink w:anchor="sIOCD">
              <w:r>
                <w:rPr>
                  <w:rStyle w:val="InternetLink"/>
                  <w:spacing w:val="4"/>
                </w:rPr>
                <w:t>S-49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CIRC">
              <w:r>
                <w:rPr>
                  <w:rStyle w:val="InternetLink"/>
                  <w:spacing w:val="4"/>
                </w:rPr>
                <w:t xml:space="preserve">CERTAIN INFORMATION REGARDING CAESARS AND MGM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CIRC">
              <w:r>
                <w:rPr>
                  <w:rStyle w:val="InternetLink"/>
                  <w:spacing w:val="4"/>
                </w:rPr>
                <w:t>iv</w:t>
              </w:r>
            </w:hyperlink>
            <w:hyperlink w:anchor="tCIR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TATN">
              <w:r>
                <w:rPr>
                  <w:rStyle w:val="InternetLink"/>
                  <w:spacing w:val="4"/>
                </w:rPr>
                <w:t xml:space="preserve">TRADEMARKS AND TRADE NAMES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TATN">
              <w:r>
                <w:rPr>
                  <w:rStyle w:val="InternetLink"/>
                  <w:spacing w:val="4"/>
                </w:rPr>
                <w:t>iv</w:t>
              </w:r>
            </w:hyperlink>
            <w:hyperlink w:anchor="tTA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MAID">
              <w:r>
                <w:rPr>
                  <w:rStyle w:val="InternetLink"/>
                  <w:spacing w:val="4"/>
                </w:rPr>
                <w:t>iv</w:t>
              </w:r>
            </w:hyperlink>
            <w:hyperlink w:anchor="tMA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CNRF">
              <w:r>
                <w:rPr>
                  <w:rStyle w:val="InternetLink"/>
                  <w:spacing w:val="4"/>
                </w:rPr>
                <w:t>1</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VRAV">
              <w:r>
                <w:rPr>
                  <w:rStyle w:val="InternetLink"/>
                  <w:spacing w:val="4"/>
                </w:rPr>
                <w:t xml:space="preserve">VICI REIT AND VICI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VRAV">
              <w:r>
                <w:rPr>
                  <w:rStyle w:val="InternetLink"/>
                  <w:spacing w:val="4"/>
                </w:rPr>
                <w:t>3</w:t>
              </w:r>
            </w:hyperlink>
            <w:hyperlink w:anchor="tVR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SP">
              <w:r>
                <w:rPr>
                  <w:rStyle w:val="InternetLink"/>
                  <w:spacing w:val="4"/>
                </w:rPr>
                <w:t xml:space="preserve">DESCRIPTION OF STOCK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SP">
              <w:r>
                <w:rPr>
                  <w:rStyle w:val="InternetLink"/>
                  <w:spacing w:val="4"/>
                </w:rPr>
                <w:t>19</w:t>
              </w:r>
            </w:hyperlink>
            <w:hyperlink w:anchor="tDO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DS">
              <w:r>
                <w:rPr>
                  <w:rStyle w:val="InternetLink"/>
                  <w:spacing w:val="4"/>
                </w:rPr>
                <w:t>20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W">
              <w:r>
                <w:rPr>
                  <w:rStyle w:val="InternetLink"/>
                  <w:spacing w:val="4"/>
                </w:rPr>
                <w:t>24</w:t>
              </w:r>
            </w:hyperlink>
            <w:hyperlink w:anchor="t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R">
              <w:r>
                <w:rPr>
                  <w:rStyle w:val="InternetLink"/>
                  <w:spacing w:val="4"/>
                </w:rPr>
                <w:t xml:space="preserve">DESCRIPTION OF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R">
              <w:r>
                <w:rPr>
                  <w:rStyle w:val="InternetLink"/>
                  <w:spacing w:val="4"/>
                </w:rPr>
                <w:t>25</w:t>
              </w:r>
            </w:hyperlink>
            <w:hyperlink w:anchor="tDO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DS1">
              <w:r>
                <w:rPr>
                  <w:rStyle w:val="InternetLink"/>
                  <w:spacing w:val="4"/>
                </w:rPr>
                <w:t>27</w:t>
              </w:r>
            </w:hyperlink>
            <w:hyperlink w:anchor="tDOD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MUFI">
              <w:r>
                <w:rPr>
                  <w:rStyle w:val="InternetLink"/>
                  <w:spacing w:val="4"/>
                </w:rPr>
                <w:t xml:space="preserve">MATERIAL U.S.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MUFI">
              <w:r>
                <w:rPr>
                  <w:rStyle w:val="InternetLink"/>
                  <w:spacing w:val="4"/>
                </w:rPr>
                <w:t>40</w:t>
              </w:r>
            </w:hyperlink>
            <w:hyperlink w:anchor="t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BOOK">
              <w:r>
                <w:rPr>
                  <w:rStyle w:val="InternetLink"/>
                  <w:spacing w:val="4"/>
                </w:rPr>
                <w:t xml:space="preserve">BOOK-ENTRY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BOOK">
              <w:r>
                <w:rPr>
                  <w:rStyle w:val="InternetLink"/>
                  <w:spacing w:val="4"/>
                </w:rPr>
                <w:t>63</w:t>
              </w:r>
            </w:hyperlink>
            <w:hyperlink w:anchor="tBOOK">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POD">
              <w:r>
                <w:rPr>
                  <w:rStyle w:val="InternetLink"/>
                  <w:spacing w:val="4"/>
                </w:rPr>
                <w:t>65</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LEMA">
              <w:r>
                <w:rPr>
                  <w:rStyle w:val="InternetLink"/>
                  <w:spacing w:val="4"/>
                </w:rPr>
                <w:t>68</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EXP">
              <w:r>
                <w:rPr>
                  <w:rStyle w:val="InternetLink"/>
                  <w:spacing w:val="4"/>
                </w:rPr>
                <w:t>68</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WYCF">
              <w:r>
                <w:rPr>
                  <w:rStyle w:val="InternetLink"/>
                  <w:spacing w:val="4"/>
                </w:rPr>
                <w:t>69</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IOCD">
              <w:r>
                <w:rPr>
                  <w:rStyle w:val="InternetLink"/>
                  <w:spacing w:val="4"/>
                </w:rPr>
                <w:t>69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6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responsible for the information contained in this prospectus supplement, the accompanying prospectus, the documents incorporated by reference herein and therein and any free writing prospectus we may authorize to be delivered to you. References to “documents incorporated by reference” shall also include any documents deemed to be incorporated by reference in this prospectus supplement and the accompanying prospectus. To the extent there are any inconsistencies between the information in this prospectus supplement, the accompanying prospectus or the documents incorporated by reference prior to the date of this prospectus supplement, you should rely on the information in this prospectus supplement. Neither we nor any of the underwriters or their respective affiliates have authorized any other person to provide you with different or additional information, and take no responsibility for any information others may give you. Neither we nor any of the underwriters are making an offer to sell, or soliciting an offer to buy, these securities in a jurisdiction where the offer or sale is not permitted. You should assume that the information in this prospectus supplement, the accompanying prospectus, the documents incorporated by reference herein and therein and any free writing prospectus prepared by us is accurate only as of the respective dates of such documents or on the date or dates which are specified in such documents. Our business, financial condition, cash flows, operating and financial results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an automatic shelf registration statement on Form S-3 that we filed with the SEC as a “well-known seasoned issuer” as defined in Rule 405 under the Securities Act of 1933, as amended (the “Securities Act”). By using a shelf registration statement, we may sell, on a delayed or continuous basis pursuant to Rule 415 under the Securities Act, in one or more offerings, one or any combination of the securities described in this prospectus supplement and the accompanying prospectus. As allowed by the SEC rules, this prospectus supplement and the accompanying prospectus do not contain all of the information included in the registration statement. For further information, we refer you to the registration statement, including its exhibits, as well as the accompanying prospectus and the documents incorporated by reference herein and therein.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carefully this entire prospectus supplement and the accompanying prospectus, as well as the documents incorporated by reference herein and therein, which we have referred you to in “Incorporation of Certain Documents by Reference” on page </w:t>
      </w:r>
      <w:hyperlink w:anchor="sIOCD">
        <w:r>
          <w:rPr>
            <w:rStyle w:val="InternetLink"/>
          </w:rPr>
          <w:t>S-49</w:t>
        </w:r>
      </w:hyperlink>
      <w:r>
        <w:rPr>
          <w:rFonts w:ascii="Times New Roman;Times;serif" w:hAnsi="Times New Roman;Times;serif"/>
          <w:b w:val="false"/>
          <w:i w:val="false"/>
          <w:caps w:val="false"/>
          <w:smallCaps w:val="false"/>
          <w:color w:val="000000"/>
          <w:spacing w:val="4"/>
          <w:sz w:val="20"/>
        </w:rPr>
        <w:t xml:space="preserve"> of this prospectus supplement, before making an investment decision. Information incorporated by reference after the date of this prospectus supplement may add, update or change information contained in this prospectus supplement. Statements contained or incorporated by reference in this prospectus supplement or the accompanying prospectus as to the content of any contract or other document are not necessarily complete, and in each instance we refer you to the copy of the contract or other document filed as an exhibit to a document incorporated by reference in this prospectus supplement or the accompanying prospectus, each such statement being qualified in all respects by such reference.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otherwise requires or unless otherwise specified, (i) all references in this prospectus to “VICI REIT” refer to VICI Properties Inc., together with its consolidated subsidiaries, including VICI LP, and (ii) all references to “VICI LP” refer to VICI Properties L.P., the issuer of the Notes. Unless the context otherwise requires, or unless otherwise specified, all references in this prospectus to the terms “we,” “us” and “our” refer to VICI LP, together with its consolidated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April 2022 Notes” refer collectively to the (i) $1,250.0 million in aggregate principal amount of 4.750% Senior Notes due 2028, (ii) $1,000.0 million in aggregate principal amount of 4.950% Senior Notes due 2030, (iii) $1,500.0 million in aggregate principal amount of 5.125% Senior Notes due 2032, and (iv) $750.0 million in aggregate principal amount of 5.625% Senior Notes due 2052.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Caesars” refers to Caesars Entertainment, Inc., a Delaware corporation, and as the context requires, its subsidiaries.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CEOC” refers to CEOC, LLC, a Delaware limited liability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Credit Agreement” refers to the Credit Agreement, dated as of February 3, 2025, by and among VICI LP, the lenders from time to time party thereto, and Wells Fargo Bank, N.A., as administrative agent,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December 2024 Notes” refer to the $750.0 million aggregate principal amount of 5.125% Senior Notes due 2031.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Exchange Notes” refer collectively to the (i) September 2026 Maturity Notes, (ii) $729.5 million aggregate principal amount of 5.750% Senior Notes due 2027, (iii) $349.3 million aggregate principal amount of 4.500% Senior Notes due 2028, and (iv) $727.1 million aggregate principal amount of 3.875% Senior Notes due 2029, in each case issued by the VICI Issuers in April 2022 pursuant to the Exchange Offers and Consent Solicitations (each as defined under the heading “Description of Other Indebtedness”).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February 2020 Notes” refer collectively to the (i) $750.0 million in aggregate principal amount of 3.750% Senior Notes due 2027 and (ii) $1,000.0 million in aggregate principal amount of 4.125% Senior Notes due 2030.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Lease Agreements” refer collectively to our leases with our respective tenants, unless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March 2024 Notes” refer collectively to the (i) $550.0 million aggregate principal amount of 5.750% Senior Notes due 2034 and (ii) $500.0 million aggregate principal amount of 6.125% Senior Notes due 2054.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March 2025 Notes” refer collectively to the (i) $400.0 million aggregate principal amount of 4.750% Senior Notes due 2028 and (ii) $900.0 million aggregate principal amount of 5.625% Senior Notes due 2035.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refers to MGM Resorts International, a Delaware corporation,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Grand/Mandalay Bay JV” refers to a joint venture that holds the real estate assets of MGM Grand Las Vegas and Mandalay Bay, in which we hold a 100% ownership stake.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Grand/Mandalay Bay Lease” means the lease agreement for MGM Grand Las Vegas and Mandalay Bay,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Master Lease Agreement” refers to the lease agreement, dated as of April 29, 2022, for the properties leased to MGM, excluding those leased under the MGM Grand/Mandalay Bay Lease,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refers to MGM Growth Properties LLC, a Delaware limited liability company,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OP” refers to MGM Growth Properties Operating Partnership LP, a Delaware limited partnership,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OP Notes” refer collectively to the notes issued by MGP OP and MGP Finance Co-Issuer, Inc. (together with MGP OP, the “MGP Issuers”), consisting of the (i) $25.8 million aggregate principal amount of 5.625% Senior Notes due 2024, which were redeemed in full on March 25, 2024, (ii) $0.6 million in aggregate principal amount of 4.625% Senior Notes due 2025, which were redeemed in full on April 26, 2025, (iii) 2026 MGP Notes, (iv) $20.5 million aggregate principal amount of 5.750% Senior Notes due 2027, (v) $0.7 million aggregate principal amount of 4.500% Senior Notes due 2028, and (vi) $22.9 million aggregate principal amount of 3.875% Senior Notes due 2029, in each case, as amended or supplemented as of the date hereof, among the MGP Issuers, the subsidiary guarantors party thereto and U.S. Bank Trust Company, National Association (formerly known as U.S. Bank National Association) as trustee.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Transactions” refers collectively to a series of transactions in connection with VICI REIT’s acquisition of MGP on April 29, 2022, including the tax protection agreement with MGM and the MGM Master Lease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November 2019 Notes” refer collectively to the (i) December 2026 Maturity Notes, and (ii) $1.0 billion aggregate principal amount of 4.625% Senior Notes due 2029, in each case issued by the VICI Issuers in November 2019.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Revolving Credit Facility” refers to the four-year unsecured revolving credit facility of VICI LP provided under the Credit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Golf” refers to VICI Golf LLC, a Delaware limited liability company and taxable REIT subsidiary through which VICI REIT conducts its golf course business.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Issuers” refers to VICI LP and VICI Note Co.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Note Co.” refers to VICI Note Co., Inc., a Delaware corporation.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refers to VICI Properties OP LLC, a Delaware limited liability company and a consolidated subsidiary of VICI REIT, which serves as our operating partnership.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Units” refer to limited liability company interests in VICI OP.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IRC"/>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INFORMATION REGARDING CAESARS AND MGM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and unaudited financial statements of Caesars (which are not included or incorporated by reference in this prospectus supplement or the accompanying prospectus), as the parent and guarantor of CEOC, one of our significant lessees, have been filed with the SEC. Caesars files annual, quarterly and current reports and other information with the SEC. In addition, the historical audited and unaudited financial statements of MGM (which are not included or incorporated by reference in this prospectus supplement or the accompanying prospectus), which is the parent and guarantor of MGP Lessee, LLC, one of our significant lessees, have been filed with the SEC. MGM files annual, quarterly and current reports and other information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Caesars’ and MGM’s SEC filings are available to the public through the SEC’s web site at www.sec.gov. We make no representation as to the accuracy or completeness of the information regarding Caesars or MGM that is contained in this prospectus supplement or the accompanying prospectus, which is obtained from Caesars’ or MGM’s publicly available information, or that is available through the SEC’s website or otherwise made publicly available by Caesars or MGM, and none of such publicly available Caesars or MGM information is incorporated by reference in this prospectus supplement or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ATN"/>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brands under which our properties are operated are trademarks of their respective owners. None of these owners nor any of their respective officers, directors, agents or employees: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approved any disclosure contained in this prospectus supplement, the accompanying prospectus or the documents incorporated by reference herein and therein; or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responsible or liable for the content of this prospectus supplement, the accompanying prospectus or the documents incorporated by reference herein and therein.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MAID"/>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are responsible for all of the disclosures contained in this prospectus supplement, the accompanying prospectus and the documents incorporated by reference herein and therein, such documents may contain industry, market and competitive position data and estimates that are based on industry publications and studies conducted by third parties. The industry publications and third-party studies generally state that the information that they contain has been obtained from sources believed to be reliable, although they do not guarantee the accuracy or completeness of such information. While we believe that such information included in this prospectus supplement, the accompanying prospectus and the documents incorporated by reference herein and therein is generally reliable, we have not independently investigated or verified such data. The industry forward-looking statements included or incorporated by reference in this prospectus supplement and the accompanying prospectus may be materially different than our or the industry’s actual results.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 this prospectus supplement, the accompanying prospectus and documents incorporated by reference herein and therein, including statements such as “anticipate,” “believe,” “estimate,” “expect,” “intend,” “plan,” “project,” “target,” “can,” “could,” “may,” “should,” “will,” “would” or similar expressions, constitute “forward-looking statements” within the meaning of the federal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included in this prospectus supplement, the accompanying prospectus and the documents incorporated by reference herein and therein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in general economic conditions and market developments;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changing interest rate environment on us, including our ability to obtain debt financing at attractive interest rates, or at all;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condition and performance of our tenants, borrowers, and their affiliates, and our dependence on them for substantially all of our revenues (including our tenants’ renewal of the respective lease agreements following the initial or subsequent terms);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the gaming and other experiential industries in which our tenants and borrowers operate, and our dependence on the gaming industry and Las Vegas in particular;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pursue and consummate acquisitions and investments, and realize the anticipated benefits thereof;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extensive regulation from gaming and other regulatory authorities;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substantial indebtedness, including indebtedness to be incurred by us upon consummation of this offering, and ability to service, refinance and fulfill our obligations thereunder, and our ability to make distributions to stockholders;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our qualification for taxation as a REIT;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operational, legal and external risks;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this offering; and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factors discussed herein, in the accompanying prospectus or in any of the documents incorporated by reference herein and therein.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assumptions underlying forward-looking statements could be inaccurate. You are cautioned not to place undue reliance on any forward-looking statements included in this prospectus supplement, in the accompanying prospectus or in the documents incorporated by reference herein and therein. All forward-looking statements are made as of the respective dates of this prospectus supplement, the accompanying prospectus or the documents incorporated by reference herein or therein or such other dates as may be indicated in such documents, as applicable, and the risk that actual results, performance and achievements will differ materially from the expectations expressed in or referenced by the applicable document will increase with the passage of time. Except as otherwise required by the federal securities laws, we undertake no obligation to publicly update or revise any forward-looking statements after the date of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prospectus or the documents incorporated by reference herein or therein, as applicable, whether as a result of new information, future events, changed circumstances or any other reason. In light of the significant uncertainties inherent in the forward-looking statements included in this prospectus supplement, the accompanying prospectus or the documents incorporated by reference herein or therein, the inclusion of such forward-looking statements should not be regarded as a representation by us or any other person that the objectives and strategies set forth in this prospectus supplement, the accompanying prospectus or the documents incorporated by reference herein or therein will be achieved.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S-ix</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PS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about our business and this offering and may not contain all of the information that may be important to you. You should read carefully this entire prospectus supplement, the accompanying prospectus and the documents incorporated by reference herein and therein, including the information set forth under the caption “Risk Factors” in this prospectus supplement and in VICI REIT’s and our </w:t>
      </w:r>
      <w:hyperlink r:id="rId4">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which is incorporated by reference herein. You should also read our historical financial statements and related notes, which are incorporated by reference in this prospectus supplement and the accompanying prospectus, before making an investment decision. See “Incorporation of Certain Documents by Reference.” This prospectus supplement, the accompanying prospectus and the documents incorporated by reference herein and therein contain forward-looking statements that involve risks and uncertainties. Our actual results may differ significantly from future results contemplated in the forward-looking statements as a result of factors such as those set forth in the “Risk Factors” disclosures referred to above and in “Cautionary Note Regarding Forward-Looking Statements”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 of 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VICI REIT is an owner and acquirer of experiential real estate assets across leading gaming, hospitality, wellness, entertainment and leisure destinations, subject to long-term triple net leases. VICI LP is currently an indirect subsidiary of VICI REIT. VICI REIT is the sole owner and managing member of VICI Properties GP LLC, the sole general partner of VICI LP. VICI REIT also is the sole owner and managing member of VICI Properties Holdco LLC (“Holdco”), which owns approximately 98.9% of the limited liability company interests of VICI OP, our operating partnership, which in turn owns 100% of the limited partnership interest in VICI LP. The balance of VICI OP Units not held by Holdco are held by third-party unit holders. VICI REIT conducts its real property business through VICI LP and its golf course business through a taxable REIT subsidiary, VICI Golf.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own 103 experiential assets across a geographically diverse portfolio consisting of 63 gaming properties and 40 other experiential properties across the United States and Canada, including Caesars Palace Las Vegas, MGM Grand and The Venetian Resort Las Vegas,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130 million square feet, our well-maintained properties are currently located across urban, destination and drive-to markets in twenty-six states and Canada, contain approximately 66,000 hotel rooms and feature over 700 restaurants, bars, nightclubs and sportsbooks. As of June 30, 2026, our properties are 100% leased with a weighted average lease term based on contractual rent, including extension options, of approximately 39.6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have a growing array of real estate and financing partnerships with leading developers and operators in other experiential sectors, including Cabot, Cain, Canyon Ranch, Chelsea Piers, Club Med, Great Wolf Resorts, Homefield, Kalahari Resorts and Lucky Strike Entertainment. This portfolio includes certain real estate debt investments that were originated for strategic purposes, including (i) the potential to convert our investment into the ownership of the underlying real estate, (ii) the opportunity to develop relationships with owners and operators that may lead to other investments in experiential asset classes that fit within our investment criteria and objectives, and (iii) the ability to make investments in experiential asset classes outside of gaming with a goal of increasing our investment activity in these asset classes over time. In addition, we own approximately 33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repair, improvement and other capital expenditures, as well as over the implementation of environmental sustainability and other initiatives.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Matters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535 Madison Avenue, New York, New York 10022 and our main telephone number is (646) 949-4631. Our website address is www.viciproperties.com. None of the information on, or accessible through, our website or any other website identified herein is incorporated in, or constitutes a part of, this prospectus supplement or the accompanying prospectus, and the inclusion of our website address in this prospectus supplement and the accompanying prospectus is an inactive textual reference only.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THOF"/>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 .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VICI Properties L.P.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amount of    % Senior Notes due 20   (the “20   Notes”).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amount of    % Senior Notes due 20   (the “20  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20   Notes will accrue at a rate of    % per annum and interest on the 20   Notes will accrue at a rate of    % per annum.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20   Notes will be payable semi-annually in cash in arrears on          and          of each year, commencing on          , 2027, and interest on the 20   Notes will be payable semi-annually in cash in arrears on          and          of each year, commencing on          ,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Guarantees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guaranteed by VICI REIT. On the issue date, the Notes will not be guaranteed by any subsidiary of VICI LP; however, certain subsidiaries of VICI LP will be required to guarantee the Notes in the future under the limited circumstances described herein. See “Description of the Notes — Possible Future Guarantees.”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our unsecured and unsubordinated obligations and will: </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 equally in right of payment with all of our existing and future unsecured and unsubordinated indebtedness; </w:t>
      </w:r>
      <w:r>
        <mc:AlternateContent>
          <mc:Choice Requires="wps">
            <w:drawing>
              <wp:anchor behindDoc="0" distT="99060" distB="0" distL="21336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 effectively subordinated in right of payment to all of our future secured indebtedness (to the extent of the value of the collateral securing such indebtedness); and </w:t>
      </w:r>
      <w:r>
        <mc:AlternateContent>
          <mc:Choice Requires="wps">
            <w:drawing>
              <wp:anchor behindDoc="0" distT="99060" distB="0" distL="21336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 structurally subordinated in right of payment to all existing and future indebtedness, whether secured or unsecured, and other liabilities of, and any preferred equity in, our subsidiaries. </w:t>
      </w:r>
      <w:r>
        <mc:AlternateContent>
          <mc:Choice Requires="wps">
            <w:drawing>
              <wp:anchor behindDoc="0" distT="99060" distB="0" distL="21336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had approximately $17.2 billion principal amount of total indebtedness outstanding on a consolidated basis, approximately $3.0 billion of which was attributable to our subsidiaries. As of such date, we had approximately $3.0 billion of secured indebtedness outstanding, all of which was attributable to our subsidiaries.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(i) with respect to the 20   Notes,      , 20   (   months prior to the maturity date of such notes) and (ii) with respect to the 20   Notes,          , 20   (   months prior to the maturity date of such notes) (each such date, a “Par Call Date”), we may redeem the Notes at our option, in whole or in part, at the applicable redemption price described herein.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or after the applicable Par Call Date, we may redeem each series of Notes, in whole or in part, at any time and from time to time, at a redemption price equal to 100% of the principal amount of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being redeemed plus accrued and unpaid interest thereon to the redemption date.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the Notes — Optional Redemption” for more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Gaming Redemption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subject to redemption requirements imposed by gaming laws and regulations of gaming authorities in jurisdictions in which we conduct gaming operations. See “Description of the Notes — Gaming Redemption.”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Covenants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that will govern the Notes will contain certain covenants that, among other things, limit our ability to: </w:t>
      </w:r>
    </w:p>
    <w:p>
      <w:pPr>
        <w:pStyle w:val="TextBody"/>
        <w:bidi w:val="0"/>
        <w:spacing w:lineRule="atLeast" w:line="240" w:before="14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incur secured and unsecured indebtedness; and </w:t>
      </w:r>
      <w:r>
        <mc:AlternateContent>
          <mc:Choice Requires="wps">
            <w:drawing>
              <wp:anchor behindDoc="0" distT="92710" distB="0" distL="21336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3pt;mso-wrap-distance-bottom:0pt;margin-top:7.3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consummate a merger, consolidation or sale of all or substantially all of our assets. </w:t>
      </w:r>
      <w:r>
        <mc:AlternateContent>
          <mc:Choice Requires="wps">
            <w:drawing>
              <wp:anchor behindDoc="0" distT="91440" distB="0" distL="21336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2pt;mso-wrap-distance-bottom:0pt;margin-top:7.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we will be required to maintain total unencumbered assets of at least 150% of our total unsecured indebtedness. These covenants are subject to a number of important exceptions and qualifications.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Limited Equity Pledge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benefit from a pledge of the limited partnership interests of VICI LP directly owned by VICI OP (the “Limited Equity Pledge”). See “Description of the Notes — Limited Equity Pledge.”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from this offering to repay all or a portion of our outstanding (i) $480.5 million in aggregate principal amount of September 2026 Maturity Notes, (ii) $19.5 million in aggregate principal amount of 2026 MGP Notes, and (iii) $1.25 billion in aggregate principal amount of December 2026 Maturity Notes, and we expect that any remaining net proceeds will be used for general corporate purposes, which may include the acquisition and improvement of properties, capital expenditures, working capital and the repayment or refinancing of indebtedness.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any of the underwriters or their affiliates are holders of our September 2026 Maturity Notes, 2026 MGP Notes, December 2026 Maturity Notes or other indebtedness, such underwriters or affiliates will receive a portion of the net proceeds from this offering. In the event that greater than 5% of the net proceeds from this offering are used to repay such notes or indebtedness owed to any individual underwriter or its affiliates, this offering will be conducted in accordance with Rule 5121 of the Financial Industry Regulatory Authority, Inc. (“FINRA”). See “Underwriting (Conflicts of Interest) — Conflicts of Interest.”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Listing of the Notes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intend to apply to list the Notes on any securities exchange or to have the Notes quoted on any automated quotation system.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Book-Entry Form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book-entry only and registered in the name of a nominee of The Depository Trust Company (“DTC”). Investors may elect to hold interests in the Notes through Clearstream Banking, S.A., or Euroclear Bank SA/NV, as operator of the Euroclear System,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which in turn will hold interests in the Notes in their capacity as participants at DTC. The Notes will be issued only in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Notes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without the consent of holders of the Notes, increase the principal amount of either series of Notes by issuing additional Notes of such series in the future on the same terms and conditions as the applicable series of Notes, except for any difference in the issue price, issue date, interest accrued prior to the issue date of the additional Notes of such series, and, if applicable, the first interest payment date and the initial interest accrual date, and with the same CUSIP number as the series of Notes offered hereby so long as such additional Notes of such series are fungible for U.S. federal income tax purposes with the applicable series of Notes offered hereby.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Registrar and Paying Agent . . . . .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UMB Bank, National Association.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 . . . . . . . . . . .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and the indenture is, governed by New York law.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 . . . . . . . . . . . . .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See “Risk Factors” beginning on page </w:t>
      </w:r>
      <w:hyperlink w:anchor="sRIFA">
        <w:r>
          <w:rPr>
            <w:rStyle w:val="InternetLink"/>
          </w:rPr>
          <w:t>S-6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the other information included or incorporated by reference into this prospectus supplement for a discussion of the factors you should carefully consider before deciding to invest in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RIF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risks. You should carefully consider the risks and uncertainties described below as well as those set forth in VICI REIT’s and our </w:t>
      </w:r>
      <w:hyperlink r:id="rId5">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rPr>
        <w:t xml:space="preserve"> and the other information and data set forth in this prospectus supplement and the accompanying prospectus and the documents incorporated by reference herein and therein before making a decision to invest in the Notes. If any of these risks occur, our business, results of operations, financial condition, cash flows and prospects and our ability to satisfy our debt service obligations, including with respect to the Notes, may be materially and adversely affected. These risks and uncertainties are not the only ones we face. Additional risks and uncertainties not presently known to us or that as of the date of this prospectus supplement we deem immaterial may also have a material adverse effect on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existing substantial indebtedness could materially and adversely affect our ability to meet our debt service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$17.2 billion principal amount of total indebtedness outstanding on a consolidated basis, approximately $3.0 billion of which was attributable to our subsidiaries. In addition, we have the $2.5 billion unsecured Revolving Credit Facility, approximately $2.2 billion of which was available for future borrowing at June 30,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level of indebtedness and the limitations imposed on us by our debt agreements could have significant adverse consequences to holders of the Notes,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vulnerability to adverse economic, industry or competitive developments may be increased;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borrow additional funds as needed or on favorable terms, which could, among other things, adversely affect our ability to capitalize upon transaction opportunities or fund future working capital, operational and other corporate needs;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refinance our indebtedness at maturity or earlier acceleration, if applicable, or the refinancing terms may be less favorable than the terms of the indebtedness being refinanced;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forced to dispose of one or more of our properties if permitted under the Lease Agreements, possibly on disadvantageous terms;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fail to comply with restrictive covenants in our loan documents, which would entitle the lenders and other creditors to accelerate payment of outstanding obligations and foreclose on any collateral securing such obligations; and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hedge floating rate debt, counterparties may fail to honor their obligations under our hedge agreements and these agreements may not effectively hedge interest rate fluctuation risk.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one of these events were to occur, our business, financial condition, liquidity, results of operations and prospects, as well as our ability to satisfy our obligations with respect to the Notes, could be materially and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generate sufficient cash flow to meet our debt service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our debt service obligations on, and to refinance, our indebtedness, including the Notes, and to fund our operations, working capital, acquisitions, development projects, capital expenditures and other important business uses depends on our ability to generate sufficient cash flow in the future. To a certain extent, our cash flow is subject to general economic, industry, financial, competitive, operating, legislative, regulatory and other factors, many of which are beyond our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our business will generate sufficient cash flow from operations or that future sources of cash will be available to us in an amount sufficient to enable us to meet our debt service obligations on our indebtedness, including the Notes, or to fund our other important business uses. As a result, we would be forced to take other actions to meet those obligations, such as selling properties, raising equity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capital expenditures, any of which could have a material adverse effect on us. Furthermore, we cannot assure you that we will be able to effect any of these actions on favorable terms, or at all. Additionally, if we incur additional indebtedness in connection with future acquisitions or development projects or for any other purpose, our debt service obligations could increase significantly and our ability to meet those obligations could depend, in large part, on the returns from such acquisitions or projects, as to which no assurance can be given.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may need to refinance all or a portion of our indebtedness, including the Notes, at or prior to maturity. Our ability to refinance our indebtedness or obtain additional financing will depend on,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liquidity, results of operations and prospects and market conditions at the time; and </w:t>
      </w:r>
      <w:r>
        <mc:AlternateContent>
          <mc:Choice Requires="wps">
            <w:drawing>
              <wp:anchor behindDoc="0" distT="7239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in the agreements governing our indebtedness. </w:t>
      </w:r>
      <w:r>
        <mc:AlternateContent>
          <mc:Choice Requires="wps">
            <w:drawing>
              <wp:anchor behindDoc="0" distT="7239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may not be able to refinance any of our indebtedness, including the Notes, on favorable terms, or at all.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structurally subordinated in right of payment to all existing and future indebtedness, whether secured or unsecured, and other liabilities of, and any preferred equity in, our subsidiaries; our ability to service our debt is dependent on the performance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subsidiaries will initially guarantee the Notes. The Notes will be guaranteed by certain of our subsidiaries in limited circumstances in the future as described under “Description of the Notes — Possible Future Guarantees” and may never have the benefit of a guarantee. Payments on the Notes are only required to be made by VICI LP. As a result, no payments are required to be made by, and holders of Notes will not have a claim against the assets of, any of our subsidiaries, except if those assets are transferred, by dividend or otherwise, to us. Accordingly, the Notes will be structurally subordinated in right of payment to all existing and future indebtedness, whether secured or unsecured, and other liabilities of, and any preferred equity in, our subsidiaries. The incurrence of indebtedness or other liabilities or the issuance of any preferred equity by any of our subsidiaries is not prohibited by the indenture governing the Notes, although the incurrence of additional debt is restricted if certain conditions are not met, and could adversely affect our ability to pay our obligations on the Notes. As of June 30, 2026, there was approximately $3.0 billion of indebtedness attributable to our subsidiaries, excluding intercompany liabilities, that would have been structurally senior to the Notes. We anticipate that from time to time our subsidiaries will incur additional debt and other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are a holding partnership and we have no significant operations and no material assets other than our investment in our subsidiaries. Accordingly, our cash flow and our consequent ability to service our debt, including the Notes, depends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may depend upon the earnings of those subsidiaries and may be subject to various business considerations.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our unsecured obligations and therefore will effectively be subordinated to any secured debt our subsidiaries have incurred or may incur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secured by any of our assets or those of our subsidiaries, though will benefit from the Limited Equity Pledge. As a result, the Notes will be effectively subordinated to any secured debt our subsidiaries have incurred, including the MGM Grand/Mandalay Bay CMBS Debt (as defined below), or may incur to the extent of the value of the assets securing such debt. In any liquidation, dissolution, bankruptcy or other similar proceeding, the holders of our secured debt may assert rights against the secured assets in order to receive full payment of their debt before the assets may be used to pay the holders of the Notes. Accordingly, we may not have sufficient funds to pay amounts due on the Notes and holders of the Notes may lose a portion of or the entire value of the investment in the Notes. As of June 30, 2026, the $3.0 billion MGM Grand/Mandalay Bay CMBS Debt attributable to our subsidiaries was our only outstanding secured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Neither VICI REIT nor VICI OP will guarantee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VICI REIT or VICI OP. As a result, holders of Notes will not have a claim against the assets of VICI REIT or VICI OP, other than the Limited Equity Pledge. In addition, VICI REIT and VICI OP will not be subject to the covenants set forth in the indenture.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and state statutes allow courts, under specific circumstances, to void guarantees and require holders of notes to return payments received from guarantors.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certain of our domestic subsidiaries may be required to guarantee amounts outstanding under the Credit Agreement. If this occurs, we have agreed that such subsidiaries will also guarantee the payment of principal of, premium, if any, and interest on the Notes when due on an unsecured and unsubordinated basis for so long as such entity guarantees amounts outstanding under the Credit Agreement. Under the federal bankruptcy law and comparable provisions of state fraudulent transfer laws, if any of our subsidiaries guarantee the Notes in the future, any such guarantee could be voided, or claims in respect of any such guarantee could be subordinated to all other debts of that guarantor if, among other things, the guarantor, at the time it incurred the debt evidenced by its guarantee, received less than reasonably equivalent value or fair consideration for the incurrence of such guarantee and any of the following is also true: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guarantor was insolvent or rendered insolvent by reason of such incurrence; </w:t>
      </w:r>
      <w:r>
        <mc:AlternateContent>
          <mc:Choice Requires="wps">
            <w:drawing>
              <wp:anchor behindDoc="0" distT="876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guarantor was engaged in a business or transaction for which the guarantor’s remaining assets constituted unreasonably small capital; or </w:t>
      </w:r>
      <w:r>
        <mc:AlternateContent>
          <mc:Choice Requires="wps">
            <w:drawing>
              <wp:anchor behindDoc="0" distT="889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guarantor intended to incur, or believed that it would incur, debts beyond its ability to pay such debts as they mature. </w:t>
      </w:r>
      <w:r>
        <mc:AlternateContent>
          <mc:Choice Requires="wps">
            <w:drawing>
              <wp:anchor behindDoc="0" distT="889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payment by any such guarantor pursuant to its guarantee could be voided and required to be returned to the guarantor, or to a fund for the benefit of our creditors or the creditors of the guarantor.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measures of insolvency for purposes of these fraudulent transfer laws will vary depending upon the law applied in any proceeding to determine whether a fraudulent transfer has occurred. Generally, however, a guarantor would be considered insolvent if: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its debts, including contingent liabilities, was greater than the fair saleable value of all of its assets; </w:t>
      </w:r>
      <w:r>
        <mc:AlternateContent>
          <mc:Choice Requires="wps">
            <w:drawing>
              <wp:anchor behindDoc="0" distT="876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fair saleable value of its assets was less than the amount that would be required to pay its probable liability on its existing debts, including contingent liabilities, as they become absolute and mature; or </w:t>
      </w:r>
      <w:r>
        <mc:AlternateContent>
          <mc:Choice Requires="wps">
            <w:drawing>
              <wp:anchor behindDoc="0" distT="889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could not pay its debts as they become due. </w:t>
      </w:r>
      <w:r>
        <mc:AlternateContent>
          <mc:Choice Requires="wps">
            <w:drawing>
              <wp:anchor behindDoc="0" distT="889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 court would likely find that a guarantor did not receive reasonably equivalent value or fair consideration for its guarantee unless it benefited from the issuance of the Notes. The risk that a guarantee provided by certain of our domestic subsidiaries in the future, as described above, may be voided or otherwise impaired may be exacerbated due to the fact that any such guarantee would be issued after the issuance of the Notes and in relation to debt issued by their parent entity, making it more likely that a court would find that the domestic subsidiaries did not receive reasonably equivalent value or fair consideration for their guarantee or that they did not benefit from the issuance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as to what standard a court would apply in making these determinations. In addition, any guarantee would contain a provision intended to limit the guarantor’s liability to the maximum amount that it could incur without causing the incurrence of obligations under its guarantee to be a fraudulent transfer. This provision may not be effective to protect any future guarantees from being voided under fraudulent transfer laws, or may eliminate the guarantor’s obligations or reduce the guarantor’s obligations to an amount that effectively makes the guarantee worthless.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Despite our substantial outstanding indebtedness, we may still incur significantly more indebtedness in the future, which would increase any or all of the risks described above.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able to incur substantial additional indebtedness in the future. Although the agreements governing our Revolving Credit Facility and certain other indebtedness do, and the indenture governing the Notes will, limit our ability to incur additional indebtedness, these restrictions are subject to a number of qualifications and exceptions and, under certain circumstances, debt incurred in compliance with these restrictions could be substantial. To the extent that we incur substantial additional indebtedness in the future, the risks associated with our substantial leverage described herein, including our inability to meet our debt service obligations (including payments on the Notes), would be increased.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governing the Notes will contain restrictive covenants that may restrict our ability to expand our business or fully pursue our business strategies.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agreements governing our indebtedness contain, and the indenture governing the Notes will contain, financial and operating covenants that, among other things, may restrict our ability to take specific actions, even if we believe them to be in our best interest, including restrictions on our ability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secured and unsecured indebtedness; and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consummate a merger, consolidation or sale of all or substantially all of our assets.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Revolving Credit Facility requires us to meet specified financial ratios and the indenture governing the Notes will require us to maintain at all times a specified ratio of total unencumbered assets to total unsecured debt. These covenants and any other restrictions contained in future agreements governing our indebtedness may restrict our ability to expand our business or fully pursue our business strategies.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these and other provisions of the indenture governing the Notes, our Revolving Credit Facility and any future agreements governing our indebtedness may be affected by changes in our operating and financial performance, changes in general business and economic conditions, adverse regulatory developments or other events beyond our control. The breach of any of these covenants could result in a default under our indebtedness, which could result in the acceleration of the maturity of such and other indebtedness. If any of our indebtedness is accelerated prior to maturity, we may not be able to repay such indebtedness or refinance such indebtedness on favorable terms, or at all.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be required to sell your Notes if any gaming authority finds you unsuitable to hold them or otherwise requires us to redeem or repurchase the Notes from you.</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of the applicable regulatory agencies or authorities requires a holder (including a beneficial holder) of the Notes to be licensed, qualified or found suitable under the applicable gaming or racing laws, and such holder fails to apply for a license, qualification or finding of suitability within 30 days after being requested to do so or if such holder is denied such license or qualification or is not found suitable or if any of the applicable regulatory agencies or authorities otherwise require that the Notes held by such holder be redeemed, we will have the right, at our option, to redeem or require such holder to dispose of such holder’s Notes. There can be no assurance that we will have sufficient funds or otherwise will be able to repurchase any or all of your Notes. See “Description of the Notes — Gaming Redemption.”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currently no trading market for the Notes, and an active public trading market for the Notes may not develop or, if it develops, may not be maintained. The failure of an active liquid trading market for the Notes to develop or be maintained is likely to adversely affect the market price and liquidity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and there is currently no existing trading market for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apply for listing of the Notes on any securities exchange. Although the underwriters have advised us that they intend to make a market in the Notes, they are not obligated to do so and may discontinue any market-making at any time without notice. Accordingly, an active trading market may not develop for the Notes and, even if one develops, may not be maintained or be liquid. If an active trading market for the Notes does not develop or is not maintained, the market price and liquidity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is likely to be adversely affected, and holders may not be able to sell their Notes at desired times and prices or at all. If any of the Notes are traded after their purchase, they may trade at a discount from their purchase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of the trading market, if any, and future trading prices of the Notes will depend on many factors, including, among other things, prevailing interest rates, our financial condition, results of operations, business, prospects and credit quality, and those of comparable entities, the market for similar securities and the overall securities market, and may be adversely affected by unfavorable changes in any of these factors, some of which are beyond our control. In addition, market volatility or events or developments in the credit markets could materially and adversely affect the market value of the Notes, regardless of our financial condition, results of operations, business, prospects or credit quality.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downgrade in our corporate credit ratings could materially adversely affect our financial condition, liquidity and results of operations and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credit ratings are subject to ongoing evaluation by credit rating agencies, and we cannot assure you that any rating will not be changed or withdrawn by a rating agency in the future if, in its judgment, circumstances warrant. Moreover, such credit ratings are not recommendations to buy, sell or hold the Notes or any other securities, and they may not reflect all risks of your investment in the Notes. If any of the credit rating agencies downgrade our corporate ratings or otherwise indicate that its outlook for that rating is negative, it could have a material adverse effect on the market price of the Notes and our costs and availability of capital, which could in turn have a material adverse effect on our financial condition, liquidity and results of operations and our ability to satisfy our debt service obligations (including payments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indentures governing our November 2019 Notes, February 2020 Notes, April 2022 Notes, March 2024 Notes, December 2024 Notes, March 2025 Notes and Exchange Notes include certain restrictive covenants. As of April 18, 2022, VICI LP and its restricted subsidiaries were no longer subject to most of these restrictive covenants due to (i) achievement of a credit ratings agency condition and (ii) no default or event of default having occurred and been continuing under the respective indentures. However, in the event that the November 2019 Notes, February 2020 Notes, April 2022 Notes, March 2024 Notes, December 2024 Notes, March 2025 Notes or Exchange Notes are no longer in compliance with the applicable credit ratings agency condition under their respective indentures, VICI LP and its restricted subsidiaries will again be subject to all of the covenants of the respective indentures, as applicable, which could have a material adverse effect on our business and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may adversely affect your return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redeemable at our option and we may choose to redeem some or all of either series of Notes from time to time, especially when prevailing interest rates are lower than the rate borne by such series of Notes. If prevailing rates are lower at the time of redemption, you would not be able to reinvest the redemption proceeds in a comparable security at an effective interest rate as high as the interest rate on either series of Notes being redeemed. See “Description of the Notes — Optional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O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the sale of the Notes in this offering will be approximately $      , after deducting the underwriting discounts and other estimated offering expenses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to repay all or a portion of our outstanding (i) $480.5 million in aggregate principal amount of September 2026 Maturity Notes, (ii) $19.5 million in aggregate principal amount of 2026 MGP Notes, and (iii) $1.25 billion in aggregate principal amount of December 2026 Maturity Notes. Each of the September 2026 Maturity Notes and 2026 MGP Notes bear interest at a rate of 4.500% per annum and mature on September 1, 2026, and the December 2026 Maturity Notes bear interest at a rate of 4.250% per annum and mature on December 1, 2026. We expect that any remaining net proceeds will be used for general corporate purposes, which may include the acquisition and improvement of properties, capital expenditures, working capital and the repayment or refinancing of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any of the underwriters or their affiliates are holders of our September 2026 Maturity Notes, 2026 MGP Notes, December 2026 Maturity Notes or other indebtedness, such underwriters or affiliates will receive a portion of the net proceeds from this offering. In the event that greater than 5% of the net proceeds from this offering are used to repay such notes or indebtedness owed to any individual underwriter or its affiliates, this offering will be conducted in accordance with FINRA Rule 5121. See “Underwriting (Conflicts of Interest) — Conflicts of Interest.”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DOOI"/>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OTHER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Unsecured Credit Facilities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3, 2025, we entered into the Credit Agreement, providing for the Revolving Credit Facility in the amount of $2.5 billion scheduled to mature on February 3, 2029. The Revolving Credit Facility includes two six-month maturity extension options (or one twelve-month extension option), the exercise of which in each case is subject to customary conditions and the payment of an extension fee of (i) 0.0625% on the extended commitments, in the case of each six-month extension of the Revolving Credit Facility, and (ii) 0.125% on the extended commitments, in the case of a twelve-month extension of the Revolving Credit Facility. The Revolving Credit Facility includes the option to increase the revolving loan commitments by up to $1.0 billion to the extent that any one or more lenders (from the syndicate or otherwise) agree to provide such additional credit extensions.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Borrowings under the Revolving Credit Facility will bear interest, at our option, for U.S. Dollar borrowings at either (i) a rate based on the secured overnight financing rate (“SOFR”) plus a margin ranging from 0.70% to 1.40%, or (ii) a base rate plus a margin ranging from 0.00% to 0.40%, in each case, with the actual margin determined according to our debt ratings and total leverage ratio. The base rate is the highest of (i) the prime rate of interest last quoted by the Wall Street Journal in the U.S. then in effect, (ii) the Federal Reserve Bank of New York rate from time to time plus 0.5% and (iii) the SOFR rate for a one-month interest period plus 1.0%, subject to a floor of 1.0%.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Revolving Credit Facility requires the payment of a facility fee ranging from 0.10% to 0.30% (depending on our debt rating and total leverage ratio) of total commitments. The Revolving Credit Facility may be voluntarily prepaid in full or in part at any time, subject to customary breakage costs,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Agreement contains customary representations and warranties and affirmative, negative and financial covenants. 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The Credit Agreement is consistent with certain tax-related requirements related to security for the VICI REIT’s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Agreement benefits from the Limited Equity Pledge by VICI OP of its interests in VICI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$2.2 billion of available capacity to borrow under the Revolving Credit Facility.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13, 2021, we announced that the VICI Issuers commenced (i) private exchange offers 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eliminated or modified certain of the covenants, restrictions, provisions and events of default in each of the MGP OP Notes Indentures. Upon settlement of the Exchange Offers and Consent Solicitations on April 29, 2022, supplemental indentures to each of the MGP OP Notes Indentures that effected the proposed amendments became operative.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2022, the VICI Issuers issued (i) $1,024.2 million in aggregate principal amount of 5.625% Senior Notes due May 1, 2024, which were redeemed in full on March 19, 2024, (ii) $799.4 million in aggregate principal amount of 4.625% Senior Notes due June 15, 2025, which were redeemed in full on April 8, 2025, (iii) the September 2026 Maturity Notes, (iv) $729.5 million in aggregate principal amount of 5.750% Senior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due February 1, 2027, (v) $349.3 million in aggregate principal amount of 4.500% Senior Notes due January 15, 2028, and (vi) $727.1 million in aggregate principal amount of 3.875% Senior Notes due February 15, 2029, in each case in exchange for the validly tendered and not validly withdrawn MGP OP Notes, originally issued by the MGP Issuers, pursuant to the settlement of the Exchange Offers and Consent Solicitations in connection 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redeem the September 2026 Maturity Notes in full following settlement of this offering. The Exchange Notes due 2027, 2028, and 2029 are redeemable at our option, in whole or in part, at any time on or after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MGP OP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 of the Exchange Notes pursuant to the settlement of the Exchange Offers and Consent Solicitations, the 2026 MGP Notes, $20.5 million in aggregate principal amount of MGP OP Notes due 2027, $0.7 million in aggregate principal amount of MGP OP Notes due 2028 and $22.9 million in aggregate principal amount of MGP OP Notes due 2029 remain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March 2025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7, 2025, we issued (i) $400.0 million aggregate principal amount of 4.750% Senior Notes due 2028, which mature on April 1, 2028, and (ii) $900.0 million aggregate principal amount of 5.625% Senior Notes due 2035, which mature on April 1, 2035. We used the net proceeds from the offering of the March 2025 Notes to redeem our then-outstanding (x) $500.0 million in aggregate principal amount of our 4.375% Senior Notes due 2025, (y) $799.4 million in aggregate principal amount of our 4.625% senior exchange notes due 2025, and (z) $0.6 million in aggregate principal amount of our 4.625% MGP OP Notes due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March 1, 2028 (one month prior to the maturity date of the March 2025 Notes due 2028) and January 1, 2035 (three months prior to the maturity date of the March 2025 Notes due 2035), respectively, in the case of the March 2025 Notes due 2028 and 2035, we may redeem the March 2025 Notes at our option, in whole or in part, at any time and from time to time, at a price equal to 100% of the principal amount thereof plus a “make-whole” premium. On or after March 1, 2028 and January 1, 2035, respectively, we may redeem the March 2025 Notes due 2028 and 2035 at a redemption price equal to 100% of the principal amount of such notes to be redeemed, plus accrued and unpaid interest thereon to the redemption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December 2024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19, 2024, we issued $750.0 million aggregate principal amount of 5.125% Senior Notes due 2031, which mature on November 15, 2031. We used the net proceeds from the offering of the December 2024 Notes to redeem our then-outstanding $750.0 million in aggregate principal amount of 3.500% Senior Notes due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September 15, 2031 (two months prior to the maturity date), we may redeem the December 2024 Notes at our option, in whole or in part, at any time and from time to time, at a price equal to 100% of the principal amount thereof plus a “make-whole” premium. On or after September 15, 2031, we may redeem the December 2024 Notes at a redemption price equal to 100% of the principal amount of such notes to be redeemed, plus accrued and unpaid interest thereon to the redemption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March 2024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18, 2024, we issued (i) $550.0 million aggregate principal amount of 5.750% Senior Notes due 2034, which mature on April 1, 2034, and (ii) $500.0 million aggregate principal amount of 6.125% Senior Notes due 2054, which mature on April 1, 2054. We used the net proceeds from the offering of the March 2024 Notes to redeem our then-outstanding (x) $1,024.2 million in aggregate principal amount of 5.625% Senior Notes due 2024, and (y) $25.8 million in aggregate principal amount of 5.625% MGP OP Notes due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January 1, 2034 (three months prior to the maturity date of the March 2024 Notes due 2034) and October 1, 2053 (six months prior to the maturity date of the March 2024 Notes due 2054), respectively, in the case of the March 2024 Notes due 2034 and 2054, we may redeem the March 2024 Notes at our option, in whole or in part, at any time and from time to time, at a price equal to 100% of the principal amount thereof plus a “make-whole” premium. On or after January 1, 2034 and October 1, 2053, respectively, we may redeem the March 2024 Notes due 2034 and 2054 at a redemption price equal to 100% of the principal amount of such notes to be redeemed, plus accrued and unpaid interest thereon to the redemption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April 2022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2022, we issued (i) $500.0 million in aggregate principal amount of 4.375% Senior Notes due 2025, which were redeemed in full on April 8, 2025, (ii) $1,250.0 million in aggregate principal amount of 4.750% Senior Notes due 2028, which mature on February 15, 2028, (iii) $1,000.0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in each case under a supplemental indenture dated as of April 29, 2022, between VICI LP and the Trustee. We used the net proceeds of the offering of our April 2022 Notes to (i) fund the consideration for the redemption of a majority of the VICI OP Units received by MGM for $4,404.0 million in cash in connection with the closing of the MGP Transactions on April 29, 2022, and (ii) pay down the outstanding $600.0 million balance on our previous revolving credit facility.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February 2020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5, 2020, the VICI Issuers issued (i) $750.0 million in aggregate principal amount of 3.500% Senior Notes due 2025, which were redeemed in full on December 20, 2024, (ii) $750.0 million in aggregate principal amount of 3.750% Senior Notes due 2027, which mature on February 15, 2027, and (iii) $1,000.0 million in aggregate principal amount of 4.125% Senior Notes due 2030, which mature on August 15, 2030, under separate indentures, each dated as of February 5, 2020, among the VICI Issuers, the subsidiary guarantors party thereto and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February 2020 Notes due 2027 and 2030 are redeemable at our option, in whole or in part, at any time on or after February 15, 2023 and February 15, 2025, respectively, at the redemption prices set forth in the respective indenture. We may redeem some or all of the February 2020 Notes due 2027 and 2030 prior to such respective dates at a price equal to 100% of the principal amount thereof plus a “make-whole” premium.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November 2019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26, 2019, the VICI Issuers issued (i) the December 2026 Maturity Notes, and (ii) $1,000.0 million in aggregate principal amount of 4.625% Senior Notes due 2029, which mature on December 1, 2029, under separate indentures, each dated as of November 26, 2019, among the VICI Issuers, the subsidiary guarantors party thereto and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MGM Grand/Mandalay Bay CMBS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January 9, 2023, as a result of acquiring the remaining 49.9% interest of the MGM Grand/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Mandalay Bay JV, we consolidated its assets and liabilities, which includes the $3.0 billion in principal amount of outstanding CMBS debt (the “MGM Grand/Mandalay Bay CMBS Debt”). The MGM Grand/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MGM Grand/Mandalay Bay CMBS Debt matures in March 2032 and bears interest at 3.558% per annum until March 2030 at which time the rate can change in accordance with the terms of the MGM Grand/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DOTN"/>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summarizes key terms and provisions of the Notes and the indenture referred to below, does not purport to be complete and is subject to, and qualified in its entirety by reference to, the actual terms and provisions of the Notes and the indenture, which are incorporated herein by reference. The information in this section supplements and, to the extent inconsistent therewith, replaces the information in the accompanying prospectus under the caption “Description of Debt Securities.”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Capitalized terms used but not otherwise defined herein shall have the meanings given to them in the Notes or the indenture, as applicable. As used in this “Description of the Notes,” references to “we,” “our” or “us” and “VICI LP” refer solely to VICI Properties L.P., a Delaware limited partnership, references to “VICI OP” refer solely to VICI Properties OP LLC, a Delaware limited liability company that owns all of the limited partnership interests in VICI LP and is 98.9% indirectly owned by VICI REIT, and references to “VICI REIT” refer solely to VICI Properties Inc., a Maryland corporation; it being understood that references to VICI LP, VICI OP and VICI REIT do not include such entity’s subsidiaries, unless otherwise expressly stated or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issue each series of debt securities from time to time, including the Notes, under an indenture, dated as of April 29, 2022, between us and UMB Bank, National Association (the “Trustee”), as supplemented by a supplemental indenture thereto with respect to the Notes to be dated as of         , 2026, between us and the Trustee. We refer to the indenture, as supplemented by such supplemental indenture thereto, as the “indenture”. The Trustee will initially be the registrar and paying agent for each series of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include those provisions contained in the applicable Notes and the indenture and those made part of the indenture by reference to the Trust Indenture Act of 1939, as amended (the “Trust Indenture Act”). The Notes are subject to all such terms, and holders of Notes are referred to the applicable Notes, the indenture, and the Trust Indenture Act for a statement thereof. You may request copies of the indenture and the form of Notes of each series from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be issued only in fully registered, book-entry form, in minimum denominations of $2,000 and integral multiples of $1,000 in excess thereof, except under the limited circumstances described in the accompanying prospectus under the caption “Book-Entry Securities.” The principal of, and premium, if any, and interest on, the Notes will be payable in U.S. dollars. The registered holder of a Note will be treated as its owner for all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stated maturity date or redemption date falls on a day that is not a business day, the required payment shall be made on the next business day as if it were made on the date such payment was due and no interest shall accrue on the amount so payable from and after such interest payment date or maturity or redemption date, as the case may be, to such next business day. The term “business day” means, with respect to any Note, any day, other than a Saturday, Sunday or any other day on which banking institutions in New York, New York are authorized or obligated by law, regulation or executive order to close.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VICI REIT. On the issue date, the Notes will not be guaranteed by any Subsidiary of VICI LP; however, a domestic Subsidiary of VICI LP will be required to guarantee the Notes of each series in the future under the limited circumstances described below under “— Possible Future Guarantees.”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and unsubordinated obligations and will rank equally in right of payment with all of our existing and future unsecured and unsubordinated indebtedness. The Notes will be effectively subordinated in right of payment to our existing and future secured indebtedness to the extent of the value of the collateral securing such indebtedness. The Notes will be structurally subordinated in right of payment to all existing and future indebtedness, whether secured or unsecured, and other liabilities of, and any preferred equity in, our Subsidiaries. As of June 30, 2026, we had approximately $17.2 billion principal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total indebtedness outstanding on a consolidated basis, approximately $3.0 billion of which was attributable to our Subsidiaries. As of such date, we had approximately $3.0 billion of secured indebtedness outstanding, all of which was attributable to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 Certain Covenants” below and under the caption “Description of Debt Securities — Merger, Consolidation or Sale” of the accompanying prospectus, the indenture governing the Notes does not prohibit VICI LP or any of its Subsidiaries from incurring additional indebtedness or issuing preferred equity in the future, nor does the indenture afford holders of the Notes protection in the event of (1) a recapitalization transaction or other highly leveraged or similar transaction involving us or VICI REIT, (2) a change of control of us or VICI REIT or (3) a merger, consolidation, reorganization, restructuring or transfer or lease of all or substantially all of our or VICI REIT’s assets or a similar transaction that could materially and adversely affect the holders of the Notes. We may, in the future, enter into certain transactions such as the sale or other transfer of all or substantially all of our assets or a merger or consolidation that may increase the amount of our indebtedness or substantially change our assets, which could have a material adverse effect on our ability to service our indebtedness, including the Notes. See “Risk Factors — Risks Relating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 Senior Notes due 20   (the “20    Notes”) will initially be limited to an aggregate principal amount of $      and the     % Senior Notes due 20    (the “20    Notes”) will initially be limited to an aggregate principal amount of $       . We may, without the consent of holders of the applicable series of Notes offered hereby, increase the principal amount of a series of Notes by issuing additional Notes of such series in the future on the same terms and conditions, except for any difference in the issue date, issue price, interest accrued prior to the issue date of the additional Notes, and, if applicable, the first interest payment date and the initial interest accrual date, with the same CUSIP number as the applicable series of Notes offered hereby so long as such additional Notes are fungible for U.S. federal income tax purposes with such applicable series of Notes offered hereby. The Notes of a series offered hereby and any additional Notes of such series would rank equally and ratably in right of payment and would be treated as a single series of debt securities for all purposes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accrue interest at the rate of     % per year and the 20    Notes will accrue interest at the rate of      % per year, in each case from and including          , 2026 or the most recent interest payment date to which interest has been paid or provided 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20    Notes will be payable semi-annually in arrears on       and       of each year, beginning        , 2027, to each holder in whose name a 20    Note is registered at the close of business on the immediately preceding       or        (whether or not a business day), as the case may be. Interest on the 20    Notes will be payable semi-annually in arrears on          and         of each year, beginning        , 2027, to each holder in whose name a 20    Note is registered at the close of business on the immediately preceding       or        (whether or not a business day), as the case may be. Interest on the Notes will be computed on the basis of a 360-day year consisting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the Notes in accordance with the terms of such Notes, we will pay accrued and unpaid interest and premium, if any, to each holder that surrenders a Note for redemption. However, if a redemption falls after a record date and on or prior to the corresponding interest payment date, we will pay the full amount of accrued and unpaid interest due on such interest payment date to the holder of record at the close of business on the corresponding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mature on       , 20    and the 20    Notes will mature on       , 20    , subject in each case to the provisions described below under “— Optional Redemption” and “— Gaming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paid, subject to the procedures of DTC, against presentation and surrender thereof at the corporate trust office of the Trustee unless earlier redeemed by us at our option as described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Optional Redemption” or “— Gaming Redemption” below. The Notes will not be entitled to the benefits of, or be subject to,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their applicable Par Call Date (as defined below), we may redeem the Notes of either series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on such Notes to be redeemed discounted to the redemption date (assuming the Notes matured on their applicable Par Call Date) on a semi-annual basis (assuming a 360-day year consisting of twelve 30- day months) at the Treasury Rate (as defined below) plus           basis points in the case of the 20           Notes and           basis points in the case of the 20     Notes, less (b) interest accrued to the date of redemption; and </w:t>
      </w:r>
      <w:r>
        <mc:AlternateContent>
          <mc:Choice Requires="wps">
            <w:drawing>
              <wp:anchor behindDoc="0" distT="10033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to be redeemed; </w:t>
      </w:r>
      <w:r>
        <mc:AlternateContent>
          <mc:Choice Requires="wps">
            <w:drawing>
              <wp:anchor behindDoc="0" distT="10033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we may redeem either series of Notes, in whole or in part, at any time and from time to time, at a redemption price equal to 100% of the principal amount of such Notes to be redeemed, plus accrued and unpaid interest thereon to the redemption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in the case of the 20    Notes,       , 20    (     months prior to the maturity date of the 20    Notes) and in the case of the 20    Notes,      , 20    (    months prior to the maturity date of the 20   Notes).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us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appears or appear, as applicable,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date of the notice of redemption H.15 TCM or any successor designation or publication is no longer published, we shall calculate the Treasury Rate based on the rate per annum equal to the semi-annual equivalent yield to maturity at 11:00 a.m., New York City time, on the second business day preceding the date of the notice of redemption of the United States Treasury security maturing on, or with a maturity that is closest to, the applicable Par Call Date. If there is no United States Treasury security maturing on such Par Call Date but there are two or more United States Treasury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with a maturity date equally distant from such Par Call Date, one with a maturity date preceding such Par Call Date and one with a maturity date following such Par Call Date, we shall select the United States Treasury security with a maturity date preceding such Par Call Date. If there are two or more United States Treasury securities maturing on such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depository’s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of the Notes of either series, selection of such Notes for redemption will be made pro rata, by lot or by such other method as the Trustee in its sole discretion deems appropriate and fair. No Notes of a principal amount of $2,000 or less will be redeemed in part. If the Notes of either series are to be redeemed in part only, the notice of redemption that relates to such Notes will state the portion of the principal amount of such Notes to be redeemed. A new Note of the same series in a principal amount equal to the unredeemed portion of the Note will be issued in the name of the holder of the Note upon surrender for cancellation of the original Note. For so long as the Notes are held by DTC (or another depository), the redemption of the Notes shall be done in accordance with the policies and procedures of the depository.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of the applicable series or portions thereof called for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Gaming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foregoing, if any Gaming Authority requires that a holder or Beneficial Owner of Notes must be licensed, qualified or found suitable under any applicable Gaming Laws and such holder or Beneficial Owner: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apply for a license, qualification or a finding of suitability within 30 days (or such shorter period as may be required by the applicable Gaming Authority) after being requested to do so by the Gaming Authority, or </w:t>
      </w:r>
      <w:r>
        <mc:AlternateContent>
          <mc:Choice Requires="wps">
            <w:drawing>
              <wp:anchor behindDoc="0" distT="10160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denied such license or qualification or not found suitable, or if any Gaming Authority otherwise requires that Notes from any holder or Beneficial Owner be redeemed (the receipt of notice from a Gaming Authority of any of the foregoing events are collectively referred to herein as “Gaming Redemption Events”), subject to applicable Gaming Laws, VICI LP will have the right, at its option: </w:t>
      </w:r>
      <w:r>
        <mc:AlternateContent>
          <mc:Choice Requires="wps">
            <w:drawing>
              <wp:anchor behindDoc="0" distT="10160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require any such holder or Beneficial Owner to dispose of its Notes within 30 days (or such earlier date as may be required by the applicable Gaming Authority) of a Gaming Redemption Event, or </w:t>
      </w:r>
      <w:r>
        <mc:AlternateContent>
          <mc:Choice Requires="wps">
            <w:drawing>
              <wp:anchor behindDoc="0" distT="101600" distB="0" distL="508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call for the redemption of the Notes of such holder or Beneficial Owner at a redemption price equal to the least of: </w:t>
      </w:r>
      <w:r>
        <mc:AlternateContent>
          <mc:Choice Requires="wps">
            <w:drawing>
              <wp:anchor behindDoc="0" distT="101600" distB="0" distL="508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thereof, together with accrued and unpaid interest to the earlier of the date of redemption or the date of a Gaming Redemption Event, </w:t>
      </w:r>
      <w:r>
        <mc:AlternateContent>
          <mc:Choice Requires="wps">
            <w:drawing>
              <wp:anchor behindDoc="0" distT="101600" distB="0" distL="762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such holder or Beneficial Owner acquired the Notes, together with accrued and unpaid interest to the earlier of the date of redemption or the date of a Gaming Redemption Event, or </w:t>
      </w:r>
      <w:r>
        <mc:AlternateContent>
          <mc:Choice Requires="wps">
            <w:drawing>
              <wp:anchor behindDoc="0" distT="0" distB="0" distL="762000" distR="0" simplePos="0" locked="0" layoutInCell="1" allowOverlap="1" relativeHeight="49">
                <wp:simplePos x="0" y="0"/>
                <wp:positionH relativeFrom="column">
                  <wp:align>left</wp:align>
                </wp:positionH>
                <wp:positionV relativeFrom="line">
                  <wp:posOffset>635</wp:posOffset>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lesser amount as may be required by any Gaming Authority. </w:t>
      </w:r>
      <w:r>
        <mc:AlternateContent>
          <mc:Choice Requires="wps">
            <w:drawing>
              <wp:anchor behindDoc="0" distT="99060" distB="0" distL="762000" distR="0" simplePos="0" locked="0" layoutInCell="1" allowOverlap="1" relativeHeight="50">
                <wp:simplePos x="0" y="0"/>
                <wp:positionH relativeFrom="column">
                  <wp:align>left</wp:align>
                </wp:positionH>
                <wp:positionV relativeFrom="line">
                  <wp:align>top</wp:align>
                </wp:positionV>
                <wp:extent cx="254000" cy="52578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notify the Trustee in writing of any such redemption as soon as practicable. The holder or Beneficial Owner applying for license, qualification or a finding of suitability must pay all costs of the licensure or investigation for such qualification or finding of suitability.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among other things, the following covenants: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Incurrence of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Aggregate debt test</w:t>
      </w:r>
      <w:r>
        <w:rPr>
          <w:rFonts w:ascii="Times New Roman;Times;serif" w:hAnsi="Times New Roman;Times;serif"/>
          <w:b w:val="false"/>
          <w:i w:val="false"/>
          <w:caps w:val="false"/>
          <w:smallCaps w:val="false"/>
          <w:color w:val="000000"/>
          <w:spacing w:val="4"/>
          <w:sz w:val="20"/>
        </w:rPr>
        <w:t xml:space="preserve">.   The Notes of each series will provide that VICI LP will not, and will not permit any of its Subsidiaries to, Incur any Indebtedness if, immediately after giving effect to the Incurrence of such Indebtedness, on a Pro Forma Basis, the Total Net Debt to Adjusted Total Assets Ratio would exceed 0.60 to 1.00; provided that such ratio may exceed 0.60 to 1.00 on or after the consummation of a Significant Acquisition so long as (i) such ratio does not exceed 0.60 to 1.00 as of the end of more than four consecutive fiscal quarters in relation to any such Significant Acquisition and (ii) such ratio does not exceed 0.65 to 1.00 as of the end of any such fiscal quarter.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Secured debt test</w:t>
      </w:r>
      <w:r>
        <w:rPr>
          <w:rFonts w:ascii="Times New Roman;Times;serif" w:hAnsi="Times New Roman;Times;serif"/>
          <w:b w:val="false"/>
          <w:i w:val="false"/>
          <w:caps w:val="false"/>
          <w:smallCaps w:val="false"/>
          <w:color w:val="000000"/>
          <w:spacing w:val="4"/>
          <w:sz w:val="20"/>
        </w:rPr>
        <w:t xml:space="preserve">.   The Notes of each series will provide that VICI LP will not, and will not permit any of its Subsidiaries to, Incur any Secured Indebtedness if, immediately after giving effect to the Incurrence of such Secured Indebtedness, on a Pro Forma Basis, the Senior Secured Net Debt to Adjusted Total Assets Ratio would exceed 0.40 to 1.00.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Debt service test</w:t>
      </w:r>
      <w:r>
        <w:rPr>
          <w:rFonts w:ascii="Times New Roman;Times;serif" w:hAnsi="Times New Roman;Times;serif"/>
          <w:b w:val="false"/>
          <w:i w:val="false"/>
          <w:caps w:val="false"/>
          <w:smallCaps w:val="false"/>
          <w:color w:val="000000"/>
          <w:spacing w:val="4"/>
          <w:sz w:val="20"/>
        </w:rPr>
        <w:t xml:space="preserve">.   The Notes of each series will provide that VICI LP will not, and will not permit any of its Subsidiaries to, Incur any Indebtedness if, immediately after giving effect to the Incurrence of such Indebtedness, on a Pro Forma Basis, the Interest Coverage Ratio of VICI LP and its Subsidiaries on a consolidated basis would be less than 1.5 to 1.0.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 the event that Indebtedness Incurred is Refinancing Indebtedness, then VICI LP and its Subsidiaries will not be required to satisfy any of the foregoing tests in order to Incur such Refinancing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Maintenance of total unencumbered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provide that VICI LP shall maintain Total Unencumbered Assets as of each Reporting Date of not less than 150% of the aggregate outstanding principal amount of VICI LP’s and its Subsidiaries’ Unsecured Debt as of such Reporting Date, all calculated on a consolidated basis in accordance with GAAP.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 of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any Notes are outstanding, if VICI LP is subject to Section 13(a) or 15(d) of the Exchange Act or any successor provision, VICI LP will deliver to the Trustee the annual reports, quarterly reports and other documents which it is required to file with the SEC pursuant to Section 13(a) or 15(d) of the Exchange Act or any successor provision, within 15 days after the date that VICI LP files the same with the SEC. If VICI LP is not subject to Section 13(a) or 15(d) of the Exchange Act or any successor provision, and for so long as any Notes are outstanding, VICI LP will deliver to the Trustee the quarterly and annual financial statements and accompanying Item 303 of Regulation S-K (“management’s discussion and analysis of financial condition and results of operations”) disclosure that would have been required to be contained in annual reports on Form 10-K and quarterly reports on Form 10-Q required to be filed with the SEC if VICI LP was subject to Section 13(a) or 15(d) of the Exchange Act or any successor provision, within 15 days of the filing date that would be applicable to VICI LP at that time pursuant to applicable SEC rules and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and other documents filed with the SEC and publicly available via the EDGAR system or posted to VICI REIT’s website will be deemed to be delivered to the Trustee as of the time of such filing via EDGAR or posting to VICI REIT’s website for purposes of this covenant; provided, however, that the Trustee shall have no obligation whatsoever to determine whether or not such information, documents or reports have been filed or are publicly available via EDGAR or posted to VICI REIT’s website. Delivery of such reports, information and documents to the Trustee is for informational purposes only and the Trustee’s receipt of such shall not constitute constructive notice of any information contained therein or determinable from information contained therein, including its compliance with any of its covenants relating to the Notes (as to which the Trustee is entitled to rely exclusively on an officer’s certificate).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Calculations in Respect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be responsible for making all calculations required under the Notes. VICI LP will make all these calculations in good faith and, absent manifest error, our calculations will be final and binding on holders of the Notes. VICI LP will provide a schedule of our calculations to the Trustee, and the Trustee is entitled to rely upon the accuracy of our calculations without independent investigation or verification.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forward our calculations to any holder of Notes upon request.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Future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VICI REIT. On the issue date, the Notes will not be guaranteed by any Subsidiary of VICI LP; however, a domestic Subsidiary of VICI LP will be required to guarantee the Notes of each series under the limited circumstances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for so long as a domestic Subsidiary of VICI LP (a “Possible Future Guarantor”) guarantees amounts outstanding under the Credit Agreement, such entity will be required to guarantee the payment of principal of, and premium, if any, and interest on, the Notes of each series when due on the same basis as such entity’s guarantee under the Credit Agreement; provided, that if at any time a Possible Future Guarantor no longer guarantees or is required to guarantee the amounts outstanding under the Credit Agreement, then such entity’s obligation to be a Possible Future Guarantor under any possible future guarantee will immediately cease and automatically be terminated (including the effectiveness of any supplemental indenture executed pursuant to the following paragraph) from such date and without any other action by any person and without the execution or delivery of any supplemental indenture or other instrument; provided that the Trustee shall be entitled to receive an officer’s certificate to the effect that such entity’s obligations to be a Possible Future Guarantor under any possible future guarantee shall have ceased and terminated; provided, further, that if, following the cessation and termination of such obligation, such Possible Future Guarantor subsequently guarantees any amounts under the Credit Agreement, it shall again be required to guarantee the Notes of each series to the extent provided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Possible Future Guarantor is required to guarantee the Notes of each series pursuant to the immediately preceding paragraph, such Possible Future Guarantor shall execute and deliver to the trustee a supplemental indenture to evidence such guarantee within 10 business days of such requirement. For so long as any Possible Future Guarantor guarantees the Notes of either series, it agrees that it waives and will not in any manner whatsoever claim or take the benefit or advantage of any right of reimbursement, indemnity or subrogation or any other rights against VICI LP as a result of any payment by the Possible Future Guarantor under its possible future guarantee until the Notes of all series have been paid in full.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Equity Pledge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of each series will benefit from a pledge of the limited partnership interests of VICI LP directly owned by VICI OP (the “Limited Equity Pledge”). The Limited Equity Pledge has been granted, and may in the future be granted, in favor of the other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Indebtedness of VICI LP, including Indebtedness pursuant to the Credit Agreement. VICI OP is not a guarantor of the Notes and the Limited Equity Pledge is provided without recourse against VICI 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OP has executed and delivered a pledge agreement (the “Limited Equity Pledge Agreement”) to the Trustee defining the terms of the Limited Equity Pledge that will apply to the Notes. The Limited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Pledge will secure the payment and performance when due of all of the obligations of VICI LP under the Notes and the indenture, as provided in the Limited Equity Pledge Agreement. By their acceptance of the Notes, each holder will be deemed to have accepted the terms of, and agreed to be bound by and authorize the Trustee to perform its obligations under, the Limited Equity Pledge Agreement. The execution of such Limited Equity Pledge Agreement does not create a guarantee in respect of the Notes and there shall not be any recourse against VICI OP in connection therewith. The Limited Equity Pledge Agreement does not require VICI LP or VICI OP to take any actions, and no action has been taken or will be taken, to perfect any Liens of the Trustee in the limited partnership interest of VICI LP directly owned by VICI 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Limited Equity Pledge Agreement, the Limited Equity Pledge will be released with respect to a series of Notes: (i) upon payment in full of the principal of, together with premium, if any, and accrued and unpaid interest on, such series of Notes and all other obligations under the indenture that are due and payable at or prior to the time such principal, premium, if any, and interest, are paid; (ii) upon legal defeasance, covenant defeasance or discharge of the indenture with respect to such series of Notes; or (iii) at the option of VICI OP, six months following the termination of the MGM Tax Protection Agreement; provided, that in the case of this clause (iii), the Limited Equity Pledge has been released or will be simultaneously released under the Credit Agreement and any other outstanding Capital Markets Indebtedness of VICI LP.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at its option and at any time, elect to have its obligations released with respect to certain covenants under the indenture, including the covenants listed under “— Certain Covenants”, as described under “Description of Debt Securities — Discharge, Defeasance and Covenant Defeasance” of the accompanying prospectus, and thereafter any omission to comply with such obligations shall not constitute a default or an Event of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Bank, National Association will initially act as the Trustee, registrar and paying agent for the Notes, subject, in the case of the registrar and paying agent, to replacement at VICI LP’s option as provided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at any time with respect to either or both series of Notes by giving written notice thereof to VICI LP. The Trustee may also be removed with respect to either or both series of Notes by act of the holders of a majority in aggregate principal amount of the outstanding Notes of such series. The Trustee may also be removed with respect to either or both series of Notes by VICI LP upon the occurrence of certain conditions as set forth under the indenture. No resignation or removal of the Trustee and no appointment of a successor Trustee will become effective until the acceptance of appointment by a successor Trustee in accordance with the applicable requirements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continuing, the Trustee will be required to exercise such of the rights and powers vested in it under the indenture, and use the same degree of care and skill in their exercise, as a prudent person would exercise or use under the circumstances in the conduct of such person’s own affairs. The Trustee will become obligated to exercise any of its powers under the indenture at the request of any of the holders of the required percentage under the indenture of holders of the Notes only after those holders have offered the Trustee indemnity satisfactory to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becomes one of our creditors, it will be subject to limitations on its rights to obtain payment of claims or to realize on some property received for any such claim, as security or otherwise. The Trustee is permitted to engage in other transactions with VICI LP and its affiliates. If, however, it acquires any conflicting interest, it must eliminate that conflict or resign.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convertible into or exchangeable for any shares of VICI REIT or any partnership interests in VICI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Directors, Officers, Employees and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officer, employee, incorporator, controlling person, stockholder, general partner, limited partner, member or agent of VICI LP or VICI REIT, as such, or of any of VICI LP’s or VICI REIT’s respective predecessors or successors or subsidiaries or affiliates, as such, will have any liability for any of our obligations under the Notes or the indenture or for any claim based on, in respect of, or by reason of, such obligations or their creation. Each holder of any Note, by accepting a Note, waives and releases all such liability. The waiver and release are part of the consideration for issuance of the Notes. The waiver may not be effective to waive liabilities under the U.S. federal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indenture, notices to holders of the Notes will be given by mail to the addresses of the holders of the Notes as they appear in the Note register; provided that notices given to holders holding Notes in book-entry form shall be given electronically through the facilities of DTC or any successor depository.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Notes and any possible future guarantees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indenture, the following terms have the respective meanings specified below: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Total Assets” means, as of any date of determination, the sum of (1) Total Assets as of the Reporting Date; and (2) any increase in Total Assets following the Reporting Date determined on a Pro Forma Basis, including any Pro Forma increase in Total Assets resulting from the application of the proceeds of any additional Indebtedness.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Average Life” means at any date of determination with respect to any Indebtedness, the quotient obtained by dividing: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the products obtained by multiplying: </w:t>
      </w:r>
      <w:r>
        <mc:AlternateContent>
          <mc:Choice Requires="wps">
            <w:drawing>
              <wp:anchor behindDoc="0" distT="9779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years from such date of determination to the dates of each successive scheduled principal payment of such debt security, and </w:t>
      </w:r>
      <w:r>
        <mc:AlternateContent>
          <mc:Choice Requires="wps">
            <w:drawing>
              <wp:anchor behindDoc="0" distT="97790" distB="0" distL="508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such principal payment; by </w:t>
      </w:r>
      <w:r>
        <mc:AlternateContent>
          <mc:Choice Requires="wps">
            <w:drawing>
              <wp:anchor behindDoc="0" distT="97790" distB="0" distL="508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all such principal payments. </w:t>
      </w:r>
      <w:r>
        <mc:AlternateContent>
          <mc:Choice Requires="wps">
            <w:drawing>
              <wp:anchor behindDoc="0" distT="9779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Beneficial Owner” has the meaning assigned to such term in Rule 13d-3 and Rule 13d-5 under the Exchange Act.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Caesars Las Vegas Master Lease” means the lease agreement, dated as of October 6, 2017, by and among CPLV Property Owner LLC and Claudine PropCo LLC, collectively, as landlord, and Desert Palace LLC, Caesars Entertainment Operating Company, Inc., CEOC, LLC and Harrah’s Las Vegas, LLC, collectively, as tenant, for the properties listed on Exhibit A thereto, as the same may be further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Caesars Regional Master Lease” means the lease agreement, dated as of October 6, 2017, by and among CEOC and the entities listed on Schedule A thereto, as landlord, and the entities listed on Schedule B thereto, as tenant, for the properties listed on Exhibit A thereto, as the same may be further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Markets Indebtedness” means any Indebtedness having an aggregate outstanding principal amount in excess of $100.0 million, consisting of bonds, debentures, notes or other similar debt securities issued in (a) a public offering registered under the Securities Act of 1933, as amended (the “Securities Act”), (b) a private placement to institutional investors that is resold in accordance with Rule 144A or Regulation 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Act, whether or not it includes registration rights entitling the holders of such debt securities to registration thereof with the U.S. Securities and Exchange Commission or (c) a private placement to institutional investors. For the avoidance of doubt, the term “Capital Markets Indebtedness” does not include any Indebtedness under Credit Facilities or other commercial bank facilities or similar Indebtedness, a sale and leaseback transaction, liabilities under a Finance Lease as reflected on the balance sheet of such Person in accordance with GAAP, or recourse transfer of any financial asset or any other type of Indebtedness Incurred in a manner not customarily viewed as a “securities offering.”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Stock” means, with respect to any Person, any and all shares, interests, participation or other equivalents (however designated, whether voting or non-voting), including partnership interests, whether general or limited, in the equity of such Person, whether outstanding on the original issue date of the Notes or issued thereafter.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Cash Equivalents” means any of the following types of Investments: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Securities due within one year after the date of the making of the Investment; </w:t>
      </w:r>
      <w:r>
        <mc:AlternateContent>
          <mc:Choice Requires="wps">
            <w:drawing>
              <wp:anchor behindDoc="0" distT="1016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readily marketable direct obligations of any State of the United States or any political subdivision of any such State or any public agency or instrumentality thereof given on the date of such Investment a credit rating of at least A2 by Moody’s or A by S&amp;P in each case due within one year from the making of the Investment; </w:t>
      </w:r>
      <w:r>
        <mc:AlternateContent>
          <mc:Choice Requires="wps">
            <w:drawing>
              <wp:anchor behindDoc="0" distT="1016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deposits with, or insured certificates of deposit or bankers’ acceptances of, any commercial bank that (i)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(7) of this definition and (iii) has combined capital and surplus of at least $1.0 billion, in each case with maturities of not more than 180 days from the date of acquisition thereof; </w:t>
      </w:r>
      <w:r>
        <mc:AlternateContent>
          <mc:Choice Requires="wps">
            <w:drawing>
              <wp:anchor behindDoc="0" distT="1016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certificates of deposit issued by, bank deposits in, eurodollar deposits through, bankers’ acceptances of, and repurchase agreements covering Government Securities executed by any bank incorporated under the laws of the United States, any State thereof or the District of Columbia and having on the date of such Investment combined capital, surplus and undivided profits of at least $250.0 million, or total assets of at least $5.0 billion, in each case due within one year after the date of the making of the Investment; </w:t>
      </w:r>
      <w:r>
        <mc:AlternateContent>
          <mc:Choice Requires="wps">
            <w:drawing>
              <wp:anchor behindDoc="0" distT="10160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certificates of deposit issued by, bank deposits in, eurodollar deposits through, bankers’ acceptances of, and repurchase agreements covering Government Securities executed by any branch or office located in the United States of a bank incorporated under the laws of any jurisdiction outside the United States having on the date of such Investment combined capital, surplus and undivided profits of at least $500.0 million, or total assets of at least $15.0 billion, in each case due within one year after the date of the making of the Investment; </w:t>
      </w:r>
      <w:r>
        <mc:AlternateContent>
          <mc:Choice Requires="wps">
            <w:drawing>
              <wp:anchor behindDoc="0" distT="10160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repurchase agreements covering Government Securities executed by a broker or dealer registered under Section 15(b) of the Exchange Act having on the date of the Investment capital of at least $500.0 million, due within 180 days after the date of the making of the Investment; provided that the maker of the Investment receives written confirmation of the transfer to it of record ownership of the Government Securities on the books of a “primary dealer” in such Government Securities or on the books of such registered broker or dealer, as soon as practicable after the making of the Investment; </w:t>
      </w:r>
      <w:r>
        <mc:AlternateContent>
          <mc:Choice Requires="wps">
            <w:drawing>
              <wp:anchor behindDoc="0" distT="1016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paper issued by any Person organized under the laws of the United States, any State thereof or the District of Columbia and having one of the two highest ratings obtainable from Moody’s or S&amp;P, in each case with maturities of not more than 180 days from the date of acquisition thereof; </w:t>
      </w:r>
      <w:r>
        <mc:AlternateContent>
          <mc:Choice Requires="wps">
            <w:drawing>
              <wp:anchor behindDoc="0" distT="1016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money market preferred stock” issued by a corporation incorporated under the laws of the United States, any State thereof or the District of Columbia (i) given on the date of such Investment a credit rating of at least Aa by Moody’s and AA by S&amp;P, in each case having an investment period not exceeding 180 days or (ii) to the extent that investors therein have the benefit of a standby letter of credit issued by a lender or a bank described in clauses (3) or (4) above; </w:t>
      </w:r>
      <w:r>
        <mc:AlternateContent>
          <mc:Choice Requires="wps">
            <w:drawing>
              <wp:anchor behindDoc="0" distT="0" distB="0" distL="254000" distR="0" simplePos="0" locked="0" layoutInCell="1" allowOverlap="1" relativeHeight="62">
                <wp:simplePos x="0" y="0"/>
                <wp:positionH relativeFrom="column">
                  <wp:align>left</wp:align>
                </wp:positionH>
                <wp:positionV relativeFrom="line">
                  <wp:posOffset>635</wp:posOffset>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readily redeemable “money market mutual fund” sponsored by a bank described in clause (4) or (5) above, or a registered broker or dealer described in clause (6) hereof, that has and maintains an investment policy limiting its investments primarily to instruments of the types described in clauses (1) through (8) hereof and given on the date of such Investment a credit rating of at least Aa by Moody’s and AA by S&amp;P; </w:t>
      </w:r>
      <w:r>
        <mc:AlternateContent>
          <mc:Choice Requires="wps">
            <w:drawing>
              <wp:anchor behindDoc="0" distT="9906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notes or bonds having an original term to maturity of not more than one year issued by a corporation incorporated under the laws of the United States, any State thereof or the District of Columbia, or a participation interest therein; provided that any commercial paper issued by such corporation is given on the date of such Investment a credit rating of at least A2 by Moody’s and A by S&amp;P; and </w:t>
      </w:r>
      <w:r>
        <mc:AlternateContent>
          <mc:Choice Requires="wps">
            <w:drawing>
              <wp:anchor behindDoc="0" distT="99060" distB="0" distL="254000" distR="0" simplePos="0" locked="0" layoutInCell="1" allowOverlap="1" relativeHeight="64">
                <wp:simplePos x="0" y="0"/>
                <wp:positionH relativeFrom="column">
                  <wp:align>left</wp:align>
                </wp:positionH>
                <wp:positionV relativeFrom="line">
                  <wp:align>top</wp:align>
                </wp:positionV>
                <wp:extent cx="254000" cy="52578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Investments, classified in accordance with GAAP as current assets,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(1), (3) and (7) of this definition. </w:t>
      </w:r>
      <w:r>
        <mc:AlternateContent>
          <mc:Choice Requires="wps">
            <w:drawing>
              <wp:anchor behindDoc="0" distT="99060" distB="0" distL="254000" distR="0" simplePos="0" locked="0" layoutInCell="1" allowOverlap="1" relativeHeight="65">
                <wp:simplePos x="0" y="0"/>
                <wp:positionH relativeFrom="column">
                  <wp:align>left</wp:align>
                </wp:positionH>
                <wp:positionV relativeFrom="line">
                  <wp:align>top</wp:align>
                </wp:positionV>
                <wp:extent cx="254000" cy="52578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Cash Management Agreement” means any agreement to provide cash management services, including treasury, depository, overdraft, credit or debit card, electronic funds transfer and other cash management arrangements.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Century Canadian Portfolio” means the real estate assets of (i) Century Casino &amp; Hotel Edmonton located in Edmonton, Alberta, (ii) Century Casino St. Albert located in St. Albert, Alberta, (iii) Century Mile Racetrack and Casino located in Edmonton, Alberta and (iv) Century Downs Racetrack and Casino located in Calgary, Alberta.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Century Master Lease” means the lease agreement, dated as of December 6, 2019, by and among Lady Luck C LLC, Cape G LLC and Mountaineer CRR LLC, collectively, as landlord, Mountaineer Park Inc., IOC-Cape Girardeau LLC and IOC-Caruthersville, LLC, collectively, as tenant, for the (i) Mountaineer Casino Resort &amp; Racetrack located in New Cumberland, West Virginia, (ii) Century Casino Caruthersville located in Caruthersville, Missouri, (iii) Century Casino Cape Girardeau located in Cape Girardeau, Missouri, (iv) Rocky Gap Casino Resort located in Flintstone, Maryland and (v) the Century Canadian Portfolio, as the same may be amended, amended and restated, supplemented or otherwise modified from time to time.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CEOC” means CEOC, LLC, a Delaware limited liability company.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Chelsea Piers Master Lease” means the sublease agreement, dated as of December 18, 2023, between a certain subsidiary of VICI LP, as sublandlord, and Chelsea Piers L.P. and North River Operating Company L.P., collectively, as subtenant,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EBITDA” means, for any Test Period and with respect to any Person, the sum of (a) Consolidated Net Income of such Person for that period, plus (b) any extraordinary loss reflected in such Consolidated Net Income, and, without duplication, any loss associated with the early retirement of Indebtedness and with any disposition not in the ordinary course of business, in each case for that period, minus (c) any extraordinary gain reflected in such Consolidated Net Income, and, without duplication, any gains associated with the early retirement of Indebtedness and with any disposition not in the ordinary course of business, in each case for that period, plus (d) Consolidated Interest Expense of such Person for that period, plus (e) the aggregate amount of expense for federal, foreign, state and local taxes on or measured by income of such Person for that period (whether or not payable during that period); minus (f) the aggregate amount of benefit for federal, foreign, state and local taxes on or measured by income of such Person for that period (whether or not receivable during that period); plus (g) depreciation, amortization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unusual or non-recurring and/or non-cash expenses to the extent deducted in arriving at Consolidated Net Income for that period, plus (h) expenses classified as “transaction and acquisition expenses” on the applicable financial statements of that Person for that period, plus (i) rental revenues receivable in cash related to any Master Lease for that period and not recognized under GAAP (so long as such amount is actually received for such period), minus (j) rental revenues recognized under GAAP but not currently receivable in cash under any Master Lease, plus (k) non-controlling or minority interest reflected in Consolidated Net Income, and, without duplication, in each case as determined in accordance with GAAP, in each case for that period, plus (l) non-cash lease and financing adjustments for that period.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Interest Expense” means, for any Test Period, the aggregate amount of interest expense of VICI LP and its Subsidiaries for such period, determined on a consolidated basis in accordance with GAAP, plus, to the extent deducted in arriving at Consolidated Net Income and without duplication: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portion of payments paid or payable (without duplication) on Finance Leases; </w:t>
      </w:r>
      <w:r>
        <mc:AlternateContent>
          <mc:Choice Requires="wps">
            <w:drawing>
              <wp:anchor behindDoc="0" distT="10160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amortization of financing fees, debt issuance costs and interest or deferred financing or debt issuance costs; </w:t>
      </w:r>
      <w:r>
        <mc:AlternateContent>
          <mc:Choice Requires="wps">
            <w:drawing>
              <wp:anchor behindDoc="0" distT="10160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commissions, discounts and other fees and charges owed with respect to letters of credit and bankers’ acceptance financing;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with respect to Indebtedness that has been discharged; </w:t>
      </w:r>
      <w:r>
        <mc:AlternateContent>
          <mc:Choice Requires="wps">
            <w:drawing>
              <wp:anchor behindDoc="0" distT="10160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accretion or accrual of discounted liabilities during such period; </w:t>
      </w:r>
      <w:r>
        <mc:AlternateContent>
          <mc:Choice Requires="wps">
            <w:drawing>
              <wp:anchor behindDoc="0" distT="10160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 attributable to the movement of the mark-to-market valuation of obligations under Swap Contracts or other derivative instruments; </w:t>
      </w:r>
      <w:r>
        <mc:AlternateContent>
          <mc:Choice Requires="wps">
            <w:drawing>
              <wp:anchor behindDoc="0" distT="10160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made under Swap Contracts relating to interest rates with respect to such period and any costs associated with breakage in respect of hedging agreements for interest rates; </w:t>
      </w:r>
      <w:r>
        <mc:AlternateContent>
          <mc:Choice Requires="wps">
            <w:drawing>
              <wp:anchor behindDoc="0" distT="10160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interest expense consisting of liquidated damages for failure to timely comply with registration rights obligations and financing fees; </w:t>
      </w:r>
      <w:r>
        <mc:AlternateContent>
          <mc:Choice Requires="wps">
            <w:drawing>
              <wp:anchor behindDoc="0" distT="10160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or quarterly agency fees paid to the administrative agent under any Credit Facilities; and </w:t>
      </w:r>
      <w:r>
        <mc:AlternateContent>
          <mc:Choice Requires="wps">
            <w:drawing>
              <wp:anchor behindDoc="0" distT="10160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and fees associated with obtaining Swap Contracts and fees payable thereunder, all as calculated in accordance with GAAP. </w:t>
      </w:r>
      <w:r>
        <mc:AlternateContent>
          <mc:Choice Requires="wps">
            <w:drawing>
              <wp:anchor behindDoc="0" distT="101600" distB="0" distL="254000" distR="0" simplePos="0" locked="0" layoutInCell="1" allowOverlap="1" relativeHeight="75">
                <wp:simplePos x="0" y="0"/>
                <wp:positionH relativeFrom="column">
                  <wp:align>left</wp:align>
                </wp:positionH>
                <wp:positionV relativeFrom="line">
                  <wp:align>top</wp:align>
                </wp:positionV>
                <wp:extent cx="254000" cy="52578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Net Income” means, for any Test Period, the net income (loss) of VICI LP and its Subsidiaries for such period, determined on a consolidated basis in accordance with GAAP, without any reduction in respect of dividends on Preferred Stock; provided that the following items will be excluded in computing Consolidated Net Income, without duplication: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income (or loss) of any Person that is not a Subsidiary, except to the extent of the amount of cash dividends or other distributions actually paid to VICI LP or any of its Subsidiaries by such Person during such period (and, for the avoidance of doubt, the amount of such cash dividends and other distributions will be included in calculating Consolidated Net Income); </w:t>
      </w:r>
      <w:r>
        <mc:AlternateContent>
          <mc:Choice Requires="wps">
            <w:drawing>
              <wp:anchor behindDoc="0" distT="10160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gains or losses attributable to asset sales and other asset dispositions; </w:t>
      </w:r>
      <w:r>
        <mc:AlternateContent>
          <mc:Choice Requires="wps">
            <w:drawing>
              <wp:anchor behindDoc="0" distT="10160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gains or losses attributable to the extinguishment, retirement or conversion of debt and all after-tax gains and losses attributable to the settlement or termination of Hedging Obligations; </w:t>
      </w:r>
      <w:r>
        <mc:AlternateContent>
          <mc:Choice Requires="wps">
            <w:drawing>
              <wp:anchor behindDoc="0" distT="10160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extraordinary gains and extraordinary losses; </w:t>
      </w:r>
      <w:r>
        <mc:AlternateContent>
          <mc:Choice Requires="wps">
            <w:drawing>
              <wp:anchor behindDoc="0" distT="1016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after-tax gains and losses realized as a result of the cumulative effect of a change in accounting principles; </w:t>
      </w:r>
      <w:r>
        <mc:AlternateContent>
          <mc:Choice Requires="wps">
            <w:drawing>
              <wp:anchor behindDoc="0" distT="1016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impairment charges or asset write-offs or write-downs, including those related to intangible assets, long-lived assets, investments in debt and equity securities or as a result of a change in law or regulation, in each case, pursuant to GAAP, and the amortization of intangibles arising pursuant to GAAP; </w:t>
      </w:r>
      <w:r>
        <mc:AlternateContent>
          <mc:Choice Requires="wps">
            <w:drawing>
              <wp:anchor behindDoc="0" distT="0" distB="0" distL="254000" distR="0" simplePos="0" locked="0" layoutInCell="1" allowOverlap="1" relativeHeight="81">
                <wp:simplePos x="0" y="0"/>
                <wp:positionH relativeFrom="column">
                  <wp:align>left</wp:align>
                </wp:positionH>
                <wp:positionV relativeFrom="line">
                  <wp:posOffset>635</wp:posOffset>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non-cash provisions and benefits attributable to expected credit losses pursuant to Accounting Standards Codification 326; </w:t>
      </w:r>
      <w:r>
        <mc:AlternateContent>
          <mc:Choice Requires="wps">
            <w:drawing>
              <wp:anchor behindDoc="0" distT="9271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non-cash gains and losses attributable to mark-to-market valuation of Hedging Obligations pursuant to Accounting Standards Codification 815; and </w:t>
      </w:r>
      <w:r>
        <mc:AlternateContent>
          <mc:Choice Requires="wps">
            <w:drawing>
              <wp:anchor behindDoc="0" distT="9271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non-cash charges and expenses related to stock-based compensation plans or other non-cash compensation, provided further that when calculating Total Unencumbered Assets, the net income (loss) of VICI LP and its Subsidiaries for such period, determined on a consolidated basis in accordance with GAAP, shall exclude any amounts attributable to unconsolidated limited partnerships, unconsolidated limited liability companies and other unconsolidated entities. </w:t>
      </w:r>
      <w:r>
        <mc:AlternateContent>
          <mc:Choice Requires="wps">
            <w:drawing>
              <wp:anchor behindDoc="0" distT="9271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Convertible Indebtedness” means Indebtedness of VICI LP permitted to be Incurred under the terms of the indenture that is (1) either (a) convertible into common stock of VICI REIT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VICI REIT and/or cash (in an amount determined by reference to the price of such common stock) and (2) subordinated to the Notes and all obligations with respect to the Notes on terms customary at the time for convertible subordinated debt securities.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Credit Agreement” means the Credit Agreement, dated as of February 3, 2025, among VICI LP, the lenders from time to time party thereto and Wells Fargo Bank, N.A., as administrative agent, including any related notes, guarantees and collateral documents, as the same may be amended, amended and restated, replaced (whether upon or after termination or otherwise), refinanced, supplemented, modified or otherwise changed (in whole or in part, and without limitation as to amount, terms, conditions, covenants and other provisions)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Credit Facilities” means one or more debt facilities (including the Credit Agreement), commercial paper facilities, securities purchase agreements, indentures or similar agreements, in each case, with banks or other institutional lenders or investors providing for revolving loans, term loans, receivables financing (including through the sale of receivables to lenders or to special purpose entities formed to borrow from lenders against such receivables), letters of credit or the issuance of securities, including any related notes, guarantees, collateral documents, instruments and agreements executed in connection therewith, and, in each case, as amended, restated, replaced (whether upon or after termination or otherwise), refinanced, supplemented, modified or otherwise changed (in whole or in part, and without limitation as to amount, terms, conditions, covenants and other provisions)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EBCI Southern Indiana Lease” means the lease agreement, dated as of September 3, 2021, by and between Caesars Southern Indiana Propco LLC, as landlord, and Caesars Riverboat Casino, LLC, as tenant, for the real estate assets associated with Caesars Southern Indiana, located in Elizabeth, Indiana,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Currency Agreement” means any agreement or arrangement designed to protect against fluctuations in currency exchange rates.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Development Property” means Real Property acquired for purposes of becoming, or currently under development into, an Income Property that is owned, operated or leased or otherwise controlled by VICI LP or its Subsidiaries. Each Development Property shall continue to be classified as a Development Property under the indenture until VICI LP reclassifies such Development Property as an Income Property for purposes of the indenture, upon and after which such property shall be classified as an Income Property under the indenture.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Equity Interests” means Capital Stock and all warrants, options or other rights to acquire Capital Stock (but excluding any debt security that is convertible into, or exchangeable for, Capital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means the U.S. Securities Exchange Act of 1934, as amended, and the rules and regulations of the U.S. Securities and Exchange Commission promulgated thereunder.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Fair Market Value” means the price that would be paid in an arm’s-length transaction under the applicable circumstances, as determined in good faith by VICI LP.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Finance Lease” means, as applied to any Person, any lease of any property, whether real, personal or mixed, of such Person as lessee that is required to be classified and accounted for as a finance lease liability in accordance with GAAP; provided, that for the avoidance of doubt, any lease that is accounted for by any Person as an operating lease as of the original issue date of the Notes and any similar lease entered into after the issue date by any Person may, in the sole discretion of VICI LP, be treated as an operating lease and not a Finance Lease; and provided further that any Master Lease and any ground lease or similar obligation in which the obligations pursuant to such ground lease or similar obligation are passed on to the tenant under or in connection with a Master Lease will be deemed not to be a Finance Lease.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Foundation Master Lease” means the lease agreement, dated as of December 22, 2022, by and among Fitz Propco LLC and WaterView Propco LLC, collectively, as landlord, and Majestic Mississippi, LLC and Casino Vicksburg, LLC, collectively, as tenant, for the Fitz Casino &amp; Hotel, located in Tunica, Mississippi, and the WaterView Casino &amp; Hotel, located in Vicksburg, Mississippi,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GAAP” means accounting principles generally accepted in the United States of America, consistently applied, as in effect on the date of any calculation or determination.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means casino, race track, racino, video lottery terminal, card club or other gambling activities, including, but not limited to, the operation of slot machines, video lottery terminals, table games, pai gow poker, pari-mutuel wagering, sports wagering or other applicable types of wagering.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Approval” means any and all approvals, licenses, findings of suitability, authorizations, registrations, permits, consents, rulings, orders or directives of any Governmental Authority: (1) necessary to enable VICI LP or its Subsidiaries to engage in a Gaming business (including the business of owning or leasing Real Property or vessels used in the Gaming business) or otherwise to continue to conduct its business substantially as is presently conducted or contemplated to be conducted following the original issue date of the Notes, (2) required by any Gaming Law or (3) required to accomplish the financing and other transactions contemplated hereby.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Authority” means any governmental agency, authority, board, bureau, commission, department, office or instrumentality with regulatory, licensing or permitting authority or jurisdiction over any Gaming Facility owned by VICI LP or any of its Subsidiaries, or with regulatory, licensing or permitting authority or jurisdiction over any Gaming operation (or a proposed Gaming operation) at a Gaming Facility owned by VICI LP or any of its Subsidiaries.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Facility” means any casino, hotel, resort, race track at which pari-mutuel wagering is conducted, racino, off-track wagering site, card club casinos, or venue at which Gaming or wagering is conducted, and all related or ancillary property and assets.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Gaming Laws” means all applicable provisions of all: (a) constitutions, treaties, statutes or laws governing Gaming Facilities owned by VICI LP or any of its Subsidiaries and rules, regulations, codes and ordinances of, and all administrative or judicial orders or decrees or other laws pursuant to which, any Gaming Authority possesses or exercises regulatory, licensing or permit authority or jurisdiction over Gaming Facilities owned by VICI LP or any of its Subsidiaries; (b) Gaming Approvals; and (c) orders, decisions, determinations, judgments, awards and decrees of any Gaming Authority.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Golden Entertainment Master Lease” means the lease agreement, dated as of April 30, 2026, between certain subsidiaries of VICI LP listed on Schedule A thereto, as landlord, and certain subsidiaries of Golden Entertainment, LLC listed on Schedule B thereto, as tenant, for the properties listed on Exhibit A thereto,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Government Securities” means readily marketable (a) direct full faith and credit obligations of the United States or obligations guaranteed by the full faith and credit of the United States and (b)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 agency or instrumentality of, or corporation owned, controlled or sponsored by, the United States that are generally considered in the securities industry to be implicit obligations of the United States.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Governmental Authority” means any government or political subdivision of the United States or any other country, whether national, federal, state, provincial, local or otherwise, or any agency, authority, board, bureau, central bank, commission, department, municipality or instrumentality thereof or therein, including any court, tribunal, grand jury or arbitrator, in each case whether foreign or domestic, or any entity exercising executive, legislative, judicial, regulatory or administrative functions of or pertaining to such government or political subdivision (including any supra-national bodies such as the European Union or the European Central Bank) including any Gaming Authority.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Guarantee” means any obligation, contingent or otherwise, of any Person directly or indirectly guaranteeing any Indebtedness of any other Person and, without limiting the generality of the foregoing, any obligation, direct or indirect, contingent or otherwise, of such Person: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 or pay (or advance or supply funds for the purchase or payment of) such Indebtedness of such other Person; or </w:t>
      </w:r>
      <w:r>
        <mc:AlternateContent>
          <mc:Choice Requires="wps">
            <w:drawing>
              <wp:anchor behindDoc="0" distT="10033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entered into for purposes of assuring in any other manner the obligee of such Indebtedness of the payment thereof or to protect such obligee against loss in respect thereof (in whole or in part); provided that the term “Guarantee” will not include endorsements for collection or deposit in the ordinary course of business. The term “Guarantee” used as a verb has a corresponding meaning. </w:t>
      </w:r>
      <w:r>
        <mc:AlternateContent>
          <mc:Choice Requires="wps">
            <w:drawing>
              <wp:anchor behindDoc="0" distT="10033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Hard Rock Cincinnati Lease” means the lease agreement, dated as of September 20, 2019, by and between Cincinnati Propco LLC, as landlord, and Jack Cincinnati Casino LLC, as tenant, for the real estate assets associated with the Hard Rock Cincinnati Casino, located in Cincinnati, Ohio,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Hedging Obligations” means, with respect to any specified Person, the obligations of such Person under any Interest Rate Agreement or Currency Agreement. For the avoidance of doubt, any Permitted Convertible Indebtedness Call Transaction will not constitute Hedging Obligations.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Income Property” means any Real Property or assets or vessels (including any personal property ancillary thereto or used in connection therewith) owned, operated or leased or otherwise controlled by VICI LP or its Subsidiaries and earning, or intended to earn, current income, whether from rent, lease payments, operations or otherwise. “Income Property” shall not include any Development Property, Redevelopment Property or undeveloped land. Each Income Property shall continue to be classified as an Income Property under the indenture until VICI LP reclassifies such Income Property as a Redevelopment Property for purposes of the indenture, upon and after which such property shall be classified as Redevelopment Property under the indenture.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Incur” means, with respect to any Indebtedness, to incur, create, issue, assume, Guarantee or otherwise become liable for or with respect to, or become responsible for the payment of, contingently or otherwise, such Indebtedness; provided, that any premiums, interest (including post-petition interest and payment-in- kind interest), accretion or amortization of original issue discount, fees, expenses and charges with respect to Indebtedness permitted under the indenture will not be considered to be an Incurrence of Indebtedness.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Indebtedness” means, with respect to any Person at any date of determination (without duplication):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for borrowed money; </w:t>
      </w:r>
      <w:r>
        <mc:AlternateContent>
          <mc:Choice Requires="wps">
            <w:drawing>
              <wp:anchor behindDoc="0" distT="10160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evidenced by bonds, debentures, notes, loan agreements or other similar instruments; </w:t>
      </w:r>
      <w:r>
        <mc:AlternateContent>
          <mc:Choice Requires="wps">
            <w:drawing>
              <wp:anchor behindDoc="0" distT="10160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under conditional sale or other title retention agreements relating to property purchased by such Person;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issued or assumed as the deferred purchase price of property or services (excluding (i) trade accounts payable and accrued obligations incurred in the ordinary course of business or other accounts payable in the ordinary course of business in accordance with </w:t>
      </w:r>
      <w:r>
        <mc:AlternateContent>
          <mc:Choice Requires="wps">
            <w:drawing>
              <wp:anchor behindDoc="0" distT="10160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trade terms, (ii) financing of insurance premiums and (iii) any earn-out obligation or purchase price adjustment until such obligation becomes a liability on the balance sheet (excluding the footnotes thereto) in accordance with GAAP);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of others to the extent secured by any Lien on property owned or acquired by such Person, whether or not the obligations secured thereby have been assumed; provided, that if such obligations have not been assumed, the amount of such Indebtedness included for the purposes of this definition will be the amount equal to the lesser of the Fair Market Value of such property and the amount of the Indebtedness secured; </w:t>
      </w:r>
      <w:r>
        <mc:AlternateContent>
          <mc:Choice Requires="wps">
            <w:drawing>
              <wp:anchor behindDoc="0" distT="9779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Finance Leases of such Person, the capitalized amount thereof that would appear on a balance sheet of such Person prepared as of such date in accordance with GAAP; </w:t>
      </w:r>
      <w:r>
        <mc:AlternateContent>
          <mc:Choice Requires="wps">
            <w:drawing>
              <wp:anchor behindDoc="0" distT="9779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amount of the obligations of such Person in respect of interest rate protection agreements, foreign currency exchange agreements or other interest or exchange rate hedging arrangements (including Swap Contracts); </w:t>
      </w:r>
      <w:r>
        <mc:AlternateContent>
          <mc:Choice Requires="wps">
            <w:drawing>
              <wp:anchor behindDoc="0" distT="9779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10 business days; and </w:t>
      </w:r>
      <w:r>
        <mc:AlternateContent>
          <mc:Choice Requires="wps">
            <w:drawing>
              <wp:anchor behindDoc="0" distT="9906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Guarantees of such Person in respect of Indebtedness of others of the kinds referred to in clauses (1) through (8) above (other than, for the avoidance of doubt, in connection with any completion guarantee); </w:t>
      </w:r>
      <w:r>
        <mc:AlternateContent>
          <mc:Choice Requires="wps">
            <w:drawing>
              <wp:anchor behindDoc="0" distT="9906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Indebtedness shall not include any obligations in respect of indemnification, adjustment of purchase price or similar obligations, or from Guarantees or letters of credit, surety bonds or performance bonds, in each case securing any such obligations of VICI LP or any of its Subsidiaries, in any case Incurred in connection with the disposition of any business, assets or Subsidiary (other than Guarantees of Indebtedness Incurred by any Person acquiring all or any portion of such business, assets or Subsidiary for the purpose of financing such acquisition) in a principal amount not in excess of the gross proceeds including non-cash proceeds (the Fair Market Value of such non-cash proceeds being measured at the time received and without giving effect to any subsequent changes in value) actually received by VICI LP and its Subsidiaries on a consolidated basis in connection with such disposition.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(4) shall be calculated based on the net present value thereof. The amount of Indebtedness of the type referred to in clause (7) above of any Person shall be zero unless and until such Indebtedness becomes due, in which case the amount of such Indebtedness shall be the amount due that is payable by such Person. For the avoidance of doubt, it is understood and agreed that (w) any obligations of such Person in respect of Cash Management Agreements, (x) any obligations of such Person in respect of employee, consultant or independent contractor deferred compensation and benefit plans, (y) any obligations of such Person in respect of taxes, assessments, governmental charges or levies and (z) any funding obligations of a Person in its capacity as a lender shall not constitute Indebtedness. For all purposes with respect to this definition, the Indebtedness of VICI LP and its Subsidiaries shall exclude (i) any obligations under any Master Leases, (ii) intercompany liabilities arising from or associated with cash management, tax, or accounting operations and made in the ordinary course of business, (iii) intercompany loans, advances or Indebtedness having a term not exceeding 364 days (inclusive of any rollover or extensions of terms) and made in the ordinary course of business and (iv) operating lease liabilities on the balance sheet in accordance with GAAP.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Coverage Ratio” means, as of any date of determination, the ratio of (1) the aggregate amount of Consolidated EBITDA of VICI LP and its Subsidiaries for the Test Period to (2) Consolidated Interest Expense of VICI LP and its Subsidiaries for such Test Period; provided, however, for purposes of calculating the Interest Coverage Ratio, Consolidated Interest Expense related to any amortization of deferred financing costs and original issue discount shall be excluded.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Rate Agreement” means any interest rate swap agreement (whether from fixed to floating or from floating to fixed), interest rate cap agreement or interest rate collar agreement and any other agreement or arrangement designed to manage interest rates or interest rate risk.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Investment” in any Person means any direct or indirect advance, loan or other extension of credit (including by way of Guarantee or similar arrangement, but excluding advances to customers in the ordinary course of business that are, in conformity with GAAP, recorded as accounts receivable on the consolidated balance sheet of VICI LP and its Subsidiaries, and residual liabilities with respect to assigned leaseholds incurred in the ordinary course of business) or capital contribution to (by means of any transfer of cash or other property (tangible or intangible) to such Person or any payment for property or services solely for the account or use of such Person, or otherwise), or any purchase or acquisition of Equity Interests, bonds, notes, debentures or other similar instruments issued by, such Person.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JACK Master Lease” means the lease agreement, dated as of January 24, 2020, by and among Cleveland Propco LLC and Thistledown Propco LLC, collectively, as landlord, and Jack Cleveland Casino LLC and Jack Thistledown Racino LLC, collectively, as tenant, for the real estate assets associated with the Jack Cleveland Casino located in Cleveland, Ohio, and Thistledown Racino, located in North Randall, Ohio,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Lien” means any mortgage, deed of trust, pledge, security interest, encumbrance, lien or charge of any kind (including any conditional sale or other title retention agreement or lease in the nature thereof).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Lucky Strike Master Lease” means the master lease agreement, dated as of October 19, 2023, between certain subsidiaries of VICI LP and certain subsidiaries of Bowlero Corp., as tenant,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Master Leases” means the Caesars Las Vegas Master Lease, the Caesars Regional Master Lease, the Century Master Lease, the Chelsea Piers Master Lease, the EBCI Southern Indiana Lease, the Foundation Master Lease, the Golden Entertainment Master Lease, the Hard Rock Cincinnati Lease, the JACK Master Lease, the Lucky Strike Master Lease, the MGM Grand/Mandalay Bay Lease, the MGM Master Lease, the PENN Master Lease, the PURE Master Lease, any Severance Lease and each Similar Lease entered into after the issue date by VICI LP or any of its Subsidiaries and any other Person (other than VICI LP or a Subsidiary).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means MGM Resorts International, a Delaware corporation, and, as the context requires, its subsidiaries.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Grand/Mandalay Bay Lease” means the master lease agreement, dated as of February 14, 2020, by and among Mandalay PropCo, LLC and MGM Grand PropCo, LLC, collectively, as landlord, and MGM Lessee II, LLC, as tenant, for MGM Grand Las Vegas and Mandalay Bay,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Master Lease” means the lease agreement, dated as of April 29, 2022, between MGP Lessor, LLC, as landlord, and MGM Lessee, LLC, as tenant, for the properties leased to MGM, excluding those leased under the MGM Grand/Mandalay Bay Lease,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MGM Tax Protection Agreement” means the tax matters agreement among VICI OP, VICI REIT and the Initial Protected Parties (as defined therein) dated as of April 29, 2022.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Moody’s” means Moody’s Investors Service, Inc. and its successors.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Net Funded Senior Secured Indebtedness” means, as of any date of determination, Net Funded Total Indebtedness that is Secured Indebtedness (other than any such Net Funded Total Indebtedness that is expressly subordinated in right of payment to the Notes and all obligations with respect to the Notes pursuant to a written agreement).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Net Funded Total Indebtedness” means, as of any date of determination, (a) the sum, without duplication, of the aggregate principal amount of all outstanding Indebtedness of VICI LP and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(other than any such Indebtedness that has been discharged) of the kind described in clause (1) of the definition of “Indebtedness,” Indebtedness evidenced by promissory notes and similar instruments and Guarantees in respect of any of the foregoing (to be included only to the extent set forth in clause (ii) below); provided that (i) Net Funded Total Indebtedness shall not include Indebtedness in respect of letters of credit, except to the extent of unreimbursed amounts thereunder and (ii) Net Funded Total Indebtedness shall not include Guarantees; provided, however, that if and when any such Guarantee is demanded for payment from VICI LP or any of its Subsidiaries, then the amounts of such Guarantees shall be included in such calculations, minus (b) Unrestricted Cash in an amount not to exceed $250 million.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PENN Master Lease” means the lease agreement, dated as of December 4, 2025, by and between Greektown Propco LLC and Margaritaville Propco LLC, as lessor, and Penn Tenant III, LLC and Penn Tenant II, LLC, as lessee, for the Hollywood Casino at Greektown in Detroit, Michigan and Margaritaville Resort Casino in Bossier City, Louisiana, respectively, as the same may be amended, amended and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Bond Hedge Transaction” means any call or capped call option (or substantively equivalent derivative transaction) on the common stock of VICI REIT purchased by VICI LP in connection with the issuance of any Convertible Indebtedness; provided that the purchase price for such Permitted Bond Hedge Transaction, less the proceeds received by VICI LP from the sale of any related Permitted Warrant Transaction, does not exceed the net proceeds received by VICI LP from the sale of such Convertible Indebtedness issued in connection with the Permitted Bond Hedge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Convertible Indebtedness Call Transaction” means any Permitted Bond Hedge Transaction and any Permitted Warrant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Warrant Transaction” means any call option, warrant or right to purchase (or substantively equivalent derivative transaction) on the common stock of VICI REIT sold by VICI LP substantially concurrently with any purchase by VICI LP of a related Permitted Bond Hedge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natural person, corporation, limited liability company, trust, joint venture, association, company, partnership, Governmental Authority or other entity.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Preferred Stock” means, with respect to any Person, any and all shares, interests, participation or other equivalents (however designated, whether voting or non-voting) that have a preference on liquidation or with respect to distributions over any other class of Capital Stock, including preferred partnership interests, whether general or limited, or such Person’s preferred or preference stock, whether outstanding on the original issue date of the Notes or issued thereafter, including all series and classes of such preferred or preference stock.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 Forma” or “Pro Forma Basis” means that the following adjustments have been made: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specified Person or any of its Subsidiaries Incurs, assumes, Guarantees, repays, repurchases, redeems, defeases or otherwise discharges any Indebtedness (other than ordinary working capital borrowings) or issues, repurchases or redeems Preferred Stock during the period commencing on the first day of the specified period and ending on (and including) the Transaction Date, then the Consolidated Interest Expense will be calculated giving Pro Forma effect (determined in good faith by VICI LP) to such Incurrence, assumption, Guarantee, repayment, repurchase, redemption, defeasance or other discharge of Indebtedness, or such issuance, repurchase or redemption of Preferred Stock, and the use of proceeds therefrom, as if the same had occurred at the beginning of such period; </w:t>
      </w:r>
      <w:r>
        <mc:AlternateContent>
          <mc:Choice Requires="wps">
            <w:drawing>
              <wp:anchor behindDoc="0" distT="10033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 sales and asset acquisitions that have been made by the specified Person or any of its Subsidiaries, including through mergers or consolidations, or by any Person or any of its Subsidiaries acquired by the specified Person or any of its Subsidiaries, and including all related financing transactions and including increases in ownership of Subsidiaries during the period commencing on the first day of the specified period and ending on (and including) the Transaction Date, will be given Pro Forma effect (including giving Pro Forma effect to the receipt and application of the proceeds of any asset sale) (determined in good faith by VICI LP) as if they had occurred and such proceeds had been applied on the first day of such specified period, provided </w:t>
      </w:r>
      <w:r>
        <mc:AlternateContent>
          <mc:Choice Requires="wps">
            <w:drawing>
              <wp:anchor behindDoc="0" distT="10033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calculating any ratio or determining compliance with the covenants set forth under “— Certain Covenants” and under the caption “Description of Debt Securities — Merger, Consolidation or Sale” of the accompanying prospectus, including Investments or acquisitions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Pro Forma Basis assuming that all such Investments or acquisitions (and any increase or decrease in Consolidated Net Income, Consolidated EBITDA, or Adjusted Total Assets and the component financial definitions used therein attributable to such transaction) had occurred on the first day of the applicable Test Period;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EBITDA will be adjusted to give effect to all Pro Forma Cost Savings; </w:t>
      </w:r>
      <w:r>
        <mc:AlternateContent>
          <mc:Choice Requires="wps">
            <w:drawing>
              <wp:anchor behindDoc="0" distT="10287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EBITDA and Consolidated Net Income attributable to discontinued operations, as determined in accordance with GAAP, and operations or businesses (and ownership interests therein) disposed of on or prior to the Transaction Date, will be excluded; </w:t>
      </w:r>
      <w:r>
        <mc:AlternateContent>
          <mc:Choice Requires="wps">
            <w:drawing>
              <wp:anchor behindDoc="0" distT="10160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Interest Expense attributable to discontinued operations, as determined in accordance with GAAP, and operations or businesses (and ownership interests therein) disposed of on or prior to the Transaction Date, will be excluded, but only to the extent that the obligations giving rise to such Consolidated Interest Expense will not be obligations of the specified Person or any of its Subsidiaries following the Transaction Date; </w:t>
      </w:r>
      <w:r>
        <mc:AlternateContent>
          <mc:Choice Requires="wps">
            <w:drawing>
              <wp:anchor behindDoc="0" distT="10160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that is or will become a Subsidiary on the Transaction Date will be deemed to have been a Subsidiary at all times during the specified period;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that is not, or will cease to be, a Subsidiary on the Transaction Date will be deemed not to have been a Subsidiary at any time during the specified period; and </w:t>
      </w:r>
      <w:r>
        <mc:AlternateContent>
          <mc:Choice Requires="wps">
            <w:drawing>
              <wp:anchor behindDoc="0" distT="1016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Indebtedness (other than ordinary working capital borrowings) bears a floating rate of interest, the interest expense on such Indebtedness will be calculated as if the rate in effect on the Transaction Date had been the applicable rate for the entire specified period (taking into account any Hedging Obligation applicable to such Indebtedness if such Hedging Obligation has a remaining term as at the Transaction Date in excess of 12 months). </w:t>
      </w:r>
      <w:r>
        <mc:AlternateContent>
          <mc:Choice Requires="wps">
            <w:drawing>
              <wp:anchor behindDoc="0" distT="1016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 Forma Cost Savings” means, with respect to any period, the reduction in net costs and expenses that: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attributable to an asset sale, asset acquisition, Investment, merger, consolidation or discontinued operation that occurred during the period or after the end of the period and on or prior to the Transaction Date and that (a) would properly be reflected in a pro forma income statement prepared in accordance with Regulation S-X under the Securities Act or (b) VICI LP reasonably determines will actually be realized within 18 months of the Transaction Date; or </w:t>
      </w:r>
      <w:r>
        <mc:AlternateContent>
          <mc:Choice Requires="wps">
            <w:drawing>
              <wp:anchor behindDoc="0" distT="1016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actually implemented on or prior to the Transaction Date in connection with or as a result of an asset sale, asset acquisition, Investment, merger, consolidation or discontinued operation and that are supportable and quantifiable by the underlying accounting records. </w:t>
      </w:r>
      <w:r>
        <mc:AlternateContent>
          <mc:Choice Requires="wps">
            <w:drawing>
              <wp:anchor behindDoc="0" distT="10160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PURE Master Lease” means the lease agreement, dated as of January 6, 2023, by and among PURE CAN Holdings GP 1 ULC, PURE CAN Holdings GP 2 ULC, PURE CAN Holdings GP 3 ULC and PURE CAN Holdings GP 4 ULC, collectively, as landlord, and PURE Canadian Gaming Corp., as tenant, for the (i) PURE Casino Edmonton located in Edmonton, Alberta, (ii) PURE Casino Yellowhead located in Edmonton, Alberta, (iii) PURE Casino Calgary located in Calgary, Alberta, (iv) PURE Casino Lethbridge located in Lethbridge, Alberta, (v) Deerfoot Inn &amp; Casino located in Calgary, Alberta and (vi) the Great Northern Casino and two adjacent limited-service hotels located in Grande Prairie, Alberta, as the same may be amended, amended and restated, supplemented or otherwise modified from time to time.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Real Property” means (i) each parcel of real property leased or operated by VICI LP or its Subsidiaries, whether by lease, license or other use or occupancy agreement, and (ii) each parcel of real property owned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VICI LP or its Subsidiaries, together with all buildings, structures, improvements and fixtures located thereon, together with all easements, licenses, rights, privileges, appurtenances, interests and entitlements related thereto.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Redevelopment Property” means any Real Property that operates or is intended to operate as an Income Property (1) that is designated by VICI LP as a “Redevelopment Property,” ​(2)(A)(i) that has been acquired by VICI LP or its Subsidiaries with a view toward renovating or rehabilitating such Real Property at an aggregate anticipated cost of at least 10.0% of the acquisition cost thereof and such renovation or rehabilitation is expected to disrupt the occupancy of at least 30.0% of the square footage of such Real Property or (ii) that VICI LP or its Subsidiaries intends to renovate or rehabilitate at an aggregate anticipated cost in excess of 10.0% of the Adjusted Total Assets consisting of or related to such Real Property immediately prior to such renovation or rehabilitation and such renovation or rehabilitation is expected to temporarily reduce the Consolidated EBITDA attributable to such Real Property by at least 30.0% as compared to the immediately preceding comparable prior period and (B) with respect to which VICI LP or its Subsidiaries thereof have entered into a binding construction contract or construction has commenced and (3) that does not qualify as a “Development Property.” Each Redevelopment Property shall continue to be classified as a Redevelopment Property under the indenture until VICI LP reclassifies such Real Property as an Income Property for purposes of the indenture, upon and after which such Real Property shall be classified as an Income Property under the indenture.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Refinancing Indebtedness” means Indebtedness issued in exchange for, or the net proceeds of which are used to extend, refinance, renew, replace, defease, discharge or refund, in whole or in part, any Indebtedness in an amount not to exceed the amount so refinanced plus the aggregate of fees, underwriting discounts, accrued and unpaid interest, premiums and other costs and expenses Incurred in connection with such refinancing (any such action, to “Refinance” or a “Refinancing”); provided that Indebtedness will be permitted only if: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new Indebtedness, by its terms or by the terms of any agreement or instrument pursuant to which such new Indebtedness is issued or remains outstanding, is expressly made subordinate in right of payment to the Notes at least to the extent that the Indebtedness to be Refinanced is subordinated to the Notes, if applicable; and </w:t>
      </w:r>
      <w:r>
        <mc:AlternateContent>
          <mc:Choice Requires="wps">
            <w:drawing>
              <wp:anchor behindDoc="0" distT="10541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new Indebtedness, determined as of the date of Incurrence of such new Indebtedness, does not mature prior to the earlier of (i) the Stated Maturity of the Indebtedness to be Refinanced, or (ii) the date that is 91 days after the Stated Maturity of each series of Notes, and the Average Life of such new Indebtedness is at least equal to the earlier of (A) the remaining Average Life of the Indebtedness to be Refinanced, or (B) 91 days more than the Average Life of each series of Notes. </w:t>
      </w:r>
      <w:r>
        <mc:AlternateContent>
          <mc:Choice Requires="wps">
            <w:drawing>
              <wp:anchor behindDoc="0" distT="10541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Related Businesses” means the development, ownership, leasing or operation of (i) Gaming Facilities, (ii) hotel facilities, retail facilities, entertainment facilities, amusement facilities or experiential facilities related or ancillary to Gaming Facilities and (iii) hotel facilities, retail facilities, entertainment facilities, amusement facilities or experiential facilities and land held for potential development or under development as Gaming Facilities, hotel facilities, retail facilities, entertainment facilities, amusement facilities and experiential facilities (including related or ancillary uses and including Investments in any such Related Businesses or assets related thereto).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Reporting Date” means the last day of the most recently completed fiscal quarter of VICI LP for which financial statements have been or are required to be delivered pursuant to “— Certain Covenants — Provision of financial information.”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Secured Indebtedness” means the portion of outstanding Indebtedness secured by a Lien upon the properties or other assets of VICI LP or any of its Subsidiaries.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Secured Net Debt to Adjusted Total Assets Ratio” means, as of any date of determination, the ratio of (a) the outstanding principal amount of Net Funded Senior Secured Indebtedness to (b) Adjusted Total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Severance Lease” means any “Severance Lease” ​(as defined in the Caesars Las Vegas Master Lease and the Caesars Regional Master Lease), any “Separate Lease” ​(as defined in the MGM Master Lease) and any similar leases permitted under any of the other Master Leases.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Significant Acquisition” means any transaction or series of related transactions for the purpose of or resulting, directly or indirectly, in the acquisition (including a merger or consolidation or any other combination with another Person) by one or more of VICI LP and its Subsidiaries of properties or assets of a Person (or the capital stock of a Person) for a purchase price in excess of 5% of Total Assets or its foreign currency equivalent.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Similar Lease” means a lease that is entered into by VICI LP or any of its Subsidiaries with another Person (other than VICI LP or its Subsidiary) for the purpose of, or with respect to operating or managing Gaming Facilities, Related Businesses, lodging, leisure and entertainment-related, amusement or experiential Real Property assets of VICI LP or its Subsidiaries.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Stated Maturity” means: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debt security, the date specified in such debt security as the fixed date on which the final installment of principal of such debt security is due and payable; and </w:t>
      </w:r>
      <w:r>
        <mc:AlternateContent>
          <mc:Choice Requires="wps">
            <w:drawing>
              <wp:anchor behindDoc="0" distT="10160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scheduled installment of principal of or interest on any debt security, the date specified in such debt security as the fixed date on which such installment is due and payable. </w:t>
      </w:r>
      <w:r>
        <mc:AlternateContent>
          <mc:Choice Requires="wps">
            <w:drawing>
              <wp:anchor behindDoc="0" distT="10160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with respect to any Person, any corporation, association or other business entity of which more than 50.0% of the voting power of the outstanding Voting Stock is owned, directly or indirectly, by such Person and/or one or more other Subsidiaries of such Person and the accounts of which would be consolidated with those of such Person in its consolidated financial statements in accordance with GAAP, if such statements were prepared as of such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For the avoidance of doubt, any Permitted Convertible Indebtedness Call Transaction will not constitute a Swap Contract.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S&amp;P” means S&amp;P Global Ratings and its successors.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Test Period” means the most recently completed fiscal quarter of VICI LP for which financial statements have been or are required to be delivered pursuant to “— Certain Covenants — Provision of financial information,” and the three fiscal quarters immediately preceding such fiscal quarter.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Assets” means, as of any date of determination, Consolidated EBITDA of VICI LP and its Subsidiaries for the Test Period most recently ended on or prior to such date of determination divided by 7.00%, plus: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Development Property or Redevelopment Property (or former Development Property or Redevelopment Property) prior to the date when financial results for at least one complete fiscal quarter following completion or opening of the applicable development project are available, 100% of the book value (determined in accordance with GAAP but determined without giving effect to any depreciation) of any such Development Property or Redevelopment </w:t>
      </w:r>
      <w:r>
        <mc:AlternateContent>
          <mc:Choice Requires="wps">
            <w:drawing>
              <wp:anchor behindDoc="0" distT="10160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(or former Development Property or Redevelopment Property) owned or leased by VICI LP and its Subsidiaries as of the Reporting Date; plus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book value (determined in accordance with GAAP) of any undeveloped land owned or leased by VICI LP and its Subsidiaries as of the Reporting Date; plus </w:t>
      </w:r>
      <w:r>
        <mc:AlternateContent>
          <mc:Choice Requires="wps">
            <w:drawing>
              <wp:anchor behindDoc="0" distT="10160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(but not less than zero) equal to all Unrestricted Cash and Cash Equivalents on hand of VICI LP and its Subsidiaries as of the Reporting Date that are not netted against indebtedness in the determination of Net Funded Total Indebtedness or Net Funded Senior Secured Indebtedness, as applicable; plus </w:t>
      </w:r>
      <w:r>
        <mc:AlternateContent>
          <mc:Choice Requires="wps">
            <w:drawing>
              <wp:anchor behindDoc="0" distT="10160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(but not less than zero) equal to all earnest money deposits associated with potential acquisitions by VICI LP and its Subsidiaries as of the Reporting Date that are not netted against indebtedness in the determination of Net Funded Total Indebtedness or Net Funded Senior Secured Indebtedness, as applicable; plus </w:t>
      </w:r>
      <w:r>
        <mc:AlternateContent>
          <mc:Choice Requires="wps">
            <w:drawing>
              <wp:anchor behindDoc="0" distT="10160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book value (determined in accordance with GAAP) (but determined without giving effect to any depreciation or amortization) of all other Investments (for the avoidance of doubt, other than Income Properties, Development Properties, Redevelopment Properties and unimproved land) held by VICI LP and its Subsidiaries as of the Reporting Date (exclusive of goodwill and other intangible assets); plus </w:t>
      </w:r>
      <w:r>
        <mc:AlternateContent>
          <mc:Choice Requires="wps">
            <w:drawing>
              <wp:anchor behindDoc="0" distT="10160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book value of all other assets (for the avoidance of doubt, other than Income Properties and assets included in clause (1), (2), (3), (4) or (5) above) of VICI LP and its Subsidiaries as of the Reporting Date, all determined on a consolidated basis in accordance with GAAP; </w:t>
      </w:r>
      <w:r>
        <mc:AlternateContent>
          <mc:Choice Requires="wps">
            <w:drawing>
              <wp:anchor behindDoc="0" distT="10160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the Consolidated EBITDA attributable to any Development Property, Redevelopment Property or undeveloped land (or former Development Property, Redevelopment Property or undeveloped land) or other asset the book value of which is included in Total Assets under clauses (1), (2), (5) or (6) above, shall be excluded. Total Assets shall not include any right of use assets associated with an operating lease in accordance with GAAP.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Net Debt to Adjusted Total Assets Ratio” means, as of any date of determination, the ratio of (a) Net Funded Total Indebtedness to (b) Adjusted Total Assets.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Unencumbered Assets” means, as of any date, the Adjusted Total Assets of VICI LP and its Subsidiaries as of such date (excluding any assets in unconsolidated limited partnerships, unconsolidated limited liability companies and other unconsolidated entities), less any such assets pledged as of such date as collateral to secure any obligations with respect to Secured Indebtedness.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 Date” means, with respect to the Incurrence of any Indebtedness by VICI LP or any of its Subsidiaries, the date such Indebtedness is to be Incurred.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Unrestricted Cash” means, as of any date of determination, all cash and Cash Equivalents included in the balance sheets of VICI LP and its Subsidiaries as of such date that, in each case, are free and clear of all Liens that do not secure Indebtedness for borrowed money.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Unsecured Debt” means, for any Person, any Indebtedness of such Person or its Subsidiaries which is not Secured Indebtedness.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VICI OP” means VICI Properties OP LLC and its permitted successors and assigns. “VICI REIT” means VICI Properties Inc. and its permitted successors and assigns.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Stock” means with respect to any Person, Capital Stock of any class or kind ordinarily having the power to vote for the election of directors, managers or other voting members of the governing body of such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SUFI"/>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SUPPLEMENTAL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summary supplements and should be read together with the general discussion of the tax considerations relating to VICI REIT’s qualification as a REIT described in the accompanying prospectus under the title “Material U.S. Federal Income Tax Considerations.” To the extent any information set forth under the title “Material U.S. Federal Income Tax Considerations” in the accompanying prospectus is inconsistent with this supplemental information, this supplemental information will apply and supersede the information in the accompanying prospectus. This supplemental information is provided on the same basis and subject to the same qualifications as are set forth in the first paragraph under the title “Material U.S. Federal Income Tax Considerations” in the accompanying prospectus as if that paragraph was set forth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Holders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United States federal income tax consequences of the ownership and disposition of the Notes. This summary deals only with Notes held as capital assets (within the meaning of Section 1221 of the Internal Revenue Code of 1986, as amended (the “Code”)) by persons who purchase the Notes for cash upon original issuance at their initial offering price. As used herein, the term “U.S. holder” means a beneficial owner of the Notes that, for United States federal income tax purposes,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 entity treated as a corporation for United States federal income tax purposes) that is created or organized under the laws of the United States, any state thereof or the District of Columbia;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United States federal income taxation regardless of its source; or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(i) is subject to the primary supervision of a court within the United States and one or more United States persons have the authority to control all substantial decisions of the trust or (ii) has a valid election in effect under applicable regulations promulgated by the U.S. Department of the Treasury (the “Treasury Regulations”) to be treated as a United States person.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“non-U.S. holder” refers to a beneficial owner of the Notes that is neither a U.S. holder nor a partnership (or any other entity treated as a partnership for United States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entity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represent a detailed description of the United States federal income tax consequences applicable to you if you are subject to special treatment under the United States federal income tax laws (including, without limitation, if you are a United States expatriate, “controlled foreign corporation,” “passive foreign investment company” or a partnership or other pass-through entity for United States federal income tax purposes). This summary does not deal with special situations, such as those of dealers in securities or currencies, financial institutions, regulated investment companies, tax-exempt entities, insurance companies, REITs, persons holding Notes as a part of a hedging, integrated, conversion or constructive sale transaction or a straddle, traders in securities that elect to use a mark-to-market method of accounting for their securities holdings, persons liable for alternative minimum tax, investors in pass-through entities, U.S. holders of Notes whose “functional currency” is not the United States dollar, or persons required to accelerate the recognition of any item of gross income with respect to the Notes as a result of such income being recognized on an applicable financial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Contingent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obligated to pay amounts in excess of the stated interest or principal on the Notes, including as described under “Description of the Notes — Optional Redemption.” We may also have the right to redeem the Notes for a redemption price that is less than their initial issue price plus accrued and unpaid interest, if any, as described under “Description of the Notes — Gaming Redemption.” These potential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may implicate the provisions of Treasury Regulations relating to “contingent payment debt instruments.” According to the applicable Treasury Regulations, certain contingencies will not cause a debt instrument to be treated as a contingent payment debt instrument if such contingencies, as of the date of issuance, are remote or incidental. We intend to take the position that the foregoing contingencies are remote or incidental, and we do not intend to treat the Notes as contingent payment debt instruments. Our position that such contingencies are remote or incidental is binding on a holder unless such holder discloses to the Internal Revenue Service (“IRS”) its contrary position in the manner required by applicable Treasury Regulations. Our position is not, however, binding on the IRS, and if the IRS were to successfully challenge this position, a holder might be required to accrue interest income at a higher rate than the stated interest rate (as described below) on the Notes, and to treat as ordinary interest income any gain realized on the taxable disposition of a Note. The remainder of this discussion assumes that the Notes will not be treated as contingent payment debt instruments. Investors should consult their own tax advisors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Relevant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 Federal Income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a Note will generally be taxable to a U.S. holder as ordinary income at the time it is received or accrued in accordance with the U.S. holder’s usual method of accounting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generally recognize gain or loss upon the sale, exchange, retirement, redemption or other taxable disposition of a Note equal to the difference between the amount realized upon the sale, exchange, retirement, redemption or other taxable disposition (less any portion of such amount attributable to accrued and unpaid stated interest, which will be taxable as such to the extent not previously included in income) and the U.S. holder’s adjusted tax basis in the Note. A U.S. holder’s adjusted tax basis in a Note will generally be equal to the amount that such U.S. holder paid for the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or loss recognized on a taxable disposition of the Note will be capital gain or loss. If, at the time of the sale, redemption or other taxable disposition of the Note, a U.S. holder is treated as holding the Note for more than one year, this capital gain or loss will be long-term capital gain or loss. In the case of certain non-corporate U.S. holders (including individuals), long-term capital gains generally are subject to preferential tax rates. A U.S. holder’s ability to deduct capital losses may be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that are individuals, estates, or trusts are subject to an additional 3.8% Medicare tax on “net investment income,” which includes, among other things, interest on and gains from the sale or other disposition of Notes. Investors in Notes should consult their own tax advisors regarding the 3.8% Medicare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be required with respect to interest on the Notes and the proceeds of a sale or other taxable disposition (including a retirement or redemption) of a Note paid to a U.S. holder unless the U.S. holder is an exempt recipient (such as a corporation). Backup withholding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United States federal income tax liability if the required information is furnished in a timely manner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Relevant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 Federal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below, United States federal withholding tax will not apply to any payment of interest on the Notes under the “portfolio interest rule,” provided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the Notes is not effectively connected with the non-U.S. holder’s conduct of a trade or business in the United States; </w:t>
      </w:r>
      <w:r>
        <mc:AlternateContent>
          <mc:Choice Requires="wps">
            <w:drawing>
              <wp:anchor behindDoc="0" distT="0" distB="0" distL="254000" distR="0" simplePos="0" locked="0" layoutInCell="1" allowOverlap="1" relativeHeight="120">
                <wp:simplePos x="0" y="0"/>
                <wp:positionH relativeFrom="column">
                  <wp:align>left</wp:align>
                </wp:positionH>
                <wp:positionV relativeFrom="line">
                  <wp:posOffset>635</wp:posOffset>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our capital or profits interests within the meaning of the Code and applicable United States Treasury Regulations;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that is related to us within the meaning of the Code;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whose receipt of interest on the Notes is described in Section 881(c)(3)(A) of the Code; and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provides its name and address on an applicable IRS Form W-8 (or other applicable form), and certifies, under penalties of perjury, that it is not a United States person as defined under the Code or (2) the non-U.S. holder holds its Notes through certain foreign intermediaries and satisfies the certification requirements of applicable United States Treasury Regulations. Special certification rules apply to non-U.S. holders that are pass-through entities rather than corporations or individuals.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non-U.S. holder cannot satisfy the requirements described above, payments of interest made to the non-U.S. holder will be subject to a 30% United States federal withholding tax, unless the non-U.S. holder provides the applicable withholding agent with a properly executed: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W-8BEN or W-8BEN-E, as applicable (or other applicable form) certifying an exemption from or reduction in withholding under the benefit of an applicable income tax treaty; or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W-8ECI (or other applicable form) certifying that interest paid on the Notes is not subject to withholding tax because it is effectively connected with the non-U.S. holder’s conduct of a trade or business in the United States (as discussed below under “— United States Federal Income Tax”).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30% United States federal withholding tax generally will not apply to any gain that the non-U.S. holder realizes on the sale, exchange, retirement, redemption or other taxable disposition of a Note.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 Federal Income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non-U.S. holder is engaged in a trade or business in the United States and interest on the Notes is effectively connected with the conduct of that trade or business (and, if required by an applicable income tax treaty, is attributable to a United States permanent establishment), then the non-U.S. holder will be subject to United States federal income tax on that interest on a net income basis in generally the same manner as if the non-U.S. holder were a U.S. holder. In addition, if the non-U.S. holder is a foreign corporation, the non-U.S. holder may be subject to a branch profits tax equal to 30% (or a lower applicable income tax treaty rate) of the non-U.S. holder’s effectively connected earnings and profits, subject to adjustments. If interest received with respect to the Notes is effectively connected income (whether or not a treaty applies), the 30% withholding tax described above will not apply, provided the certification requirements discussed above in “— United States Federal Withholding Tax” are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realized on the sale, exchange, retirement, redemption or other taxable disposition of a Note generally will not be subject to United States federal income tax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in the United States (and, if required by an applicable income tax treaty, is attributable to a United States permanent establishment), in which case such gain will be subject to United States federal income tax in generally the same manner as effectively connected interest is taxed (as discussed above); in addition, if the non-U.S. holder is a foreign corporation, it may be subject to the branch profits tax equal to 30% (or lesser rate as may be specified under an applicable income tax treaty) on its earnings and profits, subject to adjustments, that are effectively connected with its conduct of a trade or business in the United States; or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the disposition, and certain other conditions are met, in which case, unless an applicable income tax treaty provides otherwise, the non-U.S. holder will be subject to a flat 30% United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States federal income tax on the gain derived from the sale or other taxable disposition, which may be offset by certain United States source capital losses. If a non-U.S. holder is eligible for the benefits of a tax treaty between the United States and its country of residence, any such gain will be subject to U.S. federal income tax in the manner specified by the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must report to the IRS and to each non-U.S. holder the amount of interest paid to such non-U.S. holder and the amount of tax, if any, withheld with respect to those payments. Copies of the information returns reporting such interest payments and any withholding may also be made available to the tax authorities in the country in which the non-U.S. holder resides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holder will not be subject to backup withholding with respect to payments of interest on the Notes that are made to the non-U.S. holder provided that the applicable withholding agent has received from the non-U.S. holder the required certification that it is a non-U.S. holder described above in the fifth bullet point under “— United States Federal Withholding Tax” and the withholding agent does not have actual knowledge or reason to know that the holder is a U.S. person, as defined under the Code, that is not an exempt recipient.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the non-U.S. holder certifies to the applicable withholding agent under penalties of perjury that it is a non-U.S. holder, or the non-U.S. holder otherwise establishes an exemption and the withholding agent does not have actual knowledge or reason to know that the holder is a U.S. person, as defined under the Code, that is not an exempt recipient.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may be allowed as a refund or a credit against a non-U.S. holder’s United States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Sections 1471 through 1474 of the Code (such Sections commonly referred to as “FATCA”), a 30% United States federal withholding tax may apply to any interest income paid on the Notes and, subject to the proposed Treasury Regulations discussed below, the gross proceeds from a disposition of a Note,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The foregoing rules generally will apply whether the foreign financial institution or nonfinancial foreign entity is the beneficial owner of the Notes or an intermediary. While withholding under FATCA would have applied also to payments of gross proceeds from the sale or other disposition of our Notes on or after January 1, 2019, proposed Treasury Regulations eliminate FATCA withholding on payments of gross proceeds entirely. Taxpayers generally may rely on these proposed Treasury Regulations until final Treasury Regulations are issued. If an interest payment is both subject to withholding under FATCA and subject to the withholding tax discussed above under “— United States Federal Withholding Tax,” the withholding under FATCA may be credited against, and therefore reduce, such other withholding tax. Each holder should consult his/her own tax advisors regarding these rules and whether they may be relevant to his/ her ownership and disposition of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UCOI"/>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Wells Fargo Securities, LLC, Barclays Capital Inc., Mizuho Securities USA LLC and Truist Securities, Inc. are acting as the representatives of each of the underwriters named below. Subject to the terms and conditions set forth in an underwriting agreement among us, VICI REIT and the underwriters, we have agreed to sell to the underwriters, and each of the underwriters has agreed, severally and not jointly, to purchase from us, the respective principal amounts of each series of Notes set forth opposite such underwriter’s name below. </w:t>
      </w:r>
    </w:p>
    <w:tbl>
      <w:tblPr>
        <w:tblW w:w="6113" w:type="dxa"/>
        <w:jc w:val="left"/>
        <w:tblInd w:w="1393" w:type="dxa"/>
        <w:tblLayout w:type="fixed"/>
        <w:tblCellMar>
          <w:top w:w="0" w:type="dxa"/>
          <w:left w:w="0" w:type="dxa"/>
          <w:bottom w:w="43" w:type="dxa"/>
          <w:right w:w="0" w:type="dxa"/>
        </w:tblCellMar>
      </w:tblPr>
      <w:tblGrid>
        <w:gridCol w:w="3043"/>
        <w:gridCol w:w="109"/>
        <w:gridCol w:w="109"/>
        <w:gridCol w:w="1240"/>
        <w:gridCol w:w="109"/>
        <w:gridCol w:w="109"/>
        <w:gridCol w:w="1240"/>
        <w:gridCol w:w="154"/>
      </w:tblGrid>
      <w:tr>
        <w:trPr/>
        <w:tc>
          <w:tcPr>
            <w:tcW w:w="3043"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0" w:type="dxa"/>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Amount of</w:t>
            </w:r>
            <w:r>
              <w:rPr/>
              <w:t xml:space="preserve"> </w:t>
              <w:br/>
            </w:r>
            <w:r>
              <w:rPr>
                <w:spacing w:val="-3"/>
              </w:rPr>
              <w:t xml:space="preserve">20  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0" w:type="dxa"/>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Amount of</w:t>
            </w:r>
            <w:r>
              <w:rPr/>
              <w:t xml:space="preserve"> </w:t>
              <w:br/>
            </w:r>
            <w:r>
              <w:rPr>
                <w:spacing w:val="-3"/>
              </w:rPr>
              <w:t xml:space="preserve">20  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43"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43" w:type="dxa"/>
            <w:tcBorders/>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43"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43" w:type="dxa"/>
            <w:tcBorders/>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43"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underwriters have agreed, severally and not jointly, to purchase all of the Notes sold pursuant to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and to contribute to payments they may be required to make in respect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or sold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of the underwriters have advised us that the underwriters propose initially to offer the Notes to the public at the respective public offering prices listed on the cover page of this prospectus supplement and may offer the Notes to dealers at those respective prices less a concession not in excess of    % of the principal amount, in the case of the 20   Notes, and not in excess of    % of the principal amount, in the case of the 20   Notes. The underwriters may allow, and the dealers may reallow, a discount not in excess of    % of the principal amount, in the case of the 20   Notes, and not in excess of    % of the principal amount, in the case of the 20   Notes, to other dealers. After the initial offering, the public offering prices, concessions and discounts may be changed.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to be paid to the underwriters by us. </w:t>
      </w:r>
    </w:p>
    <w:tbl>
      <w:tblPr>
        <w:tblW w:w="7625" w:type="dxa"/>
        <w:jc w:val="left"/>
        <w:tblInd w:w="1393" w:type="dxa"/>
        <w:tblLayout w:type="fixed"/>
        <w:tblCellMar>
          <w:top w:w="0" w:type="dxa"/>
          <w:left w:w="0" w:type="dxa"/>
          <w:bottom w:w="28" w:type="dxa"/>
          <w:right w:w="0" w:type="dxa"/>
        </w:tblCellMar>
      </w:tblPr>
      <w:tblGrid>
        <w:gridCol w:w="2443"/>
        <w:gridCol w:w="109"/>
        <w:gridCol w:w="109"/>
        <w:gridCol w:w="109"/>
        <w:gridCol w:w="109"/>
        <w:gridCol w:w="841"/>
        <w:gridCol w:w="109"/>
        <w:gridCol w:w="109"/>
        <w:gridCol w:w="109"/>
        <w:gridCol w:w="109"/>
        <w:gridCol w:w="226"/>
        <w:gridCol w:w="466"/>
        <w:gridCol w:w="109"/>
        <w:gridCol w:w="109"/>
        <w:gridCol w:w="109"/>
        <w:gridCol w:w="109"/>
        <w:gridCol w:w="109"/>
        <w:gridCol w:w="841"/>
        <w:gridCol w:w="109"/>
        <w:gridCol w:w="109"/>
        <w:gridCol w:w="109"/>
        <w:gridCol w:w="109"/>
        <w:gridCol w:w="226"/>
        <w:gridCol w:w="466"/>
        <w:gridCol w:w="109"/>
        <w:gridCol w:w="154"/>
      </w:tblGrid>
      <w:tr>
        <w:trPr/>
        <w:tc>
          <w:tcPr>
            <w:tcW w:w="24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20   </w:t>
            </w:r>
            <w:r>
              <w:rPr/>
              <w:br/>
            </w:r>
            <w:r>
              <w:rPr>
                <w:spacing w:val="-3"/>
              </w:rPr>
              <w:t>Notes</w:t>
            </w:r>
            <w:r>
              <w:rPr/>
              <w:t xml:space="preserve"> </w:t>
              <w:br/>
            </w: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20   </w:t>
            </w:r>
            <w:r>
              <w:rPr/>
              <w:br/>
            </w:r>
            <w:r>
              <w:rPr>
                <w:spacing w:val="-3"/>
              </w:rPr>
              <w:t>Notes</w:t>
            </w:r>
            <w:r>
              <w:rPr/>
              <w:t xml:space="preserve"> </w:t>
              <w:br/>
            </w: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43" w:type="dxa"/>
            <w:tcBorders/>
            <w:shd w:fill="CCEEFF" w:val="clear"/>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this offering, not including the underwriting discounts, are estimated at approximately $      million and are payable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Prior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are a new issue of securities with no established trading market. Although the underwriters may make a market for the Notes after we complete this offering, they have no obligation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 so and may discontinue making a market in the Notes at any time without notice. We have not listed and do not intend to apply for listing of the Notes on any securities exchange. We cannot assure you that a trading market for the Notes will develop or, if developed, that it will continue, or as to the liquidity of any trading market for the Notes that may develop.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of the Notes, the underwriters may engage in transactions that stabilize, maintain or otherwise affect the market price of the Notes. Specifically, the underwriters may overallot in connection with the offering of the Notes, creating a short position. In addition, the underwriters may bid for, and purchase, Notes of either series in the open market to cover short positions or to stabilize the price of such Notes. Any of these activities may stabilize or maintain the market price of the applicable series of Notes above independent market levels, but no representation is made hereby that the underwriters will engage in any of those transactions or of the magnitude of any effect that the transactions described above, if commenced, may have on the market price of the Notes of the applicable series. The underwriters will not be required to engage in these activities, and if they engage in these activities, they may end any of these activities at any time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delivery of the Notes will be made against payment therefor on or about the closing date specified on the cover page of this prospectus supplement, which will be the         business day following the date of this prospectus supplement. Under rules of the SEC, trades in the secondary market generally are required to settle in one business day, unless the parties to that trade expressly agree otherwise. Accordingly, purchasers who wish to trade the Notes before the first business day prior to the closing date specified on the cover page of this prospectus supplement will be required, by virtue of the fact that the normal settlement date for that trade would occur prior to the closing date for the issuance of the Notes, to specify an alternate settlement cycle at the time of any such trade to prevent a failed settlement, and should consult their own advisors with respect to these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 beginning on the date of this prospectus supplement and continuing to and including the date of delivery of the Notes, we and VICI REIT have agreed not to offer, sell, contract to sell or otherwise dispose of any of our or VICI REIT’s debt securities or warrants to purchase or otherwise acquire our or VICI REIT’s debt securities substantially similar to the Notes (other than (i) the Notes, (ii) commercial paper issued in the ordinary course of business or (iii) securities or warrants permitted with the prior written consent of the representatives of the underwriters).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respective affiliates have, from time to time, performed, and may in the future perform, various financial advisory, commercial banking and investment banking services for us, for which they received or will receive customary fees and expenses. In particular, affiliates of certain of the underwriters are lenders under our Revolving Credit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or VICI REIT’s securities and instruments.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Notes to repay all or a portion of our outstanding (i) $480.5 million in aggregate principal amount of September 2026 Maturity Notes, (ii) $19.5 million in aggregate principal amount of 2026 MGP Notes, and (iii) $1.25 billion in aggregate principal amount of December 2026 Maturity Notes, and any remaining net proceeds will be used for general corporate purposes, which may include, among other things, the repayment or refinancing of indebtedness. See “Use of Proceeds.” If any of the underwriters or their affiliates are holders of our September 2026 Maturity Notes, 2026 MGP Notes, December 2026 Maturity Notes or other indebtedness, such underwriters or affiliates will receive a portion of the net proceeds from this offering. In the event that greater than 5% of the net proceeds from this offering are used to repay such notes or indebtedness owed to any individual underwriter or its affiliates, this offering will be conducted in accordance with FINRA Rule 5121. In such event, such underwriter or underwriters will not confirm sales of the Notes to accounts over which they exercise discretionary authority without the prior written approval of the customer. However, the appointment of a “qualified independent underwriter” would not be required under FINRA Rule 5121 because the notes are “investment grade rated” ​(as defined in FINRA Rule 5121).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VICI LP nor the underwriters have authorized, nor do they authorize, the making of any offer of Notes in the EEA other than to EEA Qualified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EEA RETAIL INVESTORS —</w:t>
      </w:r>
      <w:r>
        <w:rPr>
          <w:rFonts w:ascii="Times New Roman;Times;serif" w:hAnsi="Times New Roman;Times;serif"/>
          <w:b w:val="false"/>
          <w:i w:val="false"/>
          <w:caps w:val="false"/>
          <w:smallCaps w:val="false"/>
          <w:color w:val="000000"/>
          <w:spacing w:val="4"/>
          <w:sz w:val="20"/>
        </w:rPr>
        <w:t xml:space="preserve"> The Notes are not intended to be offered, sold or otherwise made 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an EEA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or any related free writing prospectus is a prospectus for the purposes of the Financial Conduct Authority’s Prospectus Rules: Admission to Trading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Regulated Market sourcebook. This prospectus supplement, the accompanying prospectus and any related free writing prospectus have been prepared on the basis that any offer of Notes in the United Kingdom will only be made to a legal entity which is a qualified investor as defined in paragraph 15 of Schedule 1 to the Public Offers and Admissions to Trading Regulations 2024 (each, a “UK Qualified Investor”).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VICI LP nor the underwriters have authorized, nor do they authorize, the making of any offer of Notes in the United Kingdom other than to UK Qualified Investors.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 —</w:t>
      </w:r>
      <w:r>
        <w:rPr>
          <w:rFonts w:ascii="Times New Roman;Times;serif" w:hAnsi="Times New Roman;Times;serif"/>
          <w:b w:val="false"/>
          <w:i w:val="false"/>
          <w:caps w:val="false"/>
          <w:smallCaps w:val="false"/>
          <w:color w:val="000000"/>
          <w:spacing w:val="4"/>
          <w:sz w:val="20"/>
        </w:rPr>
        <w:t xml:space="preserve"> The Notes are not intended to be offered, sold, distributed or otherwise made available to and should not be offered, sold, distributed or otherwise made available to any retail investor in the United Kingdom. For these purposes, (a) a “retail investor” means a person who is either one (or both) of: (i) not a professional client, as defined in point (8) of Article 2(1) of Regulation (EU) No 600/2014 as it forms part of domestic law in the United Kingdom; or (ii) not a UK Qualified Investor; and (b) the expression “offer” includes the communication in any form and by any means of sufficient information on the terms of the offer and the Notes to be offered so as to enable an investor to decide to buy or subscribe for the Notes. Consequently, no disclosure document required by the Financial Conduct Authority’s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Notes offered hereby or any of their contents.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invitation or inducement to engage in investment activity (within the meaning of Section 21 of the FSMA) in connection with the issue or sale of the Notes may only be communicated or caused to be communicated in circumstances in which Section 21(1) of the FSMA does not apply to VICI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applicable provisions of the FSMA must be complied with in respect to anything done by any person in relation to the Notes in, from or otherwise involving the United Kingdom.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of the Securities Act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(i) to “professional investors” as defined in the Securities and Futures Ordinance (Cap. 571 of the laws of Hong Kong) (the “SFO”) and any rules made under the SFO; or (ii) in other circumstances which do not result in the document being a “prospectus” as defined in the Companies (Winding Up and Miscellaneous Provisions) Ordinance (Cap. 32 of the laws of Hong Kong) (the “C(WUMP)O”) or which do not constitute an offer to the public within the meaning of the C(WUMP)O; and no advertisement, invitation or document relating to the Notes has been or will be issued, or has been or will be in the possession of any person for the purposes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under the SFO. The contents of this prospectus supplement and the accompanying prospectus have not been reviewed by any regulatory authority in Hong Kong. You are advised to exercise caution in relation to this offering. If you are in any doubt about any of the contents of this prospectus supplement or the accompanying prospectus, you should obtain independent professional advice.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of Japan (Act No. 25 of 1948, as amended, the “FIEA”) on the basis that the solicitation for subscription of the Notes falls within the definition of “solicitation to qualified institutional investors” as defined in Article 2, paragraph 3, item 2 (I) of the FIEA and Article 10 of the Ministerial Ordinance Concerning Definitions. Such solicitation shall be subject to the condition that qualified institutional investors (as defined under the FIEA, “QIIs”) who desire to acquire the Notes shall be notified that it may transfer the Notes only to another QII. Any QII who acquires the Notes shall be deemed to have agreed to such transfer restriction.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Notes have not been and will not be offered or sold, directly or indirectly, in Japan or to, or for the account or benefit of, any resident of Japan (which term as used herein means any person resident in Japan, including any corporation or other entity organized under the laws of Japan), or to, or for the account or benefit of, others for reoffering or resale, directly or indirectly, in Japan or to, or for the account or benefit of, any resident of Japan, except in a private placement to QIIs as described above pursuant to an exemption from the registration requirements of, and otherwise in compliance with, the FIEA and any other applicable laws, regulations and ministerial guidelines of Japan in effect at the time of such offering or sale.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and will not be registered as a prospectus under the Securities and Futures Act 2001 (the “SFA”) by the Monetary Authority of Singapore, and the offer of the Notes in Singapore is made primarily pursuant to the exemptions under Sections 274 and 275 of the SFA.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condition of the offer that where the Notes are subscribed for or acquired pursuant to an offer made in reliance on Section 275 of the SFA by a Relevant Person which is: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the sole business of which is to hold investments and the entire share capital of which is owned by one or more individuals, each of whom is an Accredited Investor; or </w:t>
      </w:r>
      <w:r>
        <mc:AlternateContent>
          <mc:Choice Requires="wps">
            <w:drawing>
              <wp:anchor behindDoc="0" distT="97790"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the sole purpose of which is to hold investments and each beneficiary of the trust is an individual who is an Accredited Investor, </w:t>
      </w:r>
      <w:r>
        <mc:AlternateContent>
          <mc:Choice Requires="wps">
            <w:drawing>
              <wp:anchor behindDoc="0" distT="9779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an Accredited Investor, a Relevant Person, or which arises from an offer referred to in Section 275(1A) of the SFA (in the case of that corporation) or Section 276(4)(c)(ii) of the SFA (in the case of that trust); </w:t>
      </w:r>
      <w:r>
        <mc:AlternateContent>
          <mc:Choice Requires="wps">
            <w:drawing>
              <wp:anchor behindDoc="0" distT="9906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9906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or </w:t>
      </w:r>
      <w:r>
        <mc:AlternateContent>
          <mc:Choice Requires="wps">
            <w:drawing>
              <wp:anchor behindDoc="0" distT="9906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w:t>
      </w:r>
      <w:r>
        <mc:AlternateContent>
          <mc:Choice Requires="wps">
            <w:drawing>
              <wp:anchor behindDoc="0" distT="9906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Singapore’s Securities and Futures Act Product Classification —</w:t>
      </w:r>
      <w:r>
        <w:rPr>
          <w:rFonts w:ascii="Times New Roman;Times;serif" w:hAnsi="Times New Roman;Times;serif"/>
          <w:b w:val="false"/>
          <w:i w:val="false"/>
          <w:caps w:val="false"/>
          <w:smallCaps w:val="false"/>
          <w:color w:val="000000"/>
          <w:spacing w:val="4"/>
          <w:sz w:val="20"/>
        </w:rPr>
        <w:t xml:space="preserve"> Solely for the purposes of its obligations pursuant to Sections 309B(1)(a) and 309B(1)(c) of the SFA, VICI LP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LEM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offered by this prospectus supplement and the accompanying prospectus and certain U.S. federal income tax matters will be passed upon for us by Hogan Lovells Cadwalader US LLP. Sidley Austin LLP, New York, New York, will act as counsel to the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EX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Inc. as of December 31, 2025 and 2024, and for each of the three years in the period ended December 31, 2025, incorporated by reference in this prospectus supplement, and the effectiveness of VICI Properties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L.P. as of December 31, 2025 and 2024, and for each of the three years in the period ended December 31, 2025, incorporated by reference in this prospectus supplement, and the effectiveness of VICI Properties L.P.’s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IOCD"/>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and VICI REIT to “incorporate by reference” information into this prospectus supplement, which means that we can disclose important information about us by referring you to another document filed separately with the SEC. The information incorporated by reference is considered to be a part of this prospectus supplement. This prospectus supplement incorporates by reference the documents and reports listed below: </w:t>
      </w:r>
    </w:p>
    <w:p>
      <w:pPr>
        <w:pStyle w:val="TextBody"/>
        <w:bidi w:val="0"/>
        <w:spacing w:lineRule="atLeast" w:line="240" w:before="120" w:after="0"/>
        <w:ind w:left="1993" w:right="0" w:hanging="0"/>
        <w:jc w:val="left"/>
        <w:rPr/>
      </w:pPr>
      <w:hyperlink r:id="rId6">
        <w:r>
          <w:rPr>
            <w:rStyle w:val="InternetLink"/>
          </w:rPr>
          <w:t>VICI REIT’s and our Annual Report on Form 10-K for the year ended December 31, 2025, filed with the SEC on February 25,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w:t>
      </w:r>
      <w:hyperlink r:id="rId7">
        <w:r>
          <w:rPr>
            <w:rStyle w:val="InternetLink"/>
          </w:rPr>
          <w:t>definitive proxy statement on Schedule 14A for its 2026 annual meeting of stockholders, filed with the SEC on March 16, 2026</w:t>
        </w:r>
      </w:hyperlink>
      <w:r>
        <w:rPr>
          <w:rFonts w:ascii="Times New Roman;Times;serif" w:hAnsi="Times New Roman;Times;serif"/>
          <w:b w:val="false"/>
          <w:i w:val="false"/>
          <w:caps w:val="false"/>
          <w:smallCaps w:val="false"/>
          <w:color w:val="000000"/>
          <w:spacing w:val="4"/>
          <w:sz w:val="20"/>
        </w:rPr>
        <w:t xml:space="preserve"> (solely to the extent incorporated by reference into Part III of VICI REIT’s and our Annual Report on Form 10-K for the year ended December 31, 2025);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and our Quarterly Reports on Form 10-Q for the quarters ended March 31, 2026, filed with the SEC on </w:t>
      </w:r>
      <w:hyperlink r:id="rId8">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and June 30, 2026, filed with the SEC on </w:t>
      </w:r>
      <w:hyperlink r:id="rId9">
        <w:r>
          <w:rPr>
            <w:rStyle w:val="InternetLink"/>
          </w:rPr>
          <w:t>July 29,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and our current report on Form 8-K, filed with the SEC on </w:t>
      </w:r>
      <w:hyperlink r:id="rId10">
        <w:r>
          <w:rPr>
            <w:rStyle w:val="InternetLink"/>
          </w:rPr>
          <w:t>April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VICI REIT also incorporate by reference the information contained in all other documents we and VICI REIT file with the SEC pursuant to Sections 13(a), 13(c), 14 or 15(d) of the Exchange Act (other than portions of these documents that are deemed to have been furnished and not filed in accordance with SEC rules, including current reports on Form 8-K furnished under Item 2.02 and Item 7.01 (including any financial statements or exhibits relating thereto furnished pursuant to Item 9.01)) after the date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 this prospectus supplement will be deemed to be modified or superseded to the extent that a statement contained herein or in any other subsequently filed document which also is or is deemed to be incorporated by reference in this prospectus supplement modifies or supersedes that statement. Any statement so modified or superseded will not be deemed, except as so modified or superseded, to constitute a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of our securities, to whom a prospectus supplement and the accompanying prospectus is delivered, a copy of any or all of the reports or documents that have been incorporated by reference in this prospectus supplement free of charge upon written or oral request. Our and VICI REIT’s filings with the SEC are available on our website at www.viciproperties.com, in the “Investors” section, as soon as reasonably practicable after they are filed with the SEC. The information that is contained on, or is or becomes accessible through, our website is not part of this prospectus supplement. You may also obtain a copy of these filings at no cost by calling us at (646) 949-4631 or writing to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VICI Properties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535 Madison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10022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2152650" cy="647700"/>
            <wp:effectExtent l="0" t="0" r="0" b="0"/>
            <wp:docPr id="1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 descr=""/>
                    <pic:cNvPicPr>
                      <a:picLocks noChangeAspect="1" noChangeArrowheads="1"/>
                    </pic:cNvPicPr>
                  </pic:nvPicPr>
                  <pic:blipFill>
                    <a:blip r:embed="rId11"/>
                    <a:stretch>
                      <a:fillRect/>
                    </a:stretch>
                  </pic:blipFill>
                  <pic:spPr bwMode="auto">
                    <a:xfrm>
                      <a:off x="0" y="0"/>
                      <a:ext cx="2152650" cy="6477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12"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VICI Properties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Rights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80" w:after="283"/>
        <w:jc w:val="center"/>
        <w:rPr>
          <w:rFonts w:ascii="Times New Roman;Times;serif" w:hAnsi="Times New Roman;Times;serif"/>
          <w:b/>
          <w:i w:val="false"/>
          <w:caps w:val="false"/>
          <w:smallCaps w:val="false"/>
          <w:color w:val="000000"/>
          <w:spacing w:val="-7"/>
          <w:sz w:val="36"/>
        </w:rPr>
      </w:pPr>
      <w:r>
        <w:rPr>
          <w:rFonts w:ascii="Times New Roman;Times;serif" w:hAnsi="Times New Roman;Times;serif"/>
          <w:b/>
          <w:i w:val="false"/>
          <w:caps w:val="false"/>
          <w:smallCaps w:val="false"/>
          <w:color w:val="000000"/>
          <w:spacing w:val="-7"/>
          <w:sz w:val="36"/>
        </w:rPr>
        <w:t xml:space="preserve">VICI Properties L.P. </w:t>
      </w:r>
    </w:p>
    <w:p>
      <w:pPr>
        <w:pStyle w:val="TextBody"/>
        <w:bidi w:val="0"/>
        <w:spacing w:lineRule="atLeast" w:line="320" w:before="3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7"/>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Properties Inc., a Maryland corporation (“VICI REIT”), may from time to time offer, in one or more series or classes, separately or together, and in amounts, at prices and on terms to be set forth in one or more supplements to this prospectus, the following securities: common stock, preferred stock, stock purchase contracts, depositary shares representing our preferred stock, warrants to purchase our common stock, preferred stock or depositary shares representing our preferred stock, rights to purchase common stock and units representing an interest in two or more securities. </w:t>
      </w:r>
    </w:p>
    <w:p>
      <w:pPr>
        <w:pStyle w:val="TextBody"/>
        <w:bidi w:val="0"/>
        <w:spacing w:lineRule="atLeast" w:line="21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Properties L.P., a Delaware limited partnership (“VICI LP”) and subsidiary of VICI REIT, may from time to time offer, in one or more series and in amounts, at prices and on terms to be set forth in one or more supplements to this prospectus, debt securities. </w:t>
      </w:r>
    </w:p>
    <w:p>
      <w:pPr>
        <w:pStyle w:val="TextBody"/>
        <w:bidi w:val="0"/>
        <w:spacing w:lineRule="atLeast" w:line="21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and the general manner in which they may be offered. Each time VICI REIT and/or VICI LP sell securities, a prospectus supplement will be provided that will contain specific information about the terms and conditions of any securities offered, any net proceeds that VICI REIT and/or VICI LP, as applicable, expect to receive from the sale of such securities and the specific manner in which the securities will be offered. The applicable prospectus supplement will also contain information, where applicable, about U.S. federal income tax considerations relating to, and any listing on a securities exchange of, the securities covered by the prospectus supplement. The prospectus supplement may add to, update or change the information in this prospectus. You should read this prospectus and any prospectus supplement carefully before you invest in any of the securities. This prospectus may not be used to sell securities unless accompanied by a prospectus supplement. </w:t>
      </w:r>
    </w:p>
    <w:p>
      <w:pPr>
        <w:pStyle w:val="TextBody"/>
        <w:bidi w:val="0"/>
        <w:spacing w:lineRule="atLeast" w:line="210" w:before="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VICI REIT and/or VICI LP may offer the securities directly to investors, through agents designated from time to time by VICI REIT and/or VICI LP, or to or through underwriters or dealers. If any agents, underwriters or dealers are involved in the sale of any of the securities, their names and any applicable purchase price, fee, commission or discount arrangement with, between or among them will be set forth, or will be calculable from the information set forth, in an accompanying prospectus supplement. For more detailed information, see “Plan of Distribution” on page </w:t>
      </w:r>
      <w:hyperlink w:anchor="tPOD">
        <w:r>
          <w:rPr>
            <w:rStyle w:val="InternetLink"/>
          </w:rPr>
          <w:t>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1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of VICI REIT is listed on the New York Stock Exchange (the “NYSE”) under the symbol “VICI.” On April 29, 2025, the last reported sale price of VICI REIT’s common stock on the NYSE was $32.26 per share. VICI REIT’s and VICI LP’s principal executive offices are located at 535 Madison Avenue, 28th Floor, New York, NY 10022, and VICI REIT’s and VICI LP’s telephone number is (646) 949-4631.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6"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 securities involves various risks. See “Risk Factors” on page </w:t>
      </w:r>
      <w:hyperlink w:anchor="tRIFA">
        <w:r>
          <w:rPr>
            <w:rStyle w:val="InternetLink"/>
          </w:rPr>
          <w:t>5</w:t>
        </w:r>
      </w:hyperlink>
      <w:r>
        <w:rPr>
          <w:rFonts w:ascii="Times New Roman;Times;serif" w:hAnsi="Times New Roman;Times;serif"/>
          <w:b/>
          <w:i w:val="false"/>
          <w:caps w:val="false"/>
          <w:smallCaps w:val="false"/>
          <w:color w:val="000000"/>
          <w:spacing w:val="-4"/>
          <w:sz w:val="20"/>
        </w:rPr>
        <w:t xml:space="preserve"> as well as the risk factors contained in documents we file with the Securities and Exchange Commission and which are incorporated by reference in this prospectus. See “Incorporation of Certain Information by Reference” and “Where You Can Find Additional Information” in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6"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other regulatory body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1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April 30, 2025.</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OC3"/>
      <w:bookmarkEnd w:id="20"/>
      <w:r>
        <w:rPr>
          <w:rFonts w:ascii="calibri;arial;sans-serif" w:hAnsi="calibri;arial;sans-serif"/>
          <w:b w:val="false"/>
          <w:i w:val="false"/>
          <w:caps w:val="false"/>
          <w:smallCaps w:val="false"/>
          <w:color w:val="000000"/>
          <w:sz w:val="16"/>
        </w:rPr>
        <w:t>​</w:t>
      </w:r>
      <w:bookmarkStart w:id="21" w:name="TOC4"/>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139">
                <wp:simplePos x="0" y="0"/>
                <wp:positionH relativeFrom="column">
                  <wp:align>left</wp:align>
                </wp:positionH>
                <wp:positionV relativeFrom="line">
                  <wp:posOffset>635</wp:posOffset>
                </wp:positionV>
                <wp:extent cx="2819400" cy="4079875"/>
                <wp:effectExtent l="0" t="0" r="0" b="0"/>
                <wp:wrapSquare wrapText="right"/>
                <wp:docPr id="137" name="Frame135"/>
                <a:graphic xmlns:a="http://schemas.openxmlformats.org/drawingml/2006/main">
                  <a:graphicData uri="http://schemas.microsoft.com/office/word/2010/wordprocessingShape">
                    <wps:wsp>
                      <wps:cNvSpPr txBox="1"/>
                      <wps:spPr>
                        <a:xfrm>
                          <a:off x="0" y="0"/>
                          <a:ext cx="2819400" cy="4079875"/>
                        </a:xfrm>
                        <a:prstGeom prst="rect"/>
                        <a:solidFill>
                          <a:srgbClr val="FFFFFF"/>
                        </a:solidFill>
                      </wps:spPr>
                      <wps:txbx>
                        <w:txbxContent>
                          <w:tbl>
                            <w:tblPr>
                              <w:tblW w:w="9581" w:type="dxa"/>
                              <w:jc w:val="left"/>
                              <w:tblInd w:w="0" w:type="dxa"/>
                              <w:tblLayout w:type="fixed"/>
                              <w:tblCellMar>
                                <w:top w:w="0" w:type="dxa"/>
                                <w:left w:w="0" w:type="dxa"/>
                                <w:bottom w:w="0" w:type="dxa"/>
                                <w:right w:w="0" w:type="dxa"/>
                              </w:tblCellMar>
                            </w:tblPr>
                            <w:tblGrid>
                              <w:gridCol w:w="124"/>
                              <w:gridCol w:w="8348"/>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CIRC">
                                    <w:r>
                                      <w:rPr>
                                        <w:rStyle w:val="InternetLink"/>
                                        <w:spacing w:val="4"/>
                                      </w:rPr>
                                      <w:t xml:space="preserve">CERTAIN INFORMATION REGARDING CAESARS AND MGM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IRC">
                                    <w:r>
                                      <w:rPr>
                                        <w:rStyle w:val="InternetLink"/>
                                        <w:spacing w:val="4"/>
                                      </w:rPr>
                                      <w:t>iv</w:t>
                                    </w:r>
                                  </w:hyperlink>
                                  <w:hyperlink w:anchor="tCIR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TATN">
                                    <w:r>
                                      <w:rPr>
                                        <w:rStyle w:val="InternetLink"/>
                                        <w:spacing w:val="4"/>
                                      </w:rPr>
                                      <w:t xml:space="preserve">TRADEMARKS AND TRADE NAMES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ATN">
                                    <w:r>
                                      <w:rPr>
                                        <w:rStyle w:val="InternetLink"/>
                                        <w:spacing w:val="4"/>
                                      </w:rPr>
                                      <w:t>iv</w:t>
                                    </w:r>
                                  </w:hyperlink>
                                  <w:hyperlink w:anchor="tTA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AID">
                                    <w:r>
                                      <w:rPr>
                                        <w:rStyle w:val="InternetLink"/>
                                        <w:spacing w:val="4"/>
                                      </w:rPr>
                                      <w:t>iv</w:t>
                                    </w:r>
                                  </w:hyperlink>
                                  <w:hyperlink w:anchor="tMA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CNRF">
                                    <w:r>
                                      <w:rPr>
                                        <w:rStyle w:val="InternetLink"/>
                                        <w:spacing w:val="4"/>
                                      </w:rPr>
                                      <w:t>1</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VRAV">
                                    <w:r>
                                      <w:rPr>
                                        <w:rStyle w:val="InternetLink"/>
                                        <w:spacing w:val="4"/>
                                      </w:rPr>
                                      <w:t xml:space="preserve">VICI REIT AND VICI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VRAV">
                                    <w:r>
                                      <w:rPr>
                                        <w:rStyle w:val="InternetLink"/>
                                        <w:spacing w:val="4"/>
                                      </w:rPr>
                                      <w:t>3</w:t>
                                    </w:r>
                                  </w:hyperlink>
                                  <w:hyperlink w:anchor="tVR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DOSP">
                                    <w:r>
                                      <w:rPr>
                                        <w:rStyle w:val="InternetLink"/>
                                        <w:spacing w:val="4"/>
                                      </w:rPr>
                                      <w:t xml:space="preserve">DESCRIPTION OF STOCK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P">
                                    <w:r>
                                      <w:rPr>
                                        <w:rStyle w:val="InternetLink"/>
                                        <w:spacing w:val="4"/>
                                      </w:rPr>
                                      <w:t>19</w:t>
                                    </w:r>
                                  </w:hyperlink>
                                  <w:hyperlink w:anchor="tDO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DODS">
                                    <w:r>
                                      <w:rPr>
                                        <w:rStyle w:val="InternetLink"/>
                                        <w:spacing w:val="4"/>
                                      </w:rPr>
                                      <w:t xml:space="preserve">DESCRIPTION OF DEPOSITARY </w:t>
                                    </w:r>
                                  </w:hyperlink>
                                  <w:hyperlink w:anchor="tDODS">
                                    <w:r>
                                      <w:rPr>
                                        <w:rStyle w:val="InternetLink"/>
                                      </w:rPr>
                                      <w:br/>
                                    </w:r>
                                  </w:hyperlink>
                                  <w:hyperlink w:anchor="tDODS">
                                    <w:r>
                                      <w:rPr>
                                        <w:rStyle w:val="InternetLink"/>
                                        <w:spacing w:val="4"/>
                                      </w:rPr>
                                      <w:t xml:space="preserve">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20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321.25pt;mso-wrap-distance-left:69.65pt;mso-wrap-distance-right:0pt;mso-wrap-distance-top:0pt;mso-wrap-distance-bottom:0pt;margin-top:0pt;mso-position-vertical:top;mso-position-vertical-relative:text;margin-left:69.65pt;mso-position-horizontal:left;mso-position-horizontal-relative:text">
                <v:textbox>
                  <w:txbxContent>
                    <w:tbl>
                      <w:tblPr>
                        <w:tblW w:w="9581" w:type="dxa"/>
                        <w:jc w:val="left"/>
                        <w:tblInd w:w="0" w:type="dxa"/>
                        <w:tblLayout w:type="fixed"/>
                        <w:tblCellMar>
                          <w:top w:w="0" w:type="dxa"/>
                          <w:left w:w="0" w:type="dxa"/>
                          <w:bottom w:w="0" w:type="dxa"/>
                          <w:right w:w="0" w:type="dxa"/>
                        </w:tblCellMar>
                      </w:tblPr>
                      <w:tblGrid>
                        <w:gridCol w:w="124"/>
                        <w:gridCol w:w="8348"/>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CIRC">
                              <w:r>
                                <w:rPr>
                                  <w:rStyle w:val="InternetLink"/>
                                  <w:spacing w:val="4"/>
                                </w:rPr>
                                <w:t xml:space="preserve">CERTAIN INFORMATION REGARDING CAESARS AND MGM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IRC">
                              <w:r>
                                <w:rPr>
                                  <w:rStyle w:val="InternetLink"/>
                                  <w:spacing w:val="4"/>
                                </w:rPr>
                                <w:t>iv</w:t>
                              </w:r>
                            </w:hyperlink>
                            <w:hyperlink w:anchor="tCIR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TATN">
                              <w:r>
                                <w:rPr>
                                  <w:rStyle w:val="InternetLink"/>
                                  <w:spacing w:val="4"/>
                                </w:rPr>
                                <w:t xml:space="preserve">TRADEMARKS AND TRADE NAMES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ATN">
                              <w:r>
                                <w:rPr>
                                  <w:rStyle w:val="InternetLink"/>
                                  <w:spacing w:val="4"/>
                                </w:rPr>
                                <w:t>iv</w:t>
                              </w:r>
                            </w:hyperlink>
                            <w:hyperlink w:anchor="tTA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AID">
                              <w:r>
                                <w:rPr>
                                  <w:rStyle w:val="InternetLink"/>
                                  <w:spacing w:val="4"/>
                                </w:rPr>
                                <w:t>iv</w:t>
                              </w:r>
                            </w:hyperlink>
                            <w:hyperlink w:anchor="tMA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CNRF">
                              <w:r>
                                <w:rPr>
                                  <w:rStyle w:val="InternetLink"/>
                                  <w:spacing w:val="4"/>
                                </w:rPr>
                                <w:t>1</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VRAV">
                              <w:r>
                                <w:rPr>
                                  <w:rStyle w:val="InternetLink"/>
                                  <w:spacing w:val="4"/>
                                </w:rPr>
                                <w:t xml:space="preserve">VICI REIT AND VICI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VRAV">
                              <w:r>
                                <w:rPr>
                                  <w:rStyle w:val="InternetLink"/>
                                  <w:spacing w:val="4"/>
                                </w:rPr>
                                <w:t>3</w:t>
                              </w:r>
                            </w:hyperlink>
                            <w:hyperlink w:anchor="tVR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ind w:left="200" w:right="0" w:hanging="200"/>
                              <w:jc w:val="left"/>
                              <w:rPr/>
                            </w:pPr>
                            <w:hyperlink w:anchor="tDOSP">
                              <w:r>
                                <w:rPr>
                                  <w:rStyle w:val="InternetLink"/>
                                  <w:spacing w:val="4"/>
                                </w:rPr>
                                <w:t xml:space="preserve">DESCRIPTION OF STOCK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P">
                              <w:r>
                                <w:rPr>
                                  <w:rStyle w:val="InternetLink"/>
                                  <w:spacing w:val="4"/>
                                </w:rPr>
                                <w:t>19</w:t>
                              </w:r>
                            </w:hyperlink>
                            <w:hyperlink w:anchor="tDO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348" w:type="dxa"/>
                            <w:tcBorders/>
                            <w:shd w:fill="CCEEFF" w:val="clear"/>
                            <w:vAlign w:val="center"/>
                          </w:tcPr>
                          <w:p>
                            <w:pPr>
                              <w:pStyle w:val="TableContents"/>
                              <w:bidi w:val="0"/>
                              <w:spacing w:before="0" w:after="0"/>
                              <w:ind w:left="200" w:right="0" w:hanging="200"/>
                              <w:jc w:val="left"/>
                              <w:rPr/>
                            </w:pPr>
                            <w:hyperlink w:anchor="tDODS">
                              <w:r>
                                <w:rPr>
                                  <w:rStyle w:val="InternetLink"/>
                                  <w:spacing w:val="4"/>
                                </w:rPr>
                                <w:t xml:space="preserve">DESCRIPTION OF DEPOSITARY </w:t>
                              </w:r>
                            </w:hyperlink>
                            <w:hyperlink w:anchor="tDODS">
                              <w:r>
                                <w:rPr>
                                  <w:rStyle w:val="InternetLink"/>
                                </w:rPr>
                                <w:br/>
                              </w:r>
                            </w:hyperlink>
                            <w:hyperlink w:anchor="tDODS">
                              <w:r>
                                <w:rPr>
                                  <w:rStyle w:val="InternetLink"/>
                                  <w:spacing w:val="4"/>
                                </w:rPr>
                                <w:t xml:space="preserve">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20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40">
                <wp:simplePos x="0" y="0"/>
                <wp:positionH relativeFrom="column">
                  <wp:align>left</wp:align>
                </wp:positionH>
                <wp:positionV relativeFrom="line">
                  <wp:posOffset>635</wp:posOffset>
                </wp:positionV>
                <wp:extent cx="2819400" cy="4079875"/>
                <wp:effectExtent l="0" t="0" r="0" b="0"/>
                <wp:wrapSquare wrapText="right"/>
                <wp:docPr id="138" name="Frame136"/>
                <a:graphic xmlns:a="http://schemas.openxmlformats.org/drawingml/2006/main">
                  <a:graphicData uri="http://schemas.microsoft.com/office/word/2010/wordprocessingShape">
                    <wps:wsp>
                      <wps:cNvSpPr txBox="1"/>
                      <wps:spPr>
                        <a:xfrm>
                          <a:off x="0" y="0"/>
                          <a:ext cx="2819400" cy="4079875"/>
                        </a:xfrm>
                        <a:prstGeom prst="rect"/>
                        <a:solidFill>
                          <a:srgbClr val="FFFFFF"/>
                        </a:solidFill>
                      </wps:spPr>
                      <wps:txbx>
                        <w:txbxContent>
                          <w:tbl>
                            <w:tblPr>
                              <w:tblW w:w="8518" w:type="dxa"/>
                              <w:jc w:val="left"/>
                              <w:tblInd w:w="0" w:type="dxa"/>
                              <w:tblLayout w:type="fixed"/>
                              <w:tblCellMar>
                                <w:top w:w="0" w:type="dxa"/>
                                <w:left w:w="0" w:type="dxa"/>
                                <w:bottom w:w="0" w:type="dxa"/>
                                <w:right w:w="0" w:type="dxa"/>
                              </w:tblCellMar>
                            </w:tblPr>
                            <w:tblGrid>
                              <w:gridCol w:w="124"/>
                              <w:gridCol w:w="7285"/>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24</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R">
                                    <w:r>
                                      <w:rPr>
                                        <w:rStyle w:val="InternetLink"/>
                                        <w:spacing w:val="4"/>
                                      </w:rPr>
                                      <w:t xml:space="preserve">DESCRIPTION OF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R">
                                    <w:r>
                                      <w:rPr>
                                        <w:rStyle w:val="InternetLink"/>
                                        <w:spacing w:val="4"/>
                                      </w:rPr>
                                      <w:t>25</w:t>
                                    </w:r>
                                  </w:hyperlink>
                                  <w:hyperlink w:anchor="tDO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1">
                                    <w:r>
                                      <w:rPr>
                                        <w:rStyle w:val="InternetLink"/>
                                        <w:spacing w:val="4"/>
                                      </w:rPr>
                                      <w:t>27</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MUFI">
                                    <w:r>
                                      <w:rPr>
                                        <w:rStyle w:val="InternetLink"/>
                                        <w:spacing w:val="4"/>
                                      </w:rPr>
                                      <w:t xml:space="preserve">MATERIAL U.S. FEDERAL INCOME TAX </w:t>
                                    </w:r>
                                  </w:hyperlink>
                                  <w:hyperlink w:anchor="tMUFI">
                                    <w:r>
                                      <w:rPr>
                                        <w:rStyle w:val="InternetLink"/>
                                      </w:rPr>
                                      <w:br/>
                                    </w:r>
                                  </w:hyperlink>
                                  <w:hyperlink w:anchor="tMUFI">
                                    <w:r>
                                      <w:rPr>
                                        <w:rStyle w:val="InternetLink"/>
                                        <w:spacing w:val="4"/>
                                      </w:rPr>
                                      <w:t xml:space="preserve">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MUFI">
                                    <w:r>
                                      <w:rPr>
                                        <w:rStyle w:val="InternetLink"/>
                                        <w:spacing w:val="4"/>
                                      </w:rPr>
                                      <w:t>40</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BOOK">
                                    <w:r>
                                      <w:rPr>
                                        <w:rStyle w:val="InternetLink"/>
                                        <w:spacing w:val="4"/>
                                      </w:rPr>
                                      <w:t xml:space="preserve">BOOK-ENTRY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BOOK">
                                    <w:r>
                                      <w:rPr>
                                        <w:rStyle w:val="InternetLink"/>
                                        <w:spacing w:val="4"/>
                                      </w:rPr>
                                      <w:t>63</w:t>
                                    </w:r>
                                  </w:hyperlink>
                                  <w:hyperlink w:anchor="tBOOK">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65</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68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68</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ind w:left="200" w:right="0" w:hanging="20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69</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IOCD">
                                    <w:r>
                                      <w:rPr>
                                        <w:rStyle w:val="InternetLink"/>
                                        <w:spacing w:val="4"/>
                                      </w:rPr>
                                      <w:t xml:space="preserve">INCORPORATION OF CERTAIN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OCD">
                                    <w:r>
                                      <w:rPr>
                                        <w:rStyle w:val="InternetLink"/>
                                        <w:spacing w:val="4"/>
                                      </w:rPr>
                                      <w:t>69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321.25pt;mso-wrap-distance-left:12pt;mso-wrap-distance-right:0pt;mso-wrap-distance-top:0pt;mso-wrap-distance-bottom:0pt;margin-top:0pt;mso-position-vertical:top;mso-position-vertical-relative:text;margin-left:303.65pt;mso-position-horizontal:left;mso-position-horizontal-relative:text">
                <v:textbox>
                  <w:txbxContent>
                    <w:tbl>
                      <w:tblPr>
                        <w:tblW w:w="8518" w:type="dxa"/>
                        <w:jc w:val="left"/>
                        <w:tblInd w:w="0" w:type="dxa"/>
                        <w:tblLayout w:type="fixed"/>
                        <w:tblCellMar>
                          <w:top w:w="0" w:type="dxa"/>
                          <w:left w:w="0" w:type="dxa"/>
                          <w:bottom w:w="0" w:type="dxa"/>
                          <w:right w:w="0" w:type="dxa"/>
                        </w:tblCellMar>
                      </w:tblPr>
                      <w:tblGrid>
                        <w:gridCol w:w="124"/>
                        <w:gridCol w:w="7285"/>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24</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R">
                              <w:r>
                                <w:rPr>
                                  <w:rStyle w:val="InternetLink"/>
                                  <w:spacing w:val="4"/>
                                </w:rPr>
                                <w:t xml:space="preserve">DESCRIPTION OF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R">
                              <w:r>
                                <w:rPr>
                                  <w:rStyle w:val="InternetLink"/>
                                  <w:spacing w:val="4"/>
                                </w:rPr>
                                <w:t>25</w:t>
                              </w:r>
                            </w:hyperlink>
                            <w:hyperlink w:anchor="tDO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1">
                              <w:r>
                                <w:rPr>
                                  <w:rStyle w:val="InternetLink"/>
                                  <w:spacing w:val="4"/>
                                </w:rPr>
                                <w:t>27</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MUFI">
                              <w:r>
                                <w:rPr>
                                  <w:rStyle w:val="InternetLink"/>
                                  <w:spacing w:val="4"/>
                                </w:rPr>
                                <w:t xml:space="preserve">MATERIAL U.S. FEDERAL INCOME TAX </w:t>
                              </w:r>
                            </w:hyperlink>
                            <w:hyperlink w:anchor="tMUFI">
                              <w:r>
                                <w:rPr>
                                  <w:rStyle w:val="InternetLink"/>
                                </w:rPr>
                                <w:br/>
                              </w:r>
                            </w:hyperlink>
                            <w:hyperlink w:anchor="tMUFI">
                              <w:r>
                                <w:rPr>
                                  <w:rStyle w:val="InternetLink"/>
                                  <w:spacing w:val="4"/>
                                </w:rPr>
                                <w:t xml:space="preserve">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MUFI">
                              <w:r>
                                <w:rPr>
                                  <w:rStyle w:val="InternetLink"/>
                                  <w:spacing w:val="4"/>
                                </w:rPr>
                                <w:t>40</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BOOK">
                              <w:r>
                                <w:rPr>
                                  <w:rStyle w:val="InternetLink"/>
                                  <w:spacing w:val="4"/>
                                </w:rPr>
                                <w:t xml:space="preserve">BOOK-ENTRY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BOOK">
                              <w:r>
                                <w:rPr>
                                  <w:rStyle w:val="InternetLink"/>
                                  <w:spacing w:val="4"/>
                                </w:rPr>
                                <w:t>63</w:t>
                              </w:r>
                            </w:hyperlink>
                            <w:hyperlink w:anchor="tBOOK">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65</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68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68</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5" w:type="dxa"/>
                            <w:tcBorders/>
                            <w:vAlign w:val="center"/>
                          </w:tcPr>
                          <w:p>
                            <w:pPr>
                              <w:pStyle w:val="TableContents"/>
                              <w:bidi w:val="0"/>
                              <w:spacing w:before="0" w:after="0"/>
                              <w:ind w:left="200" w:right="0" w:hanging="20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69</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285" w:type="dxa"/>
                            <w:tcBorders/>
                            <w:shd w:fill="CCEEFF" w:val="clear"/>
                            <w:vAlign w:val="center"/>
                          </w:tcPr>
                          <w:p>
                            <w:pPr>
                              <w:pStyle w:val="TableContents"/>
                              <w:bidi w:val="0"/>
                              <w:spacing w:before="0" w:after="0"/>
                              <w:ind w:left="200" w:right="0" w:hanging="200"/>
                              <w:jc w:val="left"/>
                              <w:rPr/>
                            </w:pPr>
                            <w:hyperlink w:anchor="tIOCD">
                              <w:r>
                                <w:rPr>
                                  <w:rStyle w:val="InternetLink"/>
                                  <w:spacing w:val="4"/>
                                </w:rPr>
                                <w:t xml:space="preserve">INCORPORATION OF CERTAIN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OCD">
                              <w:r>
                                <w:rPr>
                                  <w:rStyle w:val="InternetLink"/>
                                  <w:spacing w:val="4"/>
                                </w:rPr>
                                <w:t>69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340" w:after="528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responsible for the information contained or incorporated by reference in this prospectus, any prospectus supplement or, any free writing prospectus we may authorize to be delivered to you. To the extent there are any inconsistencies between the information in or incorporated by reference in this prospectus and any prospectus supplement, you should rely on the information in the applicable prospectus supplement. We have not authorized any other person to provide you with different or additional information, and we take no responsibility for any information others may give you. You should assume that the information appearing or incorporated by reference in this prospectus or in any prospectus supplement or free writing prospectus prepared by us is accurate only as of their respective dates or on the date or dates which are specified in such documents. Our business, financial condition, cash flows, operating and financial results,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ATP"/>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(the “SEC”) as a “well-known seasoned issuer,” as defined in Rule 405 under the Securities Act of 1933, as amended (the “Securities Act”). By using a “shelf” registration statement, we may sell, at any time and from time to time, in one or more offerings, one or any combination of the securities described in this prospectus and any accompanying prospectus supplement. As allowed by the SEC rules, this prospectus and any accompanying prospectus supplement does not contain all of the information included in the registration statement. For further information, we refer you to the registration statement, including its exhibits, as well as any accompanying prospectus supplement and any documents incorporated by reference herein and therein. Statements contained in this prospectus and any accompanying prospectus supplement about the provisions or contents of any agreement or other document are only summaries. If the SEC’s rules and regulations require that an agreement or document be filed as an exhibit to the registration statement, please see that agreement or document for a complete description of the related matters.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carefully the entire prospectus and any applicable prospectus supplement, as well as the documents incorporated by reference in this prospectus and any applicable prospectus supplement, which we have referred you to in “Incorporation of Certain Documents by Reference” on page </w:t>
      </w:r>
      <w:hyperlink w:anchor="tIOCD">
        <w:r>
          <w:rPr>
            <w:rStyle w:val="InternetLink"/>
          </w:rPr>
          <w:t>69</w:t>
        </w:r>
      </w:hyperlink>
      <w:r>
        <w:rPr>
          <w:rFonts w:ascii="Times New Roman;Times;serif" w:hAnsi="Times New Roman;Times;serif"/>
          <w:b w:val="false"/>
          <w:i w:val="false"/>
          <w:caps w:val="false"/>
          <w:smallCaps w:val="false"/>
          <w:color w:val="000000"/>
          <w:spacing w:val="4"/>
          <w:sz w:val="20"/>
        </w:rPr>
        <w:t xml:space="preserve"> of this prospectus, before making an investment decision. Information incorporated by reference after the date of this prospectus may add, update or change information contained in this prospectus. Statements contained or deemed to be incorporated by reference in this prospectus or any applicable prospectus supplement as to the content of any contract or other document are not necessarily complete, and in each instance we refer you to the copy of the contract or other document filed as an exhibit to a document incorporated or deemed to be incorporated by reference in this prospectus or such prospectus supplement, each such statement being qualified in all respects by such reference. Any information in such subsequent filings and any applicable prospectus supplement that is inconsistent with this prospectus will supersede the information in this prospectus or any earlier prospectus supplement.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otherwise requires or unless otherwise specified, (i) all references in this prospectus to “VICI REIT” refer to VICI Properties Inc., together with its consolidated subsidiaries and (ii) all references to “VICI LP” refer to VICI Properties L.P. Unless the context otherwise requires, or unless otherwise specified, all references in this prospectus to the terms “we,” “us” and “our” refer to VICI REIT, together with its consolidated subsidiaries, including VICI LP.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Caesars” refers to Caesars Entertainment, Inc., a Delaware corporation,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CEOC” refers to Caesars Entertainment Operating Company, Inc., a Delaware corporation, and its subsidiaries, prior to October 6, 2017 (the “Formation Date”), and following the Formation Date, CEOC, LLC, a Delaware limited liability company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refers to MGM Resorts International, a Delaware corporation,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Grand/Mandalay Bay Lease” means the lease agreement for MGM Grand Las Vegas and Mandalay Bay,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MGM Master Lease Agreement” refers to the lease agreement, dated as of April 29, 2022, for the properties leased to MGM, excluding those leased under the MGM Grand/Mandalay Bay Lease, as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refers to MGM Growth Properties LLC, a Delaware limited liability company,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Master Transaction Agreement” refers to the Master Transaction Agreement between VICI REIT, MGP, MGP OP, VICI LP, Venus Sub LLC, a Delaware limited liability company and wholly owned subsidiary of VICI LP, and VICI OP, a Delaware limited liability company and indirect wholly owned subsidiary of VICI REIT.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OP” refers to MGM Growth Properties Operating Partnership LP, a Delaware limited partnership, and, as the context requires,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MGP Transactions” refers collectively to a series of transactions pursuant to the MGP Master Transaction Agreement in connection with VICI REIT’s acquisition of MGP on April 29, 2022, as contemplated by the MGP Master Transaction Agreement, including the tax protection agreement with MGM and the MGM Master Lease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Golf” refers to VICI Golf LLC, a Delaware limited liability company that is the owner and operator of our golf segment business.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LP” refers to VICI Properties L.P., a Delaware limited partnership and a wholly owned subsidiary of VICI REIT.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refers to VICI Properties OP LLC, a Delaware limited liability company and a consolidated subsidiary of VICI REIT, which serves as our operating partnership.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VICI OP Units” refer to limited liability company interests in VICI OP.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IRC"/>
      <w:bookmarkEnd w:id="23"/>
      <w:r>
        <w:rPr>
          <w:rFonts w:ascii="calibri;arial;sans-serif" w:hAnsi="calibri;arial;sans-serif"/>
          <w:b w:val="false"/>
          <w:i w:val="false"/>
          <w:caps w:val="false"/>
          <w:smallCaps w:val="false"/>
          <w:color w:val="000000"/>
          <w:sz w:val="16"/>
        </w:rPr>
        <w:t>​</w:t>
      </w:r>
      <w:bookmarkStart w:id="24" w:name="tTATN"/>
      <w:bookmarkEnd w:id="24"/>
      <w:r>
        <w:rPr>
          <w:rFonts w:ascii="calibri;arial;sans-serif" w:hAnsi="calibri;arial;sans-serif"/>
          <w:b w:val="false"/>
          <w:i w:val="false"/>
          <w:caps w:val="false"/>
          <w:smallCaps w:val="false"/>
          <w:color w:val="000000"/>
          <w:sz w:val="16"/>
        </w:rPr>
        <w:t>​</w:t>
      </w:r>
      <w:bookmarkStart w:id="25" w:name="tMAI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INFORMATION REGARDING CAESARS AND MGM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and unaudited financial statements of Caesars (which are not included or incorporated by reference in this prospectus), as the parent and guarantor of CEOC, one of our significant lessees, have been filed with the SEC. Caesars files annual, quarterly and current reports and other information with the SEC. In addition, the historical audited and unaudited financial statements of MGM (which are not included or incorporated by reference in this prospectus), which is the parent and guarantor of MGP Lessee, LLC, one of our significant lessees, have been filed with the SEC. MGM files annual, quarterly and current reports and other information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Caesars’ and MGM’s SEC filings are available to the public through the SEC’s web site at www.sec.gov. We make no representation as to the accuracy or completeness of the information regarding Caesars and MGM that is contained in this prospectus, which is obtained from Caesars’ or MGM’s publicly available information, or that is available through the SEC’s website or otherwise made publicly available by Caesars and MGM, and none of such publicly available Caesars or MGM information is incorporated by reference in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brands under which our properties are operated are trademarks of their respective owners. None of these owners nor any of their respective officers, directors, agents or employees: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approved any disclosure contained in this prospectus or the documents incorporated by reference herein; or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responsible or liable for the content of this prospectus or the documents incorporated by reference herein.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are responsible for all of the disclosures contained in this prospectus and the documents incorporated by reference herein, such documents may contain industry, market and competitive position data and estimates that are based on industry publications and studies conducted by third parties. The industry publications and third-party studies generally state that the information that they contain has been obtained from sources believed to be reliable, although they do not guarantee the accuracy or completeness of such information. While we believe that such information included in this prospectus and the documents incorporated by reference herein is generally reliable, we have not independently investigated or verified such data. The industry forward-looking statements included or incorporated by reference in this prospectus may be materially different than our or the industry’s actual results.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NR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 this prospectus and documents incorporated by reference herein,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included in this prospectus and the documents incorporated by reference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in general economic conditions and market developments, including inflation, interest rate changes and volatility, tariffs and trade barriers, supply chain disruptions, changes in consumer spending, consumer confidence levels, and unemployment levels, and depressed real estate prices resulting from the severity and duration of any downturn or recession in the U.S. or global economy;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pursue and consummate transactions, including investments in, and acquisitions of, real estate and to obtain debt financing for such investments at attractive interest rates, or at all;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our completed transactions, including our ability or failure to realize the anticipated benefits thereof;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tenants at our properties and their affiliates that serve as guarantors of the lease payments, and the negative consequences any material adverse effect on their respective businesses could have on us;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decision and ability to exercise our purchase rights under our put-call agreements, call agreements, right of first refusal agreements and right of first offer agreements;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borrowers’ ability to repay their outstanding loan obligations to us;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the gaming industry;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pursue our business and growth strategies may be limited by the requirement that we distribute 90% of our real estate investment trust (“REIT”) taxable income in order to qualify for taxation as a REIT and that we distribute 100% of our REIT taxable income in order to avoid current entity-level U.S. federal income taxes;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extensive regulation from gaming and other regulatory authorities; </w:t>
      </w:r>
      <w:r>
        <mc:AlternateContent>
          <mc:Choice Requires="wps">
            <w:drawing>
              <wp:anchor behindDoc="0" distT="0" distB="0" distL="254000" distR="0" simplePos="0" locked="0" layoutInCell="1" allowOverlap="1" relativeHeight="153">
                <wp:simplePos x="0" y="0"/>
                <wp:positionH relativeFrom="column">
                  <wp:align>left</wp:align>
                </wp:positionH>
                <wp:positionV relativeFrom="line">
                  <wp:posOffset>635</wp:posOffset>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our tenants to obtain and maintain regulatory approvals in connection with the operation of our properties, or the imposition of conditions to such regulatory approvals; </w:t>
      </w:r>
      <w:r>
        <mc:AlternateContent>
          <mc:Choice Requires="wps">
            <w:drawing>
              <wp:anchor behindDoc="0" distT="7239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our tenants may choose not to renew their respective lease agreements following the initial or subsequent terms of the leases; </w:t>
      </w:r>
      <w:r>
        <mc:AlternateContent>
          <mc:Choice Requires="wps">
            <w:drawing>
              <wp:anchor behindDoc="0" distT="7239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our ability to sell our properties subject to the lease agreements; </w:t>
      </w:r>
      <w:r>
        <mc:AlternateContent>
          <mc:Choice Requires="wps">
            <w:drawing>
              <wp:anchor behindDoc="0" distT="7239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tenants’ and any guarantors’ historical results may not be a reliable indicator of their future results;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substantial amount of indebtedness and ability to service, refinance (at attractive interest rates, or at all), and otherwise fulfill our obligations under such indebtedness;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financial information may not be reliable indicators of our future results of operations, financial condition and cash flows;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we identify significant environmental, tax, legal or other issues, including additional costs or liabilities, that materially and adversely impact the value of assets acquired or secured as collateral (or other benefits we expect to receive) in any of our completed transactions;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to tax laws and regulations, including U.S. federal income tax laws, state tax laws or global tax laws;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in governmental or regulatory actions and initiatives;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adverse tax consequences as a result of our completed transactions, including pursuant to tax protection agreements to which we are a party;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volatility in our stock price, including as a result of our completed transactions;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maintain our qualification for taxation as a REIT;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climate change, natural disasters or other severe weather events, war or conflict, political and public health conditions, uncertainty or civil unrest, violence or terrorist activities or threats on our properties, or in areas where our properties are located and changes in economic conditions or heightened travel security, and any measures instituted in response to these events;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the services of key personnel;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inability to attract, retain and motivate employees;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and liabilities associated with environmental compliance;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establish and maintain an effective system of integrated internal controls;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related to us or our tenants not having adequate insurance to cover potential losses;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impact on the amount of our cash distributions if we determine to sell or divest any of our properties in the future or are unable to redeploy capital returned from investments at attractive rates, or at all;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make distributions to holders of our common stock or maintain anticipated levels of distributions over time, including our reliance on distributions received from our subsidiaries, including VICI OP, to make such distributions to our stockholders;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any sales of our securities pursuant to this prospectus, any accompanying prospectus supplement or otherwise; and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factors discussed herein, in any accompanying prospectus supplement or in any of the documents incorporated by reference herein and therein.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VRAV"/>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assumptions underlying forward-looking statements could be inaccurate. You are cautioned not to place undue reliance on any forward-looking statements included in this prospectus, any prospectus supplement or in the documents incorporated by reference herein and therein. All forward-looking statements are made as of the respective dates of this prospectus, any prospectus supplement or the documents incorporated by reference herein or therein or such other dates as may be indicated in such documents, as applicable, and the risk that actual results, performance and achievements will differ materially from the expectations expressed in or referenced by the applicable document will increase with the passage of time. Except as otherwise required by the federal securities laws, we undertake no obligation to publicly update or revise any forward-looking statements after the date of this prospectus, any prospectus supplement or the documents incorporated by reference herein or therein, as applicable, whether as a result of new information, future events, changed circumstances or any other reason. In light of the significant uncertainties inherent in the forward-looking statements included in this prospectus, any prospectus supplement or the documents incorporated by reference herein or therein, the inclusion of such forward-looking statements should not be regarded as a representation by us or any other person that the objectives and strategies set forth in this prospectus, any prospectus supplement or the documents incorporated by reference herein or therein will be achieved.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VICI REIT AND VICI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REIT is an owner and acquirer of experiential real estate assets across leading gaming, hospitality, wellness, entertainment and leisure destinations, subject to long-term triple net leases. VICI LP is currently an indirect subsidiary of VICI REIT. VICI REIT is the sole owner and managing member of VICI Properties GP LLC, the sole general partner of VICI LP. VICI REIT also is the sole owner and managing member of VICI Properties Holdco LLC (“Holdco”), which owns approximately 98.9% of the limited liability company interests of VICI OP, our operating partnership, which in turn owns 100% of the limited partnership interest in VICI LP. The balance of VICI OP Units not held by Holdco are held by third-party unit holders. VICI REIT conducts its real property business through VICI LP and its golf course business through a taxable REIT subsidiary, VICI Golf.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127 million square feet, our well-maintained properties are currently located across urban, destination and drive-to markets in twenty-six states and Canada, contain approximately 60,300 hotel rooms and feature over 500 restaurants, bars, nightclubs and sportsbooks. As of March 31, 2025, our properties are 100% leased with a weighted average lease term based on contractual rent, including extension options, of approximately 40.4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we have a mutually beneficial relationship with each of our tenants, all of which are leading owners and operators of gaming, hospitality, wellness,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REIT with long-term investments, we expect our relationship with our partners will position us for the acquisition of additional properties across gaming, hospitality, wellness, entertainment and leisure over the long term.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a growing array of real estate and financing partnerships with leading developers and operators in other experiential sectors, including Cabot, Cain International, Canyon Ranch, Chelsea Piers, Great Wolf Resorts, Homefield, Kalahari Resorts and Lucky Strike Entertainment.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OM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look to monetize as appropriate. VICI also owns four championship golf courses located near certain of our properties, two of which are in close proximity to the Las Vegas Strip.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of VICI REIT, VICI Golf.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535 Madison Avenue, 28th Floor, New York, New York 10022, and our main telephone number is (646) 949-4631. Our website address is www.viciproperties.com. None of the information on, or accessible through, our website or any other website identified herein is incorporated in, or constitutes a part of, this prospectus, and the inclusion of our website address in this prospectus is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RIFA"/>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risks. You should carefully consider the risks and uncertainties described in VICI REIT’s Annual Report on Form 10-K and the other information and data set forth in this prospectus and any other documents incorporated by reference therein or herein, as well as the other information contained and incorporated by reference in this prospectus and any prospectus supplement, before making an investment in our securities. If any of these risks occur, our business, results of operations, financial condition, cash flows and prospects, the market price of our common stock or any other securities offered and sold pursuant to this prospectus, and our ability to make distributions to our stockholders and to satisfy any debt service obligations may be materially and adversely affected. This could cause the value of our securities to decline and you could lose part or all of your investment. These risks and uncertainties are not the only ones we face. Additional risks and uncertainties not presently known to us or that as of the date of this prospectus we deem immaterial may also have a material adverse effect on us. Some statements included in this prospectus, in the documents incorporated by reference herein and in any prospectus supplement constitute forward-looking statements. Please refer to the sections entitled “Where You Can Find More Information,” “Incorporation of Certain Documents by Reference” and “Cautionary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UO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to the contrary in an accompanying prospectus supplement, VICI REIT and/or VICI LP, as the case may be, intend to use the net proceeds from the sales of securities covered by this prospectus for general corporate purposes, which may include, but is not limited to, the acquisition and improvement of properties, real estate investments, capital expenditures, working capital, and the repayment or refinancing of indebtedness. Until VICI REIT and/or VICI LP, as the case may be, use the net proceeds for the purposes described above, we may invest them in short-term income producing investments, such as commercial paper, government securities or money market funds that invest in government securities and/or commercial paper that are consistent with our intention to continue to qualify as a REIT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specific allocation of the net proceeds of an offering of securities to a specific purpose will be determined at the time of the offering and, if necessary, will be described in a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DOCS"/>
      <w:bookmarkEnd w:id="31"/>
      <w:r>
        <w:rPr>
          <w:rFonts w:ascii="calibri;arial;sans-serif" w:hAnsi="calibri;arial;sans-serif"/>
          <w:b w:val="false"/>
          <w:i w:val="false"/>
          <w:caps w:val="false"/>
          <w:smallCaps w:val="false"/>
          <w:color w:val="000000"/>
          <w:sz w:val="16"/>
        </w:rPr>
        <w:t>​</w:t>
      </w:r>
      <w:bookmarkStart w:id="32" w:name="tGEN"/>
      <w:bookmarkEnd w:id="32"/>
      <w:r>
        <w:rPr>
          <w:rFonts w:ascii="calibri;arial;sans-serif" w:hAnsi="calibri;arial;sans-serif"/>
          <w:b w:val="false"/>
          <w:i w:val="false"/>
          <w:caps w:val="false"/>
          <w:smallCaps w:val="false"/>
          <w:color w:val="000000"/>
          <w:sz w:val="16"/>
        </w:rPr>
        <w:t>​</w:t>
      </w:r>
      <w:bookmarkStart w:id="33" w:name="tCOST"/>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summary of the rights and preferences of our capital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capital stock, the description may not include all of the information that is important to you. We encourage you to read carefully this entire prospectus, any applicable prospectus supplement, our charter and bylaws and the other documents we refer to for a more complete understanding of our capital stock. Copies of our charter and bylaws are filed as exhibits to the registration statement of which this prospectus is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authorizes us to issue up to 1,350,000,000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29, 2025, 1,056,707,123 shares of our common stock are issued and outstanding, and no shares of preferred stock are issued or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Maryland law, a stockholder generally is not liable for a corporation’s debts or obligations solely as a result of the stockholder’s status as a stockholder.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and limitation of liability of directors and officers and certain amendments to our charter affecting these provisions,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PTRA"/>
      <w:bookmarkEnd w:id="34"/>
      <w:r>
        <w:rPr>
          <w:rFonts w:ascii="calibri;arial;sans-serif" w:hAnsi="calibri;arial;sans-serif"/>
          <w:b w:val="false"/>
          <w:i w:val="false"/>
          <w:caps w:val="false"/>
          <w:smallCaps w:val="false"/>
          <w:color w:val="000000"/>
          <w:sz w:val="16"/>
        </w:rPr>
        <w:t>​</w:t>
      </w:r>
      <w:bookmarkStart w:id="35" w:name="tPRST"/>
      <w:bookmarkEnd w:id="35"/>
      <w:r>
        <w:rPr>
          <w:rFonts w:ascii="calibri;arial;sans-serif" w:hAnsi="calibri;arial;sans-serif"/>
          <w:b w:val="false"/>
          <w:i w:val="false"/>
          <w:caps w:val="false"/>
          <w:smallCaps w:val="false"/>
          <w:color w:val="000000"/>
          <w:sz w:val="16"/>
        </w:rPr>
        <w:t>​</w:t>
      </w:r>
      <w:bookmarkStart w:id="36" w:name="tSAPS"/>
      <w:bookmarkEnd w:id="36"/>
      <w:r>
        <w:rPr>
          <w:rFonts w:ascii="calibri;arial;sans-serif" w:hAnsi="calibri;arial;sans-serif"/>
          <w:b w:val="false"/>
          <w:i w:val="false"/>
          <w:caps w:val="false"/>
          <w:smallCaps w:val="false"/>
          <w:color w:val="000000"/>
          <w:sz w:val="16"/>
        </w:rPr>
        <w:t>​</w:t>
      </w:r>
      <w:bookmarkStart w:id="37" w:name="tROOA"/>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to Reclassify and Issue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that holders of our common stock otherwise view to be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Code to include certain entities such as qualified pension plans) during the last half of a taxable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also provides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 </w:t>
      </w:r>
      <w:r>
        <mc:AlternateContent>
          <mc:Choice Requires="wps">
            <w:drawing>
              <wp:anchor behindDoc="0" distT="7493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is prohibited from transferring shares of our stock if the transfer would result in shares of our stock being beneficially owned by fewer than 100 persons. </w:t>
      </w:r>
      <w:r>
        <mc:AlternateContent>
          <mc:Choice Requires="wps">
            <w:drawing>
              <wp:anchor behindDoc="0" distT="7493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apply if our board of directors determines that it is no longer in our best interests to attempt to qualify, or to continue to qualify, as a REIT, or that compliance is no longer required in order for us to qualify as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 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proceeds received by the trustee for the shares.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net sales proceeds in excess of the amount payable to the intended transferee shall be paid to the charitable beneficiary.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shares of our stock held in the trust will be deemed to be offered for sale to us, or our designee, at a price per share equal to the lesser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in the transaction that resulted in the transfer to the trust or, in the case of a gift, devise or other such transaction, at market price, at the time of such gift, devise or other such transaction; and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on the date we accept, or our designee accepts, such offer.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ROSO"/>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board of directors authorizes any of our shares to be represented by certificates, the certificates will bear a legend referring to the restrictions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restrictions on ownership and transfer of our stock could delay, defer or prevent a transaction or a change of control of us that might involve a premium price for our common stock or otherwise be in the best interests of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Securities Owned or Controlled by an Unsuitable Person or Affiliate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(i) the market price of such securities as reported on a securities exchange, a generally recognized reporting system or domestic over-the-counter market, as applicable, or (ii)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TAAR"/>
      <w:bookmarkEnd w:id="39"/>
      <w:r>
        <w:rPr>
          <w:rFonts w:ascii="calibri;arial;sans-serif" w:hAnsi="calibri;arial;sans-serif"/>
          <w:b w:val="false"/>
          <w:i w:val="false"/>
          <w:caps w:val="false"/>
          <w:smallCaps w:val="false"/>
          <w:color w:val="000000"/>
          <w:sz w:val="16"/>
        </w:rPr>
        <w:t>​</w:t>
      </w:r>
      <w:bookmarkStart w:id="40" w:name="tCPOM"/>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of our securities when and in the specific manner required by a gaming authority or by our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Computershare Trust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Provisions of Maryland Law and Our Charter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Maryland law and of our charter and bylaws is only a summary, and is subject to, and qualified in its entirety by reference to, our charter and bylaws and the applicable provisions of the MGCL. Copies of our charter and bylaws are filed as exhibits to the registration statement of which this prospectus is a part.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Election and Removal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that the number of our directors may be established only by our board of directors but may not be more than fifteen or fewer than the minimum number permitted by the MGCL, which is one. The number of directors is currently set at seven.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determined by our board of directors to be an unsuitable person will end upon that determination.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any vacancy on our board of directors may be filled by the affirmative vote of a majority of the remaining directors in office, even if the remaining directors do not constitute a quorum of the board of directors except that a vacancy created by the removal of a director by stockholders may also be filled by the requisite vote or consent of stockholders set forth in our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 to Charter and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our charter with respect to indemnification and limitation of liability of directors and officers and certain amendments to our charter affecting these provisions, which must each be advised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Business Combinations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beneficially, directly or indirectly, owns 10% or more of the voting power of the corporation’s outstanding voting stock; or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or associate of the corporation who, at any time within the two-year period before the date in question, was the beneficial owner, directly or indirectly, of 10% or more of the voting power of the corporation’s then outstanding voting stock.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five-year prohibition, any business combination between the Maryland corporation and the interested stockholder generally must be recommended by the corporation’s board of directors and approved by the affirmative vote of at least: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80% of the votes entitled to be cast by holders of outstanding shares of voting stock of the corporation; and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 year prohibition and the supermajority vote requirements will not apply to a business combination between us and any other person. As a result, any person described in the preceding sentence may be able to enter into a business combination with us that our stockholders may view to not be in their best interests,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Control Share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Maryland Control Share Acquisition Act (Title 3, Subtitle 7 of the MGCL)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one-tenth or more but less than one-third;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one-third or more but less than a majority; or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majority or more of all voting power.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Maryland Control Share Acquisition Act does not apply (a) to shares acquired in a merger, consolidation or share exchange if the corporation is a party to the transaction or (b) to acquisitions approved or exempted by the charter or bylaws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contain a provision exempting any acquisition of our stock by any person from the foregoing provisions on control shares. In the event that our bylaws are amended by our directors or our stockholders to modify or eliminate this provision, acquisitions of our common stock may constitute a control share acquisition and may be subject to the Maryland Control Share Acquisition Act.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Subtitle 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Subtitle 8 of Title 3 of the MGCL (“Subtitle 8”) permits a Maryland corporation with a class of equity securities registered under the Securities Exchange Act of 1934, as amended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classified board of directors;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two-thirds vote requirement for removing a director;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the number of directors be fixed only by vote of the board of directors; </w:t>
      </w:r>
      <w:r>
        <mc:AlternateContent>
          <mc:Choice Requires="wps">
            <w:drawing>
              <wp:anchor behindDoc="0" distT="0" distB="0" distL="254000" distR="0" simplePos="0" locked="0" layoutInCell="1" allowOverlap="1" relativeHeight="193">
                <wp:simplePos x="0" y="0"/>
                <wp:positionH relativeFrom="column">
                  <wp:align>left</wp:align>
                </wp:positionH>
                <wp:positionV relativeFrom="line">
                  <wp:posOffset>635</wp:posOffset>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provision that a special meeting of stockholders must be called upon stockholder request only on the written request of stockholders entitled to cast a majority of the votes entitled to be cast at the meeting.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Special Meetings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Action by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Competing Interests and Activities of Our Directors or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Advance Notice of Director Nomination and New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 than the close of business on the 120th day before the first anniversary of the date of our proxy statement for the preceding year’s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Proxy Access Nominations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permit an eligible stockholder, or group of up to 20 stockholders, who have owned 3% or more of our common stock continuously for at least three years to nominate and include in our proxy statement director candidates to occupy up to the greater of two directors or 20% of the board of directors, provided that the stockholder or group has satisfied the procedural, eligibility and disclosure requirements set forth in our bylaws.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Certain Provisions of Maryland Law and our Charter and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LOLA"/>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Exclusive Forum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 (c) 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 or omission of the director or officer was material to the matter giving rise to the proceeding and (a) was committed in bad faith or (b) was the result of active and deliberate dishonesty;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or officer actually received an improper personal benefit in money, property or services; or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criminal proceeding, the director or officer had reasonable cause to believe that the act or omission was unlawful.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MGCL permits us to advance reasonable expenses to a director or officer upon our receipt of (a) a written affirmation by the director or officer of his or her good faith belief that he or she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INAG"/>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met the standard of conduct necessary for indemnification and (b) a written undertaking by him or her or on his or her behalf to repay the amount paid or reimbursed if it is ultimately determined that the standard of conduct was not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present or former director or officer who is made or threatened to be made a party to, or witness in, a proceeding by reason of his or her service in that capacity; or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that we have the power, with approval of our board, to provide such indemnification and advance of expenses to a person who served a predecessor of us in any such capacity described above and to any employee or agent of us or a predecessor of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purchased and maintain insurance on behalf of all of our directors and executive officers against liability asserted against or incurred by them in their official capacities, whether or not we are required to have the power to indemnify them against the same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DOSP"/>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STOCK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stock purchase contracts does not purport to be complete and contains only general terms and provisions of stock purchase contracts to which any prospectus supplement may relate. The particular terms of the stock purchase contracts offered by any prospectus supplement and the extent, if any, to which such general provisions may not apply to the stock purchase contracts so offered will be described in the prospectus supplement relating to such stock purchase contracts. For more information, please refer to the provisions of the stock purchase contract, a form of which we will file with the SEC at or prior to the time of the sale of the stock purchase contracts.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stock purchase contracts, which are contracts obligating holders to purchase from or sell to us, and obligating us to purchase from or sell to the holders, a specified number of shares of our common stock or preferred stock at a future date or dates. The price per share of common stock or preferred stock may be fixed at the time the stock purchase contracts are issued or may be determined by reference to a specific formula contained in the stock purchase contracts. We may issue stock purchase contracts in such amounts and in as many distinct series as we wish.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may contain, where applicable, the following information about the stock purchase contracts issued under it: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obligate the holder to purchase or sell, or both purchase and sell, our common stock or preferred stock and the nature and amount of common stock or preferred stock, or the method of determining that amount;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are to be prepaid or not;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are to be settled by delivery, or by reference or linkage to the value, performance or level of our common stock or preferred stock;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acceleration, cancellation, termination or other provisions relating to the settlement of the stock purchase contracts; and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stock purchase contracts will be issued in fully registered or global form.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any stock purchase contracts. The preceding description and any description of stock purchase contracts in the applicable prospectus supplement does not purport to be complete and is subject to and is qualified in its entirety by reference to the stock purchase contract agreement and, if applicable, collateral arrangements and depository arrangements relating to such stock purchase contracts.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DODS"/>
      <w:bookmarkEnd w:id="44"/>
      <w:r>
        <w:rPr>
          <w:rFonts w:ascii="calibri;arial;sans-serif" w:hAnsi="calibri;arial;sans-serif"/>
          <w:b w:val="false"/>
          <w:i w:val="false"/>
          <w:caps w:val="false"/>
          <w:smallCaps w:val="false"/>
          <w:color w:val="000000"/>
          <w:sz w:val="16"/>
        </w:rPr>
        <w:t>​</w:t>
      </w:r>
      <w:bookmarkStart w:id="45" w:name="tGENL"/>
      <w:bookmarkEnd w:id="45"/>
      <w:r>
        <w:rPr>
          <w:rFonts w:ascii="calibri;arial;sans-serif" w:hAnsi="calibri;arial;sans-serif"/>
          <w:b w:val="false"/>
          <w:i w:val="false"/>
          <w:caps w:val="false"/>
          <w:smallCaps w:val="false"/>
          <w:color w:val="000000"/>
          <w:sz w:val="16"/>
        </w:rPr>
        <w:t>​</w:t>
      </w:r>
      <w:bookmarkStart w:id="46" w:name="tDAOD"/>
      <w:bookmarkEnd w:id="46"/>
      <w:r>
        <w:rPr>
          <w:rFonts w:ascii="calibri;arial;sans-serif" w:hAnsi="calibri;arial;sans-serif"/>
          <w:b w:val="false"/>
          <w:i w:val="false"/>
          <w:caps w:val="false"/>
          <w:smallCaps w:val="false"/>
          <w:color w:val="000000"/>
          <w:sz w:val="16"/>
        </w:rPr>
        <w:t>​</w:t>
      </w:r>
      <w:bookmarkStart w:id="47" w:name="tWOS"/>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depositary shares does not purport to be complete and contains only general terms and provisions of depositary shares to which any prospectus supplement may relate. The particular terms of the depositary shares offered by any prospectus supplement and the extent, if any, to which such general provisions may not apply to the depositary shares so offered will be described in the prospectus supplement relating to such depositary shares. For more information, please refer to the provisions of the deposit agreement, a form of which we will file with the SEC at or prior to the time of the sale of the depositary shares.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receipts for depositary shares, each of which will represent a fractional interest of a share of a particular series of preferred stock, as specified in the applicable prospectus supplement. Shares of preferred stock of each series represented by depositary shares will be deposited under a separate deposit agreement among us, the depositary named therein and the holders from time to time of the depositary receipts. Subject to the terms of the applicable deposit agreement, each owner of a depositary receipt will be entitled, in proportion to the fractional interest of a share of a particular series of preferred stock represented by the depositary shares evidenced by such depositary receipt, to all the rights and preferences of the preferred stock represented by such depositary shares (including dividend, voting, conversion, redemption and 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pursuant to the applicable deposit agreement. Immediately following the issuance and delivery of the preferred stock by us to a depositary, we will cause such depositary to issue, on our behalf, the depositary receipts. Copies of the applicable form of deposit agreement and depositary receipt may be obtained from us upon request, and the statements made hereunder relating to the deposit agreement and the depositary receipts to be issued thereunder are summaries of certain provisions thereof and do not purport to be complete and are subject to, and qualified in their entirety by reference to, all of the provisions of the applicable deposit agreement and related depositary receipts.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received in respect of the preferred stock to the record holders of depositary receipts evidencing the related depositary shares in proportion to the number of such depositary receipts owned by such holders, subject to certain obligations of holders to file proofs, certificates and other information and to pay certain charges and expenses to the depositary.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distribution other than in cash, the depositary will distribute property received by it to the record holders of depositary receipts entitled thereto, subject to certain obligations of holders to file proofs, certificates and other information and to pay certain charges and expenses to the depositary, unless the depositary determines that it is not feasible to make such distribution, in which case the depositary may, with our approval, adopt any other method for such distribution as it deems equitable and appropriate, including the sale of such property (at such place or places and upon such terms as it may deem equitable and appropriate) and distribute the net proceeds from such sale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distribution will be made in respect of any depositary share to the extent that it represents any preferred stock converted into other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the depositary receipts at the corporate trust office of the applicable depositary (unless the related depositary shares have previously been called for redemption or converted into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RODS"/>
      <w:bookmarkEnd w:id="48"/>
      <w:r>
        <w:rPr>
          <w:rFonts w:ascii="calibri;arial;sans-serif" w:hAnsi="calibri;arial;sans-serif"/>
          <w:b w:val="false"/>
          <w:i w:val="false"/>
          <w:caps w:val="false"/>
          <w:smallCaps w:val="false"/>
          <w:color w:val="000000"/>
          <w:sz w:val="16"/>
        </w:rPr>
        <w:t>​</w:t>
      </w:r>
      <w:bookmarkStart w:id="49" w:name="tVOTS"/>
      <w:bookmarkEnd w:id="49"/>
      <w:r>
        <w:rPr>
          <w:rFonts w:ascii="calibri;arial;sans-serif" w:hAnsi="calibri;arial;sans-serif"/>
          <w:b w:val="false"/>
          <w:i w:val="false"/>
          <w:caps w:val="false"/>
          <w:smallCaps w:val="false"/>
          <w:color w:val="000000"/>
          <w:sz w:val="16"/>
        </w:rPr>
        <w:t>​</w:t>
      </w:r>
      <w:bookmarkStart w:id="50" w:name="tLIPR"/>
      <w:bookmarkEnd w:id="50"/>
      <w:r>
        <w:rPr>
          <w:rFonts w:ascii="calibri;arial;sans-serif" w:hAnsi="calibri;arial;sans-serif"/>
          <w:b w:val="false"/>
          <w:i w:val="false"/>
          <w:caps w:val="false"/>
          <w:smallCaps w:val="false"/>
          <w:color w:val="000000"/>
          <w:sz w:val="16"/>
        </w:rPr>
        <w:t>​</w:t>
      </w:r>
      <w:bookmarkStart w:id="51" w:name="tCOSO"/>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preferred stock on the basis of the proportion of preferred stock represented by each depositary share as specified in the applicable prospectus supplement, but holders of such preferred stock will not thereafter be entitled to receive depositary shares therefor. If the depositary receipts delivered by the holder evidence a number of depositary shares in excess of the number of depositary shares representing the number of preferred stock to be withdrawn, the depositary will deliver to such holder at the same time a new depositary receipt evidencing such excess number of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we redeem preferred stock held by the depositary, the depositary will redeem as of the same redemption date the number of depositary shares representing preferred stock so redeemed, provided we shall have paid in full to the depositary the redemption price of the preferred stock to be redeemed plus an amount equal to any accrued and unpaid dividends thereon to the date fixed for redemption. The redemption price per depositary share will be equal to the corresponding proportion of the redemption price and any other amounts per share payable with respect to the preferred stock. If fewer than all the depositary shares are to be redeemed, the depositary shares to be redeemed will be selected pro rata (as nearly as may be practicable without creating fractional depositary shares) or by any other equitable method determined by us that will not result in a violation of the ownership restrictions in our declaration of trust. See “Description of Capital Stock—Restrictions on Ownership and Transfer.”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fixed for redemption, all dividends in respect of the preferred stock so called for redemption will cease to accrue, the depositary shares so called for redemption will no longer be deemed to be outstanding and all rights of the holders of the depositary receipts evidencing the depositary shares so called for redemption will cease, except the right to receive any moneys payable upon such redemption and any money or other property to which the holders of such depositary receipts were entitled upon such redemption and surrender thereof to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the Shares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class or series of preferred stock represented by the applicable series of depositary shares are entitled to vote, the depositary will mail the information contained in such notice of meeting to the record holders of the depositary receipts evidencing the depositary shares that represent such preferred stock. Each record holder of depositary receipts evidencing depositary shares on the record date (which will be the same date as the record date for the preferred stock) will be entitled to instruct the depositary as to the exercise of the voting rights pertaining to the amount of preferred stock represented by such holder’s depositary shares. The depositary will vote the amount of preferred stock represented by such depositary shares in accordance with such instructions, and we will agree to take all reasonable action which may be deemed necessary by the depositary in order to enable the depositary to do so. The depositary will abstain from voting the amount of preferred stock represented by such depositary shares to the extent it does not receive specific instructions from the holders of depositary receipts evidencing such depositary shares. The depositary shall not be responsible for any failure to carry out any instruction to vote, or for the manner or effect of any such vote made, as long as any such action or non- action is in good faith and does not result from negligence or willful misconduct of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whether voluntary or involuntary, the holders of each depositary receipt will be entitled to the fraction of the liquidation preference accorded each share of preferred stock represented by the depositary share evidenced by such depositary receipt, as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of Shares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as such, are not convertible into common stock or any of our other securities or property. Nevertheless, if so specified in the applicable prospectus supplement relating to an offering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AATO"/>
      <w:bookmarkEnd w:id="52"/>
      <w:r>
        <w:rPr>
          <w:rFonts w:ascii="calibri;arial;sans-serif" w:hAnsi="calibri;arial;sans-serif"/>
          <w:b w:val="false"/>
          <w:i w:val="false"/>
          <w:caps w:val="false"/>
          <w:smallCaps w:val="false"/>
          <w:color w:val="000000"/>
          <w:sz w:val="16"/>
        </w:rPr>
        <w:t>​</w:t>
      </w:r>
      <w:bookmarkStart w:id="53" w:name="tCOD"/>
      <w:bookmarkEnd w:id="53"/>
      <w:r>
        <w:rPr>
          <w:rFonts w:ascii="calibri;arial;sans-serif" w:hAnsi="calibri;arial;sans-serif"/>
          <w:b w:val="false"/>
          <w:i w:val="false"/>
          <w:caps w:val="false"/>
          <w:smallCaps w:val="false"/>
          <w:color w:val="000000"/>
          <w:sz w:val="16"/>
        </w:rPr>
        <w:t>​</w:t>
      </w:r>
      <w:bookmarkStart w:id="54" w:name="tRARO"/>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the depositary receipts may be surrendered by holders thereof to the depositary with written instructions to the depositary to instruct us to cause conversion of the shares of preferred stock represented by the depositary shares evidenced by such depositary receipts into whole shares of common stock, other preferred stock, and we agree that upon receipt of such instructions and any amounts payable in respect thereof, we will cause the conversion thereof utilizing the same procedures as those provided for delivery of preferred stock to effect such conversion. If the depositary shares evidenced by a depositary receipt are to be converted in part only, a new depositary receipt or receipts will be issued for any depositary shares not to be converted. No fractional shares of common stock will be issued upon conversion, and if such conversion would result in a fractional share being issued, an amount will be paid in cash by us equal to the value of the fractional interest based upon the closing price of the common stock on the last business day prior to the conversion.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which represent the preferred stock and any provision of the deposit agreement may at any time be amended by agreement between us and the depositary. However, any amendment that materially and adversely alters the rights of the holders of depositary receipts or that would be materially and adversely inconsistent with the rights granted to the holders of the related preferred stock will not be effective unless such amendment has been approved by the existing holders of at least two-thirds of the applicable depositary shares evidenced by the applicable depositary receipts then outstanding. No amendment shall impair the right, subject to certain exceptions in the deposit agreement, of any holder of depositary receipts to surrender any depositary receipt with instructions to deliver to the holder the related preferred stock and all money and other property, if any, represented thereby, except in order to comply with law. Every holder of an outstanding depositary receipt at the time any such amendment becomes effective shall be deemed, by continuing to hold such receipt, to consent and agree to such amendment and to be bound by the deposit agreement as amended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may be terminated by us upon not less than 30 days’ prior written notice to the depositary if (i) such termination is necessary to preserve our status as a REIT or (ii) a majority of each series of preferred stock affected by such termination consents to such termination, whereupon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the depositary with respect to such depositary receipts. We have agreed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(i) all outstanding depositary shares shall have been redeemed, (ii) there shall have been a final distribution in respect of the related preferred stock in connection with our liquidation, dissolution or winding up and such distribution shall have been distributed to the holders of depositary receipts evidencing the depositary shares representing such preferred stock or (iii) each related preferred stock shall have been converted into our securities not so represented by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fees and expenses of the depositary for any duties requested by such holders to be performed which are outside of those expressly provided for in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and we may at any time remove the depositary, any such resignation or removal to take effect upon the appointment of a successor depositary. A successor depositary must be appointed within 60 days after delivery of the notice of resignation or removal and must be a bank or trust company having its principal office in the United States and that meets certain combined capital and surplus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MIS"/>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to holders of depositary receipts any notices, reports and communications from us which are received by the depositary with respect to the related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depositary nor us will be liable if it is prevented from or delayed in, by law or any circumstances beyond its control, performing its obligations under the deposit agreement. The obligations of us and the depositary under the deposit agreement will be limited to performing their duties thereunder in good faith and without negligence (in the case of any action or inaction in the voting of preferred stock represented by the depositary shares), gross negligence or willful misconduct, and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in good faith to be competent to give such information, and on documents believed in good faith to be genuine and signed by a proper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DOW"/>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warrants does not purport to be complete and contains only general terms and provisions of warrants to which any prospectus supplement may relate. The particular terms of the warrants offered by any prospectus supplement and the extent, if any, to which such general provisions may not apply to the warrants so offered will be described in the prospectus supplement relating to such warrants. For more information, please refer to the provisions of the warrant agreement and warrant, forms of which we will file with the SEC at or prior to the time of the sale of the warrant.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by means of this prospectus warrants for the purchase of our common stock, preferred stock or depositary shares representing preferred stock. We may issue warrants separately or together with any other securities offered by means of this prospectus, and the warrants may be attached to or separate from such securities. Each series of warrants will be issued under a separate warrant agreement to be entered into between us and a warrant agent specified therein or the applicable prospectus supplement. The warrant agent will act solely as our agent in connection with the warrants of such series and will not assume any obligation or relationship of agency or trust for or with any holders or beneficial owners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where applicable, of the warrants in respect of which this prospectus is being delivered: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issuer of such warrants;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such warrants;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warrants will be issued;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currencies in which the price or prices of such warrants may be payable;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amount and terms of the securities purchasable upon exercise of such warrants;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other securities with which such warrants are issued and the number of such warrants issued with each such security;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such warrants and the securities purchasable upon exercise of such warrants will be separately transferable;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and currency or currencies in which the securities purchasable upon exercise of such warrants may be purchased;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warrants shall commence and the date on which such right shall expire;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minimum or maximum amount of such warrants which may be exercised at any one time;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material U.S. federal income tax considerations; and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such warrants, including terms, procedures and limitations relating to the transferability, exchange and exercise of such warrants.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DOR"/>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rights does not purport to be complete and contains only general terms and provisions of rights to which any prospectus supplement may relate. The particular terms of the rights offered by any prospectus supplement and the extent, if any, to which such general provisions may not apply to the rights so offered will be described in the prospectus supplement relating to such rights. For more information, please refer to the provisions of the rights agreement and rights certificate, forms of which we will file with the SEC at or prior to the time of the sale of the rights.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rights to our stockholders for the purchase of shares of our common stock. Each series of rights will be issued under a separate rights agreement to be entered into between us and a bank or trust company, as rights agent, all as set forth in the prospectus supplement relating to the particular issue of rights. The rights agent will act solely as our agent in connection with the certificates relating to the rights of such series and will not assume any obligation or relationship of agency or trust for or with any holders of rights certificates or beneficial owners of rights. The rights agreement and the rights certificates relating to each series of rights will be filed with the SEC and incorporated by reference as an exhibit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rights to be issued, including the following, where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for determining the stockholders entitled to the rights distribution;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shares of common stock purchasable upon exercise of such rights and the exercise price;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rights being issued;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such rights may be transferable separately;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rights shall commence and the date on which such right shall expire;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material U.S. federal income tax considerations; and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rights, including terms, procedures and limitations relating to the distribution, exchange and exercise of such rights.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DOU"/>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units does not purport to be complete and contains only general terms and provisions of units to which any prospectus supplement may relate. The particular terms of the units offered by any prospectus supplement and the extent, if any, to which such general provisions may not apply to the units so offered will be described in the prospectus supplement relating to such units. For more information, please refer to the provisions of the unit agreement and unit certificate, forms of which we will file with the SEC at or prior to the time of the sale of the units. For information on incorporation by reference, and how to obtain copies of these documents, see the sections of this prospectus entitled “Where You Can Find More Information” and “Incorporation of Certain Documents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from time to time in such amounts and in as many distinct series as we determine. We will issue each series of units under a unit agreement to be entered into between us and a unit agent to be designated in the applicable prospectus supplement. When we refer to a series of units, we mean all units issued as part of the same series under the applicable unit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consisting of any combination of two or more securities offered by VICI REIT described in this prospectus; we will not issue units consisting of debt securities offered by VICI LP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units offered pursuant to it, including one or more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any series of units;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and the price at which we will issue, the units and any provisions for the issuance, payment, settlement, transfer or exchange of the units or of the securities comprising the units;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constituent securities comprising the units will be separately transferable;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to be entered into between us and a bank or trust company, as unit agent, governing the units;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the material U.S. federal income tax considerations applicable to the units;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listed on any securities exchange; and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units and their constituent securities.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DODS1"/>
      <w:bookmarkEnd w:id="59"/>
      <w:r>
        <w:rPr>
          <w:rFonts w:ascii="calibri;arial;sans-serif" w:hAnsi="calibri;arial;sans-serif"/>
          <w:b w:val="false"/>
          <w:i w:val="false"/>
          <w:caps w:val="false"/>
          <w:smallCaps w:val="false"/>
          <w:color w:val="000000"/>
          <w:sz w:val="16"/>
        </w:rPr>
        <w:t>​</w:t>
      </w:r>
      <w:bookmarkStart w:id="60" w:name="tGEN1"/>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VICI LP may issue debt securities in one or more series under an indenture, dated as of April 29, 2022, between VICI LP and UMB Bank, National Association, as trustee (herein referred to as the “Trustee”). The indenture is filed as an exhibit to the registration statement of which this prospectus forms a part. The indenture is available for inspection as described in the sections of this prospectus entitled “Where You Can Find More Information” and “Incorporation of Certain Documents by Reference.” If any provision of the indenture limits, qualifies or conflicts with a provision of the Trust Indenture Act of 1939, as amended (the “Trust Indenture Act”), that is required under the Trust Indenture Act to be a part of and govern the indenture, the latter provision shall control. If any provision of the indenture modifies or excludes any provision of the Trust Indenture Act that may be so modified or excluded, the latter provision shall be deemed to apply to the indenture as so modified or to be excluded, as the case may be. Some of the terms of the debt securities and some of the provisions of the indenture are described below. VICI LP will describe the particular terms of the debt securities offered and the extent to which the provisions described below apply in the prospectus supplement relating to such debt securities. The descriptions in this prospectus and the applicable prospectus supplement are not complete and may not contain all of the information that may be important to you. If any particular terms of such debt securities described in a prospectus supplement are inconsistent with any of the terms of the debt securities generally described in this prospectus, then the terms described in the applicable prospectus supplement will supersede the terms described in this prospectus. For more information, please refer to the provisions of the indenture and the debt securities. Capitalized terms used in this summary but not defined have the meaning specified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issue an unlimited principal amount of debt securities under the indenture in one or more series. The indenture provides that debt securities of any series may be issued up to the aggregate principal amount which may be authorized from time to time by resolution of the board of directors of VICI LP, if any, or resolution of the board of directors of a direct or indirect general partner of VICI LP, including any committee of such board duly authorized to act generally or in any particular respect for VICI LP under the indenture. Please read the applicable prospectus supplement relating to the debt securities of the particular series being offered thereby for the specific terms of such debt securities, including, where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debt securities;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of the series and any limit thereon;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debt securities are to be issuable in global form or as registered securities;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issued in global form, among other things, the identity of the depository for the global debt securities;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or the method or methods, if any, by which such date or dates shall be determined or extended, on which VICI LP will pay the principal of and premium, if any, on debt securities of the series;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at which debt securities of the series will bear interest, if any, or the method or methods, if any, used to determine such rate or rates;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basis used to calculate interest, if any, on the debt securities of the series, if other than a 360-day year of twelve 30-day months;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from which interest on the debt securities of the series will accrue, or the method or methods, if any, used to determine such date or dates;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on which interest on the debt securities of the series will be payable and the record dates for any such payment of interest;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(1) amounts due on the debt securities of the series will be payable, (2) the debt securities of the series may be surrendered for registration of transfer or exchange, (3) the debt securities of the series may be surrendered for conversion or exchange and (4) notices or demands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upon VICI LP in respect of the debt securities of the series or the indenture may be served, if different than the corporate trust office of the Trustee;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VICI LP is obligated to, or may, at its option, redeem debt securities of the series; </w:t>
      </w:r>
      <w:r>
        <mc:AlternateContent>
          <mc:Choice Requires="wps">
            <w:drawing>
              <wp:anchor behindDoc="0" distT="8001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sinking fund or analogous provision; </w:t>
      </w:r>
      <w:r>
        <mc:AlternateContent>
          <mc:Choice Requires="wps">
            <w:drawing>
              <wp:anchor behindDoc="0" distT="8001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denominations in which debt securities of the series will be issued, if other than minimum denominations of $2,000 and any integral multiple of $1,000 in excess thereof; </w:t>
      </w:r>
      <w:r>
        <mc:AlternateContent>
          <mc:Choice Requires="wps">
            <w:drawing>
              <wp:anchor behindDoc="0" distT="8001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the debt securities will be convertible into and/or exchangeable for equity or other securities or property of VICI LP or of any other person; </w:t>
      </w:r>
      <w:r>
        <mc:AlternateContent>
          <mc:Choice Requires="wps">
            <w:drawing>
              <wp:anchor behindDoc="0" distT="8001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entire principal amount thereof, the portion of the principal amount of the debt securities of the series which will be payable upon acceleration; </w:t>
      </w:r>
      <w:r>
        <mc:AlternateContent>
          <mc:Choice Requires="wps">
            <w:drawing>
              <wp:anchor behindDoc="0" distT="8001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U.S. dollars, the currency or currencies in which purchases of, and payments on, the debt securities of the series must be made, the manner of determining the equivalent thereof in U.S. dollars for any purpose, and the ability, if any, of VICI LP or the holders of debt securities of the series to elect for payments to be made in any other currency or currencies and the terms and conditions upon which such election may be made; </w:t>
      </w:r>
      <w:r>
        <mc:AlternateContent>
          <mc:Choice Requires="wps">
            <w:drawing>
              <wp:anchor behindDoc="0" distT="8001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amount of payments on the debt securities of the series may be determined with reference to an index, formula, or other method or methods (any of those debt securities being referred to as “Indexed Securities”) and, if so, the terms and conditions upon which and the manner used to determine and pay those amounts; </w:t>
      </w:r>
      <w:r>
        <mc:AlternateContent>
          <mc:Choice Requires="wps">
            <w:drawing>
              <wp:anchor behindDoc="0" distT="8001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covenants subject to waiver by the act of the holders of debt securities pursuant to the indenture; </w:t>
      </w:r>
      <w:r>
        <mc:AlternateContent>
          <mc:Choice Requires="wps">
            <w:drawing>
              <wp:anchor behindDoc="0" distT="8001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modification of, or deletion of, any covenant or Event of Default with respect to debt securities of the series or any guarantee, and any change in the right of the Trustee or the holders of debt securities of the series to declare the principal amount due and payable; </w:t>
      </w:r>
      <w:r>
        <mc:AlternateContent>
          <mc:Choice Requires="wps">
            <w:drawing>
              <wp:anchor behindDoc="0" distT="7874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modification of, or deletion of, any of the covenants subject to satisfaction and discharge, defeasance or covenant defeasance; </w:t>
      </w:r>
      <w:r>
        <mc:AlternateContent>
          <mc:Choice Requires="wps">
            <w:drawing>
              <wp:anchor behindDoc="0" distT="7874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VICI LP will be required to repurchase debt securities of the series at the option of the holders of debt securities of the series; </w:t>
      </w:r>
      <w:r>
        <mc:AlternateContent>
          <mc:Choice Requires="wps">
            <w:drawing>
              <wp:anchor behindDoc="0" distT="7874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issuable in global form are to be issuable in definitive form, then the forms and terms related to such issuance; </w:t>
      </w:r>
      <w:r>
        <mc:AlternateContent>
          <mc:Choice Requires="wps">
            <w:drawing>
              <wp:anchor behindDoc="0" distT="7874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circumstances under which VICI LP will pay additional amounts on the debt securities of the series in respect of any tax, assessment, or other governmental charge and whether VICI LP will have the option to redeem such debt securities rather than pay the additional amounts; </w:t>
      </w:r>
      <w:r>
        <mc:AlternateContent>
          <mc:Choice Requires="wps">
            <w:drawing>
              <wp:anchor behindDoc="0" distT="7874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the debt securities will be secured; </w:t>
      </w:r>
      <w:r>
        <mc:AlternateContent>
          <mc:Choice Requires="wps">
            <w:drawing>
              <wp:anchor behindDoc="0" distT="7874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more than one trustee, the identity of the trustee that has any obligations, duties and remedies with respect to the debt securities and, if not the trustee, the identity of each security registrar, paying agent or authenticating agent with respect to the debt securities; </w:t>
      </w:r>
      <w:r>
        <mc:AlternateContent>
          <mc:Choice Requires="wps">
            <w:drawing>
              <wp:anchor behindDoc="0" distT="7874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to whom any interest on any registered security shall be payable, if other than the person in whose name such security is registered at the close of business on the regular record date for such payment and the extent to which, or the manner in which, any interest payable on a temporary global security will be paid if other than in the manner provided in the indenture; </w:t>
      </w:r>
      <w:r>
        <mc:AlternateContent>
          <mc:Choice Requires="wps">
            <w:drawing>
              <wp:anchor behindDoc="0" distT="7874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guarantee of the debt securities and, if applicable, the identity of any guarantor or guarantors of the debt securities, and the extent to which, and the terms and conditions upon which, such debt securities shall be guaranteed and may be subordinated to other indebtedness of the guarantor or guarantors, if applicable; </w:t>
      </w:r>
      <w:r>
        <mc:AlternateContent>
          <mc:Choice Requires="wps">
            <w:drawing>
              <wp:anchor behindDoc="0" distT="7874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RTPA"/>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amount payable at the stated maturity of the debt securities of the series will not be determinable as of any one or more dates prior to the stated maturity, the amount which shall be deemed to be the principal amount of such debt securities as of any date; </w:t>
      </w:r>
      <w:r>
        <mc:AlternateContent>
          <mc:Choice Requires="wps">
            <w:drawing>
              <wp:anchor behindDoc="0" distT="0" distB="0" distL="254000" distR="0" simplePos="0" locked="0" layoutInCell="1" allowOverlap="1" relativeHeight="262">
                <wp:simplePos x="0" y="0"/>
                <wp:positionH relativeFrom="column">
                  <wp:align>left</wp:align>
                </wp:positionH>
                <wp:positionV relativeFrom="line">
                  <wp:posOffset>635</wp:posOffset>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exchanges, if any, on which the debt securities of the series may be listed; </w:t>
      </w:r>
      <w:r>
        <mc:AlternateContent>
          <mc:Choice Requires="wps">
            <w:drawing>
              <wp:anchor behindDoc="0" distT="7366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debt securities of the series will be sold; and </w:t>
      </w:r>
      <w:r>
        <mc:AlternateContent>
          <mc:Choice Requires="wps">
            <w:drawing>
              <wp:anchor behindDoc="0" distT="7366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debt securities of the series and any deletions from or modifications or additions to the indenture in respect of such securities.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references to the principal of and premium, if any, and interest, if any, on the debt securities of a series include additional amounts, if any, payable on the debt securities of such series in that context.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issue debt securities as original issue discount securities to be sold at a substantial discount below their principal amount. In the event of an acceleration of the maturity of any original issue discount security, the amount payable to the holder upon acceleration will be determined in the manner described in the applicable prospectus supplement. Important federal income tax and other considerations applicable to original issue discount securities will be described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debt securities of any series may be inconsistent with the terms of the debt securities of any other series. Unless otherwise specified in the applicable prospectus supplement, VICI LP may, without the consent of, or notice to, the holders of the debt securities of any series, reopen an existing series of debt securities and issue additional debt securities of that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to the extent provided in “—Merger, Consolidation or Sale” or to the extent provided with respect to the debt securities of a particular series and described in the applicable prospectus supplement, the indenture will not contain any provisions that would limit the ability of VICI LP to incur indebtedness or to substantially reduce or eliminate its consolidated assets, which may have a material adverse effect on the ability of VICI LP to service its indebtedness (including the debt securities) or that would afford holders of the debt securities protection in the event of: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highly leveraged or similar transaction involving VICI LP’s management, or any affiliate of any of those parties, </w:t>
      </w:r>
      <w:r>
        <mc:AlternateContent>
          <mc:Choice Requires="wps">
            <w:drawing>
              <wp:anchor behindDoc="0" distT="9906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or </w:t>
      </w:r>
      <w:r>
        <mc:AlternateContent>
          <mc:Choice Requires="wps">
            <w:drawing>
              <wp:anchor behindDoc="0" distT="9906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reorganization, restructuring, merger, or similar transaction involving VICI LP or its affiliates. </w:t>
      </w:r>
      <w:r>
        <mc:AlternateContent>
          <mc:Choice Requires="wps">
            <w:drawing>
              <wp:anchor behindDoc="0" distT="9906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Transfer, 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each series of debt securities will be issued in registered form only, without coupons.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debt securities will be payable and may be surrendered for registration of transfer or exchange at an office of VICI LP or an agent of VICI LP in the United States. However, VICI LP, at its option, may make payments of interest on any interest payment date on any debt security by check mailed to the address of the person entitled to receive that payment or by wire transfer to an account maintained by the payee with a bank located in the United States; provided, that the paying agent shall have received appropriate wire transfer instructions at least five (5) business days prior to the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and any additional amounts not punctually paid or duly provided for on any interest payment date with respect to the debt securities of any series will forthwith cease to be payable to the holders of those debt securities on the relevant regular record date and may either be paid, in each case at VICI LP’s election, (i) to the persons in whose names those debt securities are registered at the close of business on a special record date for the payment of the interest not punctually paid or duly provided for to be fixed by the Trustee, in consultation with the Issuer, and notice whereof shall be given to the holders of those debt securities not less than ten (10) days prior to the special record date, or (ii) at any time in any other lawful manner, all as completely described in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ODS"/>
      <w:bookmarkEnd w:id="62"/>
      <w:r>
        <w:rPr>
          <w:rFonts w:ascii="calibri;arial;sans-serif" w:hAnsi="calibri;arial;sans-serif"/>
          <w:b w:val="false"/>
          <w:i w:val="false"/>
          <w:caps w:val="false"/>
          <w:smallCaps w:val="false"/>
          <w:color w:val="000000"/>
          <w:sz w:val="16"/>
        </w:rPr>
        <w:t>​</w:t>
      </w:r>
      <w:bookmarkStart w:id="63" w:name="tRAR"/>
      <w:bookmarkEnd w:id="63"/>
      <w:r>
        <w:rPr>
          <w:rFonts w:ascii="calibri;arial;sans-serif" w:hAnsi="calibri;arial;sans-serif"/>
          <w:b w:val="false"/>
          <w:i w:val="false"/>
          <w:caps w:val="false"/>
          <w:smallCaps w:val="false"/>
          <w:color w:val="000000"/>
          <w:sz w:val="16"/>
        </w:rPr>
        <w:t>​</w:t>
      </w:r>
      <w:bookmarkStart w:id="64" w:name="tCOV"/>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imposed on debt securities issued in book-entry form, the debt securities of any series will be exchangeable for other debt securities of the same series and of a like aggregate principal amount and tenor of different authorized denominations upon surrender of those debt securities at the designated place or places. In addition, subject to certain limitations imposed upon debt securities issued in book-entry form, the debt securities of any series may be surrendered for registration of transfer or exchange thereof at the designated place or places if duly endorsed or accompanied by a written instrument of transfer. No service charge shall be made for any registration of transfer or exchange, redemption or repayment of debt securities, or any conversion or exchange of debt securities for other types of securities or property, but VICI LP may require payment of a sum sufficient to cover any tax or other governmental charge that may be imposed in connection with certain of those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VICI LP will not be required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debt securities of any series during a period beginning at the opening of business fifteen (15) days before any selection of debt securities of that series of like tenor and terms to be redeemed and ending at the close of business on the day of that selection;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or portion of any debt security, selected for redemption, except the unredeemed portion of any debt security being redeemed in part; or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security which has been surrendered for repayment at the option of the holder, except the portion, if any, of the debt security not to be repaid.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the holders of the requisite principal amount of outstanding debt securities have given any request, demand, authorization, direction, notice, consent, or waiver under the indenture: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original issue discount security that shall be deemed to be outstanding for these purposes shall be that portion of the principal amount of the original issue discount security that would be due and payable upon acceleration of the original issue discount security as of the time of the determination,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any Indexed Security that shall be deemed to be outstanding for these purposes shall be the principal amount of the Indexed Security determined on the date of its original issuance, unless otherwise provided in the indenture,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 debt security denominated in a foreign currency that may be counted in making such determination shall be the U.S. dollar equivalent, determined on the date of its original issuance, of the principal amount of the debt security, and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 security owned by VICI LP, VICI REIT or any other obligor on the debt security or any affiliate of VICI LP, the VICI REIT or such other obligor shall be deemed not to be outstanding for these purposes.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and Repurchase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any series may be redeemable at VICI LP’s option or may be subject to mandatory redemption by VICI LP as required by a sinking fund or otherwise. In addition, the debt securities of any series may be subject to repurchase by VICI LP at the option of the holders thereof. The applicable prospectus supplement will describe the terms and conditions regarding any optional or mandatory redemption or option to repurchase the debt securities of the related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the section below titled “—Merger, Consolidation or Sale,” VICI LP will be required to do everything necessary to preserve and keep in full force and effect its existence, rights (charter and statutory) and franchises. However, it will not be required to preserve any right or franchise if its board of directors, if any, or board of directors of any direct or indirect general partner of VICI LP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EOD"/>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duly authorized committee thereof) determines that the preservation of the right or franchise is no longer desirable in the conduct of VICI LP’s business.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Maintenance of Properties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be required to cause all of its material properties used or useful in the conduct of its business or any of its subsidiaries’ businesses to be maintained and kept in good condition, repair and working order (normal wear and tear, casualty and condemnation excepted) and supplied with all necessary equipment and to cause all necessary repairs, renewals, replacements, betterments and improvements to be made, all as in VICI LP’s judgment may be necessary so that the business carried on in connection therewith may be properly and advantageously conducted at all times. However, VICI LP will not be prevented from (1) removing permanently any property that has been condemned or suffered a casualty loss if it is in its best interests, (2) discontinuing maintenance or operation of any property if, in its reasonable judgment, doing so is in its best interest, or (3) selling or otherwise disposing for value its properties in the ordinary course of business.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Payment of Taxes and Other Claims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will be required to pay or discharge, before they become delinquent, (1) all material taxes, assessments and governmental charges levied or imposed upon VICI LP or any of its subsidiaries or upon the income, profits or property of VICI LP or any of its subsidiaries, and (2) all material lawful claims for labor, materials and supplies, which, if unpaid, might by law become a material lien upon the property of VICI LP or any of its subsidiaries. However, VICI LP will not be required to pay or discharge any tax, assessment, charge or claim whose amount, applicability or validity is being contested in good faith.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Statement as to Compliance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calendar days after the close of each fiscal year, VICI LP must deliver to the Trustee a certificate signed by any principal executive officer, principal financial officer or principal accounting officer of VICI LP or any direct or indirect general partner of VICI LP stating whether or not the certifying officer has knowledge of any default under the indenture and, if so, specifying each such default and the nature and status thereof. Within 30 calendar days of becoming aware of (i) any default in the performance or observance of any covenant, agreement or condition contained in the indenture, or (ii) any Event of Default, an Officer’s Certificate specifying with particularity such default or Event of Default and further stating what action VICI LP has taken, is taking or proposes to take with respect thereto.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Covenants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material covenants applicable to the debt securities of the applicable series will be specified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an Event of Default with respect to the debt securities of any series is defined in the indenture as being: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for thirty (30) days in the payment of any installment of interest or additional amounts payable with respect to such interest under the debt securities of that series; </w:t>
      </w:r>
      <w:r>
        <mc:AlternateContent>
          <mc:Choice Requires="wps">
            <w:drawing>
              <wp:anchor behindDoc="0" distT="9779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the principal of or premium, if any, or any additional amounts payable in respect of any principal of or premium, if any, on the debt securities of that series, when the same becomes due and payable or default is made in the deposit of any sinking fund payment with respect to the debt securities of that series when the same becomes due and payable; </w:t>
      </w:r>
      <w:r>
        <mc:AlternateContent>
          <mc:Choice Requires="wps">
            <w:drawing>
              <wp:anchor behindDoc="0" distT="9906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fails to comply with any of its other agreements contained in the debt securities or the indenture (other than an agreement a default in whose performance or whose breach is elsewhere specifically dealt with in the indenture or which has expressly been included in the indenture solely for the benefit of a series of debt securities other than that series) upon receipt by VICI LP of notice of such default by the Trustee or receipt by VICI LP and the Trustee of notice of such default </w:t>
      </w:r>
      <w:r>
        <mc:AlternateContent>
          <mc:Choice Requires="wps">
            <w:drawing>
              <wp:anchor behindDoc="0" distT="9906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holders of not less than twenty five percent (25%) in aggregate principal amount of the debt securities of that series then outstanding and VICI LP fails to cure (or obtain a waiver of) such default within sixty (60) days after VICI LP receives such notice;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recourse indebtedness for monies borrowed by VICI LP or any significant subsidiary of VICI LP in an outstanding principal amount in excess of $150,000,000 at final maturity or upon acceleration after the expiration of any applicable notice and grace period, which recourse indebtedness is not discharged, or such default in payment or acceleration is not cured or rescinded, within thirty (30) days after written notice of such failure to VICI LP from the Trustee (or to VICI LP and the Trustee from holders of at least twenty five percent (25%) in principal amount of the outstanding debt securities of that series); or </w:t>
      </w:r>
      <w:r>
        <mc:AlternateContent>
          <mc:Choice Requires="wps">
            <w:drawing>
              <wp:anchor behindDoc="0" distT="10033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of bankruptcy, insolvency, or reorganization with respect to VICI LP or any significant subsidiary of VICI LP. </w:t>
      </w:r>
      <w:r>
        <mc:AlternateContent>
          <mc:Choice Requires="wps">
            <w:drawing>
              <wp:anchor behindDoc="0" distT="10033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any particular series of debt securities necessarily constitutes an Event of Default with respect to any other series of debt securities. The Trustee is required to give notice to holders of the debt securities of the applicable series within ninety (90) days after a responsible officer (as described in the indenture) of the Trustee has actual knowledge (as such knowledge is described in the indenture) of a default relating to such debt securities, unless such default has been cured or waived; provided, however, that in the case of an Event of Default as described in (3) above, the Trustee will not give notice to the holders until at least sixty (60) days after the occurrence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specified in clause (5) above occurs, then the principal of, and premium, if any, on all the outstanding debt securities of the applicable series and unpaid interest, if any, accrued thereon shall automatically become immediately due and payable. If any other Event of Default with respect to the outstanding debt securities of the applicable series occurs and is continuing, either the Trustee or the holders of at least 25% in aggregate principal amount of the debt securities of that series then outstanding may declare the principal of, and premium, if any, on all of the debt securities of that series, or such lesser amount as may be specified in the terms of that series of debt securities, and unpaid interest, if any, accrued thereon to be due and payable immediately. However, upon specified conditions, the holders of a majority in aggregate principal amount of the debt securities of that series then outstanding may rescind and annul any such declaration of acceleration and its consequences.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outstanding debt securities of a series may waive any past default with respect to the debt securities of such series and its consequences except as further described under “—Modification, Waivers and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no holders of debt securities of any series shall have any right to institute any proceeding, judicial or otherwise, with respect to the indenture or such debt securities, or for the appointment of a receiver or Trustee, or for any other remedy under the indenture, except in the case of failure of the Trustee, for sixty (60) days, to act after it has received written notice of an Event of Default with respect to such series from such holder of a debt security of such series, a written request to institute proceedings in respect of such Event of Default from the holders of at least 25% in aggregate principal amount of the outstanding debt securities of that series, as well as an offer of indemnity or security satisfactory to it, and no inconsistent direction has been given to the Trustee during such 60-day period by the holders of a majority in aggregate principal amount of the outstanding debt securities of that series. Notwithstanding any other provision of the indenture, each holder of a debt security will have the right, which is absolute and unconditional, to receive payment of the principal of and premium, if any, and interest, if any, and any additional amounts on that debt security on the respective stated maturities for those payments, and in the case of any debt security which is convertible into or exchangeable for other securities or property, to convert or exchange, as the case may be, such debt security in accordance with its terms, and to institute suit for the enforcement of any such payment and any such right to convert or exchange, and this right shall not be impaired without the consent of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requiring the Trustee, during the continuance of an Event of Default under the indenture, to act with the requisite standard of care, the Trustee is under no obligation to exercise any of its rights or powers under the indenture at the request or direction of any of the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MWAM"/>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unless those holders have offered the Trustee indemnity or security satisfactory to it. The holders of a majority in aggregate principal amount of the outstanding debt securities of any series will have the right to direct the time, method and place of conducting any proceeding for any remedy available to the Trustee, or of exercising any trust or power conferred upon the Trustee with respect to the debt securities of such series, provided that the direction would not conflict with any rule or law or with the indenture or with the debt securities of any other series and could not involve the Trustee in personal liability, such direction would not be unduly prejudicial to the rights of any other holders of debt securities of that series (or the debt securities of any other series) not joining in such action, and the Trustee may take any other action deemed proper by the Trustee, which is not inconsistent with such direction.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Waivers and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permits VICI LP and the Trustee, with the consent of the holders of a majority in aggregate principal amount of the outstanding debt securities of each series issued under the indenture and affected by a modification or amendment (voting as separate classes), to modify or amend any of the provisions of the indenture or of the debt securities of the applicable series or the rights of the holders of the debt securities of the applicable series under the indenture. However, no modification or amendment shall, without the consent of the holder of each outstanding debt security affected thereby: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premium, if any, or any installment of interest, if any, on, or any additional amounts, if any, with respect to, any debt securities;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any premium on, any debt securities, reduce the rate (or modify the calculation of such rate) of interest on, or the redemption or repurchase price of, any debt securities, reduce any additional amounts payable with respect to any debt securities or change VICI LP’s obligation to pay additional amounts; </w:t>
      </w:r>
      <w:r>
        <mc:AlternateContent>
          <mc:Choice Requires="wps">
            <w:drawing>
              <wp:anchor behindDoc="0" distT="7493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of any original issue discount securities that would be due and payable upon acceleration of the maturity of any debt security;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any right of repayment or repurchase at the option of any holder or change any mandatory or optional redemption provisions in a manner that is adverse to any holder;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place where, or the currency in which, the principal of, any premium or interest on, or any additional amounts with respect to any debt securities are payable;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holder’s right to institute suit to enforce the payment of principal, or any premium or interest on, any debt securities, or any additional amounts payable with respect to any debt securities on or after their stated maturity (or, in the case of redemption, on or after the redemption date, or, in the case of repayment or repurchase, on or after the date for repayment or repurchase);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holder’s right to institute suit to enforce the right to convert or exchange any debt security which is convertible or exchangeable in accordance with its terms;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requirements for a quorum or voting at a meeting of holders of the applicable debt securities;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the outstanding debt securities of any series whose holders must consent to any modification or amendment or any waiver of compliance with specific provisions of the indenture or specified defaults under the indenture and their consequences;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sections of the indenture setting forth the provisions of the indenture that may not be amended without the consent of each holder, or providing for the waiver of past defaults and the waiver of certain covenants, except to increase any such percentage or provide that certain other provisions of the indenture cannot be modified or waived without the consent of the holder of each outstanding debt security of such series affected thereby;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 a guarantor from any of the obligations under a guarantee except as permitted under the indenture; or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adversely affects the right, if any, to convert or exchange any debt security for common equity or other securities or property.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contains provisions permitting VICI LP and the Trustee, without the consent of the holders of any debt securities, to modify or amend the indenture, among other things: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 successor to VICI LP or successive successions, and the assumption by any such successor of the covenants of VICI LP contained in the indenture and the debt securities; </w:t>
      </w:r>
      <w:r>
        <mc:AlternateContent>
          <mc:Choice Requires="wps">
            <w:drawing>
              <wp:anchor behindDoc="0" distT="8001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of VICI LP for the benefit of the holders of all or any series of debt securities or to surrender any right or power conferred upon VICI LP in the indenture; </w:t>
      </w:r>
      <w:r>
        <mc:AlternateContent>
          <mc:Choice Requires="wps">
            <w:drawing>
              <wp:anchor behindDoc="0" distT="8001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or eliminate any restrictions on the payment of principal of or any premium or interest on or any additional amounts with respect to any debt securities or any guarantee, provided any such action shall not adversely affect the interest of the holders of debt securities of any series; </w:t>
      </w:r>
      <w:r>
        <mc:AlternateContent>
          <mc:Choice Requires="wps">
            <w:drawing>
              <wp:anchor behindDoc="0" distT="8001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debt securities of any series and any deletions from or additions or changes to the indenture in connection therewith (provided that any such deletions, additions and changes shall not be applicable to any other series of debt securities then outstanding); </w:t>
      </w:r>
      <w:r>
        <mc:AlternateContent>
          <mc:Choice Requires="wps">
            <w:drawing>
              <wp:anchor behindDoc="0" distT="8001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trustee or facilitate the administration of the trusts under the indenture by more than one trustee; </w:t>
      </w:r>
      <w:r>
        <mc:AlternateContent>
          <mc:Choice Requires="wps">
            <w:drawing>
              <wp:anchor behindDoc="0" distT="8001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w:t>
      </w:r>
      <w:r>
        <mc:AlternateContent>
          <mc:Choice Requires="wps">
            <w:drawing>
              <wp:anchor behindDoc="0" distT="8001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necessary to comply with any requirement of the SEC in connection with the indenture under the Trust Indenture Act; </w:t>
      </w:r>
      <w:r>
        <mc:AlternateContent>
          <mc:Choice Requires="wps">
            <w:drawing>
              <wp:anchor behindDoc="0" distT="8001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gaming laws, to the extent that such supplemental indenture is not materially adverse to the holders of debt securities of such series; </w:t>
      </w:r>
      <w:r>
        <mc:AlternateContent>
          <mc:Choice Requires="wps">
            <w:drawing>
              <wp:anchor behindDoc="0" distT="8001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Events of Default in a manner that benefits the holders of all or any series of debt securities issued under the indenture; </w:t>
      </w:r>
      <w:r>
        <mc:AlternateContent>
          <mc:Choice Requires="wps">
            <w:drawing>
              <wp:anchor behindDoc="0" distT="7874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to the extent necessary to permit or facilitate defeasance, covenant defeasance and/or satisfaction and discharge of any series of debt securities; provided that the action shall not adversely affect the interests of the holders of debt securities in any material respect; </w:t>
      </w:r>
      <w:r>
        <mc:AlternateContent>
          <mc:Choice Requires="wps">
            <w:drawing>
              <wp:anchor behindDoc="0" distT="7874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any guarantee for the benefit of the holders of debt securities of a series, to secure the debt securities or to confirm and evidence the release, termination or discharge of any guarantee or lien securing the debt securities which such release, termination or discharge is permitted by the indenture; </w:t>
      </w:r>
      <w:r>
        <mc:AlternateContent>
          <mc:Choice Requires="wps">
            <w:drawing>
              <wp:anchor behindDoc="0" distT="7874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amend or supplement any provision contained in the indenture, in any supplemental indenture or in any debt securities, provided that the amendment or supplement (i) does not (a) apply to any outstanding debt securities issued before the date of the amendment or supplement and entitled to the benefits of that provision, or (b) modify the rights of holders of any such debt securities with respect to such provision, or (ii) becomes effective only when no debt security described in clause (i)(a) is outstanding; </w:t>
      </w:r>
      <w:r>
        <mc:AlternateContent>
          <mc:Choice Requires="wps">
            <w:drawing>
              <wp:anchor behindDoc="0" distT="7874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debt security which is convertible into or exchangeable for shares of common equity or other securities or property, to safeguard or provide for the conversion or exchange rights in the event of any reclassification or change of outstanding shares or any merger, consolidation, statutory share exchange or combination of VICI LP with or into another person, or any sale, lease, assignment, transfer, disposition or other conveyance of all or substantially all of the assets of VICI LP to any other person or similar transactions, if expressly required by the terms of such series of debt securities; </w:t>
      </w:r>
      <w:r>
        <mc:AlternateContent>
          <mc:Choice Requires="wps">
            <w:drawing>
              <wp:anchor behindDoc="0" distT="7874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terms of the indenture or the debt securities of a series, as applicable, to the description thereof contained in any prospectus, prospectus supplement, term sheet or other offering document relating to the offer and sale of such debt securities; </w:t>
      </w:r>
      <w:r>
        <mc:AlternateContent>
          <mc:Choice Requires="wps">
            <w:drawing>
              <wp:anchor behindDoc="0" distT="7874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additional debt securities, subject to the limitations established in the indenture; </w:t>
      </w:r>
      <w:r>
        <mc:AlternateContent>
          <mc:Choice Requires="wps">
            <w:drawing>
              <wp:anchor behindDoc="0" distT="7874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MCOS"/>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would provide any additional rights or benefits to the holders of debt securities or that does not adversely affect the legal rights under the indenture of any holder; </w:t>
      </w:r>
      <w:r>
        <mc:AlternateContent>
          <mc:Choice Requires="wps">
            <w:drawing>
              <wp:anchor behindDoc="0" distT="0" distB="0" distL="254000" distR="0" simplePos="0" locked="0" layoutInCell="1" allowOverlap="1" relativeHeight="308">
                <wp:simplePos x="0" y="0"/>
                <wp:positionH relativeFrom="column">
                  <wp:align>left</wp:align>
                </wp:positionH>
                <wp:positionV relativeFrom="line">
                  <wp:posOffset>635</wp:posOffset>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provisions of the indenture to such extent as is necessary to permit or facilitate the issuance of debt securities in uncertificated form; </w:t>
      </w:r>
      <w:r>
        <mc:AlternateContent>
          <mc:Choice Requires="wps">
            <w:drawing>
              <wp:anchor behindDoc="0" distT="7239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 co-issuer or co-obligor of the debt securities; </w:t>
      </w:r>
      <w:r>
        <mc:AlternateContent>
          <mc:Choice Requires="wps">
            <w:drawing>
              <wp:anchor behindDoc="0" distT="7239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reduction in the minimum denominations of the debt securities; or </w:t>
      </w:r>
      <w:r>
        <mc:AlternateContent>
          <mc:Choice Requires="wps">
            <w:drawing>
              <wp:anchor behindDoc="0" distT="7239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rules of any applicable depository or the rules or regulations of any securities exchange or automated quotation system on which any of the debt securities may be listed or traded. </w:t>
      </w:r>
      <w:r>
        <mc:AlternateContent>
          <mc:Choice Requires="wps">
            <w:drawing>
              <wp:anchor behindDoc="0" distT="7239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outstanding debt securities of any series may waive VICI LP’s compliance with some of the restrictive provisions of the indenture, which may include covenants, if any, which are specified in the applicable prospectus supplement. The holders of a majority in aggregate principal amount of the outstanding debt securities of any series may, on behalf of all holders of debt securities of that series, waive any past default under the indenture with respect to the debt securities of that series and its consequences, except a default which is continuing (i) in the payment of the principal of, or premium, if any, or interest, if any, on, and any additional amounts with respect to, the debt securities of that series, (ii) with respect to the conversion or exchange of a series of debt securities convertible or exchangeable into common equity of VICI LP or other securities or property, or (iii) in respect of a covenant or provision of the indenture which cannot be modified or amended without the consent of the holder of each outstanding debt security of the affected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provisions for convening meetings of the holders of a series of debt securities. A meeting may be called at any time by the Trustee, and also, upon VICI LP’s request, or the request of holders of at least 10% in aggregate principal amount of the outstanding debt securities of any series. Notice of a meeting must be given in accordance with the provisions of the indenture. Except for any consent which must be given by the holder of each outstanding debt security affected in the manner described above, any resolution presented at a meeting or adjourned meeting duly reconvened at which a quorum, as described below, is present may be adopted by the affirmative vote of the holders of a majority in aggregate principal amount of the outstanding debt securities of the applicable series. However, any resolution with respect to any request, demand, authorization, direction, notice, consent, waiver, or other action which may be made, given or taken by the holders of a specified percentage, other than a majority, in aggregate principal amount of the outstanding debt securities of a series may be adopted at a meeting or adjourned meeting duly reconvened at which a quorum is present by the affirmative vote of the holders of that specified percentage in aggregate principal amount of the outstanding debt securities of that series.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aggregate principal amount of the outstanding debt securities of the applicable series, subject to exceptions; provided, however, that if any action is to be taken at that meeting with respect to a consent or waiver which may be given by the holders of a supermajority in aggregate principal amount of the outstanding debt securities of a series, the persons holding or representing that specified supermajority percentage in aggregate principal amount of the outstanding debt securities of that series will constitute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may merge or consolidate with or into, or sell, assign, convey, transfer or lease all or substantially all of its property and assets, in one transaction or series of related transactions, to, any other entity, provided that the following conditions are met: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is the continuing entity, or the successor entity (if other than VICI LP) formed by or resulting from any consolidation or merger or which shall have received the sale, assignment, conveyance, transfer or lease of property and assets shall be domiciled in the United States, any state thereof or the District of Columbia and shall expressly assume payment of the principal of and any premium and interest on all of the debt securities and, in each case, the due and punctual performance and observance of all of the covenants and conditions in the indenture; </w:t>
      </w:r>
      <w:r>
        <mc:AlternateContent>
          <mc:Choice Requires="wps">
            <w:drawing>
              <wp:anchor behindDoc="0" distT="736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DDAC"/>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under the indenture, and no event which, after notice or the lapse of time, or both, would become an Event of Default, shall have occurred and be continuing; and </w:t>
      </w:r>
      <w:r>
        <mc:AlternateContent>
          <mc:Choice Requires="wps">
            <w:drawing>
              <wp:anchor behindDoc="0" distT="0" distB="0" distL="254000" distR="0" simplePos="0" locked="0" layoutInCell="1" allowOverlap="1" relativeHeight="314">
                <wp:simplePos x="0" y="0"/>
                <wp:positionH relativeFrom="column">
                  <wp:align>left</wp:align>
                </wp:positionH>
                <wp:positionV relativeFrom="line">
                  <wp:posOffset>635</wp:posOffset>
                </wp:positionV>
                <wp:extent cx="127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or the successor entity of VICI LP shall have delivered to the Trustee an Officer’s Certificate and an opinion of counsel, each stating that such consolidation, merger, sale, assignment, conveyance, transfer or lease and, if a supplemental indenture is required in connection with such transaction, such supplemental indenture complies with the applicable provisions of the indenture and that all conditions precedent provided for relating to such transaction have been complied with.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transaction described in and complying with the conditions listed in the immediately preceding paragraph in which VICI LP is not the continuing entity, the successor person formed or remaining shall succeed, and be substituted for, and may exercise every right and power of VICI LP and (except in the case of a lease) VICI LP shall be discharged from its obligations under the debt securities and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Satisfaction and Discharge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VICI LP’s direction, the indenture shall cease to be of further effect with respect to the debt securities of any series specified by VICI LP (except for provisions that survive pursuant to the terms of the indenture or the applicable series of debt securities), subject to the survival of specified provisions of the indenture, including (unless the accompanying prospectus supplement provides otherwise) VICI LP’s obligation to repurchase such debt securities at the option of the holders thereof, if applicable, and VICI LP’s obligation to pay additional amounts in respect of such debt securities to the extent described below, when: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have been delivered to the Trustee for cancellation, subject to exceptions, or </w:t>
      </w:r>
      <w:r>
        <mc:AlternateContent>
          <mc:Choice Requires="wps">
            <w:drawing>
              <wp:anchor behindDoc="0" distT="101600" distB="0" distL="508000" distR="0" simplePos="0" locked="0" layoutInCell="1" allowOverlap="1" relativeHeight="317">
                <wp:simplePos x="0" y="0"/>
                <wp:positionH relativeFrom="column">
                  <wp:align>left</wp:align>
                </wp:positionH>
                <wp:positionV relativeFrom="line">
                  <wp:align>top</wp:align>
                </wp:positionV>
                <wp:extent cx="254000" cy="525780"/>
                <wp:effectExtent l="0" t="0" r="0" b="0"/>
                <wp:wrapSquare wrapText="right"/>
                <wp:docPr id="315" name="Frame3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debt securities of that series (i) have become due and payable or (ii) will become due and payable at their stated maturity within one year or (iii) if redeemable at the option of VICI LP, are to be called for redemption within one year, and, in the case of (i), (ii) or (iii), VICI LP has deposited with the Trustee, in trust for such purpose, funds in the currency in which the debt securities of that series are payable in an amount sufficient to pay and discharge the entire indebtedness on the debt securities of that series, including the principal thereof and, premium, if any, and interest, if any, thereon, and, to the extent that (x) the debt securities of that series provide for the payment of additional amounts and (y) the amount of any additional amounts which are or will be payable is at the time of deposit reasonably determinable by VICI LP, in the exercise of its reasonable discretion, those additional amounts, to the date of such deposit, if the debt securities of that series have become due and payable, or to the maturity or redemption date of the debt securities of that series, as the case may be; </w:t>
      </w:r>
      <w:r>
        <mc:AlternateContent>
          <mc:Choice Requires="wps">
            <w:drawing>
              <wp:anchor behindDoc="0" distT="101600" distB="0" distL="50800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has paid all other sums payable by it under the indenture with respect to the debt securities of that series (including amounts payable to the Trustee); and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has delivered to the Trustee an Officer’s Certificate and an opinion of counsel to the effect that all conditions precedent to the satisfaction and discharge of the indenture in respect of the debt securities of such series have been complied with.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any series provide for the payment of additional amounts, VICI LP will remain obligated, following the deposit described above, to pay additional amounts on those debt securities to the extent that they exceed the amount deposited in respect of those additional amounts as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Defeasance and Covenant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VICI LP may elect with respect to the debt securities of a particular series either: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discharge itself from any and all obligations with respect to those debt securities (“legal defeasance”), except for, among other things: </w:t>
      </w:r>
      <w:r>
        <mc:AlternateContent>
          <mc:Choice Requires="wps">
            <w:drawing>
              <wp:anchor behindDoc="0" distT="6985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pay additional amounts, if any, upon the occurrence of specified events of taxation, assessment, or governmental charge with respect to payments on those debt securities to the extent that those additional amounts exceed the amount deposited in respect of those amounts as provided below; </w:t>
      </w:r>
      <w:r>
        <mc:AlternateContent>
          <mc:Choice Requires="wps">
            <w:drawing>
              <wp:anchor behindDoc="0" distT="88900" distB="0" distL="50800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to register the transfer or exchange of those debt securities; </w:t>
      </w:r>
      <w:r>
        <mc:AlternateContent>
          <mc:Choice Requires="wps">
            <w:drawing>
              <wp:anchor behindDoc="0" distT="92710" distB="0" distL="50800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replace mutilated, destroyed, lost, or stolen debt securities; </w:t>
      </w:r>
      <w:r>
        <mc:AlternateContent>
          <mc:Choice Requires="wps">
            <w:drawing>
              <wp:anchor behindDoc="0" distT="92710" distB="0" distL="50800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maintain an office or agent of VICI LP in the United States, in respect of those debt securities; </w:t>
      </w:r>
      <w:r>
        <mc:AlternateContent>
          <mc:Choice Requires="wps">
            <w:drawing>
              <wp:anchor behindDoc="0" distT="92710" distB="0" distL="50800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holders of such outstanding debt securities to receive payments from moneys held in trust when such payments are due; </w:t>
      </w:r>
      <w:r>
        <mc:AlternateContent>
          <mc:Choice Requires="wps">
            <w:drawing>
              <wp:anchor behindDoc="0" distT="92710" distB="0" distL="50800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if applicable, to repurchase those debt securities at the option of the holders thereof; and </w:t>
      </w:r>
      <w:r>
        <mc:AlternateContent>
          <mc:Choice Requires="wps">
            <w:drawing>
              <wp:anchor behindDoc="0" distT="92710" distB="0" distL="50800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powers, trusts, duties and immunities of the trustee; or </w:t>
      </w:r>
      <w:r>
        <mc:AlternateContent>
          <mc:Choice Requires="wps">
            <w:drawing>
              <wp:anchor behindDoc="0" distT="92710" distB="0" distL="50800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its obligations with respect to those debt securities under (1) certain covenants in the indenture related to the preservation of the rights (charter and statutory) and franchises of VICI LP and (2) if applicable, other covenants as may be specified in the applicable prospectus supplement, and any omission to comply with those obligations shall not constitute a default or an Event of Default with respect to those debt securities (“covenant defeasance”), </w:t>
      </w:r>
      <w:r>
        <mc:AlternateContent>
          <mc:Choice Requires="wps">
            <w:drawing>
              <wp:anchor behindDoc="0" distT="6985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either case upon the irrevocable deposit with the Trustee, in trust for that purpose, of an amount in the currency in which those debt securities are payable at maturity or, if applicable, upon redemption, and/or government obligations (as defined in the indenture) which through the scheduled payment of principal and interest in accordance with their terms will provide money, in an amount sufficient, in the written opinion of a nationally recognized firm of independent public accountants, to pay and discharge the principal of and any premium and any interest on, and, to the extent that (x) those debt securities provide for the payment of any additional amounts and (y) the amount of any such additional amounts which are or will be payable is at the time of deposit reasonably determinable by VICI LP, in the exercise of its reasonable discretion, the additional amounts with respect to, those debt securities, and any mandatory sinking fund or analogous payments on those debt securities, on the due dates for those payments. If the cash and government obligations deposited are sufficient to pay the principal of and any premium and any interest on the outstanding debt securities of the applicable series on a particular redemption date, VICI LP shall have given the Trustee irrevocable instructions to redeem those debt securities on that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described above shall only be effective if, among other things: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shall not result in a breach or violation of, or constitute a default under, the indenture or any other material agreement or instrument to which VICI LP is a party or is bound; </w:t>
      </w:r>
      <w:r>
        <mc:AlternateContent>
          <mc:Choice Requires="wps">
            <w:drawing>
              <wp:anchor behindDoc="0" distT="6731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shall have delivered to the Trustee an Officer’s Certificate and legal opinion to the effect that all conditions precedent to the legal defeasance or covenant defeasance, as the case may be, have been complied with; </w:t>
      </w:r>
      <w:r>
        <mc:AlternateContent>
          <mc:Choice Requires="wps">
            <w:drawing>
              <wp:anchor behindDoc="0" distT="6731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legal defeasance, VICI LP shall have delivered to the Trustee an opinion of independent counsel stating that: </w:t>
      </w:r>
      <w:r>
        <mc:AlternateContent>
          <mc:Choice Requires="wps">
            <w:drawing>
              <wp:anchor behindDoc="0" distT="6731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LP has received from, or there has been published by, the Internal Revenue Service a ruling; or </w:t>
      </w:r>
      <w:r>
        <mc:AlternateContent>
          <mc:Choice Requires="wps">
            <w:drawing>
              <wp:anchor behindDoc="0" distT="88900" distB="0" distL="508000" distR="0" simplePos="0" locked="0" layoutInCell="1" allowOverlap="1" relativeHeight="333">
                <wp:simplePos x="0" y="0"/>
                <wp:positionH relativeFrom="column">
                  <wp:align>left</wp:align>
                </wp:positionH>
                <wp:positionV relativeFrom="line">
                  <wp:align>top</wp:align>
                </wp:positionV>
                <wp:extent cx="254000" cy="525780"/>
                <wp:effectExtent l="0" t="0" r="0" b="0"/>
                <wp:wrapSquare wrapText="right"/>
                <wp:docPr id="331" name="Frame3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CT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indenture, there has been a change in applicable federal income tax law, and </w:t>
      </w:r>
      <w:r>
        <mc:AlternateContent>
          <mc:Choice Requires="wps">
            <w:drawing>
              <wp:anchor behindDoc="0" distT="0" distB="0" distL="508000" distR="0" simplePos="0" locked="0" layoutInCell="1" allowOverlap="1" relativeHeight="334">
                <wp:simplePos x="0" y="0"/>
                <wp:positionH relativeFrom="column">
                  <wp:align>left</wp:align>
                </wp:positionH>
                <wp:positionV relativeFrom="line">
                  <wp:posOffset>635</wp:posOffset>
                </wp:positionV>
                <wp:extent cx="254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either case to the effect that, and based on this ruling or change the opinion of counsel shall confirm that, the holders of the debt securities of the applicable series will not recognize income, gain or loss for U.S. federal income tax purposes as a result of the legal defeasance and will be subject to U.S. federal income tax on the same amounts, in the same manner and at the same times as would have been the case if the legal defeasance had not occurred;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covenant defeasance, VICI LP shall have delivered to the Trustee an opinion of independent counsel to the effect that the holders of the debt securities of the applicable series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 </w:t>
      </w:r>
      <w:r>
        <mc:AlternateContent>
          <mc:Choice Requires="wps">
            <w:drawing>
              <wp:anchor behindDoc="0" distT="6858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or both, would become an Event of Default with respect to debt securities of the applicable series shall have occurred and be continuing on the date of the deposit into trust, and, solely in the case of legal defeasance, no Event of Default with respect to such debt securities arising from specified events of bankruptcy, insolvency, or reorganization with respect to VICI LP or event which, with notice or lapse of time or both, would become an Event of Default shall have occurred and be continuing during the period ending on the 91st day after the date of the deposit into trust. </w:t>
      </w:r>
      <w:r>
        <mc:AlternateContent>
          <mc:Choice Requires="wps">
            <w:drawing>
              <wp:anchor behindDoc="0" distT="6858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VICI LP effects covenant defeasance with respect to debt securities of any series, the applicable covenants will cease to be applicable to such debt securities, but all other covenants not subject to covenant defeasance will be deemed to be in effect. The amount of monies and/or government obligations deposited with the Trustee to effect covenant defeasance may not be sufficient to pay amounts due on the debt securities of that series at the time of any acceleration resulting from an Event of Default. However, VICI LP would remain liable to make payment of those amounts due at the time of acceleration.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further describe the provisions, if any, permitting or restricting legal defeasance or covenant defeasance with respect to the debt securities of a particular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there may be more than one Trustee under the indenture, each with respect to one or more series of debt securities. If there are different Trustees for different series of debt securities, each Trustee will be a Trustee of a trust or trusts separate and apart from the trust or trusts administered by any other Trustee under the indenture. Unless otherwise indicated in any applicable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registration, transfer, exchange, authentication and delivery (including authentication and delivery on original issuance of the debt securities) of, the debt securities of a series will be effected by the applicable Trustee with respect to that series at an office designated by the Trustee and all payments of principal of, and premium, if any, and interest on, the debt securities of a series will be effected by the applicable Trustee or the paying agent with respect to that series at an office designated by the Trustee or the paying agent,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Bank, National Association has been appointed to act as the Trustee under the indenture. We may maintain corporate trust relationships in the ordinary course of business with the Trustee. The Trustee shall have and be subject to all the duties and responsibilities specified with respect to an indenture trustee under the Trust Indenture Act. Subject to the provisions of the Trust Indenture Act, the Trustee is under no obligation to exercise any of the powers vested in it by the indenture at the request of any holder of debt securities, unless offered indemnity or security satisfactory to it by the holder against the losses, damages, costs, expense and liabilities which might be incurred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Trust Indenture Act, the indenture is deemed to contain limitations on the right of the Trustee, should it become a creditor of VICI LP, to obtain payment of claims in some cases or to realize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GOLA"/>
      <w:bookmarkEnd w:id="70"/>
      <w:r>
        <w:rPr>
          <w:rFonts w:ascii="calibri;arial;sans-serif" w:hAnsi="calibri;arial;sans-serif"/>
          <w:b w:val="false"/>
          <w:i w:val="false"/>
          <w:caps w:val="false"/>
          <w:smallCaps w:val="false"/>
          <w:color w:val="000000"/>
          <w:sz w:val="16"/>
        </w:rPr>
        <w:t>​</w:t>
      </w:r>
      <w:bookmarkStart w:id="71" w:name="tNOT"/>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property received in respect of any such claim as security or otherwise. The Trustee may engage in other transactions with VICI LP. If it acquires any conflicting interest under the Trust Indenture Act relating to any of its duties with respect to the debt securities, however, it must eliminate the conflict or resign as Trustee.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the debt securities and any related guarantees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notices to holders of debt securities shall be validly given if in writing and mailed, first-class postage prepaid to them at their respective addresses in the register maintained by the trustee, or delivered electronically pursuant to the applicable procedures of the depository.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MUFI"/>
      <w:bookmarkEnd w:id="72"/>
      <w:r>
        <w:rPr>
          <w:rFonts w:ascii="calibri;arial;sans-serif" w:hAnsi="calibri;arial;sans-serif"/>
          <w:b w:val="false"/>
          <w:i w:val="false"/>
          <w:caps w:val="false"/>
          <w:smallCaps w:val="false"/>
          <w:color w:val="000000"/>
          <w:sz w:val="16"/>
        </w:rPr>
        <w:t>​</w:t>
      </w:r>
      <w:bookmarkStart w:id="73" w:name="tUFIT"/>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 of an Investment in VICI REIT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considerations of an investment in our capital stock (“our stock”). For purposes of this section under the heading “Material U.S. Federal Income Tax Considerations,” references to “VICI REIT,” “we,” “our” and “us” generally mean VICI Properties Inc. and its subsidiaries or other lower-tier entities, except as otherwise indicated, and references to “tenants” are to persons who are treated as lessees of real property for purposes of the REIT requirements. This summary is based upon the Internal Revenue Code of 1986, as amended (the “Code”), the regulations promulgated by the U.S. Department of the Treasury (the “Treasury Regulations”), rulings and other administrative pronouncements issued by the Internal Revenue Service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and our subsidiaries and affiliated entities will operate in accordance with our and their applicable organizational documents. This summary is for general information only and is not tax advice. It does not discuss any state, local or non-U.S. tax laws or the possible application of the alternative minimum tax, the 3.8% Medicare tax on net investment income or U.S. federal gift or estate taxes, and it does not purport to discuss all aspects of U.S. federal income taxation that may be important to a particular investor in light of its investment or tax circumstances or to investors subject to special tax rules, such as: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regulated investment companies, or other financial institutions; </w:t>
      </w:r>
      <w:r>
        <mc:AlternateContent>
          <mc:Choice Requires="wps">
            <w:drawing>
              <wp:anchor behindDoc="0" distT="8255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securities or currencies; </w:t>
      </w:r>
      <w:r>
        <mc:AlternateContent>
          <mc:Choice Requires="wps">
            <w:drawing>
              <wp:anchor behindDoc="0" distT="8255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other pass-through entities and trusts, including REITs; </w:t>
      </w:r>
      <w:r>
        <mc:AlternateContent>
          <mc:Choice Requires="wps">
            <w:drawing>
              <wp:anchor behindDoc="0" distT="8255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 in partnerships holding our stock; </w:t>
      </w:r>
      <w:r>
        <mc:AlternateContent>
          <mc:Choice Requires="wps">
            <w:drawing>
              <wp:anchor behindDoc="0" distT="8255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our stock on behalf of other persons as nominees; </w:t>
      </w:r>
      <w:r>
        <mc:AlternateContent>
          <mc:Choice Requires="wps">
            <w:drawing>
              <wp:anchor behindDoc="0" distT="8255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 our stock as compensation; </w:t>
      </w:r>
      <w:r>
        <mc:AlternateContent>
          <mc:Choice Requires="wps">
            <w:drawing>
              <wp:anchor behindDoc="0" distT="8255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stock as part of a “straddle,” “hedge,” “conversion transaction,” “synthetic security” or other integrated investment; </w:t>
      </w:r>
      <w:r>
        <mc:AlternateContent>
          <mc:Choice Requires="wps">
            <w:drawing>
              <wp:anchor behindDoc="0" distT="8255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are subject to alternative minimum tax; </w:t>
      </w:r>
      <w:r>
        <mc:AlternateContent>
          <mc:Choice Requires="wps">
            <w:drawing>
              <wp:anchor behindDoc="0" distT="8255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except to the extent provided in “—Taxation of Stockholders—Taxation of Tax-Exempt Stockholders” below; and </w:t>
      </w:r>
      <w:r>
        <mc:AlternateContent>
          <mc:Choice Requires="wps">
            <w:drawing>
              <wp:anchor behindDoc="0" distT="8255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investors, except to the extent provided in “—Taxation of Stockholders—Taxation of Non-U.S. Stockholders” below. </w:t>
      </w:r>
      <w:r>
        <mc:AlternateContent>
          <mc:Choice Requires="wps">
            <w:drawing>
              <wp:anchor behindDoc="0" distT="8255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summary does not address tax considerations relating to the purchase, ownership and disposition of stock purchase contracts, stock represented by depository shares, warrants, rights, units representing an interest in two or more securities or debt securities. In the event we issue any such securities, the prospectus supplement will discuss the related tax considerations in greater detail.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assumes that investors will hold shares of our stock as a capital asset, which generally means property held for investment.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treatment of holders of our stock depends in some instances on determinations of fact and interpretations of complex provisions of U.S. federal income tax law for which no clear precedent or authority may be available. In addition, the tax consequences to any particular investor holding our stock will depend on the investor’s particular tax circumstances. You are urged to consult your tax advisor regarding the U.S. federal, state, local, and foreign income and other tax consequences to you in light of your particular investment or tax circumstances of acquiring, holding, exchanging or otherwise disposing of our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TOVR"/>
      <w:bookmarkEnd w:id="74"/>
      <w:r>
        <w:rPr>
          <w:rFonts w:ascii="calibri;arial;sans-serif" w:hAnsi="calibri;arial;sans-serif"/>
          <w:b w:val="false"/>
          <w:i w:val="false"/>
          <w:caps w:val="false"/>
          <w:smallCaps w:val="false"/>
          <w:color w:val="000000"/>
          <w:sz w:val="16"/>
        </w:rPr>
        <w:t>​</w:t>
      </w:r>
      <w:bookmarkStart w:id="75" w:name="tTORI"/>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VICI REIT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elected to be taxed as a REIT under Sections 856 through 860 of the Code commencing with our taxable year ended December 31, 2017, upon the filing of our U.S. federal income tax return for such period. We believe that we are organized and operate in such a manner, and will continue to be organized and operate in such a manner as to qualify for taxation as a REIT under the applicable provisions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qualification and taxation as a REIT depends on our ability to meet on a continuing basis, through actual operating results, distribution levels, and diversity of share ownership, various qualification requirements imposed upon REITs by the Code. Our ability to qualify to be taxed as a REIT also requires that we satisfy certain asset tests, some of which depend upon the fair market values of assets that we own directly or indirectly. Such fair market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REITs in 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our qualification and taxation as a REIT depends upon our ability to meet, on a continuing basis, various qualification requirements imposed upon REITs by the Code. The material qualification requirements are summarized below under “—Requirements for Qualification—General.” While we intend to operate so that we qualify and continue to qualify to be taxed as a REIT, no assurance can be given that the IRS will not challenge our qualification, or that we will be able to operate in accordance with the REIT requirements in the future. See “—Failure to Qualify,”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qualify to be taxed as a REIT, generally we will be entitled to a deduction for distributions that we pay and therefore will not be subject to U.S. federal corporate income tax on our REIT taxable income that is currently distributed to our stockholders. This treatment substantially eliminates the “double taxation” at the corporate and stockholder levels that generally results from an investment in a “C corporation.” A C corporation is a corporation that generally is required to pay tax at the corporate level. Double taxation means taxation once at the corporate level when income is earned and once again at the stockholder level when the income is distributed. In general, the income that we generate (other than at any taxable REIT subsidiary (“TRS”) of ours) is taxed only at the stockholder level upon a distribution to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Most U.S. stockholders (as defined below) that are individuals, trusts or estates are taxed on corporate dividends at a maximum U.S. federal income tax rate of 20% (the same as long-term capital gains). With limited exceptions, however, distributions from us or from other entities that are taxed as REITs are generally not eligible for this rate and will continue to be taxed at rates applicable to ordinary income, but non-corporate stockholders will generally be eligible for a deduction equal to 20% of such distributions. Currently, the highest marginal non-corporate U.S. federal income tax rate (exclusive of any Medicare tax, if applicable) applicable to ordinary income is 37% (before application of the 20% deduction which results in an effective 29.6% tax rate). See “—Taxation of Stockholders—Taxation of Taxable U.S. Stockholders—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net operating losses, foreign tax credits and other tax attributes generated or incurred by us generally do not pass through to VICI REIT stockholders, subject to special rules for certain items such as the undistributed but designated capital gain that we recognize. See “—Taxation of Stockholders—Taxation of Taxable U.S. Stockholders—Distributions”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qualify to be taxed as a REIT, we will nonetheless be subject to U.S. federal tax in the following circumstances: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taxed at regular corporate rates on any undistributed taxable income, including undistributed net capital gains. </w:t>
      </w:r>
      <w:r>
        <mc:AlternateContent>
          <mc:Choice Requires="wps">
            <w:drawing>
              <wp:anchor behindDoc="0" distT="7620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net income from prohibited transactions, which are, in general, sales or other dispositions of inventory or property held primarily for sale to customers in the ordinary course of business, other than foreclosure property, such income will be subject to a 100% tax. See “—Prohibited Transactions” and “—Foreclosure Property” below. </w:t>
      </w:r>
      <w:r>
        <mc:AlternateContent>
          <mc:Choice Requires="wps">
            <w:drawing>
              <wp:anchor behindDoc="0" distT="7620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treat property that we acquire in connection with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 </w:t>
      </w:r>
      <w:r>
        <mc:AlternateContent>
          <mc:Choice Requires="wps">
            <w:drawing>
              <wp:anchor behindDoc="0" distT="0" distB="0" distL="254000" distR="0" simplePos="0" locked="0" layoutInCell="1" allowOverlap="1" relativeHeight="349">
                <wp:simplePos x="0" y="0"/>
                <wp:positionH relativeFrom="column">
                  <wp:align>left</wp:align>
                </wp:positionH>
                <wp:positionV relativeFrom="line">
                  <wp:posOffset>635</wp:posOffset>
                </wp:positionV>
                <wp:extent cx="127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violate the asset tests (other than certain de minimis violations) or certain other requirements applicable to REITs, as described below, and yet maintain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be required to pay monetary penalties to the IRS in certain circumstances, including if we fail to meet record-keeping requirements intended to monitor our compliance with rules relating to the composition of a REIT’s stockholders, as described below in “—Requirements for Qualification—</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General” below.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100% tax may be imposed on certain transactions between us and a TRS that do not reflect arm’s-length terms.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acquire appreciated assets from a corporation that is not a REIT (i.e., a “C” corporation) in a transaction in which the adjusted tax basis of the assets in our hands is determined by reference to the adjusted tax basis of the assets in the hands of the C corporation (which is the case with respect to all or substantially all of the properties we acquired from Caesars Entertainment Operating Company, Inc., a Delaware corporation, pursuant to our formation transactions as well as certain other properties we have acquired), we may be subject to tax on such appreciation at the highest corporate income tax rate then applicable if we subsequently recognize gain on a disposition of any such assets during the five- year period following our acquisition from the C corporation. Treasury Regulations exclude from the application of this built-in gains tax any gain from the sale of property we acquire in an exchange under Section 1031 (a like-kind exchange) or 1033 (an involuntary conversion) of the Code.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taxable income of our TRSs will be subject to U.S. federal corporate income tax.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elect to retain and pay income tax on our net capital gain. In that case, a stockholder would include its proportionate share of our undistributed net capital gain (to the extent we make a timely designation of such gain to the stockholder) in its income, would be deemed to have paid the tax that we paid on such gain, and would be allowed a credit for the stockholder’s proportionate share of the tax deemed to have been paid, and an adjustment would be made to increase the stockholder’s basis in shares of our stock. </w:t>
      </w:r>
      <w:r>
        <mc:AlternateContent>
          <mc:Choice Requires="wps">
            <w:drawing>
              <wp:anchor behindDoc="0" distT="7620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RFQ"/>
      <w:bookmarkEnd w:id="76"/>
      <w:r>
        <w:rPr>
          <w:rFonts w:ascii="calibri;arial;sans-serif" w:hAnsi="calibri;arial;sans-serif"/>
          <w:b w:val="false"/>
          <w:i w:val="false"/>
          <w:caps w:val="false"/>
          <w:smallCaps w:val="false"/>
          <w:color w:val="000000"/>
          <w:sz w:val="16"/>
        </w:rPr>
        <w:t>​</w:t>
      </w:r>
      <w:bookmarkStart w:id="77" w:name="tEOSE"/>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Requirements for Qualification—General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defines a REIT as a corporation, trust or association: </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managed by one or more trustees or directors; </w:t>
      </w:r>
      <w:r>
        <mc:AlternateContent>
          <mc:Choice Requires="wps">
            <w:drawing>
              <wp:anchor behindDoc="0" distT="97790" distB="0" distL="254000" distR="0" simplePos="0" locked="0" layoutInCell="1" allowOverlap="1" relativeHeight="358">
                <wp:simplePos x="0" y="0"/>
                <wp:positionH relativeFrom="column">
                  <wp:align>left</wp:align>
                </wp:positionH>
                <wp:positionV relativeFrom="line">
                  <wp:align>top</wp:align>
                </wp:positionV>
                <wp:extent cx="2413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evidenced by transferable shares, or by transferable certificates of beneficial interest </w:t>
      </w:r>
      <w:r>
        <mc:AlternateContent>
          <mc:Choice Requires="wps">
            <w:drawing>
              <wp:anchor behindDoc="0" distT="97790" distB="0" distL="254000" distR="0" simplePos="0" locked="0" layoutInCell="1" allowOverlap="1" relativeHeight="359">
                <wp:simplePos x="0" y="0"/>
                <wp:positionH relativeFrom="column">
                  <wp:align>left</wp:align>
                </wp:positionH>
                <wp:positionV relativeFrom="line">
                  <wp:align>top</wp:align>
                </wp:positionV>
                <wp:extent cx="2413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taxable as a domestic corporation but for its election to be subject to tax as a REIT; </w:t>
      </w:r>
      <w:r>
        <mc:AlternateContent>
          <mc:Choice Requires="wps">
            <w:drawing>
              <wp:anchor behindDoc="0" distT="97790" distB="0" distL="254000" distR="0" simplePos="0" locked="0" layoutInCell="1" allowOverlap="1" relativeHeight="360">
                <wp:simplePos x="0" y="0"/>
                <wp:positionH relativeFrom="column">
                  <wp:align>left</wp:align>
                </wp:positionH>
                <wp:positionV relativeFrom="line">
                  <wp:align>top</wp:align>
                </wp:positionV>
                <wp:extent cx="2413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neither a financial institution nor an insurance company subject to specific provisions of the Code; </w:t>
      </w:r>
      <w:r>
        <mc:AlternateContent>
          <mc:Choice Requires="wps">
            <w:drawing>
              <wp:anchor behindDoc="0" distT="97790" distB="0" distL="254000" distR="0" simplePos="0" locked="0" layoutInCell="1" allowOverlap="1" relativeHeight="361">
                <wp:simplePos x="0" y="0"/>
                <wp:positionH relativeFrom="column">
                  <wp:align>left</wp:align>
                </wp:positionH>
                <wp:positionV relativeFrom="line">
                  <wp:align>top</wp:align>
                </wp:positionV>
                <wp:extent cx="2413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held by 100 or more persons; </w:t>
      </w:r>
      <w:r>
        <mc:AlternateContent>
          <mc:Choice Requires="wps">
            <w:drawing>
              <wp:anchor behindDoc="0" distT="97790" distB="0" distL="254000" distR="0" simplePos="0" locked="0" layoutInCell="1" allowOverlap="1" relativeHeight="362">
                <wp:simplePos x="0" y="0"/>
                <wp:positionH relativeFrom="column">
                  <wp:align>left</wp:align>
                </wp:positionH>
                <wp:positionV relativeFrom="line">
                  <wp:align>top</wp:align>
                </wp:positionV>
                <wp:extent cx="2413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during the last half of each taxable year, not more than 50% in value of the outstanding shares or other beneficial interest is owned, directly or indirectly, by five or fewer “individuals” ​(as defined in the Code to include certain entities such as private foundations); </w:t>
      </w:r>
      <w:r>
        <mc:AlternateContent>
          <mc:Choice Requires="wps">
            <w:drawing>
              <wp:anchor behindDoc="0" distT="97790" distB="0" distL="254000" distR="0" simplePos="0" locked="0" layoutInCell="1" allowOverlap="1" relativeHeight="363">
                <wp:simplePos x="0" y="0"/>
                <wp:positionH relativeFrom="column">
                  <wp:align>left</wp:align>
                </wp:positionH>
                <wp:positionV relativeFrom="line">
                  <wp:align>top</wp:align>
                </wp:positionV>
                <wp:extent cx="2413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makes an election to be taxed as a REIT, or has made such an election for a previous taxable year which has not been revoked or terminated; </w:t>
      </w:r>
      <w:r>
        <mc:AlternateContent>
          <mc:Choice Requires="wps">
            <w:drawing>
              <wp:anchor behindDoc="0" distT="97790" distB="0" distL="254000" distR="0" simplePos="0" locked="0" layoutInCell="1" allowOverlap="1" relativeHeight="364">
                <wp:simplePos x="0" y="0"/>
                <wp:positionH relativeFrom="column">
                  <wp:align>left</wp:align>
                </wp:positionH>
                <wp:positionV relativeFrom="line">
                  <wp:align>top</wp:align>
                </wp:positionV>
                <wp:extent cx="2413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has no earnings and profits from any non-REIT taxable year at the close of any taxable year; and </w:t>
      </w:r>
      <w:r>
        <mc:AlternateContent>
          <mc:Choice Requires="wps">
            <w:drawing>
              <wp:anchor behindDoc="0" distT="97790" distB="0" distL="254000" distR="0" simplePos="0" locked="0" layoutInCell="1" allowOverlap="1" relativeHeight="365">
                <wp:simplePos x="0" y="0"/>
                <wp:positionH relativeFrom="column">
                  <wp:align>left</wp:align>
                </wp:positionH>
                <wp:positionV relativeFrom="line">
                  <wp:align>top</wp:align>
                </wp:positionV>
                <wp:extent cx="2413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meets other tests described below, including with respect to the nature of its income and assets and the amounts of its distributions. </w:t>
      </w:r>
      <w:r>
        <mc:AlternateContent>
          <mc:Choice Requires="wps">
            <w:drawing>
              <wp:anchor behindDoc="0" distT="97790" distB="0" distL="254000" distR="0" simplePos="0" locked="0" layoutInCell="1" allowOverlap="1" relativeHeight="366">
                <wp:simplePos x="0" y="0"/>
                <wp:positionH relativeFrom="column">
                  <wp:align>left</wp:align>
                </wp:positionH>
                <wp:positionV relativeFrom="line">
                  <wp:align>top</wp:align>
                </wp:positionV>
                <wp:extent cx="2413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19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provides that conditions (1) through (4) above must be met during the entire taxable year, and that condition (5) above must be met during at least 335 days of a taxable year of 12 months, or during a proportionate part of a shorter taxable year. Conditions (5) and (6) above need not be met during an entity’s initial tax year as a REIT (which, in our case, will be 2017). Our charter provides restrictions regarding the ownership and transfers of our shares of beneficial interest, which are intended to assist us in satisfying the share ownership requirements described in conditions (5) and (6) above. These restrictions, however, may not ensure that we, in all cases, will be able to satisfy the share ownership requirements described in conditions (5) and (6) above. If we fail to satisfy these share ownership requirements, except as provided in the next two sentences, our status as a REIT will terminate. To monitor our compliance with condition above, we are generally required to maintain records regarding the actual ownership of our shares. If we comply with the record-keeping requirement and we do not know or, exercising reasonable diligence, would not have known of our failure to meet condition (6) above, then we will be treated as having met condition (6)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monitor compliance with the share ownership requirements, we generally are required to maintain records regarding the actual ownership of our shares of beneficial interest. To do so, we must demand written statements each year from the record holders of significant percentages of our stock pursuant to which the record holders must disclose the actual owners of the shares (i.e., the persons required to include our distributions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Treasury Regulations to submit a statement with your tax return disclosing your actual ownership of our stock and other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REIT must have a taxable year that is the calendar year. We have adopted December 31 as our taxable year-end to satisfy this requirement.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Subsidiary Entities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Ownership of Partnership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a partner in an entity that is treated as a partnership for U.S. federal income tax purposes, Treasury Regulations provide that we are deemed to own our proportionate share of the partnership’s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10% value test, as described below, our proportionate share of the partnership’s assets is based on our proportionate interest in the equity and certain debt securities issued by the partnership). We calculate our capital interest in any partnership based on either our percentage ownership of the capital of the partnership or based on the allocations provided in the applicable partnership’s operating agreement, using the more conservative calculation.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control of VICI LP and its subsidiaries and intend to operate them in a manner consistent with the requirements for our qualification as a REIT. We have a non-controlling interest in Harrah’s Joliet LandCo LLC, an entity taxed as a partnership that owns the Harrah’s Joliet property and is the lessor under the related Joliet Lease Agreement. Our non-controlling interest represents a 20% third-party ownership of Harrah’s Joliet LandCo LLC. If we become aware that such entity has taken or may take actions that could jeopardize our status as a REIT or incur unexpected tax liability, we may be forced to dispose of the non-controlling interest or transfer it to a TRS. In addition, it is possible that a partnership or limited liability company could take an action which could cause us to fail the gross income or asset test, and that we would not become aware of such action in time to dispose of our interest in the partnership or limited liability company or otherwise take corrective action on a timely basis. In that case, we could fail to qualify to be taxed as a REIT unless we were entitled to relief, as described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Disregarded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own a corporate subsidiary that is a “qualified REIT subsidiary,” that subsidiary is generally disregarded as a separate entity for U.S. 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(through disregarded subsidiaries) wholly owned by a REIT. Other entities that are wholly owned by us or our subsidiaries,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disregarded subsidiary of ours ceases to be wholly 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generally be treated as a either a partnership or a taxable corporation. Such an event could, depending on the circumstances, adversely affect our ability to satisfy the various asset and gross income requirements applicable to REITs, including the requirements that REITs generally may not own, directly or indirectly, more than 10% of the securities of another corporation. See “—Asset Tests” and “—Income Tests”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Taxable REIT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we may jointly elect with a subsidiary corporation, whether or not wholly owned, to treat such subsidiary corporation as a TRS. We generally may not own more than 10% of the securities of a taxable corporation, as measured by voting power or value, and no more than 5% of the value of our assets can be represented by the securities of any single taxable corporation, in each case unless we and such corporation elect to treat such corporation as a TRS, provided that not more than 20% of the value of our total assets is represented by securities of one or more TRSs (25% for our 2017 taxable year). The separate existence of a TRS or other taxable corporation is not ignored for U.S. federal income tax purposes. Accordingly, a TRS or other taxable subsidiary corporation generally is subject to corporate income tax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INTE"/>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earnings, which may reduce the cash flow that we and our subsidiaries generate in the aggregate and may reduce our ability to make distributions to VICI REIT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treated as holding the assets of a TRS or other taxable subsidiary corporation or as receiving any income that the subsidiary earns. Rather, the stock issued by a taxable subsidiary corporation to us is an asset in our hands, and we generally treat the distributions paid to us from such taxable subsidiary corporation, if any, as income. This treatment can affect our income and asset test calculations, as described below. Because we do not include the assets and income of TRSs or other taxable subsidiary corporations on a look-through basis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perform services or conduct activities that give rise to certain categories of income or to conduct activities that, if conducted by us directly, would be treated in our hands as prohibited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federal income tax law limits the deductibility of interest paid or accrued by a TRS to its parent REIT to assure that the TRS is subject to an appropriate level of corporate taxation. Further, the rules impose a 100% excise tax on certain transactions between a TRS and its parent REIT or the REIT’s tenants that are not conducted on an arm’s-length basis. We intend that all of our transactions with our TRSs, if any and as applicable, will be conducted on an arm’s-length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subsidiaries that are corporations and TRSs. In the future, we may form or acquire additional TRSs, or elect to treat certain existing subsidiaries that are qualified REIT subsidiaries or disregarded entities as TRSs. TRSs might be used to hold all or a portion of an investment that, for example, would be treated as a non-real estate security for purposes of the REIT asset tests or excess personal property when testing rents from real property.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Tests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qualify to be taxed as a REIT, we must satisfy two gross income requirements on an annual basis. First, at least 75% of our gross income for each taxable year, excluding gross income from sales of inventory or dealer property in “prohibited transactions,” discharge of indebtedness, certain hedging transactions and certain foreign currency gains, generally must be derived from “rents from real property,” gains from the sale of real estate assets (other than certain publicly offered REIT debt instruments that would not be real estate assets but for the inclusion of publicly offered REIT debt instruments), interests and gain derived from mortgage loans secured by real property or an interest in real property (including certain types of mortgage-backed securities and certain mortgage loans secured by both real and personal property), dividends received from other REITs, and specified income from temporary investments. Second, at least 95% of our gross income in each taxable year, excluding gross income from “prohibited transactions,” discharge of indebtedness, certain hedging transactions and certain foreign currency gains,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Rents from Real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Rents we receive from a tenant generally will qualify as “rents from real property” for the purpose of satisfying the gross income requirements for a REIT described above only if all of the conditions described below are met: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rent is not based in whole or in part on the income or profits of any person from the property. However, an amount we receive or accrue generally will not be excluded from the term “rents from real property” solely because it is based on a fixed-percentage or percentages of gross receipts or sales;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 actual or constructive owner of 10% or more of VICI REIT shares actually or constructively owns 10% or more of the interests in the assets or net profits of a non-corporate tenant, or, if the tenant is a corporation for U.S. federal income tax purposes, 10% or more of the total combined voting power of all classes of stock entitled to vote or 10% or more of the total value of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6"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classes of stock of the tenant, taking into account applicable complex attribution rules. To ensure that our rental income will not be treated as nonqualifying income under the rule described in the preceding sentence, and thus to ensure that we will not inadvertently lose our REIT status as a result of the ownership of shares by a tenant, or a person that holds an interest in a tenant, our charter provides restrictions on ownership and transfer of our shares, including restrictions on such ownership or transfer that would cause the rents received or accrued by us from tenants to be treated as nonqualifying rent for purposes of the REIT gross income requirements. Stockholders should be aware that events unknown to us (i.e., events other than a purchase or other transfer of shares) may result in ownership, under the applicable attribution rules, of shares in excess of our charter ownership limits.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Rents we receive from such a tenant that is a TRS of ours, however, will not be excluded from the definition of “rents from real property” as a result of this condition if at least 90% of the space at the property to which the rents relate is leased to third parties, and the rents paid by the TRS are substantially comparable to rents paid by our other tenants for comparable space. Whether rents paid by a TRS are substantially comparable to rents paid by other tenants is determined at the time the lease with the TRS is entered into, extended, and modified, if such modification increases the rents due under such lease. Notwithstanding the foregoing, however, if a lease with a “controlled taxable REIT subsidiary” is modified and such modification results in an increase in the rents payable by such TRS, any such increase will not qualify as “rents from real property.” For purposes of this rule, a “controlled taxable REIT subsidiary” is a TRS in which the parent REIT owns stock possessing more than 50% of the voting power or more than 50% of the total value of the outstanding stock of such TRS; </w:t>
      </w:r>
      <w:r>
        <mc:AlternateContent>
          <mc:Choice Requires="wps">
            <w:drawing>
              <wp:anchor behindDoc="0" distT="7874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7"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 attributable to personal property that is leased in connection with a lease of real property is not greater than 15% of the total rent received under the lease. If this condition is not met, then the portion of the rent attributable to personal property will not qualify as “rents from real property”; and </w:t>
      </w:r>
      <w:r>
        <mc:AlternateContent>
          <mc:Choice Requires="wps">
            <w:drawing>
              <wp:anchor behindDoc="0" distT="7747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8"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are not permitted to operate or manage our properties or to furnish or render services to our tenants, subject to a 1% de minimis exception and except as further provided below. We are permitted, however, to perform directly certain services that are “usually or customarily rendered” in connection with the rental of space for occupancy only and are not otherwise considered “rendered to the occupant” of the property. Examples of these permitted services include the provision of light, heat, or other utilities, trash removal and general maintenance of common areas. In addition, we are permitted to employ an independent contractor from whom we derive no revenue, or a TRS that is wholly or partially owned by us, to provide both customary and non-customary property management or services to our tenants without causing the rent that we receive from those tenants to fail to qualify as “rents from real property.” Any dividends that we receive from a TRS with respect to the TRS’s provision of non-customary services will, however, be nonqualifying income under the 75% gross income test. </w:t>
      </w:r>
      <w:r>
        <mc:AlternateContent>
          <mc:Choice Requires="wps">
            <w:drawing>
              <wp:anchor behindDoc="0" distT="7747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9"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all of our leases meet the above requirements so that rents we receive are “rents from real property.” We intend to structure future leases such that we are in compliance with the 75% and 95% gross income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order for the rent payable under the leases of our properties to constitute “rents from real property,” the leases must be respected as true leases for U.S. federal income tax purposes and not treated as service contracts, joint ventures, financing arrangements, or another type of arrangement. We have structured, and generally expect to continue to structure, our leases to qualify as true leases for U.S. federal income tax purposes. For example, with respect to the leases, generally: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ground lease holder or property owning entity, on the one hand, and the lessee, on the other hand, intend for their relationship to be that of a lessor and lessee, and such relationship will be documented by a lease agreement; </w:t>
      </w:r>
      <w:r>
        <mc:AlternateContent>
          <mc:Choice Requires="wps">
            <w:drawing>
              <wp:anchor behindDoc="0" distT="7747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70"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has the right to exclusive possession and use and quiet enjoyment of the property covered by the lease during the term of the lease; </w:t>
      </w:r>
      <w:r>
        <mc:AlternateContent>
          <mc:Choice Requires="wps">
            <w:drawing>
              <wp:anchor behindDoc="0" distT="7747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7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bears the cost of, and is responsible for, day-to-day maintenance and repair of the property and is responsible for how the property is operated; </w:t>
      </w:r>
      <w:r>
        <mc:AlternateContent>
          <mc:Choice Requires="wps">
            <w:drawing>
              <wp:anchor behindDoc="0" distT="0" distB="0" distL="254000" distR="0" simplePos="0" locked="0" layoutInCell="1" allowOverlap="1" relativeHeight="374">
                <wp:simplePos x="0" y="0"/>
                <wp:positionH relativeFrom="column">
                  <wp:align>left</wp:align>
                </wp:positionH>
                <wp:positionV relativeFrom="line">
                  <wp:posOffset>635</wp:posOffset>
                </wp:positionV>
                <wp:extent cx="127000" cy="350520"/>
                <wp:effectExtent l="0" t="0" r="0" b="0"/>
                <wp:wrapSquare wrapText="right"/>
                <wp:docPr id="37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bears the costs and expenses of operating the property, including the cost of any inventory used in their operation, during the term of the lease; </w:t>
      </w:r>
      <w:r>
        <mc:AlternateContent>
          <mc:Choice Requires="wps">
            <w:drawing>
              <wp:anchor behindDoc="0" distT="8001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benefits from any savings and bears the burdens of any increases in the costs of operating the property during the term of the lease; </w:t>
      </w:r>
      <w:r>
        <mc:AlternateContent>
          <mc:Choice Requires="wps">
            <w:drawing>
              <wp:anchor behindDoc="0" distT="8001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4"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damage or destruction to a property, the lessee will be at economic risk because it will bear the economic burden of the loss in income from operation of the property subject to the right, in certain circumstances, to terminate the lease in whole or in part if the lessor does not restore the property to its prior condition; </w:t>
      </w:r>
      <w:r>
        <mc:AlternateContent>
          <mc:Choice Requires="wps">
            <w:drawing>
              <wp:anchor behindDoc="0" distT="8001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5"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generally indemnifies the lessor against all liabilities imposed on the lessor during the term of the lease by reason of (A) injury to persons or damage to property occurring at the property or (B) the lessee’s use, management, maintenance or repair of the property; </w:t>
      </w:r>
      <w:r>
        <mc:AlternateContent>
          <mc:Choice Requires="wps">
            <w:drawing>
              <wp:anchor behindDoc="0" distT="8001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6"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is obligated to pay, at a minimum, substantial base rent for the period of use of the property under the lease; </w:t>
      </w:r>
      <w:r>
        <mc:AlternateContent>
          <mc:Choice Requires="wps">
            <w:drawing>
              <wp:anchor behindDoc="0" distT="8001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7"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lessee stands to incur substantial losses or reap substantial gains depending on how successfully it operates the property; </w:t>
      </w:r>
      <w:r>
        <mc:AlternateContent>
          <mc:Choice Requires="wps">
            <w:drawing>
              <wp:anchor behindDoc="0" distT="8001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8"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lease enables the tenant to derive a meaningful profit, after expenses and taking into account the risks associated with the lease, from the operation of the property during the term of the lease; and </w:t>
      </w:r>
      <w:r>
        <mc:AlternateContent>
          <mc:Choice Requires="wps">
            <w:drawing>
              <wp:anchor behindDoc="0" distT="8001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9"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of the lease, the property will be expected to have a remaining useful life equal to at least 20% of its expected useful life on the date the lease is entered into, and a fair market value equal to at least 20% of its fair market value on the date the lease was entered into. </w:t>
      </w:r>
      <w:r>
        <mc:AlternateContent>
          <mc:Choice Requires="wps">
            <w:drawing>
              <wp:anchor behindDoc="0" distT="8128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80"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treat our leases with respect to our properties as true leases for U.S. federal income tax purposes; however, there can be no assurance that the IRS would not consider a particular lease a financing arrangement instead of a true lease for U.S. federal income tax purposes. In that case, and in any case in which we intentionally structure a lease as a financing arrangement, our income from that lease would be interest income rather than rent and we expect to treat that interest as qualifying income for purposes of the 75% gross income test to the extent that the deemed “loan” amount does not exceed the fair market value of the real estate assets leased (and thus deemed to secure the deemed loan). All of the interest income from our loan would be qualifying income for purposes of the 95% gross income test. In addition, we expect to treat only a portion of the deemed “loan” amount as a qualifying “real estate asset” for purposes of the 75% asset test if and to the extent the loan amount does not exceed the fair market value of the real estate assets leased (and thus deemed to be securing the deemed loan). We believe that the characterization of a lease as a financing arrangement would not adversely affect our ability to qualify as a REIT.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constitutes qualifying mortgage interest for purposes of the 75% gross income test (as described above) to the extent that the obligation upon which such interest is paid is secured by a mortgage on (i) real property or an interest in real property or (ii) property described in (i) and other property if such other property constitutes 15% or less of the total fair market value of the secured property. If we receive interest income with respect to a mortgage loan that is described in the preceding clause (ii), such interest income may need to be apportioned between the real property and the other collateral for purposes of the 75% gross income test. Even if a loan is not secured by real property, or is not fully secured by real property, the income that it generates may nonetheless qualify for purposes of the 95% gross income test.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originate or acquire mezzanine loans or investments treated as subordinated debt for U.S. federal income tax purposes. Mezzanine loans include loans secured by equity interests in an entity that directly or indirectly owns real property, rather than by a direct mortgage of the real property. Revenue Procedure 2003-65 provides a safe harbor under which loans secured by a first priority security interest in ownership interests in a partnership or limited liability company owning real property will be treated as real estate assets for purposes of the REIT asset tests described below, and interest derived from those loans will be treated as qualifying income for both the 75% and 95% gross income tests, provided several requirements are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Revenue Procedure 2003-65 provides a safe harbor on which taxpayers may rely, it does not prescribe rules of substantive tax law. Moreover, it is possible that some mezzanine loans may not meet all of the requirements for reliance on the safe harbor. We intend to invest in mezzanine loans in a manner that will enable us to satisfy the REIT gross income and asset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however, will be qualifying income for purposes of both the 95% and 75% gross income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Fee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fee income that we earn will generally not be qualifying income for purposes of either gross income test. Any fees earned by a TRS, however, will not be included for purposes of our gross income tests.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Hedging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or to be incurred to acquire or carry “real estate assets” ​(as described under “—Asset Tests,” below), and the instrument is properly identified as a hedge along with the risk that it hedges within prescribed time periods. Certain items of income or gain attributable to hedges of foreign currency fluctuations with respect to income that satisfies the REIT gross income requirements may also be excluded from the 95% and 75% gross income tests as well as certain items of income or gain attributable to certain counteracting hedges that offset prior qualifying hedges where the prior debt is repaid or qualifying assets underlying such prior hedges are sold.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Forward Sale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 into forward sale agreements from time to time and, subject to certain conditions, we have the right to elect physical, cash or net share settlement under these agreements at any time and from time to time, in part or in full. In the event that we elect to settle the forward sale agreements for cash and the settlement price is below the forward sale price, we would be entitled to receive a cash payment from the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the forward sale agreements qualify as “securities futures contracts,” the U.S. federal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ASTE"/>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treatment of any cash settlement payment we receive is uncertain. In the event that we recognize a significant gain from the cash settlement of the forward sale agreements, we might not be able to satisfy the gross income requirements applicable to REITs under the Code.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Failure to Satisfy the Gross Income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 (ii)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we will be required to pay a tax equal to (1) the greater of (A) the amount by which we fail to satisfy the 75% gross income test and (B) the amount by which we fail to satisfy the 95% gross income test, multiplied by (2) a fraction intended to reflect our profitability (i.e., generally our net income divided by our gross income). We may not always be able to comply with the gross income tests for REIT qualification despite periodic monitoring of our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Asset Tests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close of each calendar quarter, we must also satisfy certain tests relating to the nature of our assets. Specifically: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and stock of other REITs, as well as some kinds of mortgage-backed securities and mortgage loans. The term “real estate assets” also includes debt instruments of publicly offered REITs, personal property securing a mortgage secured by both real property and personal property if the fair market value of such personal property does not exceed 15% of the total fair market value of all such property, and personal property leased in connection with a lease of real property generating qualifying rents from real property for which the rent attributable to personal property is not greater than 15% of the total rent received under the lease. Assets that do not qualify for purposes of the 75% asset test are subject to the additional asset tests described below;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1"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any one issuer’s securities that we own may not exceed 5% of the value of our total assets; </w:t>
      </w:r>
      <w:r>
        <mc:AlternateContent>
          <mc:Choice Requires="wps">
            <w:drawing>
              <wp:anchor behindDoc="0" distT="7620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2"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own more than 10% of any one issuer’s outstanding securities, as measured by either voting power or value. The 5% and 10% asset tests do not apply to securities of TRSs or qualified REIT subsidiaries and the 10% asset test does not apply to “straight debt” having specified characteristics or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3"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value of all securities of TRSs that we hold, may not exceed 20% of the value of our total assets; and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4"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5"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general rule, as noted above, that for purposes of the REIT income and asset tests we are treated as owning our proportionate share of the underlying assets of a subsidiary partnership, if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indebtedness issued by a partnership, the indebtedness will be subject to, and may cause a violation of, the asset tests unless the indebtedness is a qualifying mortgage asset or other conditions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although stock of another REIT is a qualifying asset for purposes of the REIT asset tests, any non-mortgage debt that is issued by another REIT may not so qualify (although such debt will not be treated as “securities” for purposes of the 10% asset test, as explained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securities will not cause a violation of the 10% asset test (for purposes of value) described above. Such securities include instruments that constitute “straight debt,” which term generally excludes, among other things, securities having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value limitation. Such securities include (i) any loan made to an individual or an estate, (ii) certain rental agreements pursuant to which one or more payments are to be made in subsequent years (other than agreements between a REIT and certain persons related to the REIT under attribution rules), (iii) any obligation to pay rents from real property, (iv) securities issued by governmental entities that are not dependent in whole or in part on the profits of (or payments made by) a non-governmental entity, (v) any security (including debt securities) issued by another REIT and (vi) any debt instrument issued by a partnership if the partnership’s income is of a nature that it would satisfy the 75% gross income test described above under “—Income Tests.” In applying the 10% value limitation, a debt security issued by a partnership is not taken into account to the extent, if any, of the REIT’s proportionate interest in the equity and certain debt securities issued by that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independent appraisals have been obtained to support our conclusions as to the value of our total assets or the value of any particular security or securities.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cause a violation of the REIT asset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VICI REIT to lose its REIT qualification if (i) it satisfied the asset tests at the close of the preceding calendar quarter and (ii) the discrepancy between the value of its assets and the asset requirements was not wholly or partly caused by an acquisition of nonqualifying assets, but instead arose from changes in the relative market values of our assets. If the condition described in (ii) were not satisfied, VICI REIT still could avoid disqualification by eliminating any discrepancy within 30 days after the close of the calendar quarter in which it arose or by making use of the relief provisions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de minimis 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period of time prescribed by Treasury Regulations to be issued, or the relevant tests are otherwise satisfied within that time frame.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did not qualify for the foregoing relief provisions, one additional provision allows a REIT that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and (iv) the REIT either disposes of the assets causing the failure within six months after the last day of the quarter in which it identifies the failure or the period of time prescribed by Treasury Regulations to be issued, or otherwise satisfies the relevant asset tests within that time frame.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ADR"/>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Distribution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qualify to be taxed as a REIT, we are required to make distributions, other than capital gain dividends, to our stockholders in an amount at least equal to the sum of: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REIT taxable income (with certain adjustments), computed without regard to our net capital gains and the deduction for dividends paid; and </w:t>
      </w:r>
      <w:r>
        <mc:AlternateContent>
          <mc:Choice Requires="wps">
            <w:drawing>
              <wp:anchor behindDoc="0" distT="8255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6"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after-tax net income, if any, from foreclosure property (as described below); minus the excess of the sum of specified items of non-cash income over 5% of our REIT taxable income, computed without regard to our net capital gain and the deduction for dividends paid. </w:t>
      </w:r>
      <w:r>
        <mc:AlternateContent>
          <mc:Choice Requires="wps">
            <w:drawing>
              <wp:anchor behindDoc="0" distT="8255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7"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must make these distributions in the taxable year to which they relate, or in the following taxable year if declared before we timely file our tax return for the year and if paid with or before the first regular distribution payment after such declaration. These distributions will be treated as received by VICI REIT stockholders in the year in which paid, except that any distribution that we declare in October, November or December of any year and that is payable to a stockholder of record on a specified date in any such month will be treated as both paid by us and received by the stockholder on December 31 of such year, provided that we actually pay the distribution before the end of January of the following calendar year.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distribute, with respect to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distribute at least 90%, but less than 100%, of our REIT taxable income, as adjusted, we will be subject to tax at ordinary corporate tax rates on the retained portion. We have the ability to elect to retain, rather than distribute, some or all of our net long-term capital gains and pay tax on such gains. If we were to make this election, VICI REIT stockholders would include their proportionate shares of such undistributed long-term capital gains in income and receive a corresponding credit for their share of the tax that we paid. VICI REIT stockholders would then increase the adjusted basis of their shares by the difference between (i) the amounts of capital gain dividends that we designated and that they included in their taxable income, minus (ii) the tax that we paid on their behalf with respect to that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may have available net operating losses carried forward from prior tax years, such losses, subject to applicable limitations, may reduce the amount of distributions that we must make in order to comply with the REIT distribution requirements. Such losses, however, will generally not affect the tax treatment to VICI REIT stockholders of any distributions that are actually made. See “—Taxation of Stockholders—Taxation of Taxable U.S. Stockholders—Distributions,”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not have sufficient cash or other liquid assets to meet the distribution requirements described above, including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distributions or we may pay distributions through the distribution of other property (including our stock) in order to meet the distribution requirements, while preserving our cash.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taxable income for a particular year is subsequently determined to have been understated, we may be able to rectify a resultant failure to meet the distribution requirements for a year by paying “deficiency dividends” to stockholders in a later year, which may be included in our deduction for distributions paid for the earlier year but treated as an additional distribution to our stockholders in the year such dividends are paid. In this case, VICI REIT may be able to avoid losing REIT qualification or being taxed on amounts distributed as deficiency dividends. We will be required to pay interest based on the amount of any deduction taken for deficiency dividends.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PRTR"/>
      <w:bookmarkEnd w:id="81"/>
      <w:r>
        <w:rPr>
          <w:rFonts w:ascii="calibri;arial;sans-serif" w:hAnsi="calibri;arial;sans-serif"/>
          <w:b w:val="false"/>
          <w:i w:val="false"/>
          <w:caps w:val="false"/>
          <w:smallCaps w:val="false"/>
          <w:color w:val="000000"/>
          <w:sz w:val="16"/>
        </w:rPr>
        <w:t>​</w:t>
      </w:r>
      <w:bookmarkStart w:id="82" w:name="tDAHT"/>
      <w:bookmarkEnd w:id="82"/>
      <w:r>
        <w:rPr>
          <w:rFonts w:ascii="calibri;arial;sans-serif" w:hAnsi="calibri;arial;sans-serif"/>
          <w:b w:val="false"/>
          <w:i w:val="false"/>
          <w:caps w:val="false"/>
          <w:smallCaps w:val="false"/>
          <w:color w:val="000000"/>
          <w:sz w:val="16"/>
        </w:rPr>
        <w:t>​</w:t>
      </w:r>
      <w:bookmarkStart w:id="83" w:name="tFOPR"/>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that we derive from a prohibited transaction is subject to a 100% tax. The term “prohibited transaction” generally includes a sale or other disposition of property (other than foreclosure property, as discussed below) that is held as inventory or primarily for sale to customers in the ordinary course of a trade or business. We intend to conduct our operations so that no asset that we own (or are treated as owning) will be treated as, or having been, held as inventory or for sale to customers, and that a sale of any such asset will not be treated as having been in the ordinary course of our business. Whether property is held as inventory or “primarily for sale to customers in the ordinary course of a trade or business” depends on the particular facts and circumstances. No assurance can be given that any property that we sell will not be treated as inventory or property held for sale to customers, or that we can comply with certain safe-harbor provisions of the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Derivatives and Hedging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(i) income from a hedging transaction we enter into (A) in the normal course of our business primarily to manage risk of interest rate changes or currency fluctuations with respect to borrowings made or to be made, or ordinary obligations incurred or to be incurred, to acquire or carry real estate assets, including gain from the sale or disposition of a position in such a transaction or (B) primarily to manage risk of currency fluctuations with respect to any item of income or gain that would be qualifying income under the 75% or 95% income tests will not constitute gross income for purposes of the 75% or 95% gross income test; and (ii) if we enter into a position described in clause (i)(A) above with respect to indebtedness described therein or clause (i)(B) above with respect to property generating income described therein, and in connection with the extinguishment or disposition of such indebtedness or property we enter into a transaction that would be a hedging transaction within the meaning of clause (i) above as to any position referred to in this clause (ii) if such position were ordinary property, then any income from such a position or transaction described in this clause (ii) will not constitute gross income for purposes of the 75% or 95% gross income test so long as, in each of the foregoing clauses (i) and (ii), the transaction or position is clearly identified, as specified in Treasury Regulations, before the close of the day on which it was acquired, originated, or entered into. To the extent that we enter into hedging transactions that are not described in the preceding clause (i) or (ii), the income from these transactions is likely to be treated as nonqualifying income for purposes of both the 75% and 95% gross income tests. Moreover, to the extent that a position in a hedging transaction has positive value at any particular point in time, it may be treated as an asset that does not qualify for purposes of the REIT asset tests. We intend to structure and have structured any hedging transactions in a manner that does not jeopardize our qualification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or assets that do not qualify for purposes of the REIT tests, or that our hedging activities will not adversely affect our ability to satisfy the REIT qualification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Foreclosure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Foreclosure property is real property and any personal property incident to such real property (i)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(ii) for which we acquired the related loan or lease at a time when default was not imminent or anticipated and (iii) with respect to which we made a proper election to treat the property as foreclosure property. We generally will be subject to tax at the maximum corporate rate (currently 21%) on any net income from foreclosure property,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PETA"/>
      <w:bookmarkEnd w:id="84"/>
      <w:r>
        <w:rPr>
          <w:rFonts w:ascii="calibri;arial;sans-serif" w:hAnsi="calibri;arial;sans-serif"/>
          <w:b w:val="false"/>
          <w:i w:val="false"/>
          <w:caps w:val="false"/>
          <w:smallCaps w:val="false"/>
          <w:color w:val="000000"/>
          <w:sz w:val="16"/>
        </w:rPr>
        <w:t>​</w:t>
      </w:r>
      <w:bookmarkStart w:id="85" w:name="tRKR"/>
      <w:bookmarkEnd w:id="85"/>
      <w:r>
        <w:rPr>
          <w:rFonts w:ascii="calibri;arial;sans-serif" w:hAnsi="calibri;arial;sans-serif"/>
          <w:b w:val="false"/>
          <w:i w:val="false"/>
          <w:caps w:val="false"/>
          <w:smallCaps w:val="false"/>
          <w:color w:val="000000"/>
          <w:sz w:val="16"/>
        </w:rPr>
        <w:t>​</w:t>
      </w:r>
      <w:bookmarkStart w:id="86" w:name="tBGT"/>
      <w:bookmarkEnd w:id="86"/>
      <w:r>
        <w:rPr>
          <w:rFonts w:ascii="calibri;arial;sans-serif" w:hAnsi="calibri;arial;sans-serif"/>
          <w:b w:val="false"/>
          <w:i w:val="false"/>
          <w:caps w:val="false"/>
          <w:smallCaps w:val="false"/>
          <w:color w:val="000000"/>
          <w:sz w:val="16"/>
        </w:rPr>
        <w:t>​</w:t>
      </w:r>
      <w:bookmarkStart w:id="87" w:name="tFTQ"/>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We do not anticipate receiving any income from foreclosure property that does not qualify for purposes of the 75% gross income test.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Penalty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redetermined rents, redetermined deductions, excess interest or redetermined TRS service income we generate will be subject to a 100% penalty tax. In general, redetermined rents are rents from real property that are overstated as a result of any services furnished to any of our tenants by a TRS, and redetermined deductions and excess interest represent any amounts that are deducted by a TRS for amounts paid to us that are in excess of the amounts that would have been deducted based on arm’s-length negotiations or if the interest payments were at a commercially reasonable rate. Rents that we receive will not constitute redetermined rents if they qualify for certain safe harbor provisions contained in the Code. Redetermined TRS service income generally represents income of a TRS that is understated as a result of services provided to us or on our behalf.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Keeping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required to comply with applicable record keeping requirements. Failure to comply could result in monetary penalties. For example, we must request on an annual basis information from our stockholders designed to disclose the actual ownership of our outstanding shares of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Built-In Gains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dispose of any asset we acquired from a corporation which is or has been a C corporation in a transaction in which our basis in the asset is determined by reference to the basis of the asset in the hands of that C corporation, during the five-year period beginning on the date we acquire the asset, we could be required to pay tax at the highest corporate rate on the gain, if any, we recognize on the disposition of the asset, to the extent that gain does not exceed the excess of (1) the fair market value of the asset over (2) our adjusted basis in the asset, in each case on the date we acquired the asset. Such gain is taken into account in determining our taxable income and capital gains, and the amount of tax paid is taken into account as a loss for purposes of the distribution requirements. This is the case with respect to all or substantially all of the properties acquired from CEOC pursuant to our formation transactions as well as certain other properties we have acquired after our formation. We may acquire additional properties subject to these rules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Qualify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fail to qualify for taxation as a REIT in any taxable year, and the relief provisions described above do not apply, we would be subject to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(as determined for U.S. federal income tax purposes), distributions to stockholders would be taxable as regular corporate dividends. Such dividends paid to U.S. stockholders that are individuals, trusts and estates may be taxable at the preferential income tax rates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currently at a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TAOI"/>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Aspects of Investments in Partnerships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MGP Transactions, VICI REIT will own substantially all of its investments indirectly through VICI OP, which will be VICI REIT’s operating company and is intended to be treated as a partnership for U.S. federal income tax purposes.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VICI REIT will include its allocable share of these partnership items for purposes of computing its REIT taxable income, and for purposes of the various REIT income tests, will include its proportionate share of these partnership items based on its capital interest in such partnership (except that for purposes of the 10% value test, our proportionate share of the partnership’s assets is based on our proportionate interest in the equity and certain debt securities issued by the partnership). Capital interest in a partnership is calculated based on either the partner’s percentage ownership of the capital of the partnership or based on the allocations provided in the applicable partnership’s operating agreement, using the more conservative calculation. Consequently, to the extent that VICI REIT holds an equity interest in a partnership, such partnership’s assets and operations may affect VICI REIT’s ability to continue to qualify as a REIT, even though it may have no control, or only limited influence, over any such partnership.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Entity Classification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by VICI REIT of equity interests in a partnership involves special tax considerations, including the possibility of a challenge by the IRS of the status of a subsidiary partnership as a partnership, as opposed to an association taxable as a corporation, for U.S. federal income tax purposes. If a subsidiary partnership were treated as an association for U.S. federal income tax purposes, it would be taxable as a corporation and, therefore, generally would be subject to an entity-level tax on its income. In such a situation, the character of VICI REIT’s assets and items of its gross income would change and would preclude it from satisfying the REIT asset tests (particularly the tests generally preventing a REIT from owning more than 10% of the voting securities, or more than 10% of the value of the securities, of any one corporation) or the gross income tests as discussed in “—Asset Tests” and “—Income Tests” above, and in turn would prevent VICI REIT from qualifying as a REIT. See “—Failure to Qualify,” above, for a discussion of the effect of VICI REIT’s failure to meet these tests for a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change in the status of a subsidiary partnership for tax purposes might be treated as a taxable event, in which case VICI REIT could have taxable income that is subject to the REIT distribution requirements without receiving any cash.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Allocations with Respect to an Investment in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Code and Treasury Regulations promulgated thereunder, income, gain, loss and deduction attributable to appreciated or depreciated property that is contributed to a partnership in exchange for an interest in the partnership must be allocated for tax purposes in a manner such that the contributing partner is charged with, or benefits from, the unrealized gain or unrealized loss associated with the property at the time of the contribution. The amount of the unrealized gain or unrealized loss at the time of contribution is generally equal to the difference between the fair market value of the contributed property at the time of contribution, and the adjusted tax basis of such property at the time of contribution, or the book-tax difference. Such allocations are solely for U.S. federal income tax purposes and do not affect the book capital accounts or other economic or legal arrangements among the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704(c) of the Code, income, gain, loss and deduction attributable to appreciated or depreciated property that is contributed to a partnership in exchange for an interest in the partnership or partnership property that has been revalued on the books of the partnership, must be allocated in a manner so that the contributing partners, or partners who held an interest in the partnership at the time of such revaluation, are charged with the unrealized gain or benefit from the unrealized loss associated with the property at the time of such contribution or revaluation. Any elections or other decisions relating to VICI OP allocations under Section 704(c) of the Code (including whether to use the “traditional method,”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TOTU"/>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traditional method with curative allocations” or the “remedial method”) shall be made by a wholly owned subsidiary of VICI REIT that will be the managing member of VICI OP.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Partnership Audit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audit adjustment to items of income, gain, loss, deduction, or credit of a partnership (and any partner’s distributive share thereof) is determined, and taxes, interest, or penalties attributable thereto are assessed and collected, at the partnership level. These partnership audit rules could result in partnerships in which we directly or indirectly invest, including VICI OP following the MGP Transactions,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changes and their potential impact on their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Taxable 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material U.S. federal income tax consequences of the ownership and disposition of our stock applicable to taxable U.S. stockholders. A U.S. stockholder is any holder of shares of our stock that is, for U.S. federal income tax purposes a “U.S. person”, which includes: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6985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8"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entity treated as a corporation) created or organized in the United States or under the laws of the United States, or of any state thereof, or the District of Columbia; </w:t>
      </w:r>
      <w:r>
        <mc:AlternateContent>
          <mc:Choice Requires="wps">
            <w:drawing>
              <wp:anchor behindDoc="0" distT="6985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9"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includible in gross income for U.S. federal income tax purposes regardless of its source; or </w:t>
      </w:r>
      <w:r>
        <mc:AlternateContent>
          <mc:Choice Requires="wps">
            <w:drawing>
              <wp:anchor behindDoc="0" distT="6985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90"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U.S. court is able to exercise primary supervision over the administration of such trust and one or more U.S. persons have the authority to control all substantial decisions of the trust or (ii) the trust has a valid election in effect under applicable Treasury Regulations to be treated as a U.S. person for U.S. federal income tax purposes. </w:t>
      </w:r>
      <w:r>
        <mc:AlternateContent>
          <mc:Choice Requires="wps">
            <w:drawing>
              <wp:anchor behindDoc="0" distT="6985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1"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for this purpose any entity that is treated as a partnership for U.S. federal income tax purposes, holds shares of our stock, the tax treatment of a partner in the partnership will generally depend upon the status of the partner and the activities of the partnership. An investor that is a partnership and the partners in such partnership should consult their tax advisors about the material U.S. federal income tax consequences of the acquisition, ownership and disposition of shares of our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 long as we qualify to be taxed as a REIT, the distributions that we make to our taxable U.S. stockholders out of current or accumulated earnings and profits (as determined for U.S. federal income tax purposes) that we do not designate as capital gain dividends will generally be taken into account by such stockholders as ordinary income and will not be eligible for the dividends received deduction for corporations. With limited exceptions, our distributions are not eligible for taxation at the preferential income tax rates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currently at a 20% maximum U.S. federal income tax rate) for qualified dividends received by most U.S. stockholders that are individuals, trusts and estates from taxable C corporations but are generally eligible for a deduction equal to 20% of such distributions. This deduction is scheduled to expire after 2025. Such stockholders, however, are taxed at the preferential rates on distributions designated by and received from REITs to the extent that the distributions are attributable to: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retained by the REIT in the prior taxable year on which the REIT was subject to corporate- level income tax (less the amount of corporate tax on such income); </w:t>
      </w:r>
      <w:r>
        <mc:AlternateContent>
          <mc:Choice Requires="wps">
            <w:drawing>
              <wp:anchor behindDoc="0" distT="7112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2"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received by the REIT from TRSs or other taxable C corporations; or </w:t>
      </w:r>
      <w:r>
        <mc:AlternateContent>
          <mc:Choice Requires="wps">
            <w:drawing>
              <wp:anchor behindDoc="0" distT="7112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in the prior taxable year from the sales of “built-in gain” property acquired by the REIT from C corporations in carryover basis transactions (less the amount of corporate tax on such income). </w:t>
      </w:r>
      <w:r>
        <mc:AlternateContent>
          <mc:Choice Requires="wps">
            <w:drawing>
              <wp:anchor behindDoc="0" distT="7112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that we designate as capital gain dividends will generally be taxed to our U.S. stockholders as long-term capital gains to the extent that such dividends do not exceed our actual net capital gain for the taxable year or our dividends paid for the taxable year, without regard to the period for which the stockholder that receives such dividend has held its shares. We may elect to retain and pay taxes on some or all of our net long- term capital gains, in which case we may elect to apply provisions of the Code that treat our U.S. stockholders as having received, solely for tax purposes, our undistributed capital gains, and the stockholders as receiving a corresponding credit for taxes that we paid on such undistributed capital gains and an increase in the adjusted basis of their shares equal to the difference between (i) the amount of such undistributed capital gains, minus (ii) the amount of such taxes that we paid on their behalf. See “—Taxation of VICI REIT” and “—Annual Distribution Requirements.” U.S. stockholders that are corporations may be required to treat up to 20% of some capital gain dividends as ordinary income. Long-term capital gains are generally taxable at maximum U.S. federal rates of 20% in the case of U.S. stockholders that are individuals, trusts and estates (although depending on the characteristics of the assets that produced these gains and on designations that we may make, certain capital gain dividends may be taxed at a 25% rate), and 21% in the case of U.S. stockholders that are 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excess of our current and accumulated earnings and profits (as determined for U.S. federal income tax purposes) will generally represent a return of capital and will not be taxable to a U.S. stockholder to the extent that the amount of such distributions does not exceed the adjusted basis of the U.S. stockholder’s shares in respect of which the distributions were made. Rather, the distribution will reduce the adjusted basis of the U.S. stockholder’s shares. To the extent that such distributions exceed the adjusted basis of a U.S. stockholder’s shares, the stockholder generally must include such distributions in income as long-term capital gain if the shares have been held for more than one year, or short-term capital gain if the shares have been held for one year or less. In addition, any distribution that we declare in October, November or December of any year and that is payable to a U.S. stockholder of record on a specified date in any such month will be treated as both paid by us and received by the U.S. stockholder on December 31 of such year, provided that we actually pay the distribution before the end of January of the following calendar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have available net operating losses and capital losses carried forward from prior tax years, such losses may reduce the amount of distributions that we must make in order to comply with the REIT distribution requirements. See “—Taxation of VICI REIT” and “—Annual Distribution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losses, however, are not passed through to U.S. stockholders and do not offset income of U.S. stockholders from other sources, nor would such losses affect the character of any distributions that we make, which are generally subject to tax in the hands of U.S. stockholders to the extent that we have current or accumulated earnings and profits (as determined for U.S. federal income tax purposes).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Dispositions of Our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stockholder sells or disposes of shares of our stock, it will generally recognize gain or loss for U.S. federal income tax purposes in an amount equal to the difference between the amount of cash and the fair market value of any property received on the sale or other disposition, and the stockholder’s adjusted tax basis in the shares (generally the amount paid for such shares). In general, capital gains recognized by individuals, trusts and estates upon the sale or disposition of shares of our stock will be subject to a maximum U.S. federal income tax rate of 20% if the shares are held for more than one year, and will be taxed at ordinary income rates (of up to 37%) if the shares are held for one year or less. Gains recognized by U.S. stockholders that are corporations are subject to U.S. federal income tax at a maximum rate of 21%, whether or not such gains are classified as long- term capital gains. Capital losses recognized by a U.S. stockholder upon the disposition of shares of our stock that were held for more than one year at the time of disposition will be considered long-term capital losses, and are generally available only to offset capital gain income of the U.S. stockholder but not ordinary income (except in the case of individuals, trusts and estates who may also offset up to $3,000 of ordinary income each year). In addition, any loss upon a sale or exchange of shares of our stock by a U.S. stockholder who has held the shares for nine months or less, after applying holding period rules, will be treated as a long-term capital loss to the extent of actual or deemed distributions that we make that are required to be treated by the stockholder as long- term capital gain.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investor recognizes a loss upon a subsequent disposition of shares of our stock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should consult your tax advisor concerning any possible disclosure obligation with respect to the receipt or disposition of shares of our stock or transactions that we might undertake directly or indirectly. Moreover, you should be aware that we and other participants in the transactions in which we are involved (including their advisors) might be subject to disclosure or other requirements pursuant to these regulations.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to a holder of preferred stock accorded to any redemption by us (as distinguished from a sale, exchange or other disposition) of our preferred stock can only be determined on the basis of particular facts as to the holder of preferred stock at the time of redemption. In general, a holder of preferred stock will recognize capital gain or loss measured by the difference between the amount received upon the redemption and the holder of the preferred stock’s adjusted tax basis in the preferred stock redeemed (provided the preferred stock is held as a capital asset) if such redemption (i) results in a “complete termination” of a holder’s interest in all classes of our stock under Section 302(b)(3) of the Code or (ii) is “not essentially equivalent to a dividend” with respect to the holder under Section 302(b)(1) of the Code. In applying these tests, there must be taken into account not only any preferred stock owned by the holder, but also such holder’s ownership of common stock, equity shares, other series of preferred stock and any options (including stock purchase rights) to acquire any of the foregoing. The holder also must take into account any such securities (including options) which are considered to be owned by such holder by reason of the constructive ownership rules set forth in Sections 318 and 302(c)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particular holder of preferred stock owns (actually or constructively) none of our common stock or an insubstantial percentage of our outstanding common stock or preferred stock, based upon current law, it is probable that the redemption of preferred stock from such a holder would be considered “not essentially equivalent to a dividend.” However, whether a distribution is “not essentially equivalent to a dividend” depends on all of the facts and circumstances, and a holder of preferred stock intending to rely on any of these tests at the time of redemption should consult its tax advisor to determine their application to its particular situation.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redemption does not meet any of the tests under Section 302 of the Code, then the redemption proceeds received from the preferred stock will be treated as a distribution on the preferred stock as described under “Material U.S. Federal Income Tax Considerations—Taxation of Taxable U.S. Stockholders” and “—Taxation of Non-U.S. Stockholders” in the accompanying prospectus. If the redemption is taxed as a distribution, the holder’s adjusted tax basis in the redeemed preferred stock will be transferred to any other stockholdings of the holder of our preferred stock. If the holder of preferred stock owns no other shares of beneficial interest in us, under certain circumstances, such basis may be transferred to a related person, or it may be lost entirely.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below, (i) a U.S. stockholder generally will not recognize gain or loss upon the conversion of preferred stock into our common stock, and (ii) a U.S. stockholder’s basis and holding period in our common stock received upon conversion generally will be the same as those of the converted preferred stock (but the basis will be reduced by the portion of adjusted tax basis allocated to any fractional share exchanged for cash). Any of our shares of common stock received in a conversion that are attributable to accumulated and unpaid dividends on the converted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stockholder has held the preferred stock for more than one year at the time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TONS"/>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U.S. stockholders are urged to consult with their tax advisors regarding the U.S. federal income tax consequences of any transaction by which such holder exchanges shares of our common stock received on a conversion of preferred stock for cash or other property.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Passive Activity Losses and Investment Interest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that we make and gains arising from the sale or exchange by a U.S. stockholder of our stock will not be treated as passive activity income. As a result, stockholder will not be able to apply any “passive losses” against income or gain relating to our stock. A U.S. stockholder may elect to treat capital gain dividends, capital gains from the disposition of our capital shares and income designated as qualified dividend income, as described above, as investment income for purposes of computing the investment interest limitation, but in such case, the stockholder will be taxed at ordinary income rates on such amount. To the extent that distributions we make do not constitute a return of capital, they will generally be treated as investment income for purposes of computing the investment interest limitation.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Non-U.S.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of the ownership and disposition of shares of our stock applicable to non-U.S. stockholders. A “non-U.S. stockholder” is any holder of shares of our stock other than a partnership or U.S. person.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distributions received by non-U.S. stockholders that (i) is payable out of our current or accumulated earnings and profits, (ii) is not designated as capital gains, (iii) is not effectively connected with a U.S. trade or business of the non-U.S. stockholder (or if required by an applicable income tax treaty, the non-U.S. stockholder does not maintain a permanent establishment in the United States to which such distributions are attributable) and (iv) is not attributable to gains from the sales or exchanges of United States real property interests, as defined in Section 897 of the Code (“USRPIs”), will be subject to U.S. withholding tax at the rate of 30%, unless reduced or eliminated by treaty. Under certain treaties, however, lower withholding rates generally applicable to dividends do not apply to dividends from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non-U.S. stockholders will not be considered to be engaged in a U.S. trade or business solely as a result of their ownership of shares of our stock. In cases where the distribution income from a non-U.S. stockholder’s investment in our stock is, or is treated as, effectively connected with the non-U.S. stockholder’s conduct of a U.S. trade or business (through a United States permanent establishment, where applicable), the non-U.S. stockholder generally will be subject to U.S. federal income tax at graduated rates, in the same manner as U.S. stockholders are taxed with respect to such distributions. Such effectively connected income must generally be reported on a U.S. income tax return filed by or on behalf of the non-U.S. stockholder. The income, as adjusted for certain items, may also be subject to a branch profits tax at the rate of 30% (unless reduced or eliminated by treaty) in the case of a non-U.S. stockholder that is a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below, we expect to withhold U.S. federal income tax at the rate of 30% on any distributions made to a non-U.S. stockholder unless (i) a lower treaty rate applies and the non-U.S. stockholder provides us an IRS Form W-8BEN or W-8BEN-E (or applicable successor form) evidencing eligibility for that reduced treaty rate; or (ii) the non-U.S. stockholder provides us an IRS Form W-8ECI (or applicable successor form) with us claiming that the distribution is income effectively connected with the non-U.S. stockholder’s trade or business.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Non-Dividend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shares of our stock constitute a USRPI, distributions that we make which are not dividends out of our earnings and profits, not attributable to gain from the disposition of USRPIs and not in excess of the adjusted tax basis of the non-U.S. stockholder’s shares will not be subject to U.S. income tax. If we cannot determine at the time a distribution is made whether or not the distribution will exceed current and accumulated earnings and profits, the distribution will be subject to withholding at the rate applicable to dividends. For withholding purposes, because we generally cannot determine at the time we make a distribution whether the distribution will exceed our current and accumulated earnings and profits, we expect to treat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distributions as made out of our current or accumulated earnings and profits. The non-U.S. stockholder may seek a refund from the IRS of any amounts withheld if it is subsequently determined that the distribution was, in fact, in excess of our current and accumulated earnings and profits. To the extent that such distributions exceed the non-U.S. stockholder’s adjusted tax basis in such shares, the distributions will generally give rise to gain from the sale or exchange of such shares, the tax treatment of which is described below. However, such excess distributions may be treated as dividend income for certain non-U.S. stockholders. </w:t>
      </w:r>
    </w:p>
    <w:p>
      <w:pPr>
        <w:pStyle w:val="TextBody"/>
        <w:bidi w:val="0"/>
        <w:spacing w:lineRule="atLeast" w:line="23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 Gain Dividends and Distributions Attributable to a Sale or Exchange of United States Real Property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Foreign Investment in Real Property Tax Act of 1980 (“FIRPTA”), a distribution that we make to a non-U.S. stockholder, to the extent attributable to gains from dispositions of USRPIs that we held directly or through pass-through subsidiaries, or USRPI capital gains, will, except as described below, be considered effectively connected with a U.S. trade or business of the non-U.S. stockholder and will be subject to U.S. income tax at the rates applicable to U.S. individuals or corporations, without regard to whether we designate the distribution as a capital gain dividend. See above under “—Ordinary Dividends” for a discussion of the consequences of income that is effectively connected with a U.S. trade or business. In addition, we will be required to withhold tax equal to 21% (20% to the extent provided in Treasury Regulations) of the maximum amount that could have been designated as USRPI capital gain dividends. Distributions subject to FIRPTA may also be subject to a branch profits tax at the rate of 30% (unless reduced or eliminated by treaty) in the hands of a non-U.S. stockholder that is a corporation. A distribution is not attributable to USRPI capital gain if we held an interest in the underlying asset solely as a creditor. Dividends received by a non-U.S. stockholder that we properly designate as capital gain dividends and are attributable to dispositions of assets other than USRPIs generally are not subject to U.S. federal income or withholding tax, unless (i) the investment in our stock is effectively connected with the non-U.S. stockholder’s U.S. trade or business (through a United States permanent establishment where applicable), in which case the non-U.S. stockholder would be subject to the same treatment as U.S. stockholders with respect to such gain, except that a non-U.S. stockholder that is a corporation may also be subject to a branch profits tax at the rate of 30% (unless reduced or eliminated by treaty), or (ii) the non-U.S. stockholder is a nonresident alien individual who was present in the United States for 183 days or more during the taxable year and certain other conditions are met, in which case the non-U.S. stockholder will be subject to a 30% tax on his or her capital gains (reduced by certain capital losses). Substantially all of our assets will constitute USRPIs.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capital gain dividend that would otherwise have been treated as a USRPI capital gain will not be so treated or be subject to FIRPTA, and generally will not be subject to the 21% withholding tax described above, and instead will be treated in the same manner as an ordinary dividend; if the distribution is received (i) with respect to a class of shares that is regularly traded on an established securities market located in the United States and the recipient non-U.S. stockholder does not own more than 10% of that class of shares at any time during the year ending on the date on which the distribution is received; (ii) by certain non-U.S. publicly traded stockholders that meet certain record-keeping and other requirements (“qualified stockholders”) except to the extent owners of such qualified stockholders that are not also qualified stockholders own, actually or constructively, more than 10% of our capital shares; or (iii) by a “qualified foreign pension fund” ​(as defined in the Code) or any entity all of the interests of which are held by such a qualified foreign pension fund. We anticipate that our common stock will continue to be “regularly traded” on an established securities market in the United States.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of Net Capital Gains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law is not clear on the matter, it appears that amounts we designate as retained net capital gains in respect of our stock held by U.S. stockholders generally should be treated with respect to non-U.S. stockholders in the same manner as actual distributions of capital gain dividends. Under this approach, the non-U.S. stockholders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stockholders should consult their tax advisors regarding the taxation of such retained net capital gain.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Dispositions of Our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shares of our stock constitute USRPIs, a sale of such shares by a non-U.S. stockholder generally will not be subject to U.S. taxation under FIRPTA. Subject to certain exceptions discussed below, shares of our stock will be treated as USRPIs if 50% or more of our assets throughout a prescribed testing period consist of interests in real property located within the United States, excluding, for this purpose, interests in real property solely in a capacity as a creditor. We believe that 50% or more of our assets consist, and will continue to consist, of USRPIs.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foregoing 50% test is met, however, shares of our common stock will not constitute a USRPI if we are a “domestically controlled qualified investment entity.” A domestically controlled qualified investment entity includes a REIT, less than 50% of value of which is held, directly or indirectly, by non-U.S. persons at all times during a specified testing period. No assurance can be given that we will be a domestically controlled qualified investment entity.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are not a domestically controlled qualified investment entity, but shares of our common stock are “regularly traded,” as defined by applicable Treasury Regulations, on an established securities market, a non-U.S. stockholder’s sale of shares of our common stock nonetheless also would not be subject to tax under FIRPTA as a sale of a USRPI, provided that the selling non-U.S. stockholder held 10% or less of the outstanding shares of such class of stock at all times during a prescribed testing period. We expect that our common stock will be regularly traded on an established securities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none of the foregoing tests are met and shares of our common stock are not considered to be regularly traded on an established securities market, dispositions of our capital shares by qualified stockholders would still be exempt from FIRPTA, except to the extent owners of such qualified stockholders own, actually or constructively, more than 10% of our capital shares. Furthermore, dispositions of our capital shares by “qualified foreign pension funds” or entities all of the interests of which are held by “qualified foreign pension funds” are exempt from FIRPTA. Non-U.S. stockholders should consult their tax advisors regarding the application of these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gain on the sale of shares of our stock were subject to taxation under FIRPTA, the non-U.S. stockholder would be required to file a U.S. federal income tax return and would be subject to the same treatment as a U.S. stockholder with respect to such gain, subject to applicable alternative minimum tax and a special alternative minimum tax in the case of non-resident alien individuals. Moreover, in order to enforce the collection of the tax, the purchaser of the shares could be required to withhold 15% of the purchase price and remit such amount to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from the sale of shares of our stock that would not otherwise be subject to FIRPTA will nonetheless be taxable in the United States to a non-U.S. stockholder in two cases: (i) if the non-U.S. stockholder’s investment in the shares is effectively connected with a U.S. trade or business conducted by such non-U.S. stockholder (through a United States permanent establishment, where applicable), the non-U.S. stockholder will be subject to the same treatment as a U.S. stockholder with respect to such gain, except that a non-U.S. stockholder that is a corporation may also be subject to a branch profits tax at a rate of 30% (unless reduced or eliminated by treaty), or (ii) if the non-U.S. stockholder is a nonresident alien individual who was present in the United States for 183 days or more during the taxable year and certain other conditions are met, the nonresident alien individual will be subject to a 30% tax on the individual’s capital gain (reduced by certain capital losses). In addition, even if we are a domestically controlled qualified investment entity, upon disposition of shares of our common stock, a non-U.S. stockholder may be treated as having gain from the sale or exchange of a USRPI if the non-U.S. stockholder (a) disposes of shares of our common stock within a 30-day period preceding the ex-dividend date of a distribution, any portion of which, but for the disposition, would have been treated as gain from the sale or exchange of a USRPI and (b) acquires, or enters into a contract or option to acquire, other of shares of the same class of our stock during the 61-day period beginning with the first day of the 30-day period described in clause (a). The preceding sentence shall not apply to a non-U.S. stockholder if the non-U.S. stockholder did not own more than 5% of the shares at any time during the one-year period ending on the date of the distribution described in clause (a) of the preceding sentence and the class of shares is “regularly traded,” as defined by applicable Treasury Regulations, on an established securities market in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TOTS"/>
      <w:bookmarkEnd w:id="91"/>
      <w:r>
        <w:rPr>
          <w:rFonts w:ascii="calibri;arial;sans-serif" w:hAnsi="calibri;arial;sans-serif"/>
          <w:b w:val="false"/>
          <w:i w:val="false"/>
          <w:caps w:val="false"/>
          <w:smallCaps w:val="false"/>
          <w:color w:val="000000"/>
          <w:sz w:val="16"/>
        </w:rPr>
        <w:t>​</w:t>
      </w:r>
      <w:bookmarkStart w:id="92" w:name="tOTC"/>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stockholders are urged to consult their tax advisors regarding the U.S. federal, state, local and foreign income and other tax consequences of owning shares of our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Tax-Exempt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a tax-exempt stockholder has not held shares of our stock as “debt financed property” within the meaning of the Code (i.e., where the acquisition or holding of the property is financed through a borrowing by the tax-exempt stockholder), distributions that we make and income from the sale of the shares generally should not give rise to UBTI to a tax-exempt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stockholders that are social clubs, voluntary employee benefit associations or supplemental unemployment benefit trusts exempt from U.S. federal income taxation under Sections 501(c)(7), (c)(9) or (c)(17) of the Code are subject to different UBTI rules, which generally require such stockholders to characterize distributions that we make as UBTI.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 pension trust that owns more than 10% of the value of shares of our stock could be required to treat a percentage of any distributions received from it as UBTI if we are a “pension- held REIT.” We will not be a pension-held REIT unless (i) we are required to “look through” one or more of our pension trust stockholders in order to satisfy the REIT “closely held” test and (ii) either (a) one pension trust owns more than 25% of the value of shares of our stock or (b) one or more pension trusts, each individually holding more than 10% of the value of the shares, collectively own more than 50% of the value of the shares. Certain restrictions on ownership and transfer of our shares generally should prevent a tax-exempt entity from owning more than 10% of the value of our stock and generally should prevent us from becoming a pension-held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stockholders are urged to consult their tax advisors regarding the U.S. federal, state, local and foreign income and other tax consequences of owning our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Legislative or Other Actions Affecting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dealing with U.S. federal income taxation are constantly under review by persons involved in the legislative process and by the IRS and the U.S. Treasury Department. We cannot give you any assurances as to whether, or in what form, any proposals affecting REITs or their stockholders might be enacted, but these changes might include, in particular, increases in the U.S. federal income tax rates that apply to various categories of holders of our stock in certain circumstances, possibly with retroactive effect. Changes to the U.S. federal tax laws and interpretations thereof could adversely affect an investment in our stock. Investors should consult with their tax advisors regarding the effect of potential changes to the federal tax laws and on an investment in our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Backup Withholding and Information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VICI REIT is required to report to U.S. stockholders of our stock and to the IRS the amount of dividends paid during each calendar year and the amount of any tax withheld. Backup withholding, at a rate of 24% through 2025 and 28% thereafter, may apply to dividends paid to a U.S. stockholders unless such holder (1) is a corporation or comes within other exempt categories and, when required, demonstrates this fact or (2) provides a taxpayer identification number or social security number, certifies under penalties of perjury that such number is correct and that such holder is not subject to backup withholding and otherwise complies with applicable requirements of the backup withholding rules. A U.S. stockholder that does not provide its correct taxpayer identification number or social security number may also be subject to penalties imposed by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VICI REIT is required to report annually to non-U.S. stockholders of shares of our stock the IRS the amount of dividends paid to such non-U.S. stockholders and the tax withheld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dividends, regardless of whether withholding was required. Copies of the information returns reporting such dividends, interest and withholding may also be made available to the tax authorities in the country in which the non-U.S. stockholder resides under the provisions of an applicable income tax treaty. Non-U.S. stockholders may be subject to backup withholding unless applicable certification requirements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from a sale of our stock within the United States is subject to both backup withholding and information reporting requirements unless the beneficial owner certifies under penalties of perjury that it is a non-U.S. stockholder (and the payor does not have actual knowledge or reason to know that the beneficial owner is a United States person) or the holder otherwise establishes an exemption. Payment of the proceeds of a sale of our stock conducted through certain United States related financial intermediaries is subject to information reporting requirements (but not backup withholding) unless the financial intermediary has documentary evidence in its records that the beneficial owner is a non-U.S. stockholder and specified conditions are met or an exemption is otherwise established.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the applicable holder’s U.S. federal income tax liability, provided the required information is timely furnished to the IRS.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Account Tax Compliance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Federal withholding tax of 30% generally will be imposed on certain payments made to a “foreign financial institution” ​(as specifically defined under the Foreign Account Tax Compliance Act rules) unless such institution enters into an agreement with the U.S. tax authorities to withhold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otherwise qualifies for an exemption from these rules. Foreign financial institutions located in jurisdictions that have an intergovernmental agreement with the United States governing these withholding and reporting requirements may be subject to different rules. Under the Foreign Account Tax Compliance Act and administrative guidance, a U.S. Federal withholding tax of 30% generally also will be imposed on certain payments made to a non-financial foreign entity unless such entity provides the withholding agent with certification identifying certain of its direct and indirect U.S. owners. Under certain circumstances, a stockholder may be eligible for refunds or credits of such taxes. These withholding taxes are imposed on distributions paid with respect to our stock. While withholding under the Foreign Account Tax Compliance Act would have applied also to payments of gross proceeds from the sale or other disposition of our stock on or after January 1, 2019, proposed Treasury Regulations eliminate withholding on payments of gross proceeds entirely. Taxpayers generally may rely on these proposed Treasury Regulations until final Treasury Regulations are issued. Stockholders should consult with their tax advisors regarding the possible implications of this legislation on their ownership and disposition of shares of our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State, Local and Foreign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subsidiaries and stockholders may be subject to state, local or foreign taxation in various jurisdictions, including those in which we or they transact business, own property or reside. Our state, local or foreign tax treatment and that of our stockholders and holders of debt securities may not conform to the U.S. federal income tax treatment discussed above. Any foreign taxes that we or our subsidiaries may incur do not pass through to our stockholders as a credit against their U.S. federal income tax liability. Prospective investors should consult their tax advisors regarding the application and effect of state, local and foreign income and other tax laws applicable to an investment in our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BOOK"/>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securities offered by means of this prospectus in whole or in part in book-entry form, meaning that beneficial owners of the securities will not receive certificates representing their ownership interests in the securities, except in the event the book-entry system for the securities is discontinued. If securities are issued in book-entry form, they will be evidenced by one or more global securities that will be deposited with, or on behalf of, a depositary identified in the applicable prospectus supplement relating to the securities. The Depository Trust Company is expected to serve as depository. Unless and until it is exchanged in whole or in part for the individual securities represented thereby, a global security may not be transferred except as a whole by the depository for the global security to a nominee of such depository or by a nominee of such depository to such depository or another nominee of such depository or by the depository or any nominee of such depository to a successor depository or a nominee of such successor. Global securities may be issued in registered form and in either temporary or permanent form. The specific terms of the depositary arrangement with respect to a class or series of securities that differ from the terms described here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we anticipate that the following provisions will apply to depository arrangements. Upon the issuance of a global security, the depository for the global security or its nominee will credit on its book-entry registration and transfer system the respective principal amounts of the individual securities represented by such global security to the accounts of persons that have accounts with such depository, who are called “participants.” Such accounts shall be designated by the underwriters, dealers or agents with respect to the securities or by us if the securities are offered and sold directly by us. Ownership of beneficial interests in a global security will be limited to the depository’s participants or persons that may hold interests through such participants. Ownership of beneficial interests in the global security will be shown on, and the transfer of that ownership will be effected only through, records maintained by the applicable depository or its nominee (with respect to beneficial interests of participants) and records of the participants (with respect to beneficial interests of persons who hold through participants). The laws of some states require that certain purchasers of securities take physical delivery of such securities in definitive form. Such limits and laws may impair the ability to own, pledge or transfer beneficial interest in a global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depository for a global security or its nominee is the registered owner of such global security, such depository or nominee, as the case may be, will be considered the sole owner or holder of the securities represented by such global security for all purposes under the applicable instrument defining the rights of a holder of the securities. Except as provided below or in the applicable prospectus supplement, owners of beneficial interest in a global security will not be entitled to have any of the individual securities of the series represented by such global security registered in their names, will not receive or be entitled to receive physical delivery of any such securities in definitive form and will not be considered the owners or holders thereof under the applicable instrument defining the rights of the holders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amounts payable with respect to individual securities represented by a global security registered in the name of a depository or its nominee will be made to the depository or its nominee, as the case may be, as the registered owner of the global security representing such securities. None of us or VICI LP, our or VICI LP’s officers and directors or any trustee, paying agent or security registrar for an individual series of securities will have any responsibility or liability for any aspect of the records relating to or payments made on account of beneficial ownership interests in the global security for such securities or for maintaining, supervising or reviewing any records relating to such beneficial ownership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depository for a series of securities offered by means of this prospectus or its nominee, upon receipt of any payment of principal, premium, interest, dividend or other amount in respect of a permanent global security representing any of such securities, will immediately credit its participants’ accounts with payments in amounts proportionate to their respective beneficial interests in the principal amount of such global security for such securities as shown on the records of such depository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Such payments will be the responsibility of such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depository for a series of securities is at any time unwilling, unable or ineligible to continue as depository and a successor depository is not appointed by us within 90 days, we will issue individual securities of such series in exchange for the global security representing such series of securities. In addition, we may, at any time and in our sole discretion, subject to any limitations described in the applicable prospectus supplement relating to such securities, determine not to have any securities of such series represented by one or more global securities and, in such event, will issue individual securities of such series in exchange for the global security or securities representing such series of securities.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POD"/>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by this prospectus from time to time in one or more transactions in any one or more of the following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investors, including through a specific bidding, auction or other process; </w:t>
      </w:r>
      <w:r>
        <mc:AlternateContent>
          <mc:Choice Requires="wps">
            <w:drawing>
              <wp:anchor behindDoc="0" distT="7366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investors through agents; </w:t>
      </w:r>
      <w:r>
        <mc:AlternateContent>
          <mc:Choice Requires="wps">
            <w:drawing>
              <wp:anchor behindDoc="0" distT="6604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6"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agents; </w:t>
      </w:r>
      <w:r>
        <mc:AlternateContent>
          <mc:Choice Requires="wps">
            <w:drawing>
              <wp:anchor behindDoc="0" distT="6604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7"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brokers or dealers; </w:t>
      </w:r>
      <w:r>
        <mc:AlternateContent>
          <mc:Choice Requires="wps">
            <w:drawing>
              <wp:anchor behindDoc="0" distT="6604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8"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public through underwriting syndicates led by one or more managing underwriters; </w:t>
      </w:r>
      <w:r>
        <mc:AlternateContent>
          <mc:Choice Requires="wps">
            <w:drawing>
              <wp:anchor behindDoc="0" distT="6604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9"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one or more underwriters acting alone for resale to investors or to the public; </w:t>
      </w:r>
      <w:r>
        <mc:AlternateContent>
          <mc:Choice Requires="wps">
            <w:drawing>
              <wp:anchor behindDoc="0" distT="6604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400"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to or through a market maker or into an existing trading market, or a securities exchange or otherwise; </w:t>
      </w:r>
      <w:r>
        <mc:AlternateContent>
          <mc:Choice Requires="wps">
            <w:drawing>
              <wp:anchor behindDoc="0" distT="6604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forward delivery contracts; and </w:t>
      </w:r>
      <w:r>
        <mc:AlternateContent>
          <mc:Choice Requires="wps">
            <w:drawing>
              <wp:anchor behindDoc="0" distT="6604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402"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such methods of sale. </w:t>
      </w:r>
      <w:r>
        <mc:AlternateContent>
          <mc:Choice Requires="wps">
            <w:drawing>
              <wp:anchor behindDoc="0" distT="6604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3"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or preferred stock of VICI REIT may be issued upon conversion of preferred stock of VICI REIT or debt securities of VICI LP or in exchange for units or other interests of an operating subsidiary of VICI REIT (including VICI OP). Securities may also be issued upon exercise of warrants of VICI REIT. VICI REIT and VICI LP reserve the right to sell securities directly to investors on their own behalf in those jurisdictions where they are authorized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the securities may be effected from time to time in one or more transactions, including negotiated transactions: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366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4"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6604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5"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prevailing market prices; or </w:t>
      </w:r>
      <w:r>
        <mc:AlternateContent>
          <mc:Choice Requires="wps">
            <w:drawing>
              <wp:anchor behindDoc="0" distT="6604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6"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6604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prices may represent a discount from the then prevailing market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where applicable: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the terms of the offering; </w:t>
      </w:r>
      <w:r>
        <mc:AlternateContent>
          <mc:Choice Requires="wps">
            <w:drawing>
              <wp:anchor behindDoc="0" distT="7239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8"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any such underwriter, dealer or agent; </w:t>
      </w:r>
      <w:r>
        <mc:AlternateContent>
          <mc:Choice Requires="wps">
            <w:drawing>
              <wp:anchor behindDoc="0" distT="7239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9"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any compensation in the form of discounts, concessions, commissions or otherwise received from us by each such underwriter or agent and in the aggregate by all underwriters and agents; </w:t>
      </w:r>
      <w:r>
        <mc:AlternateContent>
          <mc:Choice Requires="wps">
            <w:drawing>
              <wp:anchor behindDoc="0" distT="7239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10"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the purchase price or the public offering price of the securities; </w:t>
      </w:r>
      <w:r>
        <mc:AlternateContent>
          <mc:Choice Requires="wps">
            <w:drawing>
              <wp:anchor behindDoc="0" distT="7239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11"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the amounts underwritten; and </w:t>
      </w:r>
      <w:r>
        <mc:AlternateContent>
          <mc:Choice Requires="wps">
            <w:drawing>
              <wp:anchor behindDoc="0" distT="7239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12"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the nature of the underwriter’s or underwriters’ obligation to take the securities. </w:t>
      </w:r>
      <w:r>
        <mc:AlternateContent>
          <mc:Choice Requires="wps">
            <w:drawing>
              <wp:anchor behindDoc="0" distT="7239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3"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related prospectus supplement, each series of securities will be a new issue with no established trading market, other than shares of our common stock, which are listed on the NYSE. Any common stock of VICI REIT sold pursuant to a prospectus supplement will be listed on NYSE, subject to official notice of issuance. We may elect to list any series of preferred stock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the securities into an existing trading market on the terms described in a prospectus supplement relating thereto. Underwriters, dealers and agents who participate in any at-the-market offerings will be described in the prospectus supplement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disclosed in the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make any representation or prediction as to the direction or magnitude of any effect that the transactions described above might have on the price of the securities. In addition, we do not make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representation that underwriters will engage in such transactions or that such transactions, once commenced, will not be discontinued without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may engage in transactions with us, perform services for us or be our tenants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or agents that participate in the offer of securities, or their affiliates or associates, may have engaged or engage in transactions with and perform services for us or our affiliates in the ordinary course of business for which they may have received or receive customary fees and reimbursement of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LEMA"/>
      <w:bookmarkEnd w:id="95"/>
      <w:r>
        <w:rPr>
          <w:rFonts w:ascii="calibri;arial;sans-serif" w:hAnsi="calibri;arial;sans-serif"/>
          <w:b w:val="false"/>
          <w:i w:val="false"/>
          <w:caps w:val="false"/>
          <w:smallCaps w:val="false"/>
          <w:color w:val="000000"/>
          <w:sz w:val="16"/>
        </w:rPr>
        <w:t>​</w:t>
      </w:r>
      <w:bookmarkStart w:id="96" w:name="tEXP"/>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with respect to the validity of the securities offered by means of this prospectus and certain U.S. federal income tax matters have been passed upon for us by Hogan Lovells US LLP. Additional legal matters may be passed upon for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Inc. incorporated by reference in this prospectus, and the effectiveness of VICI Properties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VICI Properties L.P. incorporated by reference in this prospectus, and the effectiveness of VICI Properties L.P.’s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WYCF"/>
      <w:bookmarkEnd w:id="97"/>
      <w:r>
        <w:rPr>
          <w:rFonts w:ascii="calibri;arial;sans-serif" w:hAnsi="calibri;arial;sans-serif"/>
          <w:b w:val="false"/>
          <w:i w:val="false"/>
          <w:caps w:val="false"/>
          <w:smallCaps w:val="false"/>
          <w:color w:val="000000"/>
          <w:sz w:val="16"/>
        </w:rPr>
        <w:t>​</w:t>
      </w:r>
      <w:bookmarkStart w:id="98" w:name="tIOCD"/>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VICI LP file annual, quarterly and current reports, proxy statements and other information with the SEC. The historical audited and unaudited financial statements of Caesars (which are not included or incorporated by reference in this prospectus), as the parent and guarantor of CEOC, one of our significant lessees, have been filed with the SEC. Caesars files annual, quarterly and current reports and other information with the SEC (which are not included or incorporated by reference in this prospectus). In addition, the historical audited and unaudited financial statements of MGM (which are not included or incorporated by reference in this prospectus), which is the parent and guarantor of MGP Lessee, LLC, one of our significant lessees, have been filed with the SEC. MGM files annual, quarterly and current reports and other information with the SEC (which are not included or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filings are also available to the public from the SEC’s web site at www.sec.gov and our SEC filings are also available from our website at www.viciproperties.com. We make no representation as to the accuracy or completeness of the information regarding Caesars and MGM that is contained in this prospectus, which is obtained from Caesars’ and MGM’s publicly available information, or that is available through the SEC’s website or otherwise made available by Caesars or MGM, and none of such publicly available Caesars or MGM information is incorporated by reference in this prospectus. None of the information on, or accessible through, our website or any other website identified herein is incorporated into this prospectus, and does not constitute a part of this prospectus, and the inclusion of our website address in this prospectus is an inactive textual reference only.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VICI REIT and VICI LP to “incorporate by reference” information into this prospectus, which means that we can disclose important information about us by referring you to another document filed separately with the SEC. The information incorporated by reference is considered to be a part of this prospectus. This prospectus incorporates by reference the documents and reports listed below: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Annual Report on Form 10-K for the year ended December 31, 2024, filed with the SEC on </w:t>
      </w:r>
      <w:hyperlink r:id="rId12">
        <w:r>
          <w:rPr>
            <w:rStyle w:val="InternetLink"/>
          </w:rPr>
          <w:t>February 20,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4"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definitive proxy statement on Schedule 14A for its 2025 annual meeting of stockholders, filed with the SEC on </w:t>
      </w:r>
      <w:hyperlink r:id="rId13">
        <w:r>
          <w:rPr>
            <w:rStyle w:val="InternetLink"/>
          </w:rPr>
          <w:t>March 17, 2025</w:t>
        </w:r>
      </w:hyperlink>
      <w:r>
        <w:rPr>
          <w:rFonts w:ascii="Times New Roman;Times;serif" w:hAnsi="Times New Roman;Times;serif"/>
          <w:b w:val="false"/>
          <w:i w:val="false"/>
          <w:caps w:val="false"/>
          <w:smallCaps w:val="false"/>
          <w:color w:val="000000"/>
          <w:spacing w:val="4"/>
          <w:sz w:val="20"/>
        </w:rPr>
        <w:t xml:space="preserve"> (solely to the extent incorporated by reference into Part III of VICI REIT’s Annual Report on Form 10-K for the year ended December 31, 2024);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5"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Quarterly Report on Form 10-Q for the quarter ended March 31, 2025, filed with the SEC on </w:t>
      </w:r>
      <w:hyperlink r:id="rId14">
        <w:r>
          <w:rPr>
            <w:rStyle w:val="InternetLink"/>
          </w:rPr>
          <w:t>April 30,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6"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VICI REIT’s current reports on Form 8-K, filed with the SEC on </w:t>
      </w:r>
      <w:hyperlink r:id="rId15">
        <w:r>
          <w:rPr>
            <w:rStyle w:val="InternetLink"/>
          </w:rPr>
          <w:t>February 4, 2025</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March 27, 2025</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April 7, 2025</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April 29,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7"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VICI REIT’s common stock, which is contained in Item 1 of its Registration Statement on </w:t>
      </w:r>
      <w:hyperlink r:id="rId19">
        <w:r>
          <w:rPr>
            <w:rStyle w:val="InternetLink"/>
          </w:rPr>
          <w:t>Form 8-A</w:t>
        </w:r>
      </w:hyperlink>
      <w:r>
        <w:rPr>
          <w:rFonts w:ascii="Times New Roman;Times;serif" w:hAnsi="Times New Roman;Times;serif"/>
          <w:b w:val="false"/>
          <w:i w:val="false"/>
          <w:caps w:val="false"/>
          <w:smallCaps w:val="false"/>
          <w:color w:val="000000"/>
          <w:spacing w:val="4"/>
          <w:sz w:val="20"/>
        </w:rPr>
        <w:t xml:space="preserve"> filed with the SEC on January 29, 2018.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8"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REIT and VICI LP also incorporate by reference the information contained in all other documents VICI REIT and VICI LP, as applicable, file with the SEC pursuant to Sections 13(a), 13(c), 14 or 15(d) of the Exchange Act (other than portions of these documents that are deemed to have been furnished and not filed in accordance with SEC rules, including current reports on Form 8-K furnished under Item 2.02 and Item 7.01 (including any financial statements or exhibits relating thereto furnished pursuant to Item 9.01))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 this prospectus will be deemed to be modified or superseded to the extent that a statement contained herein or in any other subsequently filed document which also is or is deemed to be incorporated by reference in this prospectus modifies or supersedes that statement. Any statement so modified or superseded will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of our securities, to whom a prospectus is delivered, a copy of any or all of the reports or documents that have been incorporated by reference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but not delivered with the prospectus free of charge upon written or oral request. VICI REIT’s and VICI LP’s filings with the SEC are available on our website at www.viciproperties.com, in the “Investors” section, as soon as reasonably practicable after they are filed with the SEC. The information that is contained on, or is or becomes accessible through, our website is not part of this prospectus. You may also obtain a copy of these filings at no cost by calling us at (646) 949-4631 or writing to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VICI Properties Inc.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535 Madison Avenue, 28th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10022 Attn: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391"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760" w:after="283"/>
        <w:jc w:val="center"/>
        <w:rPr>
          <w:caps w:val="false"/>
          <w:smallCaps w:val="false"/>
          <w:color w:val="000000"/>
        </w:rPr>
      </w:pPr>
      <w:r>
        <w:rPr>
          <w:caps w:val="false"/>
          <w:smallCaps w:val="false"/>
          <w:color w:val="000000"/>
        </w:rPr>
        <w:drawing>
          <wp:inline distT="0" distB="0" distL="0" distR="0">
            <wp:extent cx="1790700" cy="533400"/>
            <wp:effectExtent l="0" t="0" r="0" b="0"/>
            <wp:docPr id="4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 descr=""/>
                    <pic:cNvPicPr>
                      <a:picLocks noChangeAspect="1" noChangeArrowheads="1"/>
                    </pic:cNvPicPr>
                  </pic:nvPicPr>
                  <pic:blipFill>
                    <a:blip r:embed="rId20"/>
                    <a:stretch>
                      <a:fillRect/>
                    </a:stretch>
                  </pic:blipFill>
                  <pic:spPr bwMode="auto">
                    <a:xfrm>
                      <a:off x="0" y="0"/>
                      <a:ext cx="1790700" cy="5334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544"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VICI Properties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02"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31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974"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Wells Fargo Securities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Barclays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Mizuho</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Truist Securities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44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49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05696/000170569626000034/vici-20251231.htm" TargetMode="External"/><Relationship Id="rId4" Type="http://schemas.openxmlformats.org/officeDocument/2006/relationships/hyperlink" Target="https://www.sec.gov/ix?doc=/Archives/edgar/data/1705696/000170569626000034/vici-20251231.htm" TargetMode="External"/><Relationship Id="rId5" Type="http://schemas.openxmlformats.org/officeDocument/2006/relationships/hyperlink" Target="https://www.sec.gov/ix?doc=/Archives/edgar/data/1705696/000170569626000034/vici-20251231.htm" TargetMode="External"/><Relationship Id="rId6" Type="http://schemas.openxmlformats.org/officeDocument/2006/relationships/hyperlink" Target="https://www.sec.gov/ix?doc=/Archives/edgar/data/1705696/000170569626000034/vici-20251231.htm" TargetMode="External"/><Relationship Id="rId7" Type="http://schemas.openxmlformats.org/officeDocument/2006/relationships/hyperlink" Target="https://www.sec.gov/ix?doc=/Archives/edgar/data/1705696/000110465926028592/tm261334-1_def14a.htm" TargetMode="External"/><Relationship Id="rId8" Type="http://schemas.openxmlformats.org/officeDocument/2006/relationships/hyperlink" Target="https://www.sec.gov/ix?doc=/Archives/edgar/data/1705696/000170569626000069/vici-20260331.htm" TargetMode="External"/><Relationship Id="rId9" Type="http://schemas.openxmlformats.org/officeDocument/2006/relationships/hyperlink" Target="https://www.sec.gov/ix?doc=/Archives/edgar/data/1705696/000170569626000090/vici-20260630.htm" TargetMode="External"/><Relationship Id="rId10" Type="http://schemas.openxmlformats.org/officeDocument/2006/relationships/hyperlink" Target="https://www.sec.gov/ix?doc=/Archives/edgar/data/1705696/000170569626000053/vici-20260428.htm" TargetMode="External"/><Relationship Id="rId11" Type="http://schemas.openxmlformats.org/officeDocument/2006/relationships/image" Target="media/image1.jpeg"/><Relationship Id="rId12" Type="http://schemas.openxmlformats.org/officeDocument/2006/relationships/hyperlink" Target="https://www.sec.gov/ix?doc=/Archives/edgar/data/1705696/000170569625000033/vici-20241231.htm" TargetMode="External"/><Relationship Id="rId13" Type="http://schemas.openxmlformats.org/officeDocument/2006/relationships/hyperlink" Target="https://www.sec.gov/ix?doc=/Archives/edgar/data/1705696/000110465925024253/tm2425043d6-def14a.htm" TargetMode="External"/><Relationship Id="rId14" Type="http://schemas.openxmlformats.org/officeDocument/2006/relationships/hyperlink" Target="https://www.sec.gov/ix?doc=/Archives/edgar/data/1705696/000170569625000087/vici-20250331.htm" TargetMode="External"/><Relationship Id="rId15" Type="http://schemas.openxmlformats.org/officeDocument/2006/relationships/hyperlink" Target="https://www.sec.gov/ix?doc=/Archives/edgar/data/1705696/000110465925008898/tm254973d1_8k.htm" TargetMode="External"/><Relationship Id="rId16" Type="http://schemas.openxmlformats.org/officeDocument/2006/relationships/hyperlink" Target="https://www.sec.gov/ix?doc=/Archives/edgar/data/1705696/000110465925028789/tm2510627d1_8k.htm" TargetMode="External"/><Relationship Id="rId17" Type="http://schemas.openxmlformats.org/officeDocument/2006/relationships/hyperlink" Target="https://www.sec.gov/ix?doc=/Archives/edgar/data/1705696/000110465925032640/tm2511522d1_8k.htm" TargetMode="External"/><Relationship Id="rId18" Type="http://schemas.openxmlformats.org/officeDocument/2006/relationships/hyperlink" Target="https://www.sec.gov/ix?doc=/Archives/edgar/data/1705696/000170569625000069/vici-20250429.htm" TargetMode="External"/><Relationship Id="rId19" Type="http://schemas.openxmlformats.org/officeDocument/2006/relationships/hyperlink" Target="https://www.sec.gov/Archives/edgar/data/1705696/000119312518023682/d440836d8a12b.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82958</Words>
  <Characters>426465</Characters>
  <CharactersWithSpaces>513372</CharactersWithSpaces>
  <Paragraphs>3484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