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34" w:lineRule="exact"/>
        <w:rPr>
          <w:sz w:val="24"/>
          <w:szCs w:val="24"/>
          <w:color w:val="auto"/>
        </w:rPr>
      </w:pPr>
    </w:p>
    <w:p>
      <w:pPr>
        <w:ind w:left="1740" w:hanging="598"/>
        <w:spacing w:after="0"/>
        <w:tabs>
          <w:tab w:leader="none" w:pos="17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-92075</wp:posOffset>
            </wp:positionV>
            <wp:extent cx="78105" cy="79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8" w:lineRule="exact"/>
        <w:rPr>
          <w:sz w:val="24"/>
          <w:szCs w:val="24"/>
          <w:color w:val="auto"/>
        </w:rPr>
      </w:pPr>
    </w:p>
    <w:p>
      <w:pPr>
        <w:ind w:left="1720" w:hanging="578"/>
        <w:spacing w:after="0"/>
        <w:tabs>
          <w:tab w:leader="none" w:pos="1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734695</wp:posOffset>
            </wp:positionH>
            <wp:positionV relativeFrom="paragraph">
              <wp:posOffset>-92075</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61"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For the transition period from _________ to __________</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001-38372</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VICI Properties Inc.</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240"/>
          </w:cols>
          <w:pgMar w:left="320" w:top="1057" w:right="339" w:bottom="1440" w:gutter="0" w:footer="0" w:header="0"/>
        </w:sectPr>
      </w:pPr>
    </w:p>
    <w:p>
      <w:pPr>
        <w:spacing w:after="0" w:line="84" w:lineRule="exact"/>
        <w:rPr>
          <w:sz w:val="24"/>
          <w:szCs w:val="24"/>
          <w:color w:val="auto"/>
        </w:rPr>
      </w:pPr>
    </w:p>
    <w:p>
      <w:pPr>
        <w:ind w:left="30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81-4177147</w:t>
      </w:r>
    </w:p>
    <w:p>
      <w:pPr>
        <w:spacing w:after="0" w:line="50" w:lineRule="exact"/>
        <w:rPr>
          <w:sz w:val="24"/>
          <w:szCs w:val="24"/>
          <w:color w:val="auto"/>
        </w:rPr>
      </w:pPr>
    </w:p>
    <w:p>
      <w:pPr>
        <w:sectPr>
          <w:pgSz w:w="11900" w:h="16838" w:orient="portrait"/>
          <w:cols w:equalWidth="0" w:num="2">
            <w:col w:w="6700" w:space="720"/>
            <w:col w:w="3820"/>
          </w:cols>
          <w:pgMar w:left="320" w:top="1057" w:right="339" w:bottom="1440" w:gutter="0" w:footer="0" w:header="0"/>
          <w:type w:val="continuous"/>
        </w:sectPr>
      </w:pPr>
    </w:p>
    <w:p>
      <w:pPr>
        <w:jc w:val="center"/>
        <w:ind w:left="7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29" w:lineRule="exact"/>
        <w:rPr>
          <w:sz w:val="24"/>
          <w:szCs w:val="24"/>
          <w:color w:val="auto"/>
        </w:rPr>
      </w:pPr>
    </w:p>
    <w:p>
      <w:pPr>
        <w:sectPr>
          <w:pgSz w:w="11900" w:h="16838" w:orient="portrait"/>
          <w:cols w:equalWidth="0" w:num="2">
            <w:col w:w="6040" w:space="720"/>
            <w:col w:w="4480"/>
          </w:cols>
          <w:pgMar w:left="320" w:top="1057"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161" w:lineRule="exact"/>
        <w:rPr>
          <w:sz w:val="24"/>
          <w:szCs w:val="24"/>
          <w:color w:val="auto"/>
        </w:rPr>
      </w:pPr>
    </w:p>
    <w:tbl>
      <w:tblPr>
        <w:tblLayout w:type="fixed"/>
        <w:tblInd w:w="100" w:type="dxa"/>
        <w:tblCellMar>
          <w:top w:w="0" w:type="dxa"/>
          <w:left w:w="0" w:type="dxa"/>
          <w:bottom w:w="0" w:type="dxa"/>
          <w:right w:w="0" w:type="dxa"/>
        </w:tblCellMar>
      </w:tblPr>
      <w:tr>
        <w:trPr>
          <w:trHeight w:val="206"/>
        </w:trPr>
        <w:tc>
          <w:tcPr>
            <w:tcW w:w="4240" w:type="dxa"/>
            <w:vAlign w:val="bottom"/>
            <w:gridSpan w:val="2"/>
          </w:tcPr>
          <w:p>
            <w:pPr>
              <w:ind w:left="24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87"/>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4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36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424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Common stock, $0.01 par value</w:t>
            </w:r>
          </w:p>
        </w:tc>
        <w:tc>
          <w:tcPr>
            <w:tcW w:w="2900" w:type="dxa"/>
            <w:vAlign w:val="bottom"/>
            <w:gridSpan w:val="2"/>
          </w:tcPr>
          <w:p>
            <w:pPr>
              <w:jc w:val="center"/>
              <w:ind w:right="360"/>
              <w:spacing w:after="0"/>
              <w:rPr>
                <w:sz w:val="20"/>
                <w:szCs w:val="20"/>
                <w:color w:val="auto"/>
              </w:rPr>
            </w:pPr>
            <w:r>
              <w:rPr>
                <w:rFonts w:ascii="Arial" w:cs="Arial" w:eastAsia="Arial" w:hAnsi="Arial"/>
                <w:sz w:val="16"/>
                <w:szCs w:val="16"/>
                <w:color w:val="auto"/>
              </w:rPr>
              <w:t>VICI</w:t>
            </w:r>
          </w:p>
        </w:tc>
        <w:tc>
          <w:tcPr>
            <w:tcW w:w="390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374"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9" w:lineRule="exact"/>
        <w:rPr>
          <w:sz w:val="24"/>
          <w:szCs w:val="24"/>
          <w:color w:val="auto"/>
        </w:rPr>
      </w:pPr>
    </w:p>
    <w:tbl>
      <w:tblPr>
        <w:tblLayout w:type="fixed"/>
        <w:tblInd w:w="214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9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180" w:type="dxa"/>
            <w:vAlign w:val="bottom"/>
          </w:tcPr>
          <w:p>
            <w:pPr>
              <w:ind w:left="90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340" w:right="238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28, 2020, the registrant had 536,669,722 shares of its $0.01 par value common stock outstanding.</w:t>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SEPTEMBER 30, 2020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vMerge w:val="restart"/>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9820" w:type="dxa"/>
            <w:vAlign w:val="bottom"/>
            <w:gridSpan w:val="4"/>
            <w:vMerge w:val="restart"/>
          </w:tcPr>
          <w:p>
            <w:pPr>
              <w:ind w:left="18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840" w:type="dxa"/>
            <w:vAlign w:val="bottom"/>
            <w:vMerge w:val="continue"/>
          </w:tcPr>
          <w:p>
            <w:pPr>
              <w:spacing w:after="0"/>
              <w:rPr>
                <w:sz w:val="18"/>
                <w:szCs w:val="18"/>
                <w:color w:val="auto"/>
              </w:rPr>
            </w:pPr>
          </w:p>
        </w:tc>
        <w:tc>
          <w:tcPr>
            <w:tcW w:w="9820" w:type="dxa"/>
            <w:vAlign w:val="bottom"/>
            <w:gridSpan w:val="4"/>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Item 1.</w:t>
              </w:r>
            </w:hyperlink>
          </w:p>
        </w:tc>
        <w:tc>
          <w:tcPr>
            <w:tcW w:w="9820" w:type="dxa"/>
            <w:vAlign w:val="bottom"/>
            <w:gridSpan w:val="4"/>
            <w:shd w:val="clear" w:color="auto" w:fill="CCEEFF"/>
          </w:tcPr>
          <w:p>
            <w:pPr>
              <w:ind w:left="1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Statements of VICI Properties Inc. (Unaudited)</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2">
              <w:r>
                <w:rPr>
                  <w:rFonts w:ascii="Arial" w:cs="Arial" w:eastAsia="Arial" w:hAnsi="Arial"/>
                  <w:sz w:val="18"/>
                  <w:szCs w:val="18"/>
                  <w:u w:val="single" w:color="auto"/>
                  <w:color w:val="0000FF"/>
                  <w:w w:val="99"/>
                </w:rPr>
                <w:t>3</w:t>
              </w:r>
            </w:hyperlink>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52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 as of September 30, 2020 and December 31, 2019</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c>
          <w:tcPr>
            <w:tcW w:w="0" w:type="dxa"/>
            <w:vAlign w:val="bottom"/>
          </w:tcPr>
          <w:p>
            <w:pPr>
              <w:spacing w:after="0"/>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520" w:type="dxa"/>
            <w:vAlign w:val="bottom"/>
            <w:gridSpan w:val="3"/>
            <w:shd w:val="clear" w:color="auto" w:fill="CCEEFF"/>
          </w:tcPr>
          <w:p>
            <w:pPr>
              <w:spacing w:after="0" w:line="189"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Consolidated Statements of Operations and Comprehensive Income for the Three and Nine Months Ended September 30, 2020 and</w:t>
              </w:r>
            </w:hyperlink>
          </w:p>
        </w:tc>
        <w:tc>
          <w:tcPr>
            <w:tcW w:w="580" w:type="dxa"/>
            <w:vAlign w:val="bottom"/>
            <w:vMerge w:val="restart"/>
            <w:shd w:val="clear" w:color="auto" w:fill="CCEEFF"/>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c>
          <w:tcPr>
            <w:tcW w:w="0" w:type="dxa"/>
            <w:vAlign w:val="bottom"/>
          </w:tcPr>
          <w:p>
            <w:pPr>
              <w:spacing w:after="0"/>
              <w:rPr>
                <w:sz w:val="1"/>
                <w:szCs w:val="1"/>
                <w:color w:val="auto"/>
              </w:rPr>
            </w:pPr>
          </w:p>
        </w:tc>
      </w:tr>
      <w:tr>
        <w:trPr>
          <w:trHeight w:val="176"/>
        </w:trPr>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4"/>
              </w:rPr>
            </w:pPr>
            <w:hyperlink w:anchor="page3">
              <w:r>
                <w:rPr>
                  <w:rFonts w:ascii="Arial" w:cs="Arial" w:eastAsia="Arial" w:hAnsi="Arial"/>
                  <w:sz w:val="18"/>
                  <w:szCs w:val="18"/>
                  <w:color w:val="0000FF"/>
                  <w:w w:val="84"/>
                </w:rPr>
                <w:t>2019</w:t>
              </w:r>
            </w:hyperlink>
          </w:p>
        </w:tc>
        <w:tc>
          <w:tcPr>
            <w:tcW w:w="908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520" w:type="dxa"/>
            <w:vAlign w:val="bottom"/>
            <w:gridSpan w:val="3"/>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Stockholders’ Equity for the Nine Months Ended September 30, 2020 and 2019</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520" w:type="dxa"/>
            <w:vAlign w:val="bottom"/>
            <w:gridSpan w:val="3"/>
            <w:shd w:val="clear" w:color="auto" w:fill="CCEEFF"/>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Cash Flows for the Nine Months Ended September 30, 2020 and 2019</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520" w:type="dxa"/>
            <w:vAlign w:val="bottom"/>
            <w:gridSpan w:val="3"/>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2.</w:t>
              </w:r>
            </w:hyperlink>
          </w:p>
        </w:tc>
        <w:tc>
          <w:tcPr>
            <w:tcW w:w="9820" w:type="dxa"/>
            <w:vAlign w:val="bottom"/>
            <w:gridSpan w:val="4"/>
            <w:shd w:val="clear" w:color="auto" w:fill="CCEEFF"/>
          </w:tcPr>
          <w:p>
            <w:pPr>
              <w:ind w:left="1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Management’s Discussion and Analysis of Financial Condition and Results of Operations</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52</w:t>
              </w:r>
            </w:hyperlink>
          </w:p>
        </w:tc>
        <w:tc>
          <w:tcPr>
            <w:tcW w:w="0" w:type="dxa"/>
            <w:vAlign w:val="bottom"/>
          </w:tcPr>
          <w:p>
            <w:pPr>
              <w:spacing w:after="0"/>
              <w:rPr>
                <w:sz w:val="1"/>
                <w:szCs w:val="1"/>
                <w:color w:val="auto"/>
              </w:rPr>
            </w:pPr>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3.</w:t>
              </w:r>
            </w:hyperlink>
          </w:p>
        </w:tc>
        <w:tc>
          <w:tcPr>
            <w:tcW w:w="9820" w:type="dxa"/>
            <w:vAlign w:val="bottom"/>
            <w:gridSpan w:val="4"/>
          </w:tcPr>
          <w:p>
            <w:pPr>
              <w:ind w:left="18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Quantitative and Qualitative Disclosures About Market Risk</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75</w:t>
              </w:r>
            </w:hyperlink>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4.</w:t>
              </w:r>
            </w:hyperlink>
          </w:p>
        </w:tc>
        <w:tc>
          <w:tcPr>
            <w:tcW w:w="9820" w:type="dxa"/>
            <w:vAlign w:val="bottom"/>
            <w:gridSpan w:val="4"/>
            <w:shd w:val="clear" w:color="auto" w:fill="CCEEFF"/>
          </w:tcPr>
          <w:p>
            <w:pPr>
              <w:ind w:left="18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Controls and Procedures</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75</w:t>
              </w:r>
            </w:hyperlink>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75">
              <w:r>
                <w:rPr>
                  <w:rFonts w:ascii="Arial" w:cs="Arial" w:eastAsia="Arial" w:hAnsi="Arial"/>
                  <w:sz w:val="18"/>
                  <w:szCs w:val="18"/>
                  <w:b w:val="1"/>
                  <w:bCs w:val="1"/>
                  <w:u w:val="single" w:color="auto"/>
                  <w:color w:val="0000FF"/>
                </w:rPr>
                <w:t>PART II.</w:t>
              </w:r>
            </w:hyperlink>
          </w:p>
        </w:tc>
        <w:tc>
          <w:tcPr>
            <w:tcW w:w="7180" w:type="dxa"/>
            <w:vAlign w:val="bottom"/>
            <w:shd w:val="clear" w:color="auto" w:fill="CCEEFF"/>
          </w:tcPr>
          <w:p>
            <w:pPr>
              <w:ind w:left="80"/>
              <w:spacing w:after="0"/>
              <w:rPr>
                <w:rFonts w:ascii="Arial" w:cs="Arial" w:eastAsia="Arial" w:hAnsi="Arial"/>
                <w:sz w:val="18"/>
                <w:szCs w:val="18"/>
                <w:b w:val="1"/>
                <w:bCs w:val="1"/>
                <w:u w:val="single" w:color="auto"/>
                <w:color w:val="0000FF"/>
              </w:rPr>
            </w:pPr>
            <w:hyperlink w:anchor="page75">
              <w:r>
                <w:rPr>
                  <w:rFonts w:ascii="Arial" w:cs="Arial" w:eastAsia="Arial" w:hAnsi="Arial"/>
                  <w:sz w:val="18"/>
                  <w:szCs w:val="18"/>
                  <w:b w:val="1"/>
                  <w:bCs w:val="1"/>
                  <w:u w:val="single" w:color="auto"/>
                  <w:color w:val="0000FF"/>
                </w:rPr>
                <w:t>OTHER INFORMATION</w:t>
              </w:r>
            </w:hyperlink>
          </w:p>
        </w:tc>
        <w:tc>
          <w:tcPr>
            <w:tcW w:w="3120" w:type="dxa"/>
            <w:vAlign w:val="bottom"/>
            <w:shd w:val="clear" w:color="auto" w:fill="CCEEFF"/>
          </w:tcPr>
          <w:p>
            <w:pPr>
              <w:spacing w:after="0"/>
              <w:rPr>
                <w:sz w:val="19"/>
                <w:szCs w:val="19"/>
                <w:color w:val="auto"/>
              </w:rPr>
            </w:pPr>
          </w:p>
        </w:tc>
      </w:tr>
      <w:tr>
        <w:trPr>
          <w:trHeight w:val="229"/>
        </w:trPr>
        <w:tc>
          <w:tcPr>
            <w:tcW w:w="94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1.</w:t>
              </w:r>
            </w:hyperlink>
          </w:p>
        </w:tc>
        <w:tc>
          <w:tcPr>
            <w:tcW w:w="7180" w:type="dxa"/>
            <w:vAlign w:val="bottom"/>
          </w:tcPr>
          <w:p>
            <w:pPr>
              <w:ind w:left="8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Legal Proceedings</w:t>
              </w:r>
            </w:hyperlink>
          </w:p>
        </w:tc>
        <w:tc>
          <w:tcPr>
            <w:tcW w:w="3120" w:type="dxa"/>
            <w:vAlign w:val="bottom"/>
          </w:tcPr>
          <w:p>
            <w:pPr>
              <w:jc w:val="right"/>
              <w:ind w:right="11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r>
      <w:tr>
        <w:trPr>
          <w:trHeight w:val="230"/>
        </w:trPr>
        <w:tc>
          <w:tcPr>
            <w:tcW w:w="940" w:type="dxa"/>
            <w:vAlign w:val="bottom"/>
            <w:shd w:val="clear" w:color="auto" w:fill="CCEEFF"/>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1A.</w:t>
              </w:r>
            </w:hyperlink>
          </w:p>
        </w:tc>
        <w:tc>
          <w:tcPr>
            <w:tcW w:w="7180" w:type="dxa"/>
            <w:vAlign w:val="bottom"/>
            <w:shd w:val="clear" w:color="auto" w:fill="CCEEFF"/>
          </w:tcPr>
          <w:p>
            <w:pPr>
              <w:ind w:left="8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Risk Factors</w:t>
              </w:r>
            </w:hyperlink>
          </w:p>
        </w:tc>
        <w:tc>
          <w:tcPr>
            <w:tcW w:w="3120" w:type="dxa"/>
            <w:vAlign w:val="bottom"/>
            <w:shd w:val="clear" w:color="auto" w:fill="CCEEFF"/>
          </w:tcPr>
          <w:p>
            <w:pPr>
              <w:jc w:val="right"/>
              <w:ind w:right="11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r>
      <w:tr>
        <w:trPr>
          <w:trHeight w:val="230"/>
        </w:trPr>
        <w:tc>
          <w:tcPr>
            <w:tcW w:w="94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2.</w:t>
              </w:r>
            </w:hyperlink>
          </w:p>
        </w:tc>
        <w:tc>
          <w:tcPr>
            <w:tcW w:w="7180" w:type="dxa"/>
            <w:vAlign w:val="bottom"/>
          </w:tcPr>
          <w:p>
            <w:pPr>
              <w:ind w:left="8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Unregistered Sales of Equity Securities and Use of Proceeds</w:t>
              </w:r>
            </w:hyperlink>
          </w:p>
        </w:tc>
        <w:tc>
          <w:tcPr>
            <w:tcW w:w="3120" w:type="dxa"/>
            <w:vAlign w:val="bottom"/>
          </w:tcPr>
          <w:p>
            <w:pPr>
              <w:jc w:val="right"/>
              <w:ind w:right="11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r>
      <w:tr>
        <w:trPr>
          <w:trHeight w:val="230"/>
        </w:trPr>
        <w:tc>
          <w:tcPr>
            <w:tcW w:w="940" w:type="dxa"/>
            <w:vAlign w:val="bottom"/>
            <w:shd w:val="clear" w:color="auto" w:fill="CCEEFF"/>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3.</w:t>
              </w:r>
            </w:hyperlink>
          </w:p>
        </w:tc>
        <w:tc>
          <w:tcPr>
            <w:tcW w:w="7180" w:type="dxa"/>
            <w:vAlign w:val="bottom"/>
            <w:shd w:val="clear" w:color="auto" w:fill="CCEEFF"/>
          </w:tcPr>
          <w:p>
            <w:pPr>
              <w:ind w:left="8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Defaults Upon Senior Securities</w:t>
              </w:r>
            </w:hyperlink>
          </w:p>
        </w:tc>
        <w:tc>
          <w:tcPr>
            <w:tcW w:w="3120" w:type="dxa"/>
            <w:vAlign w:val="bottom"/>
            <w:shd w:val="clear" w:color="auto" w:fill="CCEEFF"/>
          </w:tcPr>
          <w:p>
            <w:pPr>
              <w:jc w:val="right"/>
              <w:ind w:right="11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r>
      <w:tr>
        <w:trPr>
          <w:trHeight w:val="229"/>
        </w:trPr>
        <w:tc>
          <w:tcPr>
            <w:tcW w:w="94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4.</w:t>
              </w:r>
            </w:hyperlink>
          </w:p>
        </w:tc>
        <w:tc>
          <w:tcPr>
            <w:tcW w:w="7180" w:type="dxa"/>
            <w:vAlign w:val="bottom"/>
          </w:tcPr>
          <w:p>
            <w:pPr>
              <w:ind w:left="8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Mine Safety Disclosures</w:t>
              </w:r>
            </w:hyperlink>
          </w:p>
        </w:tc>
        <w:tc>
          <w:tcPr>
            <w:tcW w:w="3120" w:type="dxa"/>
            <w:vAlign w:val="bottom"/>
          </w:tcPr>
          <w:p>
            <w:pPr>
              <w:jc w:val="right"/>
              <w:ind w:right="11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r>
      <w:tr>
        <w:trPr>
          <w:trHeight w:val="230"/>
        </w:trPr>
        <w:tc>
          <w:tcPr>
            <w:tcW w:w="940" w:type="dxa"/>
            <w:vAlign w:val="bottom"/>
            <w:shd w:val="clear" w:color="auto" w:fill="CCEEFF"/>
          </w:tcPr>
          <w:p>
            <w:pPr>
              <w:ind w:left="20"/>
              <w:spacing w:after="0"/>
              <w:rPr>
                <w:rFonts w:ascii="Arial" w:cs="Arial" w:eastAsia="Arial" w:hAnsi="Arial"/>
                <w:sz w:val="18"/>
                <w:szCs w:val="18"/>
                <w:color w:val="0000FF"/>
              </w:rPr>
            </w:pPr>
            <w:hyperlink w:anchor="page76">
              <w:r>
                <w:rPr>
                  <w:rFonts w:ascii="Arial" w:cs="Arial" w:eastAsia="Arial" w:hAnsi="Arial"/>
                  <w:sz w:val="18"/>
                  <w:szCs w:val="18"/>
                  <w:u w:val="single" w:color="auto"/>
                  <w:color w:val="0000FF"/>
                </w:rPr>
                <w:t>Item 5</w:t>
              </w:r>
            </w:hyperlink>
            <w:r>
              <w:rPr>
                <w:rFonts w:ascii="Arial" w:cs="Arial" w:eastAsia="Arial" w:hAnsi="Arial"/>
                <w:sz w:val="18"/>
                <w:szCs w:val="18"/>
                <w:color w:val="000000"/>
              </w:rPr>
              <w:t>.</w:t>
            </w:r>
          </w:p>
        </w:tc>
        <w:tc>
          <w:tcPr>
            <w:tcW w:w="7180" w:type="dxa"/>
            <w:vAlign w:val="bottom"/>
            <w:shd w:val="clear" w:color="auto" w:fill="CCEEFF"/>
          </w:tcPr>
          <w:p>
            <w:pPr>
              <w:ind w:left="8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Other Information</w:t>
              </w:r>
            </w:hyperlink>
          </w:p>
        </w:tc>
        <w:tc>
          <w:tcPr>
            <w:tcW w:w="3120" w:type="dxa"/>
            <w:vAlign w:val="bottom"/>
            <w:shd w:val="clear" w:color="auto" w:fill="CCEEFF"/>
          </w:tcPr>
          <w:p>
            <w:pPr>
              <w:jc w:val="right"/>
              <w:ind w:right="11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76</w:t>
              </w:r>
            </w:hyperlink>
          </w:p>
        </w:tc>
      </w:tr>
      <w:tr>
        <w:trPr>
          <w:trHeight w:val="230"/>
        </w:trPr>
        <w:tc>
          <w:tcPr>
            <w:tcW w:w="940" w:type="dxa"/>
            <w:vAlign w:val="bottom"/>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6.</w:t>
              </w:r>
            </w:hyperlink>
          </w:p>
        </w:tc>
        <w:tc>
          <w:tcPr>
            <w:tcW w:w="7180" w:type="dxa"/>
            <w:vAlign w:val="bottom"/>
          </w:tcPr>
          <w:p>
            <w:pPr>
              <w:ind w:left="8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Exhibits</w:t>
              </w:r>
            </w:hyperlink>
          </w:p>
        </w:tc>
        <w:tc>
          <w:tcPr>
            <w:tcW w:w="3120" w:type="dxa"/>
            <w:vAlign w:val="bottom"/>
          </w:tcPr>
          <w:p>
            <w:pPr>
              <w:jc w:val="right"/>
              <w:ind w:right="11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r>
      <w:tr>
        <w:trPr>
          <w:trHeight w:val="270"/>
        </w:trPr>
        <w:tc>
          <w:tcPr>
            <w:tcW w:w="940" w:type="dxa"/>
            <w:vAlign w:val="bottom"/>
            <w:shd w:val="clear" w:color="auto" w:fill="CCEEFF"/>
          </w:tcPr>
          <w:p>
            <w:pPr>
              <w:spacing w:after="0"/>
              <w:rPr>
                <w:sz w:val="23"/>
                <w:szCs w:val="23"/>
                <w:color w:val="auto"/>
              </w:rPr>
            </w:pPr>
          </w:p>
        </w:tc>
        <w:tc>
          <w:tcPr>
            <w:tcW w:w="7180" w:type="dxa"/>
            <w:vAlign w:val="bottom"/>
            <w:shd w:val="clear" w:color="auto" w:fill="CCEEFF"/>
          </w:tcPr>
          <w:p>
            <w:pPr>
              <w:spacing w:after="0"/>
              <w:rPr>
                <w:sz w:val="23"/>
                <w:szCs w:val="23"/>
                <w:color w:val="auto"/>
              </w:rPr>
            </w:pPr>
          </w:p>
        </w:tc>
        <w:tc>
          <w:tcPr>
            <w:tcW w:w="3120" w:type="dxa"/>
            <w:vAlign w:val="bottom"/>
            <w:shd w:val="clear" w:color="auto" w:fill="CCEEFF"/>
          </w:tcPr>
          <w:p>
            <w:pPr>
              <w:spacing w:after="0"/>
              <w:rPr>
                <w:sz w:val="23"/>
                <w:szCs w:val="23"/>
                <w:color w:val="auto"/>
              </w:rPr>
            </w:pPr>
          </w:p>
        </w:tc>
      </w:tr>
      <w:tr>
        <w:trPr>
          <w:trHeight w:val="234"/>
        </w:trPr>
        <w:tc>
          <w:tcPr>
            <w:tcW w:w="940" w:type="dxa"/>
            <w:vAlign w:val="bottom"/>
          </w:tcPr>
          <w:p>
            <w:pPr>
              <w:ind w:left="20"/>
              <w:spacing w:after="0"/>
              <w:rPr>
                <w:rFonts w:ascii="Arial" w:cs="Arial" w:eastAsia="Arial" w:hAnsi="Arial"/>
                <w:sz w:val="18"/>
                <w:szCs w:val="18"/>
                <w:b w:val="1"/>
                <w:bCs w:val="1"/>
                <w:u w:val="single" w:color="auto"/>
                <w:color w:val="0000FF"/>
                <w:w w:val="96"/>
              </w:rPr>
            </w:pPr>
            <w:hyperlink w:anchor="page78">
              <w:r>
                <w:rPr>
                  <w:rFonts w:ascii="Arial" w:cs="Arial" w:eastAsia="Arial" w:hAnsi="Arial"/>
                  <w:sz w:val="18"/>
                  <w:szCs w:val="18"/>
                  <w:b w:val="1"/>
                  <w:bCs w:val="1"/>
                  <w:u w:val="single" w:color="auto"/>
                  <w:color w:val="0000FF"/>
                  <w:w w:val="96"/>
                </w:rPr>
                <w:t>Signatures</w:t>
              </w:r>
            </w:hyperlink>
          </w:p>
        </w:tc>
        <w:tc>
          <w:tcPr>
            <w:tcW w:w="7180" w:type="dxa"/>
            <w:vAlign w:val="bottom"/>
          </w:tcPr>
          <w:p>
            <w:pPr>
              <w:spacing w:after="0"/>
              <w:rPr>
                <w:sz w:val="20"/>
                <w:szCs w:val="20"/>
                <w:color w:val="auto"/>
              </w:rPr>
            </w:pPr>
          </w:p>
        </w:tc>
        <w:tc>
          <w:tcPr>
            <w:tcW w:w="3120" w:type="dxa"/>
            <w:vAlign w:val="bottom"/>
          </w:tcPr>
          <w:p>
            <w:pPr>
              <w:jc w:val="right"/>
              <w:ind w:right="11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1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BALANCE SHEETS</w:t>
      </w:r>
    </w:p>
    <w:p>
      <w:pPr>
        <w:jc w:val="center"/>
        <w:ind w:right="-19"/>
        <w:spacing w:after="0"/>
        <w:rPr>
          <w:sz w:val="20"/>
          <w:szCs w:val="20"/>
          <w:color w:val="auto"/>
        </w:rPr>
      </w:pPr>
      <w:r>
        <w:rPr>
          <w:rFonts w:ascii="Arial" w:cs="Arial" w:eastAsia="Arial" w:hAnsi="Arial"/>
          <w:sz w:val="20"/>
          <w:szCs w:val="20"/>
          <w:b w:val="1"/>
          <w:bCs w:val="1"/>
          <w:color w:val="auto"/>
        </w:rPr>
        <w:t>(UNAUDITED)</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2020</w:t>
            </w:r>
          </w:p>
        </w:tc>
        <w:tc>
          <w:tcPr>
            <w:tcW w:w="240" w:type="dxa"/>
            <w:vAlign w:val="bottom"/>
          </w:tcPr>
          <w:p>
            <w:pPr>
              <w:spacing w:after="0"/>
              <w:rPr>
                <w:sz w:val="18"/>
                <w:szCs w:val="18"/>
                <w:color w:val="auto"/>
              </w:rPr>
            </w:pPr>
          </w:p>
        </w:tc>
        <w:tc>
          <w:tcPr>
            <w:tcW w:w="1820" w:type="dxa"/>
            <w:vAlign w:val="bottom"/>
          </w:tcPr>
          <w:p>
            <w:pPr>
              <w:jc w:val="right"/>
              <w:ind w:right="290"/>
              <w:spacing w:after="0"/>
              <w:rPr>
                <w:sz w:val="20"/>
                <w:szCs w:val="20"/>
                <w:color w:val="auto"/>
              </w:rPr>
            </w:pPr>
            <w:r>
              <w:rPr>
                <w:rFonts w:ascii="Arial" w:cs="Arial" w:eastAsia="Arial" w:hAnsi="Arial"/>
                <w:sz w:val="16"/>
                <w:szCs w:val="16"/>
                <w:b w:val="1"/>
                <w:bCs w:val="1"/>
                <w:color w:val="auto"/>
                <w:w w:val="98"/>
              </w:rPr>
              <w:t>December 31, 2019</w:t>
            </w:r>
          </w:p>
        </w:tc>
        <w:tc>
          <w:tcPr>
            <w:tcW w:w="0" w:type="dxa"/>
            <w:vAlign w:val="bottom"/>
          </w:tcPr>
          <w:p>
            <w:pPr>
              <w:spacing w:after="0"/>
              <w:rPr>
                <w:sz w:val="1"/>
                <w:szCs w:val="1"/>
                <w:color w:val="auto"/>
              </w:rPr>
            </w:pPr>
          </w:p>
        </w:tc>
      </w:tr>
      <w:tr>
        <w:trPr>
          <w:trHeight w:val="21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leases - sales-type and direct financing,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13,009,966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10,734,245</w:t>
            </w:r>
          </w:p>
        </w:tc>
        <w:tc>
          <w:tcPr>
            <w:tcW w:w="0" w:type="dxa"/>
            <w:vAlign w:val="bottom"/>
          </w:tcPr>
          <w:p>
            <w:pPr>
              <w:spacing w:after="0"/>
              <w:rPr>
                <w:sz w:val="1"/>
                <w:szCs w:val="1"/>
                <w:color w:val="auto"/>
              </w:rPr>
            </w:pPr>
          </w:p>
        </w:tc>
      </w:tr>
      <w:tr>
        <w:trPr>
          <w:trHeight w:val="229"/>
        </w:trPr>
        <w:tc>
          <w:tcPr>
            <w:tcW w:w="7000" w:type="dxa"/>
            <w:vAlign w:val="bottom"/>
          </w:tcPr>
          <w:p>
            <w:pPr>
              <w:ind w:left="440"/>
              <w:spacing w:after="0"/>
              <w:rPr>
                <w:sz w:val="20"/>
                <w:szCs w:val="20"/>
                <w:color w:val="auto"/>
              </w:rPr>
            </w:pPr>
            <w:r>
              <w:rPr>
                <w:rFonts w:ascii="Arial" w:cs="Arial" w:eastAsia="Arial" w:hAnsi="Arial"/>
                <w:sz w:val="18"/>
                <w:szCs w:val="18"/>
                <w:color w:val="auto"/>
              </w:rPr>
              <w:t>Investments in leases - operating</w:t>
            </w:r>
          </w:p>
        </w:tc>
        <w:tc>
          <w:tcPr>
            <w:tcW w:w="2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1,086,658</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leases - financing receivables, net</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tcPr>
          <w:p>
            <w:pPr>
              <w:ind w:left="440"/>
              <w:spacing w:after="0"/>
              <w:rPr>
                <w:sz w:val="20"/>
                <w:szCs w:val="20"/>
                <w:color w:val="auto"/>
              </w:rPr>
            </w:pPr>
            <w:r>
              <w:rPr>
                <w:rFonts w:ascii="Arial" w:cs="Arial" w:eastAsia="Arial" w:hAnsi="Arial"/>
                <w:sz w:val="18"/>
                <w:szCs w:val="18"/>
                <w:color w:val="auto"/>
              </w:rPr>
              <w:t>Investments in loans, net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533,713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94,711</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144,057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1,101,893</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188,638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16,851,830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13,265,619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4,791,563</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financing liability</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70,340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137,056</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123,918</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7,482,291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5,216,630</w:t>
            </w: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11)</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00" w:type="dxa"/>
            <w:vAlign w:val="bottom"/>
          </w:tcPr>
          <w:p>
            <w:pPr>
              <w:ind w:left="220"/>
              <w:spacing w:after="0" w:line="176" w:lineRule="exact"/>
              <w:rPr>
                <w:sz w:val="20"/>
                <w:szCs w:val="20"/>
                <w:color w:val="auto"/>
              </w:rPr>
            </w:pPr>
            <w:r>
              <w:rPr>
                <w:rFonts w:ascii="Arial" w:cs="Arial" w:eastAsia="Arial" w:hAnsi="Arial"/>
                <w:sz w:val="18"/>
                <w:szCs w:val="18"/>
                <w:color w:val="auto"/>
                <w:w w:val="98"/>
              </w:rPr>
              <w:t>Common stock, $0.01 par value, 700,000,000 shares authorized and 536,668,779 and</w:t>
            </w: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0" w:type="dxa"/>
            <w:vAlign w:val="bottom"/>
          </w:tcPr>
          <w:p>
            <w:pPr>
              <w:ind w:left="220"/>
              <w:spacing w:after="0" w:line="176" w:lineRule="exact"/>
              <w:rPr>
                <w:sz w:val="20"/>
                <w:szCs w:val="20"/>
                <w:color w:val="auto"/>
              </w:rPr>
            </w:pPr>
            <w:r>
              <w:rPr>
                <w:rFonts w:ascii="Arial" w:cs="Arial" w:eastAsia="Arial" w:hAnsi="Arial"/>
                <w:sz w:val="18"/>
                <w:szCs w:val="18"/>
                <w:color w:val="auto"/>
                <w:w w:val="91"/>
              </w:rPr>
              <w:t>461,004,742 shares issued and outstanding at September 30, 2020 and December 31, 2019,</w:t>
            </w:r>
          </w:p>
        </w:tc>
        <w:tc>
          <w:tcPr>
            <w:tcW w:w="22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Preferred stock, $0.01 par value, 50,000,000 shares authorized and no shares outstanding at</w:t>
            </w:r>
          </w:p>
        </w:tc>
        <w:tc>
          <w:tcPr>
            <w:tcW w:w="220" w:type="dxa"/>
            <w:vAlign w:val="bottom"/>
            <w:shd w:val="clear" w:color="auto" w:fill="CCEEFF"/>
          </w:tcPr>
          <w:p>
            <w:pPr>
              <w:spacing w:after="0"/>
              <w:rPr>
                <w:sz w:val="15"/>
                <w:szCs w:val="15"/>
                <w:color w:val="auto"/>
              </w:rPr>
            </w:pPr>
          </w:p>
        </w:tc>
        <w:tc>
          <w:tcPr>
            <w:tcW w:w="1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2020 and December 31, 2019</w:t>
            </w:r>
          </w:p>
        </w:tc>
        <w:tc>
          <w:tcPr>
            <w:tcW w:w="220" w:type="dxa"/>
            <w:vAlign w:val="bottom"/>
            <w:shd w:val="clear" w:color="auto" w:fill="CCEEFF"/>
          </w:tcPr>
          <w:p>
            <w:pPr>
              <w:spacing w:after="0"/>
              <w:rPr>
                <w:sz w:val="19"/>
                <w:szCs w:val="19"/>
                <w:color w:val="auto"/>
              </w:rPr>
            </w:pPr>
          </w:p>
        </w:tc>
        <w:tc>
          <w:tcPr>
            <w:tcW w:w="19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9,361,526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7,817,582</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(65,078)</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208,069</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VICI stockholders’ equity</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7,965,183</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83,806</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9,369,539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8,048,989</w:t>
            </w:r>
          </w:p>
        </w:tc>
        <w:tc>
          <w:tcPr>
            <w:tcW w:w="0" w:type="dxa"/>
            <w:vAlign w:val="bottom"/>
          </w:tcPr>
          <w:p>
            <w:pPr>
              <w:spacing w:after="0"/>
              <w:rPr>
                <w:sz w:val="1"/>
                <w:szCs w:val="1"/>
                <w:color w:val="auto"/>
              </w:rPr>
            </w:pPr>
          </w:p>
        </w:tc>
      </w:tr>
      <w:tr>
        <w:trPr>
          <w:trHeight w:val="223"/>
        </w:trPr>
        <w:tc>
          <w:tcPr>
            <w:tcW w:w="700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16,851,830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13,265,619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7"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September 30, 2020, our Investments in leases - sales-type and direct financing, Investments in leases - financing receivables, Investments in loans and Other assets (sales-type sub-leases) are net of $467.0 million, $93.0 million, $3.2 million and $7.2 million of Allowance for credit losses, respectively. The credit loss standard does not require retrospective application and as such there is no corresponding allowance as of December 31, 2019. Refer to </w:t>
      </w:r>
      <w:hyperlink w:anchor="page32">
        <w:r>
          <w:rPr>
            <w:rFonts w:ascii="Arial" w:cs="Arial" w:eastAsia="Arial" w:hAnsi="Arial"/>
            <w:sz w:val="14"/>
            <w:szCs w:val="14"/>
            <w:i w:val="1"/>
            <w:iCs w:val="1"/>
            <w:u w:val="single" w:color="auto"/>
            <w:color w:val="0000FF"/>
          </w:rPr>
          <w:t>Note 6 -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Three Months Ended</w:t>
            </w:r>
          </w:p>
        </w:tc>
        <w:tc>
          <w:tcPr>
            <w:tcW w:w="280" w:type="dxa"/>
            <w:vAlign w:val="bottom"/>
          </w:tcPr>
          <w:p>
            <w:pPr>
              <w:spacing w:after="0"/>
              <w:rPr>
                <w:sz w:val="16"/>
                <w:szCs w:val="16"/>
                <w:color w:val="auto"/>
              </w:rPr>
            </w:pPr>
          </w:p>
        </w:tc>
        <w:tc>
          <w:tcPr>
            <w:tcW w:w="2640" w:type="dxa"/>
            <w:vAlign w:val="bottom"/>
            <w:gridSpan w:val="4"/>
          </w:tcPr>
          <w:p>
            <w:pPr>
              <w:jc w:val="right"/>
              <w:ind w:right="69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280" w:type="dxa"/>
            <w:vAlign w:val="bottom"/>
          </w:tcPr>
          <w:p>
            <w:pPr>
              <w:spacing w:after="0"/>
              <w:rPr>
                <w:sz w:val="18"/>
                <w:szCs w:val="18"/>
                <w:color w:val="auto"/>
              </w:rPr>
            </w:pPr>
          </w:p>
        </w:tc>
        <w:tc>
          <w:tcPr>
            <w:tcW w:w="2640" w:type="dxa"/>
            <w:vAlign w:val="bottom"/>
            <w:gridSpan w:val="4"/>
          </w:tcPr>
          <w:p>
            <w:pPr>
              <w:jc w:val="right"/>
              <w:ind w:right="870"/>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2019</w:t>
            </w: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Income from sales-type and direct financing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270,274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206,001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718,421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603,300</w:t>
            </w: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operating leases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32,740</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Golf operations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21,221</w:t>
            </w:r>
          </w:p>
        </w:tc>
      </w:tr>
      <w:tr>
        <w:trPr>
          <w:trHeight w:val="223"/>
        </w:trPr>
        <w:tc>
          <w:tcPr>
            <w:tcW w:w="5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657,261</w:t>
            </w:r>
          </w:p>
        </w:tc>
      </w:tr>
      <w:tr>
        <w:trPr>
          <w:trHeight w:val="237"/>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19,460</w:t>
            </w: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 operations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14,363</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177,052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261,080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r>
      <w:tr>
        <w:trPr>
          <w:trHeight w:val="223"/>
        </w:trPr>
        <w:tc>
          <w:tcPr>
            <w:tcW w:w="5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41,520</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615,741</w:t>
            </w:r>
          </w:p>
        </w:tc>
      </w:tr>
      <w:tr>
        <w:trPr>
          <w:trHeight w:val="257"/>
        </w:trPr>
        <w:tc>
          <w:tcPr>
            <w:tcW w:w="5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(176,936)</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15,861</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Gain upon lease modification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454,666</w:t>
            </w:r>
          </w:p>
        </w:tc>
      </w:tr>
      <w:tr>
        <w:trPr>
          <w:trHeight w:val="23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453,568</w:t>
            </w:r>
          </w:p>
        </w:tc>
      </w:tr>
      <w:tr>
        <w:trPr>
          <w:trHeight w:val="23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loss (income) attributable to non-controlling interest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447,333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7"/>
        </w:trPr>
        <w:tc>
          <w:tcPr>
            <w:tcW w:w="5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2"/>
              </w:rPr>
              <w:t>Weighted average number of shares of common stock outstanding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533,407,916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460,666,295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496,002,850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426,437,889</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536,180,175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465,771,668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499,982,269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428,366,146</w:t>
            </w:r>
          </w:p>
        </w:tc>
      </w:tr>
      <w:tr>
        <w:trPr>
          <w:trHeight w:val="257"/>
        </w:trPr>
        <w:tc>
          <w:tcPr>
            <w:tcW w:w="5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398,274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144,435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603,664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447,333</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(54,992)</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Comprehensive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564,484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392,341</w:t>
            </w:r>
          </w:p>
        </w:tc>
      </w:tr>
      <w:tr>
        <w:trPr>
          <w:trHeight w:val="21"/>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Additional Paid-</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VICI</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0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6,648,430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6,817,449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6,901,022</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152,926</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128,265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Dividends declared ($0.2875 per common</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(118,154)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(118,154)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(118,154)</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(17,191)</w:t>
            </w: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March 31, 2019</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6,777,683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(39,315)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219,791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6,962,269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83,619</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7,045,888</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154,127</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Issuance of common stock,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1,035,780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1,036,280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1,036,280</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to non-controlling interest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w w:val="98"/>
              </w:rPr>
              <w:t>Dividends declared ($0.2875 per common</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(132,539)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(132,539)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(132,539)</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share)</w:t>
            </w: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(30,688)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(30,688)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(30,688)</w:t>
            </w:r>
          </w:p>
        </w:tc>
        <w:tc>
          <w:tcPr>
            <w:tcW w:w="0" w:type="dxa"/>
            <w:vAlign w:val="bottom"/>
          </w:tcPr>
          <w:p>
            <w:pPr>
              <w:spacing w:after="0"/>
              <w:rPr>
                <w:sz w:val="1"/>
                <w:szCs w:val="1"/>
                <w:color w:val="auto"/>
              </w:rPr>
            </w:pPr>
          </w:p>
        </w:tc>
      </w:tr>
      <w:tr>
        <w:trPr>
          <w:trHeight w:val="237"/>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2019</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7,814,829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7,988,737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8,072,423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144,435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144,435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146,515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Distribution to non-controlling interest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Dividends declared ($0.2975 per common</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(137,149)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(137,149)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(137,149)</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7,816,233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(77,116)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246,587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7,990,314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83,755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8,074,069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 (Continued)</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Additional Paid-</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VICI</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0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7,817,582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7,965,183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8,048,989</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w w:val="99"/>
              </w:rPr>
              <w:t>Cumulative effect of adoption of ASC 326</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(309,362)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Issuance of common stock,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199,877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199,877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w w:val="98"/>
              </w:rPr>
              <w:t>Dividends declared ($0.2975 per common</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share)</w:t>
            </w: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(53,138)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(53,138)</w:t>
            </w:r>
          </w:p>
        </w:tc>
        <w:tc>
          <w:tcPr>
            <w:tcW w:w="0" w:type="dxa"/>
            <w:vAlign w:val="bottom"/>
          </w:tcPr>
          <w:p>
            <w:pPr>
              <w:spacing w:after="0"/>
              <w:rPr>
                <w:sz w:val="1"/>
                <w:szCs w:val="1"/>
                <w:color w:val="auto"/>
              </w:rPr>
            </w:pPr>
          </w:p>
        </w:tc>
      </w:tr>
      <w:tr>
        <w:trPr>
          <w:trHeight w:val="21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8,018,568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7,642,568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7,724,031</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229,402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229,402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231,643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1,276,624</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Dividends declared ($0.2975 per common</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(158,767)</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12"/>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9,296,511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(117,265)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(191,835)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8,992,748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81,663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9,074,411</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396,218</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Issuance of common stock,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63,032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63,032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w w:val="98"/>
              </w:rPr>
              <w:t>Dividends declared ($0.3300 per common</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(177,101)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(177,101)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(177,101)</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share)</w:t>
            </w: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13,007</w:t>
            </w:r>
          </w:p>
        </w:tc>
        <w:tc>
          <w:tcPr>
            <w:tcW w:w="0" w:type="dxa"/>
            <w:vAlign w:val="bottom"/>
          </w:tcPr>
          <w:p>
            <w:pPr>
              <w:spacing w:after="0"/>
              <w:rPr>
                <w:sz w:val="1"/>
                <w:szCs w:val="1"/>
                <w:color w:val="auto"/>
              </w:rPr>
            </w:pPr>
          </w:p>
        </w:tc>
      </w:tr>
      <w:tr>
        <w:trPr>
          <w:trHeight w:val="23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9,361,526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9,291,973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9,369,539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0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2019</w:t>
            </w:r>
          </w:p>
        </w:tc>
      </w:tr>
      <w:tr>
        <w:trPr>
          <w:trHeight w:val="212"/>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0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605,796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453,568</w:t>
            </w:r>
          </w:p>
        </w:tc>
      </w:tr>
      <w:tr>
        <w:trPr>
          <w:trHeight w:val="229"/>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060" w:type="dxa"/>
            <w:vAlign w:val="bottom"/>
          </w:tcPr>
          <w:p>
            <w:pPr>
              <w:ind w:left="420"/>
              <w:spacing w:after="0"/>
              <w:rPr>
                <w:sz w:val="20"/>
                <w:szCs w:val="20"/>
                <w:color w:val="auto"/>
              </w:rPr>
            </w:pPr>
            <w:r>
              <w:rPr>
                <w:rFonts w:ascii="Arial" w:cs="Arial" w:eastAsia="Arial" w:hAnsi="Arial"/>
                <w:sz w:val="18"/>
                <w:szCs w:val="18"/>
                <w:color w:val="auto"/>
              </w:rPr>
              <w:t>Non-cash leasing and financing adjustments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29"/>
        </w:trPr>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r>
      <w:tr>
        <w:trPr>
          <w:trHeight w:val="230"/>
        </w:trPr>
        <w:tc>
          <w:tcPr>
            <w:tcW w:w="70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2,948</w:t>
            </w:r>
          </w:p>
        </w:tc>
      </w:tr>
      <w:tr>
        <w:trPr>
          <w:trHeight w:val="229"/>
        </w:trPr>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 and original issue discount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w:t>
            </w:r>
          </w:p>
        </w:tc>
      </w:tr>
      <w:tr>
        <w:trPr>
          <w:trHeight w:val="229"/>
        </w:trPr>
        <w:tc>
          <w:tcPr>
            <w:tcW w:w="7060" w:type="dxa"/>
            <w:vAlign w:val="bottom"/>
          </w:tcPr>
          <w:p>
            <w:pPr>
              <w:ind w:left="420"/>
              <w:spacing w:after="0"/>
              <w:rPr>
                <w:sz w:val="20"/>
                <w:szCs w:val="20"/>
                <w:color w:val="auto"/>
              </w:rPr>
            </w:pPr>
            <w:r>
              <w:rPr>
                <w:rFonts w:ascii="Arial" w:cs="Arial" w:eastAsia="Arial" w:hAnsi="Arial"/>
                <w:sz w:val="18"/>
                <w:szCs w:val="18"/>
                <w:color w:val="auto"/>
              </w:rPr>
              <w:t>Change in allowance for credit losses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261,080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420"/>
              <w:spacing w:after="0"/>
              <w:rPr>
                <w:sz w:val="20"/>
                <w:szCs w:val="20"/>
                <w:color w:val="auto"/>
              </w:rPr>
            </w:pPr>
            <w:r>
              <w:rPr>
                <w:rFonts w:ascii="Arial" w:cs="Arial" w:eastAsia="Arial" w:hAnsi="Arial"/>
                <w:sz w:val="18"/>
                <w:szCs w:val="18"/>
                <w:color w:val="auto"/>
              </w:rPr>
              <w:t>Gain upon lease modification</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0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(5,952)</w:t>
            </w:r>
          </w:p>
        </w:tc>
      </w:tr>
      <w:tr>
        <w:trPr>
          <w:trHeight w:val="229"/>
        </w:trPr>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w:t>
            </w:r>
          </w:p>
        </w:tc>
      </w:tr>
      <w:tr>
        <w:trPr>
          <w:trHeight w:val="230"/>
        </w:trPr>
        <w:tc>
          <w:tcPr>
            <w:tcW w:w="70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(70,031)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(43,355)</w:t>
            </w:r>
          </w:p>
        </w:tc>
      </w:tr>
      <w:tr>
        <w:trPr>
          <w:trHeight w:val="229"/>
        </w:trPr>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23"/>
        </w:trPr>
        <w:tc>
          <w:tcPr>
            <w:tcW w:w="70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437,199</w:t>
            </w:r>
          </w:p>
        </w:tc>
      </w:tr>
      <w:tr>
        <w:trPr>
          <w:trHeight w:val="250"/>
        </w:trPr>
        <w:tc>
          <w:tcPr>
            <w:tcW w:w="7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leases - sales-type and direct financing</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(1,530,578)</w:t>
            </w:r>
          </w:p>
        </w:tc>
      </w:tr>
      <w:tr>
        <w:trPr>
          <w:trHeight w:val="229"/>
        </w:trPr>
        <w:tc>
          <w:tcPr>
            <w:tcW w:w="7060" w:type="dxa"/>
            <w:vAlign w:val="bottom"/>
          </w:tcPr>
          <w:p>
            <w:pPr>
              <w:ind w:left="200"/>
              <w:spacing w:after="0"/>
              <w:rPr>
                <w:sz w:val="20"/>
                <w:szCs w:val="20"/>
                <w:color w:val="auto"/>
              </w:rPr>
            </w:pPr>
            <w:r>
              <w:rPr>
                <w:rFonts w:ascii="Arial" w:cs="Arial" w:eastAsia="Arial" w:hAnsi="Arial"/>
                <w:sz w:val="18"/>
                <w:szCs w:val="18"/>
                <w:color w:val="auto"/>
              </w:rPr>
              <w:t>Investments in leases - financing receivables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(2,682,443)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loans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200"/>
              <w:spacing w:after="0"/>
              <w:rPr>
                <w:sz w:val="20"/>
                <w:szCs w:val="20"/>
                <w:color w:val="auto"/>
              </w:rPr>
            </w:pPr>
            <w:r>
              <w:rPr>
                <w:rFonts w:ascii="Arial" w:cs="Arial" w:eastAsia="Arial" w:hAnsi="Arial"/>
                <w:sz w:val="18"/>
                <w:szCs w:val="18"/>
                <w:color w:val="auto"/>
              </w:rPr>
              <w:t>Principal repayments of lease financing receivables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transaction costs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29"/>
        </w:trPr>
        <w:tc>
          <w:tcPr>
            <w:tcW w:w="7060" w:type="dxa"/>
            <w:vAlign w:val="bottom"/>
          </w:tcPr>
          <w:p>
            <w:pPr>
              <w:ind w:left="200"/>
              <w:spacing w:after="0"/>
              <w:rPr>
                <w:sz w:val="20"/>
                <w:szCs w:val="20"/>
                <w:color w:val="auto"/>
              </w:rPr>
            </w:pPr>
            <w:r>
              <w:rPr>
                <w:rFonts w:ascii="Arial" w:cs="Arial" w:eastAsia="Arial" w:hAnsi="Arial"/>
                <w:sz w:val="18"/>
                <w:szCs w:val="18"/>
                <w:color w:val="auto"/>
              </w:rPr>
              <w:t>Investments in short-term investments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(440,353)</w:t>
            </w: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short-term investments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618,463</w:t>
            </w:r>
          </w:p>
        </w:tc>
      </w:tr>
      <w:tr>
        <w:trPr>
          <w:trHeight w:val="230"/>
        </w:trPr>
        <w:tc>
          <w:tcPr>
            <w:tcW w:w="7060" w:type="dxa"/>
            <w:vAlign w:val="bottom"/>
          </w:tcPr>
          <w:p>
            <w:pPr>
              <w:ind w:left="200"/>
              <w:spacing w:after="0"/>
              <w:rPr>
                <w:sz w:val="20"/>
                <w:szCs w:val="20"/>
                <w:color w:val="auto"/>
              </w:rPr>
            </w:pPr>
            <w:r>
              <w:rPr>
                <w:rFonts w:ascii="Arial" w:cs="Arial" w:eastAsia="Arial" w:hAnsi="Arial"/>
                <w:sz w:val="18"/>
                <w:szCs w:val="18"/>
                <w:color w:val="auto"/>
              </w:rPr>
              <w:t>Proceeds from sale of real estate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31,125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property and equipment</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r>
      <w:tr>
        <w:trPr>
          <w:trHeight w:val="223"/>
        </w:trPr>
        <w:tc>
          <w:tcPr>
            <w:tcW w:w="70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(4,556,349)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(1,355,857)</w:t>
            </w:r>
          </w:p>
        </w:tc>
      </w:tr>
      <w:tr>
        <w:trPr>
          <w:trHeight w:val="250"/>
        </w:trPr>
        <w:tc>
          <w:tcPr>
            <w:tcW w:w="7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offering of common stock, net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1,539,748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1,164,360</w:t>
            </w:r>
          </w:p>
        </w:tc>
      </w:tr>
      <w:tr>
        <w:trPr>
          <w:trHeight w:val="230"/>
        </w:trPr>
        <w:tc>
          <w:tcPr>
            <w:tcW w:w="7060" w:type="dxa"/>
            <w:vAlign w:val="bottom"/>
          </w:tcPr>
          <w:p>
            <w:pPr>
              <w:ind w:left="200"/>
              <w:spacing w:after="0"/>
              <w:rPr>
                <w:sz w:val="20"/>
                <w:szCs w:val="20"/>
                <w:color w:val="auto"/>
              </w:rPr>
            </w:pPr>
            <w:r>
              <w:rPr>
                <w:rFonts w:ascii="Arial" w:cs="Arial" w:eastAsia="Arial" w:hAnsi="Arial"/>
                <w:sz w:val="18"/>
                <w:szCs w:val="18"/>
                <w:color w:val="auto"/>
              </w:rPr>
              <w:t>Proceeds from February 2020 Senior Unsecured Notes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Redemption of Second Lien Notes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200"/>
              <w:spacing w:after="0"/>
              <w:rPr>
                <w:sz w:val="20"/>
                <w:szCs w:val="20"/>
                <w:color w:val="auto"/>
              </w:rPr>
            </w:pPr>
            <w:r>
              <w:rPr>
                <w:rFonts w:ascii="Arial" w:cs="Arial" w:eastAsia="Arial" w:hAnsi="Arial"/>
                <w:sz w:val="18"/>
                <w:szCs w:val="18"/>
                <w:color w:val="auto"/>
              </w:rPr>
              <w:t>CPLV CMBS Debt prepayment penalty reimbursement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55,401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stock for tax withholding</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(57,789)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(7,727)</w:t>
            </w: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non-controlling interest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r>
      <w:tr>
        <w:trPr>
          <w:trHeight w:val="229"/>
        </w:trPr>
        <w:tc>
          <w:tcPr>
            <w:tcW w:w="7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Dividends paid</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(435,180)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(366,859)</w:t>
            </w:r>
          </w:p>
        </w:tc>
      </w:tr>
      <w:tr>
        <w:trPr>
          <w:trHeight w:val="223"/>
        </w:trPr>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3,058,992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783,721</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 (Continued)</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(957,836)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(134,937)</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598,447</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463,510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188,728</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148,992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declared, not paid</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177,101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137,149</w:t>
            </w:r>
          </w:p>
        </w:tc>
        <w:tc>
          <w:tcPr>
            <w:tcW w:w="0" w:type="dxa"/>
            <w:vAlign w:val="bottom"/>
          </w:tcPr>
          <w:p>
            <w:pPr>
              <w:spacing w:after="0"/>
              <w:rPr>
                <w:sz w:val="1"/>
                <w:szCs w:val="1"/>
                <w:color w:val="auto"/>
              </w:rPr>
            </w:pPr>
          </w:p>
        </w:tc>
      </w:tr>
      <w:tr>
        <w:trPr>
          <w:trHeight w:val="230"/>
        </w:trPr>
        <w:tc>
          <w:tcPr>
            <w:tcW w:w="7060" w:type="dxa"/>
            <w:vAlign w:val="bottom"/>
          </w:tcPr>
          <w:p>
            <w:pPr>
              <w:ind w:left="200"/>
              <w:spacing w:after="0"/>
              <w:rPr>
                <w:sz w:val="20"/>
                <w:szCs w:val="20"/>
                <w:color w:val="auto"/>
              </w:rPr>
            </w:pPr>
            <w:r>
              <w:rPr>
                <w:rFonts w:ascii="Arial" w:cs="Arial" w:eastAsia="Arial" w:hAnsi="Arial"/>
                <w:sz w:val="18"/>
                <w:szCs w:val="18"/>
                <w:color w:val="auto"/>
              </w:rPr>
              <w:t>Lease liabilities arising from obtaining right-of-use assets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282,054</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19,821</w:t>
            </w:r>
          </w:p>
        </w:tc>
        <w:tc>
          <w:tcPr>
            <w:tcW w:w="0" w:type="dxa"/>
            <w:vAlign w:val="bottom"/>
          </w:tcPr>
          <w:p>
            <w:pPr>
              <w:spacing w:after="0"/>
              <w:rPr>
                <w:sz w:val="1"/>
                <w:szCs w:val="1"/>
                <w:color w:val="auto"/>
              </w:rPr>
            </w:pPr>
          </w:p>
        </w:tc>
      </w:tr>
      <w:tr>
        <w:trPr>
          <w:trHeight w:val="175"/>
        </w:trPr>
        <w:tc>
          <w:tcPr>
            <w:tcW w:w="70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Transfer of Investments in leases - operating to Investments in leases - sales-type and direct</w:t>
            </w:r>
          </w:p>
        </w:tc>
        <w:tc>
          <w:tcPr>
            <w:tcW w:w="6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9"/>
              </w:rPr>
              <w:t>financing due to modification of the Caesars Lease Agreements in connection with the</w:t>
            </w:r>
          </w:p>
        </w:tc>
        <w:tc>
          <w:tcPr>
            <w:tcW w:w="66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1,086,658</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Eldorado Transaction</w:t>
            </w:r>
          </w:p>
        </w:tc>
        <w:tc>
          <w:tcPr>
            <w:tcW w:w="66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60" w:type="dxa"/>
            <w:vAlign w:val="bottom"/>
          </w:tcPr>
          <w:p>
            <w:pPr>
              <w:ind w:left="200"/>
              <w:spacing w:after="0" w:line="176" w:lineRule="exact"/>
              <w:rPr>
                <w:sz w:val="20"/>
                <w:szCs w:val="20"/>
                <w:color w:val="auto"/>
              </w:rPr>
            </w:pPr>
            <w:r>
              <w:rPr>
                <w:rFonts w:ascii="Arial" w:cs="Arial" w:eastAsia="Arial" w:hAnsi="Arial"/>
                <w:sz w:val="18"/>
                <w:szCs w:val="18"/>
                <w:color w:val="auto"/>
                <w:w w:val="90"/>
              </w:rPr>
              <w:t>Transfer of Investments in leases - operating to Land due to modification of the Caesars Lease</w:t>
            </w:r>
          </w:p>
        </w:tc>
        <w:tc>
          <w:tcPr>
            <w:tcW w:w="660" w:type="dxa"/>
            <w:vAlign w:val="bottom"/>
            <w:vMerge w:val="restart"/>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63,479</w:t>
            </w:r>
          </w:p>
        </w:tc>
        <w:tc>
          <w:tcPr>
            <w:tcW w:w="120" w:type="dxa"/>
            <w:vAlign w:val="bottom"/>
          </w:tcPr>
          <w:p>
            <w:pPr>
              <w:spacing w:after="0"/>
              <w:rPr>
                <w:sz w:val="15"/>
                <w:szCs w:val="15"/>
                <w:color w:val="auto"/>
              </w:rPr>
            </w:pPr>
          </w:p>
        </w:tc>
        <w:tc>
          <w:tcPr>
            <w:tcW w:w="680" w:type="dxa"/>
            <w:vAlign w:val="bottom"/>
            <w:vMerge w:val="restart"/>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ind w:left="200"/>
              <w:spacing w:after="0"/>
              <w:rPr>
                <w:sz w:val="20"/>
                <w:szCs w:val="20"/>
                <w:color w:val="auto"/>
              </w:rPr>
            </w:pPr>
            <w:r>
              <w:rPr>
                <w:rFonts w:ascii="Arial" w:cs="Arial" w:eastAsia="Arial" w:hAnsi="Arial"/>
                <w:sz w:val="18"/>
                <w:szCs w:val="18"/>
                <w:color w:val="auto"/>
              </w:rPr>
              <w:t>Agreements in connection with the Eldorado Transaction</w:t>
            </w:r>
          </w:p>
        </w:tc>
        <w:tc>
          <w:tcPr>
            <w:tcW w:w="66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5"/>
              </w:rPr>
              <w:t>Increase in Investments in leases - sales-type and direct financing due to Gain upon lease</w:t>
            </w:r>
          </w:p>
        </w:tc>
        <w:tc>
          <w:tcPr>
            <w:tcW w:w="66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modification in connection with the Eldorado Transaction</w:t>
            </w:r>
          </w:p>
        </w:tc>
        <w:tc>
          <w:tcPr>
            <w:tcW w:w="66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0"/>
              <w:spacing w:after="0"/>
              <w:rPr>
                <w:sz w:val="20"/>
                <w:szCs w:val="20"/>
                <w:color w:val="auto"/>
              </w:rPr>
            </w:pPr>
            <w:r>
              <w:rPr>
                <w:rFonts w:ascii="Arial" w:cs="Arial" w:eastAsia="Arial" w:hAnsi="Arial"/>
                <w:sz w:val="18"/>
                <w:szCs w:val="18"/>
                <w:color w:val="auto"/>
              </w:rPr>
              <w:t>Non-cash change in Investments in leases - financing receivables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3,362</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transaction costs payable</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30"/>
        </w:trPr>
        <w:tc>
          <w:tcPr>
            <w:tcW w:w="7060" w:type="dxa"/>
            <w:vAlign w:val="bottom"/>
          </w:tcPr>
          <w:p>
            <w:pPr>
              <w:ind w:left="200"/>
              <w:spacing w:after="0"/>
              <w:rPr>
                <w:sz w:val="20"/>
                <w:szCs w:val="20"/>
                <w:color w:val="auto"/>
              </w:rPr>
            </w:pPr>
            <w:r>
              <w:rPr>
                <w:rFonts w:ascii="Arial" w:cs="Arial" w:eastAsia="Arial" w:hAnsi="Arial"/>
                <w:sz w:val="18"/>
                <w:szCs w:val="18"/>
                <w:color w:val="auto"/>
              </w:rPr>
              <w:t>Debt issuance costs payable</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28,923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“2025 Notes” refers to $750.0 million aggregate principal amount of 3.500% senior unsecured notes due 2025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“2026 Notes” refers to $1.25 billion aggregate principal amount of 4.250% senior unsecured notes due 2026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“2027 Notes” refers to $750.0 million aggregate principal amount of 3.750% senior unsecured notes due 2027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refers to Caesars Entertainment, Inc., a Delaware corporation, formerly Eldorado, following the consummation of the Eldorado/Caesars Merger on July 20, 2020 and Eldorado’s conversion to a Delaware corporation.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Forum Convention Center” refers to the Caesars Forum Convention Center in Las Vegas, Nevada, and the approximately 28 acres of land upon which the Caesars Forum Convention Center is built and/or otherwise used in connection with or necessary for the operation of the Caesars Forum Convention Center.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“Caesars Lease Agreements” refer collectively to (i) prior to the consummation of the Eldorado Transaction, the CPLV Lease Agreement, the Non-CPLV Lease Agreement, the Joliet Lease Agreement and the HLV Lease Agreement, and (ii) from and after the consummation of the Eldorado Transaction, the Las Vegas Master Lease Agreement, the Regional Master Lease Agreement and the Joliet Lease Agreement, in each case, unless the context otherwise requires.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Formation Date, and following the Formation Date, CEOC, LLC, a Delaware limited liability company and, as the context requires, its subsidiaries. CEOC was a subsidiary of Pre-Merger Caesars, and following the consummation of the Eldorado/Caesars Merger, is a subsidiary of Caesars.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“Co-Issuer” refers to VICI Note Co. Inc., a Delaware corporation.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 and repaid in full on November 26, 2019.</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was combined with the HLV Lease Agreement into the Las Vegas Master Lease Agreement upon the consummation of the Eldorado Transaction.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“Eldorado” refers to Eldorado Resorts, Inc., a Nevada corporation, and, as the context requires, its subsidiaries. Following the consummation of the Eldorado/Caesars Merger on July 20, 2020, Eldorado converted to a Delaware corporation and changed its name to Caesars Entertainment, Inc.</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New Orleans, Harrah’s Atlantic City and Harrah’s Laughlin properties, modifications to the Caesars Lease Agreements, and rights of first refusal.</w:t>
      </w:r>
    </w:p>
    <w:p>
      <w:pPr>
        <w:spacing w:after="0" w:line="13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“Eldorado/Caesars Merger” refers to the merger consummated on July 20, 2020 under an Agreement and Plan of Merger pursuant to which a subsidiary of Eldorado merged with and into Pre-Merger Caesars, with Pre-Merger Caesars surviving as a wholly owned subsidiary of Caesars.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the 2027 Notes and the 2030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Date” refers to October 6,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“Hard Rock Cincinnati” refers to the casino-entitled land and real estate and related assets associated with the Hard Rock Cincinnati Casino, located in Cincinnati, Ohio, which we purchased on September 20, 2019 (and previously referred to in certain prior filings as JACK Cincinnati).</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“HLV Lease Agreement” refers to the lease agreement for the Harrah’s Las Vegas facilities, as amended from time to time, which was combined with the CPLV Lease Agreement into the Las Vegas Master Lease Agreement upon the consummation of the Eldorado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facilities in Joliet, Illinois,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“Las Vegas Master Lease Agreement” refers to the lease agreement for Caesars Palace Las Vegas and the Harrah’s Las Vegas facilities, as amended from time to time, from and after the consummation of the Eldorado Transaction.</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“Lease Agreements” refer collectively to the Caesars Lease Agreements, the Penn National Lease Agreements, the Hard Rock Cincinnati Lease Agreement, the Century Portfolio Lease Agreement and the JACK Cleveland/Thistledown Lease Agreement, unless the context otherwise requires.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Transaction Agreement” or “MTA” refers to the master transaction agreement with Eldorado relating to the Eldorado Transaction.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“Non-CPLV Lease Agreement” refers to the lease agreement for regional properties (other than the facilities in Joliet, Illinois) leased to Pre-Merger Caesars prior to the consummation of the Eldorado Transaction, as amended from time to time, which was replaced by the Regional Master Lease Agreement upon the consummation of the Eldorado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refers collectively to the 2026 Notes and the 2029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“Pre-Merger Caesars” refers to Caesars Entertainment Corporation, a Delaware corporation, and, as the context requires, its subsidiaries. Following the consummation of the Eldorado/Caesars Merger on July 20, 2020, Pre-Merger Caesars became a wholly owned subsidiary of Caesars.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“Regional Master Lease Agreement” refers to the lease agreement for the regional properties (other than the facilities in Joliet, Illinois) leased to Caesars, as amended from time to time, from and after the consummation of the Eldorado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the remaining $498.5 million aggregate principal amount outstanding as of December 31, 2019 of which was redeemed in full on February 20,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Maryland corporation that is primarily engaged in the business of owning and acquiring gaming, hospitality and entertainment destinations, subject to long-term triple net leases. As of September 30, 2020, our national, geographically diverse portfolio consisted of 29 market-leading properties (reflecting the acquisitions and dispositions described herein, as well as the removal of Tunica Roadhouse, which has permanently closed), including Caesars Palace Las Vegas and Harrah’s Las Vegas. Our properties are leased to, and our tenants are, subsidiaries of Caesars, Penn National, Hard Rock, Century Casinos and JACK Entertainment. We also own and operate four championship golf courses located near certain of our properties.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As such,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(a “TRS”), VICI Golf.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11, 2020, the World Health Organization declared the outbreak of a novel strain of coronavirus (“COVID-19”) a pandemic, and on March 13, 2020, the United States declared a national emergency. Among the broader public health, societal and global impact, the COVID-19 pandemic resulted in state governments and/or regulatory authorities issuing various directives, mandates, orders or similar actions, resulting in the temporary closure of our tenants’ operations at all of our properties. Our golf course business has also been impacted, with all four courses temporarily ceasing operations in March 2020 as a result of the COVID-19 pandemic, although our golf courses were subsequently reopened in early to mid-May 2020 in compliance with applicable regulations and restrictions. As of September 30, 2020, the operations of all of our properties have reopened, subject to operating limitations set forth by the state and local governments and/or regulatory authorities. While all of our tenants’ facilities at our properties have reopened, they have reopened at reduced capacity and subject to additional operating restrictions, and we cannot predict how long they will be required to operate subject to such operating restrictions or whether they will be subject to additional restrictions or forced to reclose in the future.</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full extent to which the COVID-19 pandemic ultimately impacts us and our tenants continues to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on our tenants, including the length of time our tenants’ operations at our properties are subject to operating restrictions, including reduced capacity, any requirement for our tenants’ operations to reclose, our tenants’ financial performance and the duration and extent of operating limitations and reduced capacity requirements. We continue to closely monitor the impact of the COVID-19 pandemic on us and our tenants. All of our tenants have fulfilled their rent obligations in full through October 2020 and we continue to engage with our tenants in connection with the ongoing COVID-19 pandemic and its impact on their operations, liquidity and financial performance.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consolidated financial statements, including the notes thereto, are unaudited and exclude some of the disclosures and information normally required in audited financial statements.</w:t>
      </w:r>
    </w:p>
    <w:p>
      <w:pPr>
        <w:spacing w:after="0" w:line="103"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the disclosures made are adequate to prevent the information presented from being misleading. However, the accompanying unaudited consolidated financial statements and related notes should be read in conjunction with the audited financial statements and notes thereto included in our most recent </w:t>
      </w:r>
      <w:hyperlink r:id="rId21">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as updated from time to time in our other filings with the SEC.</w:t>
      </w:r>
    </w:p>
    <w:p>
      <w:pPr>
        <w:spacing w:after="0" w:line="130" w:lineRule="exact"/>
        <w:rPr>
          <w:sz w:val="20"/>
          <w:szCs w:val="20"/>
          <w:color w:val="auto"/>
        </w:rPr>
      </w:pPr>
    </w:p>
    <w:p>
      <w:pPr>
        <w:ind w:right="360"/>
        <w:spacing w:after="0" w:line="438" w:lineRule="auto"/>
        <w:rPr>
          <w:sz w:val="20"/>
          <w:szCs w:val="20"/>
          <w:color w:val="auto"/>
        </w:rPr>
      </w:pPr>
      <w:r>
        <w:rPr>
          <w:rFonts w:ascii="Arial" w:cs="Arial" w:eastAsia="Arial" w:hAnsi="Arial"/>
          <w:sz w:val="18"/>
          <w:szCs w:val="18"/>
          <w:color w:val="auto"/>
        </w:rPr>
        <w:t xml:space="preserve">All adjustments (consisting of normal recurring accruals) considered necessary for a fair statement of results for the interim period have been included.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from these estimates.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nine months ended September 30, 2020 are not necessarily indicative of the results that may be expected for the year ending December 31,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accounts and transactions have been eliminated in consolidation. We consolidate all subsidiaries in which we have a controlling financial interest and VIEs for which we or one of our consolidated subsidiaries is the primary beneficiary.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facility and is the lessor under the related Joliet Lease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consists of cash-on-hand and cash-in-bank. Any investments with an original maturity of three months or less from the date of purchase are considered cash equivalents and are stated at the lower of cost or market value. Investments with an original maturity of greater than three months and less than one year from the date of purchase are considered short-term investments and are stated at fair value.</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did not have any restricted cash as of September 30, 2020, following the release of funds held in escrow from the February 2020 Senior Unsecured Notes offering, which were used to consummate the Eldorado Transaction on July 20, 2020. As of September 30, 2019, restricted cash was primarily comprised of funds paid by us into a restricted lender account.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 to the total of the same such amounts presented in the Statement of Cash Flows.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6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2020</w:t>
            </w:r>
          </w:p>
        </w:tc>
        <w:tc>
          <w:tcPr>
            <w:tcW w:w="160" w:type="dxa"/>
            <w:vAlign w:val="bottom"/>
          </w:tcPr>
          <w:p>
            <w:pPr>
              <w:spacing w:after="0"/>
              <w:rPr>
                <w:sz w:val="16"/>
                <w:szCs w:val="16"/>
                <w:color w:val="auto"/>
              </w:rPr>
            </w:pPr>
          </w:p>
        </w:tc>
        <w:tc>
          <w:tcPr>
            <w:tcW w:w="1560" w:type="dxa"/>
            <w:vAlign w:val="bottom"/>
          </w:tcPr>
          <w:p>
            <w:pPr>
              <w:jc w:val="right"/>
              <w:ind w:right="133"/>
              <w:spacing w:after="0"/>
              <w:rPr>
                <w:sz w:val="20"/>
                <w:szCs w:val="20"/>
                <w:color w:val="auto"/>
              </w:rPr>
            </w:pPr>
            <w:r>
              <w:rPr>
                <w:rFonts w:ascii="Arial" w:cs="Arial" w:eastAsia="Arial" w:hAnsi="Arial"/>
                <w:sz w:val="15"/>
                <w:szCs w:val="15"/>
                <w:b w:val="1"/>
                <w:bCs w:val="1"/>
                <w:color w:val="auto"/>
                <w:w w:val="94"/>
              </w:rPr>
              <w:t>September 30,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431,423</w:t>
            </w:r>
          </w:p>
        </w:tc>
      </w:tr>
      <w:tr>
        <w:trPr>
          <w:trHeight w:val="229"/>
        </w:trPr>
        <w:tc>
          <w:tcPr>
            <w:tcW w:w="764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32,087</w:t>
            </w:r>
          </w:p>
        </w:tc>
      </w:tr>
      <w:tr>
        <w:trPr>
          <w:trHeight w:val="248"/>
        </w:trPr>
        <w:tc>
          <w:tcPr>
            <w:tcW w:w="76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The related income is recognized as interest income in our Statement of Operations. We had $20.0 million and $59.5 million of short-term investments as of September 30, 2020 and December 31,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and Direct Financing, Net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 term nature of our leases, the land and building components of an investment generally have the same lease classification.</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adoption of ASC 842 on January 1, 2019, we made an accounting policy election to use a package of practical expedients that, among other things, allow us to not reassess prior lease classifications or initial direct costs for leases that existed as of the balance sheet date. As such, we did not reassess the classification of our Caesars Lease Agreements, as these leases existed prior to our adoption of ASC 842.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consummation of the Eldorado Transaction, the Caesars Lease Agreements continued to be accounted for as direct financing leases and were included within Investments in leases - sales-type and direct financing, net on the Balance Sheet, with the exception of the land component of Caesars Palace Las Vegas, which was determined to be an operating lease and was included in Investments in leases - operating on the Balance Sheet. The income recognition for our direct financing leases recognized under ASC 840 “Leases” (“ASC 840”) was consistent with the income recognition for our sales-type lease under ASC 842.</w:t>
      </w:r>
    </w:p>
    <w:p>
      <w:pPr>
        <w:spacing w:after="0" w:line="134"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Upon the consummation of the Eldorado Transaction on July 20, 2020, we modified the CPLV Lease Agreement, HLV Lease Agreement, Non-CPLV Lease Agreement and Joliet Lease Agreement, which included amending certain of the lease terms, and combining the CPLV Lease Agreement and HLV Lease Agreement into the Las Vegas Master Lease Agreement and replacing the Non-CPLV Lease Agreement with the Regional Master Lease Agreement. Upon modification, we reassessed the lease classification of the Las Vegas Master Lease Agreement, Regional Master Lease Agreement and Joliet Lease Agreement and determined the leases meet the definition of a sales-type lease, including the land component of Caesars Palace Las Vegas. Accordingly, we reclassified the land component of Caesars Palace Las Vegas from Investments in leases - operating to Investments in leases - sales-type and direct financing. Further, as a result of the reclassifications of the Caesars Lease Agreements from direct financing and operating leases to sales-type leases we recorded the investments at their estimated fair values as of the modification date and recognized a net gain equal to the difference in fair value of the assets and their carrying values immediately prior to the modification. Such gain is recognized in our Statement of Operations as Gain upon lease modification. Subsequent to the consummation of the Eldorado Transaction, we no longer have any leases classified as operating or direct financing and, as such, there is no longer any income recorded through Investments in leases - operating. Refer to </w:t>
      </w:r>
      <w:hyperlink w:anchor="page18">
        <w:r>
          <w:rPr>
            <w:rFonts w:ascii="Arial" w:cs="Arial" w:eastAsia="Arial" w:hAnsi="Arial"/>
            <w:sz w:val="17"/>
            <w:szCs w:val="17"/>
            <w:u w:val="single" w:color="auto"/>
            <w:color w:val="0000FF"/>
          </w:rPr>
          <w:t>Note 4 - Property Transactions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 surrounding the lease modifications.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determined that the land and building components of the Margaritaville Lease Agreement, the Greektown Lease Agreement, the Hard Rock Cincinnati Lease Agreement and the Century Portfolio Lease Agreement meet the definition of a sales-type lease under ASC 842.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842, for transactions in which we enter into a contract to acquire an asset and lease it back to the seller under a sales-type lease (i.e., a sale leaseback transaction), control of the asset is not considered to have transferred to us. As a result, we do not recognize the underlying asset but instead recognize a financial asset in accordance with ASC 310 “Receivables” (“ASC 310”). The accounting for the financing receivable under ASC 310 is materially consistent with the accounting for our investments in leases - sales-type under ASC 842.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38" w:lineRule="exact"/>
        <w:rPr>
          <w:sz w:val="20"/>
          <w:szCs w:val="20"/>
          <w:color w:val="auto"/>
        </w:rPr>
      </w:pPr>
    </w:p>
    <w:p>
      <w:pPr>
        <w:jc w:val="both"/>
        <w:spacing w:after="0" w:line="272" w:lineRule="auto"/>
        <w:rPr>
          <w:rFonts w:ascii="Arial" w:cs="Arial" w:eastAsia="Arial" w:hAnsi="Arial"/>
          <w:sz w:val="17"/>
          <w:szCs w:val="17"/>
          <w:color w:val="0000FF"/>
        </w:rPr>
      </w:pPr>
      <w:r>
        <w:rPr>
          <w:rFonts w:ascii="Arial" w:cs="Arial" w:eastAsia="Arial" w:hAnsi="Arial"/>
          <w:sz w:val="17"/>
          <w:szCs w:val="17"/>
          <w:color w:val="auto"/>
        </w:rPr>
        <w:t xml:space="preserve">Upon the consummation of the Eldorado Transaction on July 20, 2020, and reassessment of the classification of the Caesars Lease Agreements, as described above, we determined that the MTA Properties Acquisitions (as defined in </w:t>
      </w:r>
      <w:hyperlink w:anchor="page18">
        <w:r>
          <w:rPr>
            <w:rFonts w:ascii="Arial" w:cs="Arial" w:eastAsia="Arial" w:hAnsi="Arial"/>
            <w:sz w:val="17"/>
            <w:szCs w:val="17"/>
            <w:u w:val="single" w:color="auto"/>
            <w:color w:val="0000FF"/>
          </w:rPr>
          <w:t>Note 4 - Property Transactions</w:t>
        </w:r>
      </w:hyperlink>
      <w:r>
        <w:rPr>
          <w:rFonts w:ascii="Arial" w:cs="Arial" w:eastAsia="Arial" w:hAnsi="Arial"/>
          <w:sz w:val="17"/>
          <w:szCs w:val="17"/>
          <w:color w:val="auto"/>
        </w:rPr>
        <w:t xml:space="preserve">) meet the definition of a separate contract under ASC 842. In accordance with this guidance, we are required to separately assess the lease classification apart from the other assets in the </w:t>
      </w:r>
      <w:hyperlink w:anchor="page18">
        <w:r>
          <w:rPr>
            <w:rFonts w:ascii="Arial" w:cs="Arial" w:eastAsia="Arial" w:hAnsi="Arial"/>
            <w:sz w:val="17"/>
            <w:szCs w:val="17"/>
            <w:color w:val="auto"/>
          </w:rPr>
          <w:t xml:space="preserve">Regional Master Lease Agreement. We determined that the land and building components of the MTA Properties (as defined in </w:t>
        </w:r>
        <w:r>
          <w:rPr>
            <w:rFonts w:ascii="Arial" w:cs="Arial" w:eastAsia="Arial" w:hAnsi="Arial"/>
            <w:sz w:val="17"/>
            <w:szCs w:val="17"/>
            <w:u w:val="single" w:color="auto"/>
            <w:color w:val="0000FF"/>
          </w:rPr>
          <w:t>Note 4 - Property</w:t>
        </w:r>
      </w:hyperlink>
      <w:r>
        <w:rPr>
          <w:rFonts w:ascii="Arial" w:cs="Arial" w:eastAsia="Arial" w:hAnsi="Arial"/>
          <w:sz w:val="17"/>
          <w:szCs w:val="17"/>
          <w:color w:val="auto"/>
        </w:rPr>
        <w:t xml:space="preserve"> </w:t>
      </w:r>
      <w:hyperlink w:anchor="page18">
        <w:r>
          <w:rPr>
            <w:rFonts w:ascii="Arial" w:cs="Arial" w:eastAsia="Arial" w:hAnsi="Arial"/>
            <w:sz w:val="17"/>
            <w:szCs w:val="17"/>
            <w:u w:val="single" w:color="auto"/>
            <w:color w:val="0000FF"/>
          </w:rPr>
          <w:t>Transactions</w:t>
        </w:r>
        <w:r>
          <w:rPr>
            <w:rFonts w:ascii="Arial" w:cs="Arial" w:eastAsia="Arial" w:hAnsi="Arial"/>
            <w:sz w:val="17"/>
            <w:szCs w:val="17"/>
            <w:color w:val="000000"/>
          </w:rPr>
          <w:t>) meet the definition of a sales-type lease and, since we purchased and leased the assets back to Caesars, control is not considered to have</w:t>
        </w:r>
      </w:hyperlink>
      <w:r>
        <w:rPr>
          <w:rFonts w:ascii="Arial" w:cs="Arial" w:eastAsia="Arial" w:hAnsi="Arial"/>
          <w:sz w:val="17"/>
          <w:szCs w:val="17"/>
          <w:color w:val="0000FF"/>
        </w:rPr>
        <w:t xml:space="preserve"> </w:t>
      </w:r>
      <w:r>
        <w:rPr>
          <w:rFonts w:ascii="Arial" w:cs="Arial" w:eastAsia="Arial" w:hAnsi="Arial"/>
          <w:sz w:val="17"/>
          <w:szCs w:val="17"/>
          <w:color w:val="000000"/>
        </w:rPr>
        <w:t>transferred to us under GAAP. Accordingly, the MTA Properties are accounted for as Investments in leases - financing receivables on our Balance Sheet, net of allowance for credit losses, in accordance with ASC 310.</w:t>
      </w:r>
    </w:p>
    <w:p>
      <w:pPr>
        <w:spacing w:after="0" w:line="12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8" w:lineRule="exact"/>
        <w:rPr>
          <w:rFonts w:ascii="Arial" w:cs="Arial" w:eastAsia="Arial" w:hAnsi="Arial"/>
          <w:sz w:val="17"/>
          <w:szCs w:val="17"/>
          <w:color w:val="auto"/>
        </w:rPr>
      </w:pPr>
    </w:p>
    <w:p>
      <w:pPr>
        <w:jc w:val="both"/>
        <w:spacing w:after="0" w:line="275" w:lineRule="auto"/>
        <w:rPr>
          <w:sz w:val="20"/>
          <w:szCs w:val="20"/>
          <w:color w:val="auto"/>
        </w:rPr>
      </w:pPr>
      <w:r>
        <w:rPr>
          <w:rFonts w:ascii="Arial" w:cs="Arial" w:eastAsia="Arial" w:hAnsi="Arial"/>
          <w:sz w:val="17"/>
          <w:szCs w:val="17"/>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in our properties and the lack of suitable replacement assets.</w:t>
      </w:r>
    </w:p>
    <w:p>
      <w:pPr>
        <w:spacing w:after="0" w:line="200" w:lineRule="exact"/>
        <w:rPr>
          <w:rFonts w:ascii="Arial" w:cs="Arial" w:eastAsia="Arial" w:hAnsi="Arial"/>
          <w:sz w:val="17"/>
          <w:szCs w:val="17"/>
          <w:color w:val="auto"/>
        </w:rPr>
      </w:pPr>
    </w:p>
    <w:p>
      <w:pPr>
        <w:spacing w:after="0" w:line="354"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Loans,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in loans are held-for-investment and are carried at historical cost, net of unamortized loan origination costs and fees and allowances for credit losses. Income is recognized on an effective interest basis at a constant rate of return over the life of the related loan.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the related income from our direct financing leases, sales-type leases and lease financing receivables on an effective interest basis at a constant rate of return over the terms of the applicable leases. As a result, the cash payments accounted for under direct financing leases, sales-type leases and lease financing receivables will not equal income from our Lease Agreements. Rather, a portion of the cash rent we receive is recorded as Income from sales-type and direct financing leases or Income from lease financing receivables and loans, as applicable, in our Statement of Operations and a portion is recorded as a change to Investments in leases - sales-type and direct financing, net or Investments in leases - financing receivables, net, as applicable.</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ASC 840, we determined that the land component of Caesars Palace Las Vegas was greater than 25% of the overall fair value of the combined land and building components. At lease inception, the land was determined to be an operating lease and we recorded the related income on a straight-line basis over the lease term. The amount of annual minimum lease payments attributable to the land element after deducting executory costs, including any profit thereon, was determined by applying the lessee’s incremental borrowing rate to the value of the land. Revenue from this lease was recorded as Income from operating leases in our Statement of Operations. Upon the consummation of the Eldorado Transaction on July 20, 2020, the land component of Caesars Palace Las Vegas was reassessed for lease classification and determined to be a sales-type lease. Accordingly, subsequent to July 20, 2020, the income is recognized as Income from sales-type leases.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Initial direct costs incurred in connection with entering into investments classified as direct financing or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In connection with the reassessment of the lease classification and mark to fair value of the Caesars Lease Agreements, any initial direct costs capitalized prior to the Eldorado Transaction were written off as part of the gain upon lease modification.</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we adopted ASC 326 “Credit Losses” (“ASC 326”), which requires that we measure and record current expected credit losses (“CECL”) for the majority of our investments, the scope of which includes our Investments in leases - sales-type and direct financing, Investments in leases - financing receivables and Investments in loans.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cash flows.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tenants and their parent guarantors over the life of each individual lease or financial asset. We have engaged a nationally recognized data analytics firm to assist us with estimating both the PD and LGD of our tenants and their parent guarantors.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applied to a projection of economic conditions over a two-year term. The PD and LGD for the Long-term Period are estimated using the average historical default rates and historical loss rates, respectively, of public companies over the past 35 years that have similar credit profiles or characteristics to our tenants and their parent guarantors. We were unable to use our historical data to estimate losses as we have no loss history to date.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CECL allowance is recorded as a reduction to our net Investments in leases - direct financing and sales type, Investments in leases - financing receivables and Investments in loans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required to estimate a CECL allowance related to contractual commitments to extend credit, such as future funding commitments under a revolving credit facility. The CECL allowance related to these future commitments is recorded as a component of Other liabilities on our Balance Sheet.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charge-offs or recoveries for the three and nine months ended September 30, 2020.</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2">
        <w:r>
          <w:rPr>
            <w:rFonts w:ascii="Arial" w:cs="Arial" w:eastAsia="Arial" w:hAnsi="Arial"/>
            <w:sz w:val="18"/>
            <w:szCs w:val="18"/>
            <w:u w:val="single" w:color="auto"/>
            <w:color w:val="0000FF"/>
          </w:rPr>
          <w:t>Note 6 -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our investments in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Other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primarily represents sub-lease income related to certain ground and use leases, the cost of which is passed to our tenants through the Lease Agreements, which require the tenants to pay all costs associated with such ground and use leases and provides for their direct payment to the landlord. This income and the related expense are recorded on a gross basis in our Statement of Operations as required under GAAP as we are the primary obligor under the ground and use leases.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previously recorded the sub-lease income as a component of General and administrative expenses on a net basis with the sub-lease expense. Beginning with the three months ended March 31, 2020, we re-classified these amounts to be presented gross in Other income with an offsetting amount in Other expenses within the Statement of Operations. For the three and nine months ended September 30, 2019, such amounts, included net in General and administrative expenses, were $0.8 million and $2.1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5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42">
        <w:r>
          <w:rPr>
            <w:rFonts w:ascii="Arial" w:cs="Arial" w:eastAsia="Arial" w:hAnsi="Arial"/>
            <w:sz w:val="18"/>
            <w:szCs w:val="18"/>
            <w:u w:val="single" w:color="auto"/>
            <w:color w:val="0000FF"/>
          </w:rPr>
          <w:t>Note 10 -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Accumulated other comprehensive loss on our consolidated financial statements.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Pre-Merger Caesars was the guarantor of all the lease payment obligations of the tenants under the respective leases of the properties that it leases from us, with the exception of Harrah’s Las Vegas, which was guaranteed by a subsidiary of Pre-Merger Caesars. In connection with the consummation of the Eldorado Transaction, Caesars replaced Pre-Merger Caesars as guarantor of all of the Caesars Lease Agreements. Revenue from the Caesars Lease Agreements represented 85% and 83% of our lease revenues for the three and nine months ended September 30, 2020, respectively, and 93% and 95% of our lease revenues for the three and nine months ended September 30, 2019, respectively. Additionally, our properties on the Las Vegas Strip generated approximately 31% and 27% of our lease revenue for the three and nine months ended September 30, 2020, respectively, and 33% and 34% of our lease revenue for the three and nine months ended September 30, 2019, respectively. Other than having a single tenant from which we derive and will continue to derive a substantial portion of our revenue and our concentration in the Las Vegas market, we do not believe there are any other significant concentrations of credit risk.</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Accounting Standard Update (“ASU”) No. 2016-13 -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Financial Instruments-Credit Losses (Topic 326) - June 2016 (as amended through February 2020)</w:t>
      </w:r>
      <w:r>
        <w:rPr>
          <w:rFonts w:ascii="Arial" w:cs="Arial" w:eastAsia="Arial" w:hAnsi="Arial"/>
          <w:sz w:val="18"/>
          <w:szCs w:val="18"/>
          <w:i w:val="1"/>
          <w:iCs w:val="1"/>
          <w:color w:val="auto"/>
        </w:rPr>
        <w:t>:</w:t>
      </w:r>
      <w:r>
        <w:rPr>
          <w:rFonts w:ascii="Arial" w:cs="Arial" w:eastAsia="Arial" w:hAnsi="Arial"/>
          <w:sz w:val="18"/>
          <w:szCs w:val="18"/>
          <w:color w:val="auto"/>
        </w:rPr>
        <w:t xml:space="preserve"> This amended guidance changes how entities measure credit losses for most financial assets and certain other instruments, including sales-type and direct financing leases, that are not measured at fair value through net income. The guidance replaces the current “incurred loss” model with an “expected loss” approach, which will generally result in earlier recognition of allowance for credit losses.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guidance, we are required to estimate and record non-cash credit losses related to our Investments in leases - sales-type and direct financing, Investments in lease - financing receivables and loans and expand our credit quality disclosures. The new standard did not materially impact any of our other financial assets or instruments that we currently have on our Balance Sheet.</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adopted the guidance on January 1, 2020 using the modified retrospective approach method of adoption. Under this method we recorded a cumulative-effect adjustment to our opening Balance Sheet as a reduction in our Investments in leases - sales-type and direct financing and a corresponding charge to retained (deficit) earnings. Such amount was determined by applying our methodology for estimating allowances for credit losses to our existing Investments in leases - sales-type and direct financing as of January 1, 2020, which resulted in a $309.4 million cumulative adjustment, representing a 2.88% credit allowance upon adoption. Periods prior to the adoption date that are presented for comparative purposes are not adjusted.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time we enter into a new direct financing or sales-type lease, lease financing receivable or loan, we will be required to estimate a credit allowance which will result in a non-cash charge to the Statement of Operations and a corresponding reduction in our net investment in the asset. Finally, each reporting period we are required to update the estimated allowance for any estimated changes in the credit loss, with the resulting change being recorded on the Statement of Operations and a corresponding change in our net investment in the asset.</w:t>
      </w:r>
    </w:p>
    <w:p>
      <w:pPr>
        <w:spacing w:after="0" w:line="13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2">
        <w:r>
          <w:rPr>
            <w:rFonts w:ascii="Arial" w:cs="Arial" w:eastAsia="Arial" w:hAnsi="Arial"/>
            <w:sz w:val="18"/>
            <w:szCs w:val="18"/>
            <w:u w:val="single" w:color="auto"/>
            <w:color w:val="0000FF"/>
          </w:rPr>
          <w:t>Note 6 -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ASU No. 2020-04 -</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Reference Rate Reform (Topic 848) - March 2020</w:t>
      </w:r>
      <w:r>
        <w:rPr>
          <w:rFonts w:ascii="Arial" w:cs="Arial" w:eastAsia="Arial" w:hAnsi="Arial"/>
          <w:sz w:val="17"/>
          <w:szCs w:val="17"/>
          <w:i w:val="1"/>
          <w:iCs w:val="1"/>
          <w:color w:val="auto"/>
        </w:rPr>
        <w:t>:</w:t>
      </w:r>
      <w:r>
        <w:rPr>
          <w:rFonts w:ascii="Arial" w:cs="Arial" w:eastAsia="Arial" w:hAnsi="Arial"/>
          <w:sz w:val="17"/>
          <w:szCs w:val="17"/>
          <w:color w:val="auto"/>
        </w:rPr>
        <w:t xml:space="preserve"> This amended guidance contains practical expedients for reference rate reform related activities that impact debt, leases, derivatives and other contracts. Specifically, the amendment provides accounting expedients related to probability and the assessments of effectiveness for future LIBOR-indexed cash flows to assume that the index upon which future hedged transactions will be based matches the index on the corresponding derivatives. The guidance is optional and may be elected over time as reference rate reform activities occur. We have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We continue to evaluate the impact of the guidance and may apply other elections, as and when applicable, as additional changes in the market occur.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Transactions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2020,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2020, we and Caesars closed on the previously announced transaction to sell Harrah’s Reno to a third party at a purchase price of $41.5 million. Pursuant to the agreement, we received $31.1 million of the proceeds of the sale and Caesars received $10.4 million of the proceeds. We did not recognize any gain or loss on the sale of Harrah’s Reno as the asset was sold at its carrying amount. The annual rent payments under the Regional Master Lease Agreement remain unchanged following completion of the disposition.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Mortgage Loan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18, 2020, in accordance with a non-binding letter of intent (the “LOI”) entered into on June 15, 2020, we entered into a mortgage loan agreement with a subsidiary of Caesars (the “Forum Convention Center Borrower”) pursuant to which we loaned $400.0 million to the Forum Convention Center Borrower for a term of five years, with such loan secured by, among other things, a first priority fee mortgage on the Caesars Forum Convention Center (the “Forum Convention Center Mortgage Loan”).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interest rate on the Forum Convention Center Mortgage Loan is initially 7.7% per annum, with annual interest payments subject to 2.0% annual escalation (resulting in year two annual interest of $31.4 million based on a year two interest rate of 7.854%), with interest paid monthly in cash in arrears. Except as provided below, no prepayments are permitted during the first two years of the term of the Forum Convention Center Mortgage Loan. During the third and fourth years of the term of the Forum Convention Center Mortgage Loan, the Forum Convention Center Borrower may prepay the Forum Convention Center Mortgage Loan, in each case in full but not in part, at 102% of par in year three and 101% of par in year four. During the fifth year of the term of the Forum Convention Center Mortgage Loan, the Forum Convention Center Borrower may prepay the Forum Convention Center Mortgage Loan in full but not in part at par. However, the Forum Convention Center Mortgage Loan may be prepaid at any time at par, without penalty or make-whole, in connection with our acquisition of the Caesars Forum Convention Center and an OpCo sale and conversion to an OpCo/PropCo structure, subject to our consent, which may be withheld in our sole discretion.</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Forum Convention Center Mortgage Loan is secured by a first priority mortgage on the Caesars Forum Convention Center, as well as a first priority lien on the equity interests in the Forum Convention Center Borrower, a first priority security interest in all of the Forum Convention Center Borrower’s interest in furniture, fixtures and equipment used, owned or related to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operation of the Caesars Forum Convention Center, and a first priority assignment of the Forum Convention Center Borrower’s interest in leases and rents, including a collateral assignment of the Forum Convention Center Borrower’s interest in the lease on the Caesars Forum Convention Center pursuant to which the Forum Convention Center Borrower leases the Caesars Forum Convention Center to another subsidiary of Caesars (the “Caesars Tenant”), which lease is fully subordinate to the Forum Convention Center Mortgage Loan. In addition, if the Forum Convention Center Borrower defaults on the Forum Convention Center Mortgage Loan and we take title to the Caesars Forum Convention Center, we may, at our option under certain circumstances, keep the lease with the Caesars Tenant in effect (which lease is guaranteed by Caesars and has an initial annual rent of $33.9 million, subject to annual increases equal to the greater of 2% and the annual consumer price index increase).</w:t>
      </w:r>
    </w:p>
    <w:p>
      <w:pPr>
        <w:spacing w:after="0" w:line="1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in connection with the consummation of the Forum Convention Center Mortgage Loan, we and Caesars waived the conditionality of the consummation of such loan transaction on the consummation of the potential acquisition of approximately 23 acres of land in the vicinity of, or adjacent to, The LINQ Hotel &amp; Casino, Bally’s Las Vegas, Paris Las Vegas and Planet Hollywood gaming facilities (the “Las Vegas Land”) as initially contemplated by the LOI. While the parties may evaluate the potential transaction involving the Las Vegas Land in the future, the parties are not actively pursuing consummation of the transaction at this time and we are under no obligation to purchase the Las Vegas Land, and, as such, there can be no assurances that the Las Vegas Land acquisition will close on the contemplated terms or at 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Convention Center Put-Call Agreement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18, 2020, concurrent with the entry into the Forum Convention Center Mortgage Loan and in accordance with the LOI, we and a subsidiary of Caesars amended and restated the Amended and Restated Put-Call Right Agreement entered into on July 20, 2020 in connection with the consummation of the Eldorado Transaction (as further amended, the “A&amp;R Convention Center Put-Call Agreement”) related to the Caesars Forum Convention Center. The A&amp;R Convention Center Put-Call Agreement provides for (i) a call right in our favor, which, if exercised, would result in the sale by Caesars to us and simultaneous leaseback by us to Caesars of the Caesars Forum Convention Center (the “Convention Center Call Right”), at a price equal to 13.0x the initial annual rent for Caesars Forum Convention Center as proposed by Caesars (which shall be between $25.0 million and $35.0 million), exercisable by us from September 18, 2025 (the scheduled maturity date of the Forum Convention Center Mortgage Loan) until December 31, 2026, (ii) a put right in favor of Caesars, which, if exercised, would result in the sale by Caesars to us and simultaneous leaseback by us to Caesars of the Caesars Forum Convention Center (the “Convention Center Put Right”) at a price equal to 13.0x the initial annual rent for the Caesars Forum Convention Center as proposed by Caesars (which shall be between $25.0 million and $35.0 million), exercisable by Caesars between January 1, 2024 and December 31, 2024, and (iii) if there is an event of default under the Forum Convention Center Mortgage Loan, the Convention Center Put Right will not be exercisable and we, at our option, may accelerate the Convention Center Call Right so that it is exercisable from the date of such event of default until December 31, 2026 (in addition to any other remedies available to us in connection with such event of default).</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A&amp;R Convention Center Put-Call Agreement also provides for, if Caesars exercises the Convention Center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(the “HLV Repurchase Right”), exercisable by Caesars during a one-year period commencing on the date upon which the closing under the Convention Center Put Right transaction does not occur and ending on the day immediately preceding the one-year anniversary thereof for a price equal to 13.0x the rent of the Harrah’s Las Vegas property for the most recently ended annual period for which Caesars’ financial statements are available as of Caesars’ election to exercise the HLV Repurchase Right.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Louisiana Downs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we and Caesars entered into definitive agreements to sell Harrah’s Louisiana Downs Casino for $22.0 million to Rubico Acquisition Corp. We are entitled to receive $5.5 million of the proceeds from the sale and Caesars is entitled to $16.5 million of the proceeds. The annual rent payments under the Regional Master Lease Agreement will remain unchanged following completion of the disposition, which we anticipate will close by early 2021 and remains subject to regulatory approval and customary closing conditions.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Chelsea Piers Mortgage Loan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2020, we entered into an $80.0 million mortgage loan agreement (the “Chelsea Piers Mortgage Loan”) with Chelsea Piers New York (“Chelsea Piers”) secured by the Chelsea Piers complex in New York City, pursuant to which we provided (i) an initial term loan of $65.0 million and (ii) a $15.0 million delayed draw term loan at the borrowers’ election (which remained undrawn as of September 30, 2020), subject to certain conditions. The Chelsea Piers Mortgage Loan bears interest at a rate of 7.0% per annum, with a term of 7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Consummation of the Eldorado Transaction</w:t>
      </w:r>
    </w:p>
    <w:p>
      <w:pPr>
        <w:spacing w:after="0" w:line="171" w:lineRule="exact"/>
        <w:rPr>
          <w:sz w:val="20"/>
          <w:szCs w:val="20"/>
          <w:color w:val="auto"/>
        </w:rPr>
      </w:pPr>
    </w:p>
    <w:p>
      <w:pPr>
        <w:jc w:val="both"/>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On July 20, 2020, concurrent with the consummation of the Eldorado/Caesars Merger, we consummated the Eldorado Transaction contemplated by the MTA and the MTA Property Purchase Agreements (as defined below). We funded the Eldorado Transaction with a combination of cash on hand, the proceeds from the physical settlement of the June 2019 Forward Sale Agreements on June 2, 2020, as described in </w:t>
      </w:r>
      <w:hyperlink w:anchor="page46">
        <w:r>
          <w:rPr>
            <w:rFonts w:ascii="Arial" w:cs="Arial" w:eastAsia="Arial" w:hAnsi="Arial"/>
            <w:sz w:val="17"/>
            <w:szCs w:val="17"/>
            <w:u w:val="single" w:color="auto"/>
            <w:color w:val="0000FF"/>
          </w:rPr>
          <w:t>Note 12 - Stockholders’ Equity</w:t>
        </w:r>
      </w:hyperlink>
      <w:r>
        <w:rPr>
          <w:rFonts w:ascii="Arial" w:cs="Arial" w:eastAsia="Arial" w:hAnsi="Arial"/>
          <w:sz w:val="17"/>
          <w:szCs w:val="17"/>
          <w:color w:val="auto"/>
        </w:rPr>
        <w:t>, and the proceeds from our February 2020 Senior Unsecured Notes offering previously held in escrow. Any references to Caesars in the subsequent transaction discussion refer to the combined Eldorado/Caesars subsequent to the consummation of the Eldorado/Caesars Merger.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Eldorado Transaction includes the consummation of the transactions contemplated by the following agreements:</w:t>
      </w:r>
    </w:p>
    <w:p>
      <w:pPr>
        <w:spacing w:after="0" w:line="171" w:lineRule="exact"/>
        <w:rPr>
          <w:sz w:val="20"/>
          <w:szCs w:val="20"/>
          <w:color w:val="auto"/>
        </w:rPr>
      </w:pPr>
    </w:p>
    <w:p>
      <w:pPr>
        <w:jc w:val="both"/>
        <w:ind w:left="740" w:hanging="368"/>
        <w:spacing w:after="0" w:line="285"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the MTA Properties. </w:t>
      </w:r>
      <w:r>
        <w:rPr>
          <w:rFonts w:ascii="Arial" w:cs="Arial" w:eastAsia="Arial" w:hAnsi="Arial"/>
          <w:sz w:val="16"/>
          <w:szCs w:val="16"/>
          <w:color w:val="auto"/>
        </w:rPr>
        <w:t>We acquired all of the land and real estate assets associated with Harrah’s New Orleans, Harrah’s Laughlin</w:t>
      </w:r>
      <w:r>
        <w:rPr>
          <w:rFonts w:ascii="Arial" w:cs="Arial" w:eastAsia="Arial" w:hAnsi="Arial"/>
          <w:sz w:val="16"/>
          <w:szCs w:val="16"/>
          <w:i w:val="1"/>
          <w:iCs w:val="1"/>
          <w:color w:val="auto"/>
        </w:rPr>
        <w:t xml:space="preserve"> </w:t>
      </w:r>
      <w:r>
        <w:rPr>
          <w:rFonts w:ascii="Arial" w:cs="Arial" w:eastAsia="Arial" w:hAnsi="Arial"/>
          <w:sz w:val="16"/>
          <w:szCs w:val="16"/>
          <w:color w:val="auto"/>
        </w:rPr>
        <w:t>and Harrah’s Atlantic City (collectively, the “MTA Properties”) for an aggregate purchase price of $1,823.5 million (the “MTA Properties Acquisitions”). The Regional Master Lease Agreement was amended to, among other things, include each such property, with initial aggregate total annual rent payable to us increased by $154.0 million to $621.7 million, and to extend the initial term to July 2035 and to adjust certain minimum capital expenditure requirements and other related terms and conditions as a result of the MTA Properties being included in the Regional Master Lease Agreement as further described in “—Lease Amendments and Terminations” below. We completed the MTA Properties Acquisitions pursuant to the following agreements: (i) a Purchase and Sale Agreement (the “Harrah’s New Orleans Purchase Agreement”) pursuant to which we agreed to acquire, and Eldorado agreed to cause to be sold, all of the fee and leasehold interests in the land and real property improvements associated with Harrah’s New Orleans in New Orleans, Louisiana (“Harrah’s New Orleans”) for a cash purchase price of $789.5 million, (ii) a Purchase and Sale Agreement (the “Harrah’s Atlantic City Purchase Agreement”) pursuant to which we agreed to acquire, and Eldorado agreed to cause to be sold, all of the land and real property improvements associated with Harrah’s Resort Atlantic City and Harrah’s Atlantic City Waterfront Conference Center in Atlantic City, New Jersey for a cash purchase price of $599.3 million; and (iii) a Purchase and Sale Agreement (the “Harrah’s Laughlin Purchase Agreement” and, collectively with the Harrah’s New Orleans Purchase Agreement and the Harrah’s Atlantic City Purchase Agreement, the “MTA Property Purchase Agreements”) pursuant to which we agreed to acquire, and Eldorado agreed to cause to be sold, all of the equity interests in a newly formed entity that acquired the land and real property improvements associated with Harrah’s Laughlin Hotel &amp; Casino in Laughlin, Nevada for a cash purchase price of $434.8 million. Each of our call options on the MTA Properties terminated upon the closing of the MTA Properties Acquisitions.</w:t>
      </w:r>
    </w:p>
    <w:p>
      <w:pPr>
        <w:spacing w:after="0" w:line="119" w:lineRule="exact"/>
        <w:rPr>
          <w:rFonts w:ascii="Arial" w:cs="Arial" w:eastAsia="Arial" w:hAnsi="Arial"/>
          <w:sz w:val="16"/>
          <w:szCs w:val="16"/>
          <w:color w:val="auto"/>
        </w:rPr>
      </w:pPr>
    </w:p>
    <w:p>
      <w:pPr>
        <w:jc w:val="both"/>
        <w:ind w:left="740"/>
        <w:spacing w:after="0" w:line="293" w:lineRule="auto"/>
        <w:rPr>
          <w:rFonts w:ascii="Arial" w:cs="Arial" w:eastAsia="Arial" w:hAnsi="Arial"/>
          <w:sz w:val="16"/>
          <w:szCs w:val="16"/>
          <w:color w:val="auto"/>
        </w:rPr>
      </w:pPr>
      <w:r>
        <w:rPr>
          <w:rFonts w:ascii="Arial" w:cs="Arial" w:eastAsia="Arial" w:hAnsi="Arial"/>
          <w:sz w:val="16"/>
          <w:szCs w:val="16"/>
          <w:color w:val="auto"/>
        </w:rPr>
        <w:t>On July 20, 2020, in connection with the completion of the purchase of Harrah’s New Orleans, the tenant’s leasehold interest in that certain Second Amended and Restated Lease Agreement (the “HNO Ground Lease”) dated as of April 3, 2020, by and among Jazz Casino Company, L.L.C., a Louisiana limited liability company (“JCC”), New Orleans Building Corporation (“NOBC”) and the City of New Orleans, was assigned by JCC to us. The HNO Ground Lease sets forth the terms and conditions pursuant to which we lease from NOBC a portion of the land upon which Harrah’s New Orleans is located. Simultaneous with entering into the assignment of the HNO Ground Lease, we subleased our interest in the HNO Ground Lease to Caesars in accordance with the terms and conditions of the Regional Master Lease Agreement.</w:t>
      </w:r>
    </w:p>
    <w:p>
      <w:pPr>
        <w:spacing w:after="0" w:line="110" w:lineRule="exact"/>
        <w:rPr>
          <w:rFonts w:ascii="Arial" w:cs="Arial" w:eastAsia="Arial" w:hAnsi="Arial"/>
          <w:sz w:val="16"/>
          <w:szCs w:val="16"/>
          <w:color w:val="auto"/>
        </w:rPr>
      </w:pPr>
    </w:p>
    <w:p>
      <w:pPr>
        <w:jc w:val="both"/>
        <w:ind w:left="740"/>
        <w:spacing w:after="0" w:line="275" w:lineRule="auto"/>
        <w:rPr>
          <w:rFonts w:ascii="Arial" w:cs="Arial" w:eastAsia="Arial" w:hAnsi="Arial"/>
          <w:sz w:val="16"/>
          <w:szCs w:val="16"/>
          <w:color w:val="auto"/>
        </w:rPr>
      </w:pPr>
      <w:r>
        <w:rPr>
          <w:rFonts w:ascii="Arial" w:cs="Arial" w:eastAsia="Arial" w:hAnsi="Arial"/>
          <w:sz w:val="17"/>
          <w:szCs w:val="17"/>
          <w:color w:val="auto"/>
        </w:rPr>
        <w:t>Pursuant to the Regional Master Lease Agreement, Caesars is required to perform our obligations as tenant under the HNO Ground Lease, which include the obligation to construct a new hotel intended to be located on the ground-leased premises and to expend at least $325.0 million in connection with the construction of such hotel. The HNO Ground Lease contains certain rights in our favor should Caesars fail to perform our obligations thereunder, including providing us with additional cure periods to cure defaults. If we are unable to cure a Caesars default during any such additional cure period, then, subject to certain conditions more particularly set forth in the HNO Ground Lease, we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740"/>
        <w:spacing w:after="0" w:line="259" w:lineRule="auto"/>
        <w:rPr>
          <w:sz w:val="20"/>
          <w:szCs w:val="20"/>
          <w:color w:val="auto"/>
        </w:rPr>
      </w:pPr>
      <w:r>
        <w:rPr>
          <w:rFonts w:ascii="Arial" w:cs="Arial" w:eastAsia="Arial" w:hAnsi="Arial"/>
          <w:sz w:val="18"/>
          <w:szCs w:val="18"/>
          <w:color w:val="auto"/>
        </w:rPr>
        <w:t>will have a further additional period (up to 12-24 months) to seek to terminate Caesars as tenant and to enter into a replacement sublease with a new operator with respect to the leased premises. If we fail to cure such default at the end of such additional cure period, NOBC would have the right to exercise remedies, including termination of the HNO Ground Lease, in which case we would no longer have any right, title or interest to the leased premises or the improvements located thereon.</w:t>
      </w:r>
    </w:p>
    <w:p>
      <w:pPr>
        <w:spacing w:after="0" w:line="133" w:lineRule="exact"/>
        <w:rPr>
          <w:sz w:val="20"/>
          <w:szCs w:val="20"/>
          <w:color w:val="auto"/>
        </w:rPr>
      </w:pPr>
    </w:p>
    <w:p>
      <w:pPr>
        <w:jc w:val="both"/>
        <w:ind w:left="740" w:hanging="368"/>
        <w:spacing w:after="0" w:line="270"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Creation of Las Vegas Master Lease. </w:t>
      </w:r>
      <w:r>
        <w:rPr>
          <w:rFonts w:ascii="Arial" w:cs="Arial" w:eastAsia="Arial" w:hAnsi="Arial"/>
          <w:sz w:val="17"/>
          <w:szCs w:val="17"/>
          <w:color w:val="auto"/>
        </w:rPr>
        <w:t>In consideration of a payment by us to (i) the tenant under the CPLV Lease Agreement of $1,189.9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“CPLV Lease Amendment Payment”) and (ii) the tenant under the HLV Lease Agreement of $213.8 million (the “HLV Lease Amendment Payment”), upon the consummation of the Eldorado Transaction, (a) the CPLV Lease Agreement was amended to (A) combine the CPLV Lease Agreement and the HLV Lease Agreement into a single Las Vegas Master Lease Agreement, (B) increase the annual rent payable to us thereunder associated with Caesars Palace Las Vegas by $83.5 million (the “CPLV Additional Rent Acquisition”), (C) increase the annual rent previously payable to us with respect to the Harrah’s Las Vegas property by $15.0 million (the “HLV Additional Rent Acquisition”) under the Las Vegas Master Lease Agreement and (D) to provide for the amended terms described below, and (b) the HLV Lease Agreement and the related lease guaranty were terminated. As a result of such amendments, the Harrah’s Las Vegas property is also now subject to the higher rent escalator under the Las Vegas Master Lease Agreement.</w:t>
      </w:r>
    </w:p>
    <w:p>
      <w:pPr>
        <w:spacing w:after="0" w:line="126" w:lineRule="exact"/>
        <w:rPr>
          <w:rFonts w:ascii="Arial" w:cs="Arial" w:eastAsia="Arial" w:hAnsi="Arial"/>
          <w:sz w:val="17"/>
          <w:szCs w:val="17"/>
          <w:color w:val="auto"/>
        </w:rPr>
      </w:pPr>
    </w:p>
    <w:p>
      <w:pPr>
        <w:jc w:val="both"/>
        <w:ind w:left="740" w:hanging="368"/>
        <w:spacing w:after="0" w:line="284"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Lease Amendments and Terminations. </w:t>
      </w:r>
      <w:r>
        <w:rPr>
          <w:rFonts w:ascii="Arial" w:cs="Arial" w:eastAsia="Arial" w:hAnsi="Arial"/>
          <w:sz w:val="16"/>
          <w:szCs w:val="16"/>
          <w:color w:val="auto"/>
        </w:rPr>
        <w:t>Each of the Caesars Lease Agreements was amended to, among other things, (i) remove the rent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floors, which coverage floors served to reduce the rent escalators under such leases in the event that the “EBITDAR to Rent Ratio” (as defined in the applicable Caesars Lease Agreements) coverage was below the stated floor and (ii) extend the term of each such lease by such additional period of time as necessary to ensure that each lease will have a full 15-year initial lease term following the consummation of the Eldorado Transaction. The Regional Master Lease Agreement was also amended to, among other things: (a) permit the tenant under the Regional Master Lease Agreement to cause facilities subject to the Regional Master Lease Agreement that in the aggregate represent up to five percent of the aggregate EBITDAR of (A) all of the facilities under such Regional Master Lease Agreement and (B) the Harrah’s Joliet facility, for the 2018 fiscal year (defined as the “2018 EBITDAR Pool” in the Regional Master Lease Agreement, without giving effect to any increase in the 2018 EBITDAR Pool as a result of a facility being added to the Regional Master Lease Agreement) to be sold (whereby the tenant and landlord under the Regional Master Lease Agreement would sell the operations and real estate, respectively, with respect to such facility), provided, among other things, that (1) we and Caesars mutually agree to the split of proceeds from such sales, (2) such sales do not result in any impairment(s)/asset write down(s) by us, (3) rent under the Regional Master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Regional Master Lease Agreement may only sell such properties if certain terms and conditions are met, including that replacement tenants meet certain criteria provided in the Regional Master Lease Agreement; and (c) require that the tenant under the Regional Master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27" w:lineRule="exact"/>
        <w:rPr>
          <w:rFonts w:ascii="Arial" w:cs="Arial" w:eastAsia="Arial" w:hAnsi="Arial"/>
          <w:sz w:val="16"/>
          <w:szCs w:val="16"/>
          <w:color w:val="auto"/>
        </w:rPr>
      </w:pPr>
    </w:p>
    <w:p>
      <w:pPr>
        <w:jc w:val="both"/>
        <w:ind w:left="740"/>
        <w:spacing w:after="0" w:line="291" w:lineRule="auto"/>
        <w:rPr>
          <w:rFonts w:ascii="Arial" w:cs="Arial" w:eastAsia="Arial" w:hAnsi="Arial"/>
          <w:sz w:val="16"/>
          <w:szCs w:val="16"/>
          <w:color w:val="auto"/>
        </w:rPr>
      </w:pPr>
      <w:r>
        <w:rPr>
          <w:rFonts w:ascii="Arial" w:cs="Arial" w:eastAsia="Arial" w:hAnsi="Arial"/>
          <w:sz w:val="16"/>
          <w:szCs w:val="16"/>
          <w:color w:val="auto"/>
        </w:rPr>
        <w:t>Caesars has executed new guaranties with respect to the Las Vegas Master Lease Agreement (the “Las Vegas Lease Guaranty”), the Regional Master Lease Agreement (the “Regional Lease Guaranty”) and the Joliet Lease Agreement (the “Joliet Lease Guaranty” and, together with the Las Vegas Lease Guaranty and the Regional Lease Guaranty, the “Caesars Guaranties”), guaranteeing the prompt and complete payment and performance in full of: (i) all monetary obligations of the tenants under the Caesars Lease Agreements, including all rent and other sums payable by the tenants under the Caesars Lease Agreements and any obligation to pay monetary damages in connection with any breach and to pay any indemnification obligations of the tenants under the Caesars Lease Agreements; and (ii) the performance when due of all other covenants, agreements and requirements to be performed and satisfied by the tenants under the Caesars Lease Agreements.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740"/>
        <w:spacing w:after="0" w:line="275" w:lineRule="auto"/>
        <w:rPr>
          <w:sz w:val="20"/>
          <w:szCs w:val="20"/>
          <w:color w:val="auto"/>
        </w:rPr>
      </w:pPr>
      <w:r>
        <w:rPr>
          <w:rFonts w:ascii="Arial" w:cs="Arial" w:eastAsia="Arial" w:hAnsi="Arial"/>
          <w:sz w:val="17"/>
          <w:szCs w:val="17"/>
          <w:color w:val="auto"/>
        </w:rPr>
        <w:t>In connection with entering into the amendments to the Caesars Lease Agreements and the Caesars Guaranties described above, we and Caesars terminated the Management and Lease Support Agreements, dated as of October 6, 2017, with respect to each of the Caesars Lease Agreements, pursuant to which, among other things, Pre-Merger Caesars previously guaranteed the tenants’ monetary obligations under the Caesars Lease Agreements and the Guaranty of Lease dated as of December 22, 2017 pursuant to which, among other things, a subsidiary of Pre-Merger Caesars guaranteed the tenant’s obligations under the HLV Lease Agreement.</w:t>
      </w:r>
    </w:p>
    <w:p>
      <w:pPr>
        <w:spacing w:after="0" w:line="122" w:lineRule="exact"/>
        <w:rPr>
          <w:sz w:val="20"/>
          <w:szCs w:val="20"/>
          <w:color w:val="auto"/>
        </w:rPr>
      </w:pPr>
    </w:p>
    <w:p>
      <w:pPr>
        <w:jc w:val="both"/>
        <w:ind w:left="740" w:hanging="368"/>
        <w:spacing w:after="0" w:line="268" w:lineRule="auto"/>
        <w:tabs>
          <w:tab w:leader="none" w:pos="735" w:val="left"/>
        </w:tabs>
        <w:numPr>
          <w:ilvl w:val="1"/>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Centaur Properties Put-Call Agreement</w:t>
      </w:r>
      <w:r>
        <w:rPr>
          <w:rFonts w:ascii="Arial" w:cs="Arial" w:eastAsia="Arial" w:hAnsi="Arial"/>
          <w:sz w:val="17"/>
          <w:szCs w:val="17"/>
          <w:color w:val="auto"/>
        </w:rPr>
        <w:t>. Prior to the consummation of the Eldorado Transaction, we were party to a right of first refusal</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affiliates of Pre-Merger Caesars with respect to two gaming facilities in Indiana - Harrah’s Hoosier Park and Indiana Grand (together, the “Centaur Properties”). Upon the consummation of the Eldorado Transaction, the Second Amended and Restated Right of First Refusal Agreement between us and Pre-Merger Caesars terminated in accordance with its terms, which included the right of first refusal that we had with respect to the Centaur Properties, and we entered into a Put-Call Right Agreement with Caesars (the “Centaur Put-Call Agreement”), whereby (i) we have the right to acquire all of the land and real estate assets associated with the Centaur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Centaur Properties at a price equal to 12.5x the initial annual rent of each facility, and to simultaneously lease back each such Centaur Property to a subsidiary of Caesars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Centaur Put-Call Agreement provides that the leaseback of the Centaur Properties will be implemented through the addition of the Centaur Properties to the Regional Master Lease Agreement.</w:t>
      </w:r>
    </w:p>
    <w:p>
      <w:pPr>
        <w:spacing w:after="0" w:line="130" w:lineRule="exact"/>
        <w:rPr>
          <w:rFonts w:ascii="Arial" w:cs="Arial" w:eastAsia="Arial" w:hAnsi="Arial"/>
          <w:sz w:val="17"/>
          <w:szCs w:val="17"/>
          <w:i w:val="1"/>
          <w:iCs w:val="1"/>
          <w:color w:val="auto"/>
        </w:rPr>
      </w:pPr>
    </w:p>
    <w:p>
      <w:pPr>
        <w:jc w:val="both"/>
        <w:ind w:left="740" w:hanging="368"/>
        <w:spacing w:after="0" w:line="279" w:lineRule="auto"/>
        <w:tabs>
          <w:tab w:leader="none" w:pos="735"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Amended and Restated Caesars Forum Convention Center Put-Call Agreement. </w:t>
      </w:r>
      <w:r>
        <w:rPr>
          <w:rFonts w:ascii="Arial" w:cs="Arial" w:eastAsia="Arial" w:hAnsi="Arial"/>
          <w:sz w:val="17"/>
          <w:szCs w:val="17"/>
          <w:color w:val="auto"/>
        </w:rPr>
        <w:t>Upon the consummation of the Eldorado Transaction, we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an A&amp;R Put-Call Right Agreement with Caesars amending and restating that certain put-call agreement related to the Caesars Forum Convention Center. In connection with the consummation of the Forum Convention Center Mortgage Loan on September 18, 2020, we further amended the agreement as described above in “—Amended and Restated Convention Center Put-Call Agreement”.</w:t>
      </w:r>
    </w:p>
    <w:p>
      <w:pPr>
        <w:spacing w:after="0" w:line="117" w:lineRule="exact"/>
        <w:rPr>
          <w:rFonts w:ascii="Arial" w:cs="Arial" w:eastAsia="Arial" w:hAnsi="Arial"/>
          <w:sz w:val="17"/>
          <w:szCs w:val="17"/>
          <w:color w:val="auto"/>
        </w:rPr>
      </w:pPr>
    </w:p>
    <w:p>
      <w:pPr>
        <w:jc w:val="both"/>
        <w:ind w:left="740" w:hanging="368"/>
        <w:spacing w:after="0" w:line="270" w:lineRule="auto"/>
        <w:tabs>
          <w:tab w:leader="none" w:pos="735"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Las Vegas Strip Assets ROFR</w:t>
      </w:r>
      <w:r>
        <w:rPr>
          <w:rFonts w:ascii="Arial" w:cs="Arial" w:eastAsia="Arial" w:hAnsi="Arial"/>
          <w:sz w:val="17"/>
          <w:szCs w:val="17"/>
          <w:color w:val="auto"/>
        </w:rPr>
        <w:t>. Upon the consummation of the Eldorado Transaction, we entered into a right of first refusal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Caesars (the “Las Vegas Strip ROFR Agreement”) pursuant to which we have the first right, with respect to the first two Las Vegas Strip assets described below that Caesars proposes to sell, whether pursuant to a sale leaseback or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asset subject to the Las Vegas Strip ROFR Agreement, the foregoing assets plus The LINQ gaming facility. If we enter into a sale leaseback transaction with Caesars on any of these facilities, the leaseback may be implemented through the addition of such properties to the Las Vegas Master Lease Agreement.</w:t>
      </w:r>
    </w:p>
    <w:p>
      <w:pPr>
        <w:spacing w:after="0" w:line="126" w:lineRule="exact"/>
        <w:rPr>
          <w:rFonts w:ascii="Arial" w:cs="Arial" w:eastAsia="Arial" w:hAnsi="Arial"/>
          <w:sz w:val="17"/>
          <w:szCs w:val="17"/>
          <w:color w:val="auto"/>
        </w:rPr>
      </w:pPr>
    </w:p>
    <w:p>
      <w:pPr>
        <w:jc w:val="both"/>
        <w:ind w:left="740" w:hanging="368"/>
        <w:spacing w:after="0" w:line="311" w:lineRule="auto"/>
        <w:tabs>
          <w:tab w:leader="none" w:pos="735"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Horseshoe Baltimore ROFR. </w:t>
      </w:r>
      <w:r>
        <w:rPr>
          <w:rFonts w:ascii="Arial" w:cs="Arial" w:eastAsia="Arial" w:hAnsi="Arial"/>
          <w:sz w:val="16"/>
          <w:szCs w:val="16"/>
          <w:color w:val="auto"/>
        </w:rPr>
        <w:t>Upon the consummation of the Eldorado Transaction, we entered into a right of first refusal agreement with Caesars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we have the first right to enter into a sale leaseback transaction with respect to the land and real estate assets associated with the Horseshoe Baltimore gaming facility (subject to any consent required from Caesars’ joint venture partners with respect to this asset).</w:t>
      </w:r>
    </w:p>
    <w:p>
      <w:pPr>
        <w:spacing w:after="0" w:line="94" w:lineRule="exact"/>
        <w:rPr>
          <w:rFonts w:ascii="Arial" w:cs="Arial" w:eastAsia="Arial" w:hAnsi="Arial"/>
          <w:sz w:val="16"/>
          <w:szCs w:val="16"/>
          <w:color w:val="auto"/>
        </w:rPr>
      </w:pPr>
    </w:p>
    <w:p>
      <w:pPr>
        <w:jc w:val="both"/>
        <w:ind w:left="740" w:hanging="408"/>
        <w:spacing w:after="0" w:line="257"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CPLV CMBS Refinancing</w:t>
      </w:r>
      <w:r>
        <w:rPr>
          <w:rFonts w:ascii="Arial" w:cs="Arial" w:eastAsia="Arial" w:hAnsi="Arial"/>
          <w:sz w:val="18"/>
          <w:szCs w:val="18"/>
          <w:color w:val="auto"/>
        </w:rPr>
        <w:t>. We were obligated to cause the CPLV CMBS Debt to be repaid in full prior to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Eldorado/Caesars Merger. In November 2019, we repaid the CPLV CMBS Debt in full resulting in a prepayment penalty of $110.8 million, of which $55.4 million was reimbursed by Caesars upon the consummation of the Eldorado Transaction in accordance with the MTA as follows: $31.0 million was paid to us in cash, $20.5 million was credited to us as a reduction in the CPLV Lease Amendment Payment and $3.9 million was credited to us as a reduction in the HLV Lease Amendment Payment.</w:t>
      </w:r>
    </w:p>
    <w:p>
      <w:pPr>
        <w:spacing w:after="0" w:line="133" w:lineRule="exact"/>
        <w:rPr>
          <w:rFonts w:ascii="Arial" w:cs="Arial" w:eastAsia="Arial" w:hAnsi="Arial"/>
          <w:sz w:val="18"/>
          <w:szCs w:val="18"/>
          <w:color w:val="auto"/>
        </w:rPr>
      </w:pPr>
    </w:p>
    <w:p>
      <w:pPr>
        <w:ind w:left="740" w:hanging="408"/>
        <w:spacing w:after="0" w:line="277"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Eldorado Bridge Facilities</w:t>
      </w:r>
      <w:r>
        <w:rPr>
          <w:rFonts w:ascii="Arial" w:cs="Arial" w:eastAsia="Arial" w:hAnsi="Arial"/>
          <w:sz w:val="18"/>
          <w:szCs w:val="18"/>
          <w:color w:val="auto"/>
        </w:rPr>
        <w:t>. On June 24, 2019, in connection with the Eldorado Transaction, VICI PropCo entered into a commitment letter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Letter”) with Deutsche Bank Securities Inc. and Deutsche Bank AG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740"/>
        <w:spacing w:after="0" w:line="296" w:lineRule="auto"/>
        <w:rPr>
          <w:sz w:val="20"/>
          <w:szCs w:val="20"/>
          <w:color w:val="auto"/>
        </w:rPr>
      </w:pPr>
      <w:r>
        <w:rPr>
          <w:rFonts w:ascii="Arial" w:cs="Arial" w:eastAsia="Arial" w:hAnsi="Arial"/>
          <w:sz w:val="16"/>
          <w:szCs w:val="16"/>
          <w:color w:val="auto"/>
        </w:rPr>
        <w:t>Cayman Islands Branch (collectively, the “Bridge Lender”), pursuant to which and subject to the terms and conditions set forth therein, the Bridge Lender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 fund the Eldorado Transaction. The commitments under the Bridge Facilities were fully terminated at our election in June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Lease Agreement Amendment and Amended and Restated ROV Loan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16, 2020, we and JACK Entertainment entered into an amendment to the JACK Cleveland/Thistledown Lease Agreement (the “JACK Lease Agreement Amendment”), pursuant to which, among other things, we agreed to fund $18.0 million for the construction of a new gaming patio amenity at JACK Thistledown Racino, which will be leased by JACK Entertainment pursuant to the JACK Lease Agreement Amendment. In connection with the construction of the gaming patio, commencing on April 1, 2022, rent under the JACK Cleveland/Thistledown Lease Agreement (as amended by the JACK Lease Agreement Amendment) will be increased by an incremental $1.8 million. The JACK Lease Agreement Amendment also provides for relief with respect to certain existing covenants through March 31, 2022, adds an additional five years to the initial lease term, with the tenant under the JACK Cleveland/Thistledown Lease Agreement having three (rather than four) five-year renewal options as a result of such extension of the initial lease term, and provides for rent escalation to begin in 2022 rather than 2021. The JACK Lease Agreement Amendment does not provide for a reduction or deferral of the tenant’s rent obligations. The tenant’s obligations under the JACK Lease Agreement Amendment are guaranteed by Rock Ohio Ventures LLC (“Rock Ohio Ventures”). Pursuant to the Jack Lease Agreement Amendment, the relief provided thereunder is conditioned upon (i) the tenant’s timely payment of rent obligations under the JACK Cleveland/Thistledown Lease Agreement and (ii) no tenant event of default occurring under the JACK Cleveland/Thistledown Lease Agreement during the compliance period set forth in the JACK Lease Agreement Amendment.</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Simultaneously with entry into the JACK Lease Agreement Amendment, we and affiliates of Rock Ohio Ventures entered into an amendment and restatement of our existing $50.0 million term loan agreement with such affiliates of Rock Ohio Ventures (the “Amended and Restated ROV Loan”), pursuant to which, among other things, we increased our existing term loan to $70.0 million (the “ROV Term Loan”) which bears interest at a rate of 9.0% per annum (which interest, at the option of JACK Entertainment, may be paid-in-kind through April 30, 2021 with any paid-in-kind interest required to be paid in cash in eleven equal monthly installments ending March 31, 2022), and added a $25.0 million revolving credit facility (the “ROV Credit Facility”), which bears interest at a rate of LIBOR plus 2.75% per annum. A commitment fee of 0.50% per annum calculated on the unused portion of the ROV Credit Facility is payable quarterly. The Amended and Restated ROV Loan, which includes the ROV Term Loan and ROV Credit Facility, matures in January 2025 which maturity date may be extended at the borrower’s election for up to two additional years if certain conditions are satisfied. In connection with the amendment and restatement, we received additional collateral, including an additional land parcel in proximity to JACK Cleveland so that the loan is now secured by a first priority lien on substantially all gaming and non-gaming real and personal property of JACK Entertainment, including the furniture, fixtures and equipment associated with the properties. The amendment and restatement also provides the obligors with relief with respect to certain existing financial covenants through March 31,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Capex Amendment to Caesars Leases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 2020, we entered into an Omnibus Amendment to Leases (the “Omnibus Amendment”) with Pre-Merger Caesars. Pursuant to the Omnibus Amendment, Caesars has been granted certain relief with respect to a portion of their capital expenditure obligations under the Caesars Lease Agreements conditioned upon (i) funding by Caesars of certain minimum capital expenditures in fiscal year 2020 (which represent a reduction of the minimum capital expenditure amounts currently set forth in the Caesars Lease Agreements), (ii) timely payment of Caesars’ rent obligations under the Caesars Lease Agreements during the compliance period set forth in the Omnibus Amendment, and (iii) no tenant event of default occurring under any of the Caesars Lease Agreements during the compliance period set forth in the Omnibus Amendment. Caesars will receive credit for certain deemed capital expenditure amounts, which credit may be used to satisfy certain of their capital expenditure obligations in the 2020, 2021 and 2022 fiscal years, provided that the foregoing conditions are satisfied. If Caesars fails to satisfy any of the foregoing conditions, Caesars will be required to satisfy the capital expenditure obligations set forth in the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Caesars Lease Agreements or, in certain cases, to deposit amounts in respect thereof into a capital expenditure reserve in accordance with the Omnibus Amendment.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September 30, 2020, on October 27, 2020, we and Caesars entered into an Amended and Restated Omnibus Amendment to Leases, which provides for a proportionate adjustment to certain relief previously granted under the Omnibus Amendment with respect to a portion of the capital expenditure obligations of Caesars under the Caesars Lease Agreements in order to account for the addition of the MTA Properties to the Regional Master Lease Agreement pursuant to the MTA Properties Acquisitions on July 20,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Bally’s Atlantic City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24, 2020, we and Caesars entered into definitive agreements to sell the Bally’s Atlantic City Hotel &amp; Casino for $25.0 million to a subsidiary of Twin River Worldwide Holdings, Inc. We are entitled to receive approximately $19.0 million of the proceeds from the sale and Caesars is entitled to approximately $6.0 million of the proceeds. The annual rent payments under the Regional Master Lease Agreement will remain unchanged following completion of the disposition, which we anticipate will close by the end of the year and remains subject to regulatory approval and customary closing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JACK Cleveland/Thistledown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24, 2020, we completed the previously announced transaction to acquire the casino-entitled land and real estate and related assets of the JACK Cleveland Casino (“JACK Cleveland”), located in Cleveland, Ohio and the JACK Thistledown Racino (“JACK Thistledown”) located in North Randall, Ohio (the “JACK Cleveland/Thistledown Acquisition”) from JACK Entertainment, for approximately $843.3 million. Simultaneous with the closing of the JACK Cleveland/Thistledown Acquisition, we entered into a master triple-net lease agreement for JACK Cleveland and JACK Thistledown with a subsidiary of JACK Entertainment. The lease has an initial total annual rent of $65.9 million and an initial term of 15 years, with four five-year tenant renewal options. The tenant’s obligations under the lease are guaranteed by Rock Ohio Ventures. Additionally, we made a $50.0 million loan (the “ROV Loan”) to affiliates of Rock Ohio Ventures secured by, among other things, certain non-gaming real estate assets owned by such affiliates and guaranteed by Rock Ohio Ventures. The terms of the JACK Cleveland/Thistledown Lease Agreement and the ROV Loan were subsequently amended on July 16, 2020 as described above under “— JACK Lease Agreement Amendment and Amended and Restated ROV Loan.”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2019,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Century Portfolio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December 6, 2019, we completed the previously announced transaction to acquire the Century Portfolio, comprised of the land and real estate assets of</w:t>
      </w:r>
    </w:p>
    <w:p>
      <w:pPr>
        <w:spacing w:after="0" w:line="46" w:lineRule="exact"/>
        <w:rPr>
          <w:sz w:val="20"/>
          <w:szCs w:val="20"/>
          <w:color w:val="auto"/>
        </w:rPr>
      </w:pPr>
    </w:p>
    <w:p>
      <w:pPr>
        <w:jc w:val="both"/>
        <w:ind w:firstLine="8"/>
        <w:spacing w:after="0" w:line="268" w:lineRule="auto"/>
        <w:tabs>
          <w:tab w:leader="none" w:pos="23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Mountaineer Casino, Racetrack &amp; Resort located in New Cumberland, West Virginia, (ii) Lady Luck Casino Caruthersville located in Caruthersville, Missouri, and (iii) Isle Casino Cape Girardeau located in Cape Girardeau, Missouri from affiliates of Eldorado, for approximately $277.8 million, and a subsidiary of Century Casinos acquired the operating assets of the Century Portfolio for approximately $107.2 million (together, the “Century Portfolio Acquisition”). Simultaneous with the closing of the Century Portfolio Acquisition, we entered into a master triple-net lease agreement for the Century Portfolio with a subsidiary of Century Casinos. The Century Portfolio Lease Agreement has an aggregate initial total annual rent of $25.0 million and an initial term of 15 years, with four five-year tenant renewal options. The tenants’ obligations under the Century Portfolio Lease Agreement are guaranteed by Century Casinos. We determined that the land and building components of the Century Portfolio Lease Agreement meet the definition of a sales-type lease and have recorded the corresponding asset, including related transaction and acquisition expenses, in Investments in leases - sales-type and direct financing on our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Hard Rock Cincinnati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September 20, 2019, we completed the previously announced transaction to acquire the casino-entitled land and real estate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related assets of Hard Rock Cincinnati, located in Cincinnati, Ohio from affiliates of JACK Entertainment LLC, for approximately $558.3 million, and a subsidiary of Hard Rock acquired the operating assets of the Hard Rock Cincinnati Casino for $186.5 million (together, the “Hard Rock Cincinnati Acquisition”). Simultaneous with the closing of the Hard Rock Cincinnati Acquisition, we entered into a triple-net lease agreement for Hard Rock Cincinnati with a subsidiary of Hard Rock. The Hard Rock Cincinnati Lease Agreement has an initial total annual rent of $42.8 million and an initial term of 15 years, with four five-year tenant renewal options. The tenant’s obligations under the Hard Rock Cincinnati Lease Agreement are guaranteed by Seminole Hard Rock. We determined that the land and building components of the Hard Rock Cincinnati Lease Agreement meet the definition of a sales-type lease and have recorded the corresponding asset, including related acquisition and transaction costs, in Investments in leases - sales-type and direct financing on our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Greektown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23, 2019, we completed the previously announced transaction to acquire from affiliates of JACK Entertainment LLC all of the land and real estate assets associated with Greektown, for $700.0 million in cash, and an affiliate of Penn National acquired the operating assets of Greektown for $300.0 million in cash (together, the “Greektown Acquisition”). Simultaneous with the closing of the Greektown Acquisition, we entered into a triple-net lease agreement for Greektown with a subsidiary of Penn National. The Greektown Lease Agreement has an initial total annual rent of $55.6 million and an initial term of 15 years, with four five-year tenant renewal options. The tenant’s obligations under the Greektown Lease Agreement are guaranteed by Penn National and certain of its subsidiaries. We determined that the land and building components of the Greektown Lease Agreement meet the definition of a sales-type lease and have recorded the corresponding asset, including related acquisition and transaction costs, in Investments in leases - sales-type and direct financing on our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Margaritaville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 2019, we completed the previously announced transaction to acquire the land and real estate assets of Margaritaville for $261.1 million. Penn National acquired the operating assets of Margaritaville for $114.9 million. Simultaneous with the closing of this transaction, we entered into a triple-net lease agreement with a subsidiary of Penn National. The Margaritaville Lease Agreement has an initial annual rent of $23.2 million and an initial term of 15 years, with four five-year tenant renewal options. The tenant’s obligations under the Margaritaville Lease Agreement are guaranteed by Penn National and certain of its subsidiaries. We determined that the land and building components of the Margaritaville Lease Agreement meet the definition of a sales-type lease and have recorded the corresponding asset, including related acquisition and transaction costs, in Investments in leases - sales-type and direct financing on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our real estate portfolio consisted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leases - sales-type, representing our investment in 24 casino assets leased on a triple net basis to our tenants, Caesars, Penn National, Hard Rock and Century Casinos, under eight separate lease agreements;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leases - financing receivables, representing our investment in five casino assets leased on a triple net basis to our tenants, Caesars and JACK Entertainment;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loans, representing our investment in the Amended and Restated ROV Loan, Chelsea Piers Mortgage Loan and Forum Convention Center Mortgage Loan;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Land, representing our investment in certain underdeveloped or undeveloped land adjacent to the Las Vegas strip and non-operating, vacant land parcels contained in the Regional Master Lease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September 30, 2020 and December 31,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6"/>
                <w:szCs w:val="16"/>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2020</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Minimum lease payments receivable under sales-type and direct financing leases </w:t>
            </w:r>
            <w:r>
              <w:rPr>
                <w:rFonts w:ascii="Arial" w:cs="Arial" w:eastAsia="Arial" w:hAnsi="Arial"/>
                <w:sz w:val="23"/>
                <w:szCs w:val="23"/>
                <w:i w:val="1"/>
                <w:iCs w:val="1"/>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45,772,304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31,460,712</w:t>
            </w:r>
          </w:p>
        </w:tc>
      </w:tr>
      <w:tr>
        <w:trPr>
          <w:trHeight w:val="230"/>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Estimated residual values of leased property (not guaranteed)</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3,366,990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2,525,469</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 sales-type and direct financing leases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49,139,294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33,986,181</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Unamortized initial direct costs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23,931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42,819</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Unearned income</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(35,686,256)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(23,294,755)</w:t>
            </w:r>
          </w:p>
        </w:tc>
      </w:tr>
      <w:tr>
        <w:trPr>
          <w:trHeight w:val="230"/>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leases - sales-type and direct financing, net</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13,009,966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10,734,245</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Investments in leases - operating </w:t>
            </w:r>
            <w:r>
              <w:rPr>
                <w:rFonts w:ascii="Arial" w:cs="Arial" w:eastAsia="Arial" w:hAnsi="Arial"/>
                <w:sz w:val="23"/>
                <w:szCs w:val="23"/>
                <w:i w:val="1"/>
                <w:iCs w:val="1"/>
                <w:color w:val="auto"/>
                <w:vertAlign w:val="superscript"/>
              </w:rPr>
              <w:t>(2)</w:t>
            </w:r>
          </w:p>
        </w:tc>
        <w:tc>
          <w:tcPr>
            <w:tcW w:w="2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1,086,658</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financing receivables, net</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2,600,228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investments in leases, net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15,610,194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11,820,903</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 net</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Real estate portfolio</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16,302,097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11,915,614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spacing w:after="0" w:line="1" w:lineRule="exact"/>
        <w:rPr>
          <w:rFonts w:ascii="Arial" w:cs="Arial" w:eastAsia="Arial" w:hAnsi="Arial"/>
          <w:sz w:val="14"/>
          <w:szCs w:val="14"/>
          <w:i w:val="1"/>
          <w:iCs w:val="1"/>
          <w:color w:val="auto"/>
        </w:rPr>
      </w:pPr>
    </w:p>
    <w:p>
      <w:pPr>
        <w:jc w:val="both"/>
        <w:ind w:firstLine="8"/>
        <w:spacing w:after="0" w:line="248" w:lineRule="auto"/>
        <w:tabs>
          <w:tab w:leader="none" w:pos="207"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Upon modification of the Caesars Lease Agreements, we reassessed the lease classification of the Las Vegas Master Lease Agreement, Regional Master Lease Agreement (excluding the MTA Properties) and Joliet Lease Agreement and determined that the leases meet the definition of a sales-type lease, including the land component of Caesars Palace Las Vegas. Accordingly, we reclassified the land component of Caesars Palace Las Vegas from Investments in leases - operating to Investments in leases - sales-type.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Portfolio</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components of our income from direct financing, sales-type and operating leases and lease financing receivables: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0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1080" w:type="dxa"/>
            <w:vAlign w:val="bottom"/>
          </w:tcPr>
          <w:p>
            <w:pPr>
              <w:jc w:val="right"/>
              <w:ind w:right="452"/>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31"/>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2"/>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51"/>
              <w:spacing w:after="0" w:line="172"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3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1"/>
              </w:rPr>
              <w:t>Income from sales-type and direct financing leases, excluding contingent</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270,188</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206,001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718,192</w:t>
            </w: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603,300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rent </w:t>
            </w:r>
            <w:r>
              <w:rPr>
                <w:rFonts w:ascii="Arial" w:cs="Arial" w:eastAsia="Arial" w:hAnsi="Arial"/>
                <w:sz w:val="23"/>
                <w:szCs w:val="23"/>
                <w:i w:val="1"/>
                <w:iCs w:val="1"/>
                <w:color w:val="auto"/>
                <w:vertAlign w:val="superscript"/>
              </w:rPr>
              <w:t>(1)</w:t>
            </w: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 (3)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Total revenue, excluding contingent rent</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323,625</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216,914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821,399</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636,040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Total lease revenue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323,711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216,914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821,628</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636,040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(4)</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Arial" w:cs="Arial" w:eastAsia="Arial" w:hAnsi="Arial"/>
                <w:sz w:val="18"/>
                <w:szCs w:val="18"/>
                <w:color w:val="auto"/>
              </w:rPr>
              <w:t>Total contractual lease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304,769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809,749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jc w:val="both"/>
        <w:ind w:firstLine="8"/>
        <w:spacing w:after="0" w:line="241" w:lineRule="auto"/>
        <w:tabs>
          <w:tab w:leader="none" w:pos="207"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At lease inception (or upon modification), we determine the minimum lease payments under ASC 842 (or ASC 840),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September 30, 2020, we have only recognized contingent rent on our Margaritaville Lease Agreement in relation to the variable rent portion of the lease. Refer to the Lease Provisions section below for information regarding contingent rent on each lease.</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4"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certain operating land parcels were reassessed for lease classification and were determined to be a sales-type lease. Accordingly, subsequent to July 20, 2020, such income is recognized as Income from sales-type leases.</w:t>
      </w:r>
    </w:p>
    <w:p>
      <w:pPr>
        <w:spacing w:after="0" w:line="1" w:lineRule="exact"/>
        <w:rPr>
          <w:rFonts w:ascii="Arial" w:cs="Arial" w:eastAsia="Arial" w:hAnsi="Arial"/>
          <w:sz w:val="14"/>
          <w:szCs w:val="14"/>
          <w:i w:val="1"/>
          <w:iCs w:val="1"/>
          <w:color w:val="auto"/>
        </w:rPr>
      </w:pPr>
    </w:p>
    <w:p>
      <w:pPr>
        <w:jc w:val="both"/>
        <w:ind w:right="20" w:firstLine="8"/>
        <w:spacing w:after="0" w:line="241" w:lineRule="auto"/>
        <w:tabs>
          <w:tab w:leader="none" w:pos="227"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MTA Properties and the JACK Cleveland/Thistledown Lease Agreement, both of which were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7"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the minimum lease payments from direct financing leases, sales-type leases and lease financing receivables in order to recognize income on an effective interest basis at a constant rate of return over the term of the leases.</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2020, minimum lease payments owed to us for each of the five succeeding years under sales-type leases and our leases accounted for as financing receivables,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 xml:space="preserve">Minimum Lease Payments </w:t>
            </w:r>
            <w:r>
              <w:rPr>
                <w:rFonts w:ascii="Arial" w:cs="Arial" w:eastAsia="Arial" w:hAnsi="Arial"/>
                <w:sz w:val="23"/>
                <w:szCs w:val="23"/>
                <w:b w:val="1"/>
                <w:bCs w:val="1"/>
                <w:i w:val="1"/>
                <w:iCs w:val="1"/>
                <w:color w:val="auto"/>
                <w:w w:val="88"/>
                <w:vertAlign w:val="superscript"/>
              </w:rPr>
              <w:t>(1) (2)</w:t>
            </w:r>
          </w:p>
        </w:tc>
        <w:tc>
          <w:tcPr>
            <w:tcW w:w="6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4"/>
          </w:tcPr>
          <w:p>
            <w:pPr>
              <w:jc w:val="right"/>
              <w:ind w:right="1610"/>
              <w:spacing w:after="0"/>
              <w:rPr>
                <w:sz w:val="20"/>
                <w:szCs w:val="20"/>
                <w:color w:val="auto"/>
              </w:rPr>
            </w:pPr>
            <w:r>
              <w:rPr>
                <w:rFonts w:ascii="Arial" w:cs="Arial" w:eastAsia="Arial" w:hAnsi="Arial"/>
                <w:sz w:val="18"/>
                <w:szCs w:val="18"/>
                <w:b w:val="1"/>
                <w:bCs w:val="1"/>
                <w:color w:val="auto"/>
              </w:rPr>
              <w:t>Investments in Leases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Pr>
          <w:p>
            <w:pPr>
              <w:spacing w:after="0"/>
              <w:rPr>
                <w:sz w:val="18"/>
                <w:szCs w:val="18"/>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b w:val="1"/>
                <w:bCs w:val="1"/>
                <w:color w:val="auto"/>
              </w:rPr>
              <w:t>Sales-Type</w:t>
            </w:r>
          </w:p>
        </w:tc>
        <w:tc>
          <w:tcPr>
            <w:tcW w:w="240" w:type="dxa"/>
            <w:vAlign w:val="bottom"/>
          </w:tcPr>
          <w:p>
            <w:pPr>
              <w:spacing w:after="0"/>
              <w:rPr>
                <w:sz w:val="18"/>
                <w:szCs w:val="18"/>
                <w:color w:val="auto"/>
              </w:rPr>
            </w:pPr>
          </w:p>
        </w:tc>
        <w:tc>
          <w:tcPr>
            <w:tcW w:w="2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Financing Receivables</w:t>
            </w:r>
          </w:p>
        </w:tc>
        <w:tc>
          <w:tcPr>
            <w:tcW w:w="600" w:type="dxa"/>
            <w:vAlign w:val="bottom"/>
          </w:tcPr>
          <w:p>
            <w:pPr>
              <w:spacing w:after="0"/>
              <w:rPr>
                <w:sz w:val="18"/>
                <w:szCs w:val="18"/>
                <w:color w:val="auto"/>
              </w:rPr>
            </w:pPr>
          </w:p>
        </w:tc>
        <w:tc>
          <w:tcPr>
            <w:tcW w:w="1900" w:type="dxa"/>
            <w:vAlign w:val="bottom"/>
          </w:tcPr>
          <w:p>
            <w:pPr>
              <w:jc w:val="right"/>
              <w:ind w:right="991"/>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(remaining)</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320,629</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1,062,556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222,581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1,285,137</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225,667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1,301,797</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1,094,986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229,516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1,324,502</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1,346,483</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1,127,023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235,980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1,363,003</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40,033,430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8,185,952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48,219,382</w:t>
            </w: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45,772,304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9,388,629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55,160,933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540" w:type="dxa"/>
            <w:vAlign w:val="bottom"/>
            <w:gridSpan w:val="2"/>
          </w:tcPr>
          <w:p>
            <w:pPr>
              <w:spacing w:after="0" w:line="215" w:lineRule="exact"/>
              <w:rPr>
                <w:sz w:val="20"/>
                <w:szCs w:val="20"/>
                <w:color w:val="auto"/>
              </w:rPr>
            </w:pPr>
            <w:r>
              <w:rPr>
                <w:rFonts w:ascii="Arial" w:cs="Arial" w:eastAsia="Arial" w:hAnsi="Arial"/>
                <w:sz w:val="18"/>
                <w:szCs w:val="18"/>
                <w:b w:val="1"/>
                <w:bCs w:val="1"/>
                <w:color w:val="auto"/>
              </w:rPr>
              <w:t xml:space="preserve">Weighted Average Lease Term </w:t>
            </w:r>
            <w:r>
              <w:rPr>
                <w:rFonts w:ascii="Arial" w:cs="Arial" w:eastAsia="Arial" w:hAnsi="Arial"/>
                <w:sz w:val="23"/>
                <w:szCs w:val="23"/>
                <w:b w:val="1"/>
                <w:bCs w:val="1"/>
                <w:i w:val="1"/>
                <w:iCs w:val="1"/>
                <w:color w:val="auto"/>
                <w:vertAlign w:val="superscript"/>
              </w:rPr>
              <w:t>(2)</w:t>
            </w:r>
          </w:p>
        </w:tc>
        <w:tc>
          <w:tcPr>
            <w:tcW w:w="48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34.7</w:t>
            </w:r>
          </w:p>
        </w:tc>
      </w:tr>
      <w:tr>
        <w:trPr>
          <w:trHeight w:val="224"/>
        </w:trPr>
        <w:tc>
          <w:tcPr>
            <w:tcW w:w="356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ind w:left="220" w:hanging="212"/>
        <w:spacing w:after="0"/>
        <w:tabs>
          <w:tab w:leader="none" w:pos="2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spacing w:after="0" w:line="1" w:lineRule="exact"/>
        <w:rPr>
          <w:rFonts w:ascii="Arial" w:cs="Arial" w:eastAsia="Arial" w:hAnsi="Arial"/>
          <w:sz w:val="14"/>
          <w:szCs w:val="14"/>
          <w:i w:val="1"/>
          <w:iCs w:val="1"/>
          <w:color w:val="auto"/>
        </w:rPr>
      </w:pPr>
    </w:p>
    <w:p>
      <w:pPr>
        <w:ind w:right="20" w:firstLine="8"/>
        <w:spacing w:after="0" w:line="293" w:lineRule="auto"/>
        <w:tabs>
          <w:tab w:leader="none" w:pos="211"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The minimum lease payments and weighted average remaining lease term assumes the exercise of all tenant renewal options, consistent with our conclusions under ASC 842 and ASC 310. Upon the consummation of the Eldorado Transaction, the lease term was extended by approximately three years and, as such, the weighted average lease term has increased accordingly.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material lease provisions of our Caesars Lease Agreements (both prior and subsequent to the modifications that occurred on July 20, 2020 as a result of the consummation of the Eldorado Transaction):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7"/>
              </w:rPr>
              <w:t>Non-CPLV Lease Agreement</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Regional Master Lease</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CPLV Lease</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HLV Lease</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Las Vegas Master</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1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Agreement and Joliet Lease</w:t>
            </w:r>
          </w:p>
        </w:tc>
        <w:tc>
          <w:tcPr>
            <w:tcW w:w="15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1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6"/>
              </w:rPr>
              <w:t>and Joliet Lease Agreement</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Agreement</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Lease Agreement</w:t>
            </w:r>
          </w:p>
        </w:tc>
        <w:tc>
          <w:tcPr>
            <w:tcW w:w="0" w:type="dxa"/>
            <w:vAlign w:val="bottom"/>
          </w:tcPr>
          <w:p>
            <w:pPr>
              <w:spacing w:after="0"/>
              <w:rPr>
                <w:sz w:val="1"/>
                <w:szCs w:val="1"/>
                <w:color w:val="auto"/>
              </w:rPr>
            </w:pPr>
          </w:p>
        </w:tc>
      </w:tr>
      <w:tr>
        <w:trPr>
          <w:trHeight w:val="158"/>
        </w:trPr>
        <w:tc>
          <w:tcPr>
            <w:tcW w:w="2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1"/>
                <w:szCs w:val="21"/>
                <w:b w:val="1"/>
                <w:bCs w:val="1"/>
                <w:i w:val="1"/>
                <w:iCs w:val="1"/>
                <w:color w:val="auto"/>
                <w:vertAlign w:val="superscript"/>
              </w:rPr>
              <w:t>(1)</w:t>
            </w:r>
          </w:p>
        </w:tc>
        <w:tc>
          <w:tcPr>
            <w:tcW w:w="21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Prior to Amendment</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As Amended</w:t>
            </w:r>
          </w:p>
        </w:tc>
        <w:tc>
          <w:tcPr>
            <w:tcW w:w="14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4"/>
              </w:rPr>
              <w:t>Prior to</w:t>
            </w:r>
          </w:p>
        </w:tc>
        <w:tc>
          <w:tcPr>
            <w:tcW w:w="10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8"/>
              </w:rPr>
              <w:t>Prior to</w:t>
            </w:r>
          </w:p>
        </w:tc>
        <w:tc>
          <w:tcPr>
            <w:tcW w:w="8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As Amended</w:t>
            </w:r>
          </w:p>
        </w:tc>
        <w:tc>
          <w:tcPr>
            <w:tcW w:w="0" w:type="dxa"/>
            <w:vAlign w:val="bottom"/>
          </w:tcPr>
          <w:p>
            <w:pPr>
              <w:spacing w:after="0"/>
              <w:rPr>
                <w:sz w:val="1"/>
                <w:szCs w:val="1"/>
                <w:color w:val="auto"/>
              </w:rPr>
            </w:pPr>
          </w:p>
        </w:tc>
      </w:tr>
      <w:tr>
        <w:trPr>
          <w:trHeight w:val="216"/>
        </w:trPr>
        <w:tc>
          <w:tcPr>
            <w:tcW w:w="232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Amendment</w:t>
            </w:r>
          </w:p>
        </w:tc>
        <w:tc>
          <w:tcPr>
            <w:tcW w:w="15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Amendment</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Initial Term </w:t>
            </w:r>
            <w:r>
              <w:rPr>
                <w:rFonts w:ascii="Arial" w:cs="Arial" w:eastAsia="Arial" w:hAnsi="Arial"/>
                <w:sz w:val="23"/>
                <w:szCs w:val="23"/>
                <w:i w:val="1"/>
                <w:iCs w:val="1"/>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18 years</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18 years</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Initial Term maturity </w:t>
            </w:r>
            <w:r>
              <w:rPr>
                <w:rFonts w:ascii="Arial" w:cs="Arial" w:eastAsia="Arial" w:hAnsi="Arial"/>
                <w:sz w:val="23"/>
                <w:szCs w:val="23"/>
                <w:i w:val="1"/>
                <w:iCs w:val="1"/>
                <w:color w:val="auto"/>
                <w:vertAlign w:val="superscript"/>
              </w:rPr>
              <w:t>(2)</w:t>
            </w:r>
          </w:p>
        </w:tc>
        <w:tc>
          <w:tcPr>
            <w:tcW w:w="2060" w:type="dxa"/>
            <w:vAlign w:val="bottom"/>
          </w:tcPr>
          <w:p>
            <w:pPr>
              <w:ind w:left="20"/>
              <w:spacing w:after="0"/>
              <w:rPr>
                <w:sz w:val="20"/>
                <w:szCs w:val="20"/>
                <w:color w:val="auto"/>
              </w:rPr>
            </w:pPr>
            <w:r>
              <w:rPr>
                <w:rFonts w:ascii="Arial" w:cs="Arial" w:eastAsia="Arial" w:hAnsi="Arial"/>
                <w:sz w:val="18"/>
                <w:szCs w:val="18"/>
                <w:color w:val="auto"/>
              </w:rPr>
              <w:t>10/31/2032</w:t>
            </w:r>
          </w:p>
        </w:tc>
        <w:tc>
          <w:tcPr>
            <w:tcW w:w="10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7/31/2035</w:t>
            </w:r>
          </w:p>
        </w:tc>
        <w:tc>
          <w:tcPr>
            <w:tcW w:w="100" w:type="dxa"/>
            <w:vAlign w:val="bottom"/>
          </w:tcPr>
          <w:p>
            <w:pPr>
              <w:spacing w:after="0"/>
              <w:rPr>
                <w:sz w:val="19"/>
                <w:szCs w:val="19"/>
                <w:color w:val="auto"/>
              </w:rPr>
            </w:pPr>
          </w:p>
        </w:tc>
        <w:tc>
          <w:tcPr>
            <w:tcW w:w="1460" w:type="dxa"/>
            <w:vAlign w:val="bottom"/>
          </w:tcPr>
          <w:p>
            <w:pPr>
              <w:ind w:left="20"/>
              <w:spacing w:after="0"/>
              <w:rPr>
                <w:sz w:val="20"/>
                <w:szCs w:val="20"/>
                <w:color w:val="auto"/>
              </w:rPr>
            </w:pPr>
            <w:r>
              <w:rPr>
                <w:rFonts w:ascii="Arial" w:cs="Arial" w:eastAsia="Arial" w:hAnsi="Arial"/>
                <w:sz w:val="18"/>
                <w:szCs w:val="18"/>
                <w:color w:val="auto"/>
              </w:rPr>
              <w:t>10/31/2032</w:t>
            </w:r>
          </w:p>
        </w:tc>
        <w:tc>
          <w:tcPr>
            <w:tcW w:w="10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12/31/2032</w:t>
            </w:r>
          </w:p>
        </w:tc>
        <w:tc>
          <w:tcPr>
            <w:tcW w:w="8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7/31/2035</w:t>
            </w:r>
          </w:p>
        </w:tc>
        <w:tc>
          <w:tcPr>
            <w:tcW w:w="0" w:type="dxa"/>
            <w:vAlign w:val="bottom"/>
          </w:tcPr>
          <w:p>
            <w:pPr>
              <w:spacing w:after="0"/>
              <w:rPr>
                <w:sz w:val="1"/>
                <w:szCs w:val="1"/>
                <w:color w:val="auto"/>
              </w:rPr>
            </w:pPr>
          </w:p>
        </w:tc>
      </w:tr>
      <w:tr>
        <w:trPr>
          <w:trHeight w:val="176"/>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Renewal Terms</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1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Four, five-year</w:t>
            </w:r>
          </w:p>
        </w:tc>
        <w:tc>
          <w:tcPr>
            <w:tcW w:w="1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Four, five-year</w:t>
            </w:r>
          </w:p>
        </w:tc>
        <w:tc>
          <w:tcPr>
            <w:tcW w:w="1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Four, five-year</w:t>
            </w:r>
          </w:p>
        </w:tc>
        <w:tc>
          <w:tcPr>
            <w:tcW w:w="0" w:type="dxa"/>
            <w:vAlign w:val="bottom"/>
          </w:tcPr>
          <w:p>
            <w:pPr>
              <w:spacing w:after="0"/>
              <w:rPr>
                <w:sz w:val="1"/>
                <w:szCs w:val="1"/>
                <w:color w:val="auto"/>
              </w:rPr>
            </w:pPr>
          </w:p>
        </w:tc>
      </w:tr>
      <w:tr>
        <w:trPr>
          <w:trHeight w:val="135"/>
        </w:trPr>
        <w:tc>
          <w:tcPr>
            <w:tcW w:w="2320" w:type="dxa"/>
            <w:vAlign w:val="bottom"/>
            <w:gridSpan w:val="2"/>
            <w:vMerge w:val="continue"/>
            <w:shd w:val="clear" w:color="auto" w:fill="CCEEFF"/>
          </w:tcPr>
          <w:p>
            <w:pPr>
              <w:spacing w:after="0"/>
              <w:rPr>
                <w:sz w:val="11"/>
                <w:szCs w:val="11"/>
                <w:color w:val="auto"/>
              </w:rPr>
            </w:pPr>
          </w:p>
        </w:tc>
        <w:tc>
          <w:tcPr>
            <w:tcW w:w="2160" w:type="dxa"/>
            <w:vAlign w:val="bottom"/>
            <w:gridSpan w:val="2"/>
            <w:vMerge w:val="continue"/>
            <w:shd w:val="clear" w:color="auto" w:fill="CCEEFF"/>
          </w:tcPr>
          <w:p>
            <w:pPr>
              <w:spacing w:after="0"/>
              <w:rPr>
                <w:sz w:val="11"/>
                <w:szCs w:val="11"/>
                <w:color w:val="auto"/>
              </w:rPr>
            </w:pPr>
          </w:p>
        </w:tc>
        <w:tc>
          <w:tcPr>
            <w:tcW w:w="2160" w:type="dxa"/>
            <w:vAlign w:val="bottom"/>
            <w:gridSpan w:val="2"/>
            <w:vMerge w:val="continue"/>
            <w:shd w:val="clear" w:color="auto" w:fill="CCEEFF"/>
          </w:tcPr>
          <w:p>
            <w:pPr>
              <w:spacing w:after="0"/>
              <w:rPr>
                <w:sz w:val="11"/>
                <w:szCs w:val="11"/>
                <w:color w:val="auto"/>
              </w:rPr>
            </w:pP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terms</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terms</w:t>
            </w:r>
          </w:p>
        </w:tc>
        <w:tc>
          <w:tcPr>
            <w:tcW w:w="1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terms</w:t>
            </w:r>
          </w:p>
        </w:tc>
        <w:tc>
          <w:tcPr>
            <w:tcW w:w="0" w:type="dxa"/>
            <w:vAlign w:val="bottom"/>
          </w:tcPr>
          <w:p>
            <w:pPr>
              <w:spacing w:after="0"/>
              <w:rPr>
                <w:sz w:val="1"/>
                <w:szCs w:val="1"/>
                <w:color w:val="auto"/>
              </w:rPr>
            </w:pPr>
          </w:p>
        </w:tc>
      </w:tr>
      <w:tr>
        <w:trPr>
          <w:trHeight w:val="94"/>
        </w:trPr>
        <w:tc>
          <w:tcPr>
            <w:tcW w:w="2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60" w:type="dxa"/>
            <w:vAlign w:val="bottom"/>
            <w:gridSpan w:val="2"/>
            <w:vMerge w:val="continue"/>
            <w:shd w:val="clear" w:color="auto" w:fill="CCEEFF"/>
          </w:tcPr>
          <w:p>
            <w:pPr>
              <w:spacing w:after="0"/>
              <w:rPr>
                <w:sz w:val="8"/>
                <w:szCs w:val="8"/>
                <w:color w:val="auto"/>
              </w:rPr>
            </w:pPr>
          </w:p>
        </w:tc>
        <w:tc>
          <w:tcPr>
            <w:tcW w:w="1560" w:type="dxa"/>
            <w:vAlign w:val="bottom"/>
            <w:gridSpan w:val="2"/>
            <w:vMerge w:val="continue"/>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(3)</w:t>
            </w:r>
          </w:p>
        </w:tc>
        <w:tc>
          <w:tcPr>
            <w:tcW w:w="2060" w:type="dxa"/>
            <w:vAlign w:val="bottom"/>
          </w:tcPr>
          <w:p>
            <w:pPr>
              <w:ind w:left="20"/>
              <w:spacing w:after="0"/>
              <w:rPr>
                <w:sz w:val="20"/>
                <w:szCs w:val="20"/>
                <w:color w:val="auto"/>
              </w:rPr>
            </w:pPr>
            <w:r>
              <w:rPr>
                <w:rFonts w:ascii="Arial" w:cs="Arial" w:eastAsia="Arial" w:hAnsi="Arial"/>
                <w:sz w:val="18"/>
                <w:szCs w:val="18"/>
                <w:color w:val="auto"/>
              </w:rPr>
              <w:t>$508,534</w:t>
            </w:r>
          </w:p>
        </w:tc>
        <w:tc>
          <w:tcPr>
            <w:tcW w:w="10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$662,534</w:t>
            </w:r>
          </w:p>
        </w:tc>
        <w:tc>
          <w:tcPr>
            <w:tcW w:w="100" w:type="dxa"/>
            <w:vAlign w:val="bottom"/>
          </w:tcPr>
          <w:p>
            <w:pPr>
              <w:spacing w:after="0"/>
              <w:rPr>
                <w:sz w:val="19"/>
                <w:szCs w:val="19"/>
                <w:color w:val="auto"/>
              </w:rPr>
            </w:pPr>
          </w:p>
        </w:tc>
        <w:tc>
          <w:tcPr>
            <w:tcW w:w="1460" w:type="dxa"/>
            <w:vAlign w:val="bottom"/>
          </w:tcPr>
          <w:p>
            <w:pPr>
              <w:ind w:left="20"/>
              <w:spacing w:after="0"/>
              <w:rPr>
                <w:sz w:val="20"/>
                <w:szCs w:val="20"/>
                <w:color w:val="auto"/>
              </w:rPr>
            </w:pPr>
            <w:r>
              <w:rPr>
                <w:rFonts w:ascii="Arial" w:cs="Arial" w:eastAsia="Arial" w:hAnsi="Arial"/>
                <w:sz w:val="18"/>
                <w:szCs w:val="18"/>
                <w:color w:val="auto"/>
              </w:rPr>
              <w:t>$207,745</w:t>
            </w:r>
          </w:p>
        </w:tc>
        <w:tc>
          <w:tcPr>
            <w:tcW w:w="10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$89,157</w:t>
            </w:r>
          </w:p>
        </w:tc>
        <w:tc>
          <w:tcPr>
            <w:tcW w:w="8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$395,401</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Lease years 2-5 - 1.5%</w:t>
            </w: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Lease years 2-5 -</w:t>
            </w: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gridSpan w:val="2"/>
            <w:vMerge w:val="continue"/>
            <w:shd w:val="clear" w:color="auto" w:fill="CCEEFF"/>
          </w:tcPr>
          <w:p>
            <w:pPr>
              <w:spacing w:after="0"/>
              <w:rPr>
                <w:sz w:val="7"/>
                <w:szCs w:val="7"/>
                <w:color w:val="auto"/>
              </w:rPr>
            </w:pP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Lease years 2-5 - 1.5%</w:t>
            </w: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(4)</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Lease years 6-15 -</w:t>
            </w:r>
          </w:p>
        </w:tc>
        <w:tc>
          <w:tcPr>
            <w:tcW w:w="2160" w:type="dxa"/>
            <w:vAlign w:val="bottom"/>
            <w:gridSpan w:val="2"/>
            <w:vMerge w:val="continue"/>
            <w:shd w:val="clear" w:color="auto" w:fill="CCEEFF"/>
          </w:tcPr>
          <w:p>
            <w:pPr>
              <w:spacing w:after="0"/>
              <w:rPr>
                <w:sz w:val="8"/>
                <w:szCs w:val="8"/>
                <w:color w:val="auto"/>
              </w:rPr>
            </w:pP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&gt; 2% / Change in</w:t>
            </w:r>
          </w:p>
        </w:tc>
        <w:tc>
          <w:tcPr>
            <w:tcW w:w="14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&gt; 2% / change in</w:t>
            </w:r>
          </w:p>
        </w:tc>
        <w:tc>
          <w:tcPr>
            <w:tcW w:w="0" w:type="dxa"/>
            <w:vAlign w:val="bottom"/>
          </w:tcPr>
          <w:p>
            <w:pPr>
              <w:spacing w:after="0"/>
              <w:rPr>
                <w:sz w:val="1"/>
                <w:szCs w:val="1"/>
                <w:color w:val="auto"/>
              </w:rPr>
            </w:pPr>
          </w:p>
        </w:tc>
      </w:tr>
      <w:tr>
        <w:trPr>
          <w:trHeight w:val="175"/>
        </w:trPr>
        <w:tc>
          <w:tcPr>
            <w:tcW w:w="2320" w:type="dxa"/>
            <w:vAlign w:val="bottom"/>
            <w:gridSpan w:val="2"/>
            <w:vMerge w:val="continue"/>
            <w:shd w:val="clear" w:color="auto" w:fill="CCEEFF"/>
          </w:tcPr>
          <w:p>
            <w:pPr>
              <w:spacing w:after="0"/>
              <w:rPr>
                <w:sz w:val="15"/>
                <w:szCs w:val="15"/>
                <w:color w:val="auto"/>
              </w:rPr>
            </w:pPr>
          </w:p>
        </w:tc>
        <w:tc>
          <w:tcPr>
            <w:tcW w:w="2160" w:type="dxa"/>
            <w:vAlign w:val="bottom"/>
            <w:gridSpan w:val="2"/>
            <w:vMerge w:val="continue"/>
            <w:shd w:val="clear" w:color="auto" w:fill="CCEEFF"/>
          </w:tcPr>
          <w:p>
            <w:pPr>
              <w:spacing w:after="0"/>
              <w:rPr>
                <w:sz w:val="15"/>
                <w:szCs w:val="15"/>
                <w:color w:val="auto"/>
              </w:rPr>
            </w:pPr>
          </w:p>
        </w:tc>
        <w:tc>
          <w:tcPr>
            <w:tcW w:w="2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Lease years 6-end of term -</w:t>
            </w:r>
          </w:p>
        </w:tc>
        <w:tc>
          <w:tcPr>
            <w:tcW w:w="1560" w:type="dxa"/>
            <w:vAlign w:val="bottom"/>
            <w:gridSpan w:val="2"/>
            <w:vMerge w:val="continue"/>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Lease years 6-15 -</w:t>
            </w:r>
          </w:p>
        </w:tc>
        <w:tc>
          <w:tcPr>
            <w:tcW w:w="1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gridSpan w:val="2"/>
            <w:shd w:val="clear" w:color="auto" w:fill="CCEEFF"/>
          </w:tcPr>
          <w:p>
            <w:pPr>
              <w:ind w:left="20"/>
              <w:spacing w:after="0" w:line="81" w:lineRule="exact"/>
              <w:rPr>
                <w:sz w:val="20"/>
                <w:szCs w:val="20"/>
                <w:color w:val="auto"/>
              </w:rPr>
            </w:pPr>
            <w:r>
              <w:rPr>
                <w:rFonts w:ascii="Arial" w:cs="Arial" w:eastAsia="Arial" w:hAnsi="Arial"/>
                <w:sz w:val="9"/>
                <w:szCs w:val="9"/>
                <w:color w:val="auto"/>
              </w:rPr>
              <w:t>Consumer price index</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CPI subject to 2.0% floor</w:t>
            </w:r>
          </w:p>
        </w:tc>
        <w:tc>
          <w:tcPr>
            <w:tcW w:w="1560" w:type="dxa"/>
            <w:vAlign w:val="bottom"/>
            <w:gridSpan w:val="2"/>
            <w:shd w:val="clear" w:color="auto" w:fill="CCEEFF"/>
          </w:tcPr>
          <w:p>
            <w:pPr>
              <w:ind w:left="20"/>
              <w:spacing w:after="0" w:line="81" w:lineRule="exact"/>
              <w:rPr>
                <w:sz w:val="20"/>
                <w:szCs w:val="20"/>
                <w:color w:val="auto"/>
              </w:rPr>
            </w:pPr>
            <w:r>
              <w:rPr>
                <w:rFonts w:ascii="Arial" w:cs="Arial" w:eastAsia="Arial" w:hAnsi="Arial"/>
                <w:sz w:val="9"/>
                <w:szCs w:val="9"/>
                <w:color w:val="auto"/>
              </w:rPr>
              <w:t>CPI</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7"/>
              </w:rPr>
              <w:t>&gt; 2% floor / change</w:t>
            </w:r>
          </w:p>
        </w:tc>
        <w:tc>
          <w:tcPr>
            <w:tcW w:w="148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rPr>
              <w:t>CPI</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(“CPI”) subject to 2% floor</w:t>
            </w:r>
          </w:p>
        </w:tc>
        <w:tc>
          <w:tcPr>
            <w:tcW w:w="2160" w:type="dxa"/>
            <w:vAlign w:val="bottom"/>
            <w:gridSpan w:val="2"/>
            <w:vMerge w:val="continue"/>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vMerge w:val="continue"/>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7"/>
                <w:szCs w:val="17"/>
                <w:color w:val="auto"/>
              </w:rPr>
              <w:t>in CPI</w:t>
            </w: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EBITDAR to Rent Ratio</w:t>
            </w:r>
          </w:p>
        </w:tc>
        <w:tc>
          <w:tcPr>
            <w:tcW w:w="2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1.2x commencing lease</w:t>
            </w:r>
          </w:p>
        </w:tc>
        <w:tc>
          <w:tcPr>
            <w:tcW w:w="2160" w:type="dxa"/>
            <w:vAlign w:val="bottom"/>
            <w:gridSpan w:val="2"/>
            <w:vMerge w:val="restart"/>
          </w:tcPr>
          <w:p>
            <w:pPr>
              <w:ind w:left="20"/>
              <w:spacing w:after="0"/>
              <w:rPr>
                <w:sz w:val="20"/>
                <w:szCs w:val="20"/>
                <w:color w:val="auto"/>
              </w:rPr>
            </w:pPr>
            <w:r>
              <w:rPr>
                <w:rFonts w:ascii="Arial" w:cs="Arial" w:eastAsia="Arial" w:hAnsi="Arial"/>
                <w:sz w:val="18"/>
                <w:szCs w:val="18"/>
                <w:color w:val="auto"/>
              </w:rPr>
              <w:t>None</w:t>
            </w: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1.7x commencing</w:t>
            </w: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1.6x commencing</w:t>
            </w:r>
          </w:p>
        </w:tc>
        <w:tc>
          <w:tcPr>
            <w:tcW w:w="1480" w:type="dxa"/>
            <w:vAlign w:val="bottom"/>
            <w:vMerge w:val="restart"/>
          </w:tcPr>
          <w:p>
            <w:pPr>
              <w:ind w:lef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floor </w:t>
            </w:r>
            <w:r>
              <w:rPr>
                <w:rFonts w:ascii="Arial" w:cs="Arial" w:eastAsia="Arial" w:hAnsi="Arial"/>
                <w:sz w:val="23"/>
                <w:szCs w:val="23"/>
                <w:i w:val="1"/>
                <w:iCs w:val="1"/>
                <w:color w:val="auto"/>
                <w:vertAlign w:val="superscript"/>
              </w:rPr>
              <w:t>(5)</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year 8</w:t>
            </w:r>
          </w:p>
        </w:tc>
        <w:tc>
          <w:tcPr>
            <w:tcW w:w="2160" w:type="dxa"/>
            <w:vAlign w:val="bottom"/>
            <w:gridSpan w:val="2"/>
            <w:vMerge w:val="continue"/>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lease year 8</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lease year 6</w:t>
            </w: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70% base rent /</w:t>
            </w:r>
          </w:p>
        </w:tc>
        <w:tc>
          <w:tcPr>
            <w:tcW w:w="2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70% base rent /</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w w:val="99"/>
              </w:rPr>
              <w:t>Years 8 &amp; 11</w:t>
            </w:r>
            <w:r>
              <w:rPr>
                <w:rFonts w:ascii="Arial" w:cs="Arial" w:eastAsia="Arial" w:hAnsi="Arial"/>
                <w:sz w:val="18"/>
                <w:szCs w:val="18"/>
                <w:color w:val="auto"/>
                <w:w w:val="99"/>
              </w:rPr>
              <w:t>: 80%</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Year 8 &amp; 11</w:t>
            </w:r>
            <w:r>
              <w:rPr>
                <w:rFonts w:ascii="Arial" w:cs="Arial" w:eastAsia="Arial" w:hAnsi="Arial"/>
                <w:sz w:val="18"/>
                <w:szCs w:val="18"/>
                <w:color w:val="auto"/>
              </w:rPr>
              <w:t>: 80%</w:t>
            </w:r>
          </w:p>
        </w:tc>
        <w:tc>
          <w:tcPr>
            <w:tcW w:w="14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Years 8, 11 &amp; 16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30% variable rent</w:t>
            </w: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30% variable rent</w:t>
            </w:r>
          </w:p>
        </w:tc>
        <w:tc>
          <w:tcPr>
            <w:tcW w:w="156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2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Rent adjustment</w:t>
            </w:r>
          </w:p>
        </w:tc>
        <w:tc>
          <w:tcPr>
            <w:tcW w:w="2160" w:type="dxa"/>
            <w:vAlign w:val="bottom"/>
            <w:gridSpan w:val="2"/>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15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base rent / 20%</w:t>
            </w:r>
          </w:p>
        </w:tc>
        <w:tc>
          <w:tcPr>
            <w:tcW w:w="15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base rent / 20%</w:t>
            </w:r>
          </w:p>
        </w:tc>
        <w:tc>
          <w:tcPr>
            <w:tcW w:w="148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80% base rent /</w:t>
            </w:r>
          </w:p>
        </w:tc>
        <w:tc>
          <w:tcPr>
            <w:tcW w:w="0" w:type="dxa"/>
            <w:vAlign w:val="bottom"/>
          </w:tcPr>
          <w:p>
            <w:pPr>
              <w:spacing w:after="0"/>
              <w:rPr>
                <w:sz w:val="1"/>
                <w:szCs w:val="1"/>
                <w:color w:val="auto"/>
              </w:rPr>
            </w:pPr>
          </w:p>
        </w:tc>
      </w:tr>
      <w:tr>
        <w:trPr>
          <w:trHeight w:val="81"/>
        </w:trPr>
        <w:tc>
          <w:tcPr>
            <w:tcW w:w="2320" w:type="dxa"/>
            <w:vAlign w:val="bottom"/>
            <w:gridSpan w:val="2"/>
            <w:vMerge w:val="continue"/>
            <w:shd w:val="clear" w:color="auto" w:fill="CCEEFF"/>
          </w:tcPr>
          <w:p>
            <w:pPr>
              <w:spacing w:after="0"/>
              <w:rPr>
                <w:sz w:val="7"/>
                <w:szCs w:val="7"/>
                <w:color w:val="auto"/>
              </w:rPr>
            </w:pP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80% base rent /</w:t>
            </w: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Years 11 &amp; 16</w:t>
            </w:r>
            <w:r>
              <w:rPr>
                <w:rFonts w:ascii="Arial" w:cs="Arial" w:eastAsia="Arial" w:hAnsi="Arial"/>
                <w:sz w:val="18"/>
                <w:szCs w:val="18"/>
                <w:color w:val="auto"/>
              </w:rPr>
              <w:t>: 80% base</w:t>
            </w:r>
          </w:p>
        </w:tc>
        <w:tc>
          <w:tcPr>
            <w:tcW w:w="156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variable rent</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variable rent</w:t>
            </w:r>
          </w:p>
        </w:tc>
        <w:tc>
          <w:tcPr>
            <w:tcW w:w="1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20% variable rent</w:t>
            </w:r>
          </w:p>
        </w:tc>
        <w:tc>
          <w:tcPr>
            <w:tcW w:w="0" w:type="dxa"/>
            <w:vAlign w:val="bottom"/>
          </w:tcPr>
          <w:p>
            <w:pPr>
              <w:spacing w:after="0"/>
              <w:rPr>
                <w:sz w:val="1"/>
                <w:szCs w:val="1"/>
                <w:color w:val="auto"/>
              </w:rPr>
            </w:pPr>
          </w:p>
        </w:tc>
      </w:tr>
      <w:tr>
        <w:trPr>
          <w:trHeight w:val="136"/>
        </w:trPr>
        <w:tc>
          <w:tcPr>
            <w:tcW w:w="2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20% variable rent</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rent / 20% variable rent</w:t>
            </w:r>
          </w:p>
        </w:tc>
        <w:tc>
          <w:tcPr>
            <w:tcW w:w="1560" w:type="dxa"/>
            <w:vAlign w:val="bottom"/>
            <w:gridSpan w:val="2"/>
            <w:vMerge w:val="continue"/>
            <w:shd w:val="clear" w:color="auto" w:fill="CCEEFF"/>
          </w:tcPr>
          <w:p>
            <w:pPr>
              <w:spacing w:after="0"/>
              <w:rPr>
                <w:sz w:val="11"/>
                <w:szCs w:val="11"/>
                <w:color w:val="auto"/>
              </w:rPr>
            </w:pPr>
          </w:p>
        </w:tc>
        <w:tc>
          <w:tcPr>
            <w:tcW w:w="1560" w:type="dxa"/>
            <w:vAlign w:val="bottom"/>
            <w:gridSpan w:val="2"/>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8"/>
                <w:szCs w:val="18"/>
                <w:color w:val="auto"/>
              </w:rPr>
            </w:pPr>
          </w:p>
        </w:tc>
        <w:tc>
          <w:tcPr>
            <w:tcW w:w="2160" w:type="dxa"/>
            <w:vAlign w:val="bottom"/>
            <w:gridSpan w:val="3"/>
            <w:vMerge w:val="restart"/>
          </w:tcPr>
          <w:p>
            <w:pPr>
              <w:spacing w:after="0"/>
              <w:rPr>
                <w:sz w:val="20"/>
                <w:szCs w:val="20"/>
                <w:color w:val="auto"/>
              </w:rPr>
            </w:pPr>
            <w:r>
              <w:rPr>
                <w:rFonts w:ascii="Arial" w:cs="Arial" w:eastAsia="Arial" w:hAnsi="Arial"/>
                <w:sz w:val="18"/>
                <w:szCs w:val="18"/>
                <w:color w:val="auto"/>
              </w:rPr>
              <w:t>4% of revenue</w:t>
            </w:r>
          </w:p>
        </w:tc>
        <w:tc>
          <w:tcPr>
            <w:tcW w:w="2080" w:type="dxa"/>
            <w:vAlign w:val="bottom"/>
            <w:gridSpan w:val="4"/>
          </w:tcPr>
          <w:p>
            <w:pPr>
              <w:spacing w:after="0"/>
              <w:rPr>
                <w:sz w:val="20"/>
                <w:szCs w:val="20"/>
                <w:color w:val="auto"/>
              </w:rPr>
            </w:pPr>
            <w:r>
              <w:rPr>
                <w:rFonts w:ascii="Arial" w:cs="Arial" w:eastAsia="Arial" w:hAnsi="Arial"/>
                <w:sz w:val="18"/>
                <w:szCs w:val="18"/>
                <w:color w:val="auto"/>
              </w:rPr>
              <w:t>4% of revenue</w:t>
            </w:r>
          </w:p>
        </w:tc>
        <w:tc>
          <w:tcPr>
            <w:tcW w:w="1560" w:type="dxa"/>
            <w:vAlign w:val="bottom"/>
            <w:gridSpan w:val="4"/>
          </w:tcPr>
          <w:p>
            <w:pPr>
              <w:ind w:left="80"/>
              <w:spacing w:after="0"/>
              <w:rPr>
                <w:sz w:val="20"/>
                <w:szCs w:val="20"/>
                <w:color w:val="auto"/>
              </w:rPr>
            </w:pPr>
            <w:r>
              <w:rPr>
                <w:rFonts w:ascii="Arial" w:cs="Arial" w:eastAsia="Arial" w:hAnsi="Arial"/>
                <w:sz w:val="18"/>
                <w:szCs w:val="18"/>
                <w:color w:val="auto"/>
              </w:rPr>
              <w:t>4% of revenue</w:t>
            </w:r>
          </w:p>
        </w:tc>
        <w:tc>
          <w:tcPr>
            <w:tcW w:w="1500" w:type="dxa"/>
            <w:vAlign w:val="bottom"/>
            <w:gridSpan w:val="4"/>
          </w:tcPr>
          <w:p>
            <w:pPr>
              <w:ind w:left="80"/>
              <w:spacing w:after="0"/>
              <w:rPr>
                <w:sz w:val="20"/>
                <w:szCs w:val="20"/>
                <w:color w:val="auto"/>
              </w:rPr>
            </w:pPr>
            <w:r>
              <w:rPr>
                <w:rFonts w:ascii="Arial" w:cs="Arial" w:eastAsia="Arial" w:hAnsi="Arial"/>
                <w:sz w:val="18"/>
                <w:szCs w:val="18"/>
                <w:color w:val="auto"/>
              </w:rPr>
              <w:t>4% of revenue</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2160" w:type="dxa"/>
            <w:vAlign w:val="bottom"/>
            <w:gridSpan w:val="3"/>
            <w:vMerge w:val="continue"/>
          </w:tcPr>
          <w:p>
            <w:pPr>
              <w:spacing w:after="0"/>
              <w:rPr>
                <w:sz w:val="13"/>
                <w:szCs w:val="13"/>
                <w:color w:val="auto"/>
              </w:rPr>
            </w:pPr>
          </w:p>
        </w:tc>
        <w:tc>
          <w:tcPr>
            <w:tcW w:w="10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7"/>
                <w:szCs w:val="17"/>
                <w:color w:val="auto"/>
                <w:w w:val="70"/>
              </w:rPr>
              <w:t>increase/decrease:</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line="155" w:lineRule="exact"/>
              <w:rPr>
                <w:sz w:val="20"/>
                <w:szCs w:val="20"/>
                <w:color w:val="auto"/>
              </w:rPr>
            </w:pPr>
            <w:r>
              <w:rPr>
                <w:rFonts w:ascii="Arial" w:cs="Arial" w:eastAsia="Arial" w:hAnsi="Arial"/>
                <w:sz w:val="17"/>
                <w:szCs w:val="17"/>
                <w:color w:val="auto"/>
                <w:w w:val="70"/>
              </w:rPr>
              <w:t>increase/decrease:</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line="155" w:lineRule="exact"/>
              <w:rPr>
                <w:sz w:val="20"/>
                <w:szCs w:val="20"/>
                <w:color w:val="auto"/>
              </w:rPr>
            </w:pPr>
            <w:r>
              <w:rPr>
                <w:rFonts w:ascii="Arial" w:cs="Arial" w:eastAsia="Arial" w:hAnsi="Arial"/>
                <w:sz w:val="17"/>
                <w:szCs w:val="17"/>
                <w:color w:val="auto"/>
                <w:w w:val="70"/>
              </w:rPr>
              <w:t>increase/decrease: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40" w:type="dxa"/>
            <w:vAlign w:val="bottom"/>
          </w:tcPr>
          <w:p>
            <w:pPr>
              <w:spacing w:after="0"/>
              <w:rPr>
                <w:sz w:val="13"/>
                <w:szCs w:val="13"/>
                <w:color w:val="auto"/>
              </w:rPr>
            </w:pPr>
          </w:p>
        </w:tc>
        <w:tc>
          <w:tcPr>
            <w:tcW w:w="1040" w:type="dxa"/>
            <w:vAlign w:val="bottom"/>
            <w:tcBorders>
              <w:bottom w:val="single" w:sz="8" w:color="auto"/>
            </w:tcBorders>
          </w:tcPr>
          <w:p>
            <w:pPr>
              <w:spacing w:after="0" w:line="155" w:lineRule="exact"/>
              <w:rPr>
                <w:sz w:val="20"/>
                <w:szCs w:val="20"/>
                <w:color w:val="auto"/>
              </w:rPr>
            </w:pPr>
            <w:r>
              <w:rPr>
                <w:rFonts w:ascii="Arial" w:cs="Arial" w:eastAsia="Arial" w:hAnsi="Arial"/>
                <w:sz w:val="17"/>
                <w:szCs w:val="17"/>
                <w:color w:val="auto"/>
                <w:w w:val="70"/>
              </w:rPr>
              <w:t>increase/decrease:</w:t>
            </w:r>
          </w:p>
        </w:tc>
        <w:tc>
          <w:tcPr>
            <w:tcW w:w="260" w:type="dxa"/>
            <w:vAlign w:val="bottom"/>
            <w:tcBorders>
              <w:bottom w:val="single" w:sz="8" w:color="auto"/>
            </w:tcBorders>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60" w:type="dxa"/>
            <w:vAlign w:val="bottom"/>
            <w:gridSpan w:val="3"/>
          </w:tcPr>
          <w:p>
            <w:pPr>
              <w:spacing w:after="0" w:line="15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Avg. of years 5-7</w:t>
            </w:r>
          </w:p>
        </w:tc>
        <w:tc>
          <w:tcPr>
            <w:tcW w:w="80" w:type="dxa"/>
            <w:vAlign w:val="bottom"/>
            <w:vMerge w:val="continue"/>
          </w:tcPr>
          <w:p>
            <w:pPr>
              <w:spacing w:after="0"/>
              <w:rPr>
                <w:sz w:val="13"/>
                <w:szCs w:val="13"/>
                <w:color w:val="auto"/>
              </w:rPr>
            </w:pPr>
          </w:p>
        </w:tc>
        <w:tc>
          <w:tcPr>
            <w:tcW w:w="130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Avg. of</w:t>
            </w:r>
          </w:p>
        </w:tc>
        <w:tc>
          <w:tcPr>
            <w:tcW w:w="1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30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Avg. of</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tcPr>
          <w:p>
            <w:pPr>
              <w:ind w:left="20"/>
              <w:spacing w:after="0" w:line="142" w:lineRule="exact"/>
              <w:rPr>
                <w:sz w:val="20"/>
                <w:szCs w:val="20"/>
                <w:color w:val="auto"/>
              </w:rPr>
            </w:pPr>
            <w:r>
              <w:rPr>
                <w:rFonts w:ascii="Arial" w:cs="Arial" w:eastAsia="Arial" w:hAnsi="Arial"/>
                <w:sz w:val="16"/>
                <w:szCs w:val="16"/>
                <w:color w:val="auto"/>
              </w:rPr>
              <w:t>Variable Rent adjustment</w:t>
            </w:r>
          </w:p>
        </w:tc>
        <w:tc>
          <w:tcPr>
            <w:tcW w:w="2160" w:type="dxa"/>
            <w:vAlign w:val="bottom"/>
            <w:gridSpan w:val="3"/>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w:t>
            </w:r>
          </w:p>
        </w:tc>
        <w:tc>
          <w:tcPr>
            <w:tcW w:w="2080" w:type="dxa"/>
            <w:vAlign w:val="bottom"/>
            <w:gridSpan w:val="4"/>
          </w:tcPr>
          <w:p>
            <w:pPr>
              <w:spacing w:after="0" w:line="142" w:lineRule="exact"/>
              <w:rPr>
                <w:sz w:val="20"/>
                <w:szCs w:val="20"/>
                <w:color w:val="auto"/>
              </w:rPr>
            </w:pPr>
            <w:r>
              <w:rPr>
                <w:rFonts w:ascii="Arial" w:cs="Arial" w:eastAsia="Arial" w:hAnsi="Arial"/>
                <w:sz w:val="16"/>
                <w:szCs w:val="16"/>
                <w:color w:val="auto"/>
              </w:rPr>
              <w:t>less avg. of years 0-2</w:t>
            </w:r>
          </w:p>
        </w:tc>
        <w:tc>
          <w:tcPr>
            <w:tcW w:w="1560" w:type="dxa"/>
            <w:vAlign w:val="bottom"/>
            <w:gridSpan w:val="4"/>
          </w:tcPr>
          <w:p>
            <w:pPr>
              <w:ind w:left="80"/>
              <w:spacing w:after="0" w:line="142" w:lineRule="exact"/>
              <w:rPr>
                <w:sz w:val="20"/>
                <w:szCs w:val="20"/>
                <w:color w:val="auto"/>
              </w:rPr>
            </w:pPr>
            <w:r>
              <w:rPr>
                <w:rFonts w:ascii="Arial" w:cs="Arial" w:eastAsia="Arial" w:hAnsi="Arial"/>
                <w:sz w:val="16"/>
                <w:szCs w:val="16"/>
                <w:color w:val="auto"/>
              </w:rPr>
              <w:t>years 5-7 less avg.</w:t>
            </w:r>
          </w:p>
        </w:tc>
        <w:tc>
          <w:tcPr>
            <w:tcW w:w="1500" w:type="dxa"/>
            <w:vAlign w:val="bottom"/>
            <w:gridSpan w:val="4"/>
          </w:tcPr>
          <w:p>
            <w:pPr>
              <w:ind w:left="80"/>
              <w:spacing w:after="0" w:line="142" w:lineRule="exact"/>
              <w:rPr>
                <w:sz w:val="20"/>
                <w:szCs w:val="20"/>
                <w:color w:val="auto"/>
              </w:rPr>
            </w:pPr>
            <w:r>
              <w:rPr>
                <w:rFonts w:ascii="Arial" w:cs="Arial" w:eastAsia="Arial" w:hAnsi="Arial"/>
                <w:sz w:val="16"/>
                <w:szCs w:val="16"/>
                <w:color w:val="auto"/>
              </w:rPr>
              <w:t>years 5-7 less avg.</w:t>
            </w:r>
          </w:p>
        </w:tc>
        <w:tc>
          <w:tcPr>
            <w:tcW w:w="0" w:type="dxa"/>
            <w:vAlign w:val="bottom"/>
          </w:tcPr>
          <w:p>
            <w:pPr>
              <w:spacing w:after="0"/>
              <w:rPr>
                <w:sz w:val="1"/>
                <w:szCs w:val="1"/>
                <w:color w:val="auto"/>
              </w:rPr>
            </w:pPr>
          </w:p>
        </w:tc>
      </w:tr>
      <w:tr>
        <w:trPr>
          <w:trHeight w:val="175"/>
        </w:trPr>
        <w:tc>
          <w:tcPr>
            <w:tcW w:w="2340" w:type="dxa"/>
            <w:vAlign w:val="bottom"/>
          </w:tcPr>
          <w:p>
            <w:pPr>
              <w:ind w:left="20"/>
              <w:spacing w:after="0" w:line="176" w:lineRule="exact"/>
              <w:rPr>
                <w:sz w:val="20"/>
                <w:szCs w:val="20"/>
                <w:color w:val="auto"/>
              </w:rPr>
            </w:pPr>
            <w:r>
              <w:rPr>
                <w:rFonts w:ascii="Arial" w:cs="Arial" w:eastAsia="Arial" w:hAnsi="Arial"/>
                <w:sz w:val="16"/>
                <w:szCs w:val="16"/>
                <w:color w:val="auto"/>
              </w:rPr>
              <w:t xml:space="preserve">calculation </w:t>
            </w:r>
            <w:r>
              <w:rPr>
                <w:rFonts w:ascii="Arial" w:cs="Arial" w:eastAsia="Arial" w:hAnsi="Arial"/>
                <w:sz w:val="20"/>
                <w:szCs w:val="20"/>
                <w:i w:val="1"/>
                <w:iCs w:val="1"/>
                <w:color w:val="auto"/>
                <w:vertAlign w:val="superscript"/>
              </w:rPr>
              <w:t>(6)</w:t>
            </w:r>
          </w:p>
        </w:tc>
        <w:tc>
          <w:tcPr>
            <w:tcW w:w="2160" w:type="dxa"/>
            <w:vAlign w:val="bottom"/>
            <w:gridSpan w:val="3"/>
          </w:tcPr>
          <w:p>
            <w:pPr>
              <w:spacing w:after="0" w:line="176" w:lineRule="exact"/>
              <w:rPr>
                <w:sz w:val="20"/>
                <w:szCs w:val="20"/>
                <w:color w:val="auto"/>
              </w:rPr>
            </w:pPr>
            <w:r>
              <w:rPr>
                <w:rFonts w:ascii="Arial" w:cs="Arial" w:eastAsia="Arial" w:hAnsi="Arial"/>
                <w:sz w:val="18"/>
                <w:szCs w:val="18"/>
                <w:color w:val="auto"/>
              </w:rPr>
              <w:t>less avg. of years 0-2</w:t>
            </w:r>
          </w:p>
        </w:tc>
        <w:tc>
          <w:tcPr>
            <w:tcW w:w="20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w w:val="93"/>
              </w:rPr>
              <w:t>Year 11</w:t>
            </w:r>
            <w:r>
              <w:rPr>
                <w:rFonts w:ascii="Arial" w:cs="Arial" w:eastAsia="Arial" w:hAnsi="Arial"/>
                <w:sz w:val="18"/>
                <w:szCs w:val="18"/>
                <w:color w:val="auto"/>
                <w:w w:val="93"/>
              </w:rPr>
              <w:t>: Avg. of years 8-10</w:t>
            </w:r>
          </w:p>
        </w:tc>
        <w:tc>
          <w:tcPr>
            <w:tcW w:w="1560" w:type="dxa"/>
            <w:vAlign w:val="bottom"/>
            <w:gridSpan w:val="4"/>
          </w:tcPr>
          <w:p>
            <w:pPr>
              <w:ind w:left="80"/>
              <w:spacing w:after="0" w:line="176" w:lineRule="exact"/>
              <w:rPr>
                <w:sz w:val="20"/>
                <w:szCs w:val="20"/>
                <w:color w:val="auto"/>
              </w:rPr>
            </w:pPr>
            <w:r>
              <w:rPr>
                <w:rFonts w:ascii="Arial" w:cs="Arial" w:eastAsia="Arial" w:hAnsi="Arial"/>
                <w:sz w:val="18"/>
                <w:szCs w:val="18"/>
                <w:color w:val="auto"/>
              </w:rPr>
              <w:t>of years 0-2</w:t>
            </w:r>
          </w:p>
        </w:tc>
        <w:tc>
          <w:tcPr>
            <w:tcW w:w="1500" w:type="dxa"/>
            <w:vAlign w:val="bottom"/>
            <w:gridSpan w:val="4"/>
          </w:tcPr>
          <w:p>
            <w:pPr>
              <w:ind w:left="80"/>
              <w:spacing w:after="0" w:line="176" w:lineRule="exact"/>
              <w:rPr>
                <w:sz w:val="20"/>
                <w:szCs w:val="20"/>
                <w:color w:val="auto"/>
              </w:rPr>
            </w:pPr>
            <w:r>
              <w:rPr>
                <w:rFonts w:ascii="Arial" w:cs="Arial" w:eastAsia="Arial" w:hAnsi="Arial"/>
                <w:sz w:val="18"/>
                <w:szCs w:val="18"/>
                <w:color w:val="auto"/>
              </w:rPr>
              <w:t>of years 0-2</w:t>
            </w: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2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7"/>
              </w:rPr>
              <w:t>Year 11</w:t>
            </w:r>
            <w:r>
              <w:rPr>
                <w:rFonts w:ascii="Arial" w:cs="Arial" w:eastAsia="Arial" w:hAnsi="Arial"/>
                <w:sz w:val="18"/>
                <w:szCs w:val="18"/>
                <w:color w:val="auto"/>
                <w:w w:val="97"/>
              </w:rPr>
              <w:t>: Avg. of years 8-10</w:t>
            </w:r>
          </w:p>
        </w:tc>
        <w:tc>
          <w:tcPr>
            <w:tcW w:w="2080" w:type="dxa"/>
            <w:vAlign w:val="bottom"/>
            <w:gridSpan w:val="4"/>
          </w:tcPr>
          <w:p>
            <w:pPr>
              <w:spacing w:after="0" w:line="176" w:lineRule="exact"/>
              <w:rPr>
                <w:sz w:val="20"/>
                <w:szCs w:val="20"/>
                <w:color w:val="auto"/>
              </w:rPr>
            </w:pPr>
            <w:r>
              <w:rPr>
                <w:rFonts w:ascii="Arial" w:cs="Arial" w:eastAsia="Arial" w:hAnsi="Arial"/>
                <w:sz w:val="18"/>
                <w:szCs w:val="18"/>
                <w:color w:val="auto"/>
              </w:rPr>
              <w:t>less avg. of years 5-7</w:t>
            </w:r>
          </w:p>
        </w:tc>
        <w:tc>
          <w:tcPr>
            <w:tcW w:w="1560" w:type="dxa"/>
            <w:vAlign w:val="bottom"/>
            <w:gridSpan w:val="4"/>
          </w:tcPr>
          <w:p>
            <w:pPr>
              <w:ind w:left="80"/>
              <w:spacing w:after="0" w:line="176" w:lineRule="exact"/>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Avg. of</w:t>
            </w:r>
          </w:p>
        </w:tc>
        <w:tc>
          <w:tcPr>
            <w:tcW w:w="1500" w:type="dxa"/>
            <w:vAlign w:val="bottom"/>
            <w:gridSpan w:val="4"/>
          </w:tcPr>
          <w:p>
            <w:pPr>
              <w:ind w:left="80"/>
              <w:spacing w:after="0" w:line="176" w:lineRule="exact"/>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Avg. of</w:t>
            </w: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2160" w:type="dxa"/>
            <w:vAlign w:val="bottom"/>
            <w:gridSpan w:val="3"/>
          </w:tcPr>
          <w:p>
            <w:pPr>
              <w:spacing w:after="0" w:line="176" w:lineRule="exact"/>
              <w:rPr>
                <w:sz w:val="20"/>
                <w:szCs w:val="20"/>
                <w:color w:val="auto"/>
              </w:rPr>
            </w:pPr>
            <w:r>
              <w:rPr>
                <w:rFonts w:ascii="Arial" w:cs="Arial" w:eastAsia="Arial" w:hAnsi="Arial"/>
                <w:sz w:val="18"/>
                <w:szCs w:val="18"/>
                <w:color w:val="auto"/>
              </w:rPr>
              <w:t>less avg. of years 5-7</w:t>
            </w:r>
          </w:p>
        </w:tc>
        <w:tc>
          <w:tcPr>
            <w:tcW w:w="20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w w:val="98"/>
              </w:rPr>
              <w:t>Year 16</w:t>
            </w:r>
            <w:r>
              <w:rPr>
                <w:rFonts w:ascii="Arial" w:cs="Arial" w:eastAsia="Arial" w:hAnsi="Arial"/>
                <w:sz w:val="18"/>
                <w:szCs w:val="18"/>
                <w:color w:val="auto"/>
                <w:w w:val="98"/>
              </w:rPr>
              <w:t>: Avg. of years 13-</w:t>
            </w:r>
          </w:p>
        </w:tc>
        <w:tc>
          <w:tcPr>
            <w:tcW w:w="1560" w:type="dxa"/>
            <w:vAlign w:val="bottom"/>
            <w:gridSpan w:val="4"/>
          </w:tcPr>
          <w:p>
            <w:pPr>
              <w:ind w:left="80"/>
              <w:spacing w:after="0" w:line="176" w:lineRule="exact"/>
              <w:rPr>
                <w:sz w:val="20"/>
                <w:szCs w:val="20"/>
                <w:color w:val="auto"/>
              </w:rPr>
            </w:pPr>
            <w:r>
              <w:rPr>
                <w:rFonts w:ascii="Arial" w:cs="Arial" w:eastAsia="Arial" w:hAnsi="Arial"/>
                <w:sz w:val="18"/>
                <w:szCs w:val="18"/>
                <w:color w:val="auto"/>
                <w:w w:val="90"/>
              </w:rPr>
              <w:t>years 8-10 less avg.</w:t>
            </w:r>
          </w:p>
        </w:tc>
        <w:tc>
          <w:tcPr>
            <w:tcW w:w="1500" w:type="dxa"/>
            <w:vAlign w:val="bottom"/>
            <w:gridSpan w:val="4"/>
          </w:tcPr>
          <w:p>
            <w:pPr>
              <w:ind w:left="80"/>
              <w:spacing w:after="0" w:line="176" w:lineRule="exact"/>
              <w:rPr>
                <w:sz w:val="20"/>
                <w:szCs w:val="20"/>
                <w:color w:val="auto"/>
              </w:rPr>
            </w:pPr>
            <w:r>
              <w:rPr>
                <w:rFonts w:ascii="Arial" w:cs="Arial" w:eastAsia="Arial" w:hAnsi="Arial"/>
                <w:sz w:val="18"/>
                <w:szCs w:val="18"/>
                <w:color w:val="auto"/>
                <w:w w:val="86"/>
              </w:rPr>
              <w:t>years 8-10 less avg.</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80" w:type="dxa"/>
            <w:vAlign w:val="bottom"/>
            <w:gridSpan w:val="4"/>
          </w:tcPr>
          <w:p>
            <w:pPr>
              <w:spacing w:after="0"/>
              <w:rPr>
                <w:sz w:val="20"/>
                <w:szCs w:val="20"/>
                <w:color w:val="auto"/>
              </w:rPr>
            </w:pPr>
            <w:r>
              <w:rPr>
                <w:rFonts w:ascii="Arial" w:cs="Arial" w:eastAsia="Arial" w:hAnsi="Arial"/>
                <w:sz w:val="18"/>
                <w:szCs w:val="18"/>
                <w:color w:val="auto"/>
                <w:w w:val="99"/>
              </w:rPr>
              <w:t>15 less avg. of years 8-10</w:t>
            </w:r>
          </w:p>
        </w:tc>
        <w:tc>
          <w:tcPr>
            <w:tcW w:w="1560" w:type="dxa"/>
            <w:vAlign w:val="bottom"/>
            <w:gridSpan w:val="4"/>
          </w:tcPr>
          <w:p>
            <w:pPr>
              <w:ind w:left="80"/>
              <w:spacing w:after="0"/>
              <w:rPr>
                <w:sz w:val="20"/>
                <w:szCs w:val="20"/>
                <w:color w:val="auto"/>
              </w:rPr>
            </w:pPr>
            <w:r>
              <w:rPr>
                <w:rFonts w:ascii="Arial" w:cs="Arial" w:eastAsia="Arial" w:hAnsi="Arial"/>
                <w:sz w:val="18"/>
                <w:szCs w:val="18"/>
                <w:color w:val="auto"/>
              </w:rPr>
              <w:t>of years 5-7</w:t>
            </w:r>
          </w:p>
        </w:tc>
        <w:tc>
          <w:tcPr>
            <w:tcW w:w="1500" w:type="dxa"/>
            <w:vAlign w:val="bottom"/>
            <w:gridSpan w:val="4"/>
          </w:tcPr>
          <w:p>
            <w:pPr>
              <w:ind w:left="80"/>
              <w:spacing w:after="0"/>
              <w:rPr>
                <w:sz w:val="20"/>
                <w:szCs w:val="20"/>
                <w:color w:val="auto"/>
              </w:rPr>
            </w:pPr>
            <w:r>
              <w:rPr>
                <w:rFonts w:ascii="Arial" w:cs="Arial" w:eastAsia="Arial" w:hAnsi="Arial"/>
                <w:sz w:val="18"/>
                <w:szCs w:val="18"/>
                <w:color w:val="auto"/>
              </w:rPr>
              <w:t>of years 5-7</w:t>
            </w:r>
          </w:p>
        </w:tc>
        <w:tc>
          <w:tcPr>
            <w:tcW w:w="0" w:type="dxa"/>
            <w:vAlign w:val="bottom"/>
          </w:tcPr>
          <w:p>
            <w:pPr>
              <w:spacing w:after="0"/>
              <w:rPr>
                <w:sz w:val="1"/>
                <w:szCs w:val="1"/>
                <w:color w:val="auto"/>
              </w:rPr>
            </w:pPr>
          </w:p>
        </w:tc>
      </w:tr>
      <w:tr>
        <w:trPr>
          <w:trHeight w:val="640"/>
        </w:trPr>
        <w:tc>
          <w:tcPr>
            <w:tcW w:w="2340" w:type="dxa"/>
            <w:vAlign w:val="bottom"/>
          </w:tcPr>
          <w:p>
            <w:pPr>
              <w:spacing w:after="0"/>
              <w:rPr>
                <w:sz w:val="20"/>
                <w:szCs w:val="20"/>
                <w:color w:val="auto"/>
              </w:rPr>
            </w:pPr>
            <w:r>
              <w:rPr>
                <w:rFonts w:ascii="Arial" w:cs="Arial" w:eastAsia="Arial" w:hAnsi="Arial"/>
                <w:sz w:val="18"/>
                <w:szCs w:val="18"/>
                <w:color w:val="auto"/>
              </w:rPr>
              <w:t>____________________</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0"/>
        <w:spacing w:after="0" w:line="235" w:lineRule="auto"/>
        <w:rPr>
          <w:sz w:val="20"/>
          <w:szCs w:val="20"/>
          <w:color w:val="auto"/>
        </w:rPr>
      </w:pPr>
      <w:r>
        <w:rPr>
          <w:rFonts w:ascii="Arial" w:cs="Arial" w:eastAsia="Arial" w:hAnsi="Arial"/>
          <w:sz w:val="16"/>
          <w:szCs w:val="16"/>
          <w:u w:val="single" w:color="auto"/>
          <w:color w:val="auto"/>
        </w:rPr>
        <w:t xml:space="preserve">4% of revenue increase/decrease: </w:t>
      </w:r>
      <w:r>
        <w:rPr>
          <w:rFonts w:ascii="Arial" w:cs="Arial" w:eastAsia="Arial" w:hAnsi="Arial"/>
          <w:sz w:val="16"/>
          <w:szCs w:val="16"/>
          <w:b w:val="1"/>
          <w:bCs w:val="1"/>
          <w:color w:val="auto"/>
        </w:rPr>
        <w:t>Year 8</w:t>
      </w:r>
      <w:r>
        <w:rPr>
          <w:rFonts w:ascii="Arial" w:cs="Arial" w:eastAsia="Arial" w:hAnsi="Arial"/>
          <w:sz w:val="16"/>
          <w:szCs w:val="16"/>
          <w:color w:val="auto"/>
        </w:rPr>
        <w:t>: Avg.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years 5-7 less avg. of years 0-2 </w:t>
      </w:r>
      <w:r>
        <w:rPr>
          <w:rFonts w:ascii="Arial" w:cs="Arial" w:eastAsia="Arial" w:hAnsi="Arial"/>
          <w:sz w:val="16"/>
          <w:szCs w:val="16"/>
          <w:b w:val="1"/>
          <w:bCs w:val="1"/>
          <w:color w:val="auto"/>
        </w:rPr>
        <w:t>Year 11</w:t>
      </w:r>
      <w:r>
        <w:rPr>
          <w:rFonts w:ascii="Arial" w:cs="Arial" w:eastAsia="Arial" w:hAnsi="Arial"/>
          <w:sz w:val="16"/>
          <w:szCs w:val="16"/>
          <w:color w:val="auto"/>
        </w:rPr>
        <w:t>: Avg.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years 8-10 less avg. of years 5-7 </w:t>
      </w:r>
      <w:r>
        <w:rPr>
          <w:rFonts w:ascii="Arial" w:cs="Arial" w:eastAsia="Arial" w:hAnsi="Arial"/>
          <w:sz w:val="16"/>
          <w:szCs w:val="16"/>
          <w:b w:val="1"/>
          <w:bCs w:val="1"/>
          <w:color w:val="auto"/>
        </w:rPr>
        <w:t>Year 16</w:t>
      </w:r>
      <w:r>
        <w:rPr>
          <w:rFonts w:ascii="Arial" w:cs="Arial" w:eastAsia="Arial" w:hAnsi="Arial"/>
          <w:sz w:val="16"/>
          <w:szCs w:val="16"/>
          <w:color w:val="auto"/>
        </w:rPr>
        <w:t>: Avg. of</w:t>
      </w:r>
      <w:r>
        <w:rPr>
          <w:rFonts w:ascii="Arial" w:cs="Arial" w:eastAsia="Arial" w:hAnsi="Arial"/>
          <w:sz w:val="16"/>
          <w:szCs w:val="16"/>
          <w:b w:val="1"/>
          <w:bCs w:val="1"/>
          <w:color w:val="auto"/>
        </w:rPr>
        <w:t xml:space="preserve"> </w:t>
      </w:r>
      <w:r>
        <w:rPr>
          <w:rFonts w:ascii="Arial" w:cs="Arial" w:eastAsia="Arial" w:hAnsi="Arial"/>
          <w:sz w:val="16"/>
          <w:szCs w:val="16"/>
          <w:color w:val="auto"/>
        </w:rPr>
        <w:t>years 13-15 less avg. of years 8-10</w:t>
      </w:r>
    </w:p>
    <w:p>
      <w:pPr>
        <w:spacing w:after="0" w:line="375" w:lineRule="exact"/>
        <w:rPr>
          <w:sz w:val="20"/>
          <w:szCs w:val="20"/>
          <w:color w:val="auto"/>
        </w:rPr>
      </w:pPr>
    </w:p>
    <w:p>
      <w:pPr>
        <w:sectPr>
          <w:pgSz w:w="11900" w:h="16838" w:orient="portrait"/>
          <w:cols w:equalWidth="0" w:num="2">
            <w:col w:w="9640" w:space="140"/>
            <w:col w:w="1460"/>
          </w:cols>
          <w:pgMar w:left="320" w:top="287" w:right="339" w:bottom="1440" w:gutter="0" w:footer="0" w:header="0"/>
          <w:type w:val="continuous"/>
        </w:sectPr>
      </w:pPr>
    </w:p>
    <w:p>
      <w:pPr>
        <w:ind w:left="220" w:hanging="212"/>
        <w:spacing w:after="0"/>
        <w:tabs>
          <w:tab w:leader="none" w:pos="2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Upon the consummation of the Eldorado Transaction, the Caesars Lease Agreements were extended such that each lease has a full 15-year initial term.</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2"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Prior to amendment, with respect to the Non-CPLV Lease Agreement, Joliet Lease Agreement and CPLV Lease Agreement, the amount represents the annual base rent payable for the then current lease year, which was the period from November 1, 2019 through October 31, 2020. In relation to the HLV Lease Agreement, prior to its termination and the inclusion of the Harrah’s Las Vegas and Caesars Palace Las Vegas assets in the Las Vegas Master Lease Agreement, the amount represents annual base rent payable for the then current lease year, which was the period from January 1, 2020 through December 31, 2020. Subsequent to the consummation of the Eldorado Transaction and the amendments in connection therewith, (i) with respect to the Regional Master Lease Agreement, the amounts represent the current annual base rent payable for the current lease year, inclusive of the additional rent associated with the MTA Properties and (ii) with respect to the Las Vegas Master Lease Agreement, the amounts represent the current annual base rent payable for the current lease year, inclusive of the CPLV Additional Rent Acquisition and HLV Additional Rent Acquisition.</w:t>
      </w:r>
    </w:p>
    <w:p>
      <w:pPr>
        <w:spacing w:after="0" w:line="2" w:lineRule="exact"/>
        <w:rPr>
          <w:rFonts w:ascii="Arial" w:cs="Arial" w:eastAsia="Arial" w:hAnsi="Arial"/>
          <w:sz w:val="14"/>
          <w:szCs w:val="14"/>
          <w:i w:val="1"/>
          <w:iCs w:val="1"/>
          <w:color w:val="auto"/>
        </w:rPr>
      </w:pPr>
    </w:p>
    <w:p>
      <w:pPr>
        <w:ind w:firstLine="8"/>
        <w:spacing w:after="0" w:line="255" w:lineRule="auto"/>
        <w:tabs>
          <w:tab w:leader="none" w:pos="211"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months ended September 30, 2020 and 2019.</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firstLine="8"/>
        <w:spacing w:after="0" w:line="250" w:lineRule="auto"/>
        <w:tabs>
          <w:tab w:leader="none" w:pos="204"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The coverage floors, which coverage floors would have served to reduce the rent escalators under the Caesars Lease Agreements in the event that the “EBITDAR to Rent Ratio” coverage was below the stated floor, were removed upon execution of the amendments to the Caesars Lease Agreements upon the consummation of the Eldorado Transaction.</w:t>
      </w:r>
    </w:p>
    <w:p>
      <w:pPr>
        <w:ind w:left="220" w:hanging="212"/>
        <w:spacing w:after="0"/>
        <w:tabs>
          <w:tab w:leader="none" w:pos="2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Penn National Lease Agreements: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3840" w:type="dxa"/>
            <w:vAlign w:val="bottom"/>
            <w:gridSpan w:val="2"/>
          </w:tcPr>
          <w:p>
            <w:pPr>
              <w:ind w:left="740"/>
              <w:spacing w:after="0"/>
              <w:rPr>
                <w:sz w:val="20"/>
                <w:szCs w:val="20"/>
                <w:color w:val="auto"/>
              </w:rPr>
            </w:pPr>
            <w:r>
              <w:rPr>
                <w:rFonts w:ascii="Arial" w:cs="Arial" w:eastAsia="Arial" w:hAnsi="Arial"/>
                <w:sz w:val="16"/>
                <w:szCs w:val="16"/>
                <w:b w:val="1"/>
                <w:bCs w:val="1"/>
                <w:color w:val="auto"/>
              </w:rPr>
              <w:t>Margaritaville Lease Agreement</w:t>
            </w:r>
          </w:p>
        </w:tc>
        <w:tc>
          <w:tcPr>
            <w:tcW w:w="3760" w:type="dxa"/>
            <w:vAlign w:val="bottom"/>
          </w:tcPr>
          <w:p>
            <w:pPr>
              <w:ind w:left="880"/>
              <w:spacing w:after="0"/>
              <w:rPr>
                <w:sz w:val="20"/>
                <w:szCs w:val="20"/>
                <w:color w:val="auto"/>
              </w:rPr>
            </w:pPr>
            <w:r>
              <w:rPr>
                <w:rFonts w:ascii="Arial" w:cs="Arial" w:eastAsia="Arial" w:hAnsi="Arial"/>
                <w:sz w:val="16"/>
                <w:szCs w:val="16"/>
                <w:b w:val="1"/>
                <w:bCs w:val="1"/>
                <w:color w:val="auto"/>
              </w:rPr>
              <w:t>Greektown Lease Agreement</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3740" w:type="dxa"/>
            <w:vAlign w:val="bottom"/>
          </w:tcPr>
          <w:p>
            <w:pPr>
              <w:ind w:left="20"/>
              <w:spacing w:after="0"/>
              <w:rPr>
                <w:sz w:val="20"/>
                <w:szCs w:val="20"/>
                <w:color w:val="auto"/>
              </w:rPr>
            </w:pPr>
            <w:r>
              <w:rPr>
                <w:rFonts w:ascii="Arial" w:cs="Arial" w:eastAsia="Arial" w:hAnsi="Arial"/>
                <w:sz w:val="18"/>
                <w:szCs w:val="18"/>
                <w:color w:val="auto"/>
              </w:rPr>
              <w:t>1/31/2034</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5/23/2034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3740" w:type="dxa"/>
            <w:vAlign w:val="bottom"/>
          </w:tcPr>
          <w:p>
            <w:pPr>
              <w:ind w:left="20"/>
              <w:spacing w:after="0"/>
              <w:rPr>
                <w:sz w:val="20"/>
                <w:szCs w:val="20"/>
                <w:color w:val="auto"/>
              </w:rPr>
            </w:pPr>
            <w:r>
              <w:rPr>
                <w:rFonts w:ascii="Arial" w:cs="Arial" w:eastAsia="Arial" w:hAnsi="Arial"/>
                <w:sz w:val="18"/>
                <w:szCs w:val="18"/>
                <w:color w:val="auto"/>
              </w:rPr>
              <w:t>$23,544</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$55,556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2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Escalation commencement </w:t>
            </w:r>
            <w:r>
              <w:rPr>
                <w:rFonts w:ascii="Arial" w:cs="Arial" w:eastAsia="Arial" w:hAnsi="Arial"/>
                <w:sz w:val="23"/>
                <w:szCs w:val="23"/>
                <w:i w:val="1"/>
                <w:iCs w:val="1"/>
                <w:color w:val="auto"/>
                <w:vertAlign w:val="superscript"/>
              </w:rPr>
              <w:t>(2)</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year two</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four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3"/>
            <w:vMerge w:val="restart"/>
          </w:tcPr>
          <w:p>
            <w:pPr>
              <w:ind w:left="100"/>
              <w:spacing w:after="0"/>
              <w:rPr>
                <w:sz w:val="20"/>
                <w:szCs w:val="20"/>
                <w:color w:val="auto"/>
              </w:rPr>
            </w:pPr>
            <w:r>
              <w:rPr>
                <w:rFonts w:ascii="Arial" w:cs="Arial" w:eastAsia="Arial" w:hAnsi="Arial"/>
                <w:sz w:val="18"/>
                <w:szCs w:val="18"/>
                <w:color w:val="auto"/>
              </w:rPr>
              <w:t>Escalation</w:t>
            </w:r>
          </w:p>
        </w:tc>
        <w:tc>
          <w:tcPr>
            <w:tcW w:w="3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 of Building base rent, subject to the net</w:t>
            </w:r>
          </w:p>
        </w:tc>
        <w:tc>
          <w:tcPr>
            <w:tcW w:w="3760" w:type="dxa"/>
            <w:vAlign w:val="bottom"/>
          </w:tcPr>
          <w:p>
            <w:pPr>
              <w:ind w:left="20"/>
              <w:spacing w:after="0" w:line="176" w:lineRule="exact"/>
              <w:rPr>
                <w:sz w:val="20"/>
                <w:szCs w:val="20"/>
                <w:color w:val="auto"/>
              </w:rPr>
            </w:pPr>
            <w:r>
              <w:rPr>
                <w:rFonts w:ascii="Arial" w:cs="Arial" w:eastAsia="Arial" w:hAnsi="Arial"/>
                <w:sz w:val="18"/>
                <w:szCs w:val="18"/>
                <w:color w:val="auto"/>
              </w:rPr>
              <w:t>2% of Building base rent, subject to the net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gridSpan w:val="3"/>
            <w:vMerge w:val="continue"/>
          </w:tcPr>
          <w:p>
            <w:pPr>
              <w:spacing w:after="0"/>
              <w:rPr>
                <w:sz w:val="11"/>
                <w:szCs w:val="11"/>
                <w:color w:val="auto"/>
              </w:rPr>
            </w:pPr>
          </w:p>
        </w:tc>
        <w:tc>
          <w:tcPr>
            <w:tcW w:w="38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to rent ratio floor</w:t>
            </w:r>
          </w:p>
        </w:tc>
        <w:tc>
          <w:tcPr>
            <w:tcW w:w="3760" w:type="dxa"/>
            <w:vAlign w:val="bottom"/>
            <w:vMerge w:val="restart"/>
          </w:tcPr>
          <w:p>
            <w:pPr>
              <w:ind w:left="20"/>
              <w:spacing w:after="0"/>
              <w:rPr>
                <w:sz w:val="20"/>
                <w:szCs w:val="20"/>
                <w:color w:val="auto"/>
              </w:rPr>
            </w:pPr>
            <w:r>
              <w:rPr>
                <w:rFonts w:ascii="Arial" w:cs="Arial" w:eastAsia="Arial" w:hAnsi="Arial"/>
                <w:sz w:val="18"/>
                <w:szCs w:val="18"/>
                <w:color w:val="auto"/>
              </w:rPr>
              <w:t>revenue to rent ratio floor</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40" w:type="dxa"/>
            <w:vAlign w:val="bottom"/>
            <w:gridSpan w:val="2"/>
            <w:vMerge w:val="continue"/>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620" w:type="dxa"/>
            <w:vAlign w:val="bottom"/>
            <w:gridSpan w:val="3"/>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Performance to rent ratio floor </w:t>
            </w:r>
            <w:r>
              <w:rPr>
                <w:rFonts w:ascii="Arial" w:cs="Arial" w:eastAsia="Arial" w:hAnsi="Arial"/>
                <w:sz w:val="23"/>
                <w:szCs w:val="23"/>
                <w:i w:val="1"/>
                <w:iCs w:val="1"/>
                <w:color w:val="auto"/>
                <w:vertAlign w:val="superscript"/>
              </w:rPr>
              <w:t>(2)</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6.1x net revenue commencing lease year two</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revenue ratio to be mutually agreed upon prior</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76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to the commencement of lease year four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87" w:right="339" w:bottom="1440" w:gutter="0" w:footer="0" w:header="0"/>
        </w:sectPr>
      </w:pPr>
    </w:p>
    <w:p>
      <w:pPr>
        <w:ind w:left="2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3"/>
          <w:szCs w:val="23"/>
          <w:i w:val="1"/>
          <w:iCs w:val="1"/>
          <w:color w:val="auto"/>
          <w:vertAlign w:val="superscript"/>
        </w:rPr>
        <w:t>(3)</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Percentage rent reset</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Percentage rent multiplier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8"/>
          <w:szCs w:val="18"/>
          <w:color w:val="auto"/>
        </w:rPr>
        <w:t>$3,000 (fixed for lease year one and two)</w:t>
      </w:r>
      <w:r>
        <w:rPr>
          <w:sz w:val="20"/>
          <w:szCs w:val="20"/>
          <w:color w:val="auto"/>
        </w:rPr>
        <w:tab/>
      </w:r>
      <w:r>
        <w:rPr>
          <w:rFonts w:ascii="Arial" w:cs="Arial" w:eastAsia="Arial" w:hAnsi="Arial"/>
          <w:sz w:val="16"/>
          <w:szCs w:val="16"/>
          <w:color w:val="auto"/>
        </w:rPr>
        <w:t>$6,384 (fixed for lease year one and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14605</wp:posOffset>
            </wp:positionV>
            <wp:extent cx="713232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tabs>
          <w:tab w:leader="none" w:pos="3820" w:val="left"/>
        </w:tabs>
        <w:rPr>
          <w:sz w:val="20"/>
          <w:szCs w:val="20"/>
          <w:color w:val="auto"/>
        </w:rPr>
      </w:pPr>
      <w:r>
        <w:rPr>
          <w:rFonts w:ascii="Arial" w:cs="Arial" w:eastAsia="Arial" w:hAnsi="Arial"/>
          <w:sz w:val="18"/>
          <w:szCs w:val="18"/>
          <w:color w:val="auto"/>
        </w:rPr>
        <w:t>Lease year three and each and every other lease</w:t>
      </w:r>
      <w:r>
        <w:rPr>
          <w:sz w:val="20"/>
          <w:szCs w:val="20"/>
          <w:color w:val="auto"/>
        </w:rPr>
        <w:tab/>
      </w:r>
      <w:r>
        <w:rPr>
          <w:rFonts w:ascii="Arial" w:cs="Arial" w:eastAsia="Arial" w:hAnsi="Arial"/>
          <w:sz w:val="15"/>
          <w:szCs w:val="15"/>
          <w:color w:val="auto"/>
        </w:rPr>
        <w:t>Lease year three and each and every other lease</w:t>
      </w:r>
    </w:p>
    <w:p>
      <w:pPr>
        <w:spacing w:after="0"/>
        <w:tabs>
          <w:tab w:leader="none" w:pos="3820" w:val="left"/>
        </w:tabs>
        <w:rPr>
          <w:sz w:val="20"/>
          <w:szCs w:val="20"/>
          <w:color w:val="auto"/>
        </w:rPr>
      </w:pPr>
      <w:r>
        <w:rPr>
          <w:rFonts w:ascii="Arial" w:cs="Arial" w:eastAsia="Arial" w:hAnsi="Arial"/>
          <w:sz w:val="18"/>
          <w:szCs w:val="18"/>
          <w:color w:val="auto"/>
        </w:rPr>
        <w:t>year thereafter</w:t>
      </w:r>
      <w:r>
        <w:rPr>
          <w:sz w:val="20"/>
          <w:szCs w:val="20"/>
          <w:color w:val="auto"/>
        </w:rPr>
        <w:tab/>
      </w:r>
      <w:r>
        <w:rPr>
          <w:rFonts w:ascii="Arial" w:cs="Arial" w:eastAsia="Arial" w:hAnsi="Arial"/>
          <w:sz w:val="15"/>
          <w:szCs w:val="15"/>
          <w:color w:val="auto"/>
        </w:rPr>
        <w:t>year thereafter</w:t>
      </w:r>
    </w:p>
    <w:p>
      <w:pPr>
        <w:spacing w:after="0"/>
        <w:tabs>
          <w:tab w:leader="none" w:pos="3820" w:val="left"/>
        </w:tabs>
        <w:rPr>
          <w:sz w:val="20"/>
          <w:szCs w:val="20"/>
          <w:color w:val="auto"/>
        </w:rPr>
      </w:pPr>
      <w:r>
        <w:rPr>
          <w:rFonts w:ascii="Arial" w:cs="Arial" w:eastAsia="Arial" w:hAnsi="Arial"/>
          <w:sz w:val="18"/>
          <w:szCs w:val="18"/>
          <w:color w:val="auto"/>
        </w:rPr>
        <w:t>The product of (i) 4% and (ii) the excess (if any) of</w:t>
      </w:r>
      <w:r>
        <w:rPr>
          <w:sz w:val="20"/>
          <w:szCs w:val="20"/>
          <w:color w:val="auto"/>
        </w:rPr>
        <w:tab/>
      </w:r>
      <w:r>
        <w:rPr>
          <w:rFonts w:ascii="Arial" w:cs="Arial" w:eastAsia="Arial" w:hAnsi="Arial"/>
          <w:sz w:val="16"/>
          <w:szCs w:val="16"/>
          <w:color w:val="auto"/>
        </w:rPr>
        <w:t>The product of (i) 4% and (ii) the excess (if any) of</w:t>
      </w:r>
    </w:p>
    <w:p>
      <w:pPr>
        <w:spacing w:after="0" w:line="229" w:lineRule="auto"/>
        <w:tabs>
          <w:tab w:leader="none" w:pos="3820" w:val="left"/>
        </w:tabs>
        <w:rPr>
          <w:sz w:val="20"/>
          <w:szCs w:val="20"/>
          <w:color w:val="auto"/>
        </w:rPr>
      </w:pPr>
      <w:r>
        <w:rPr>
          <w:rFonts w:ascii="Arial" w:cs="Arial" w:eastAsia="Arial" w:hAnsi="Arial"/>
          <w:sz w:val="18"/>
          <w:szCs w:val="18"/>
          <w:color w:val="auto"/>
        </w:rPr>
        <w:t>(a) the average annual net revenue of a trailing</w:t>
      </w:r>
      <w:r>
        <w:rPr>
          <w:sz w:val="20"/>
          <w:szCs w:val="20"/>
          <w:color w:val="auto"/>
        </w:rPr>
        <w:tab/>
      </w:r>
      <w:r>
        <w:rPr>
          <w:rFonts w:ascii="Arial" w:cs="Arial" w:eastAsia="Arial" w:hAnsi="Arial"/>
          <w:sz w:val="16"/>
          <w:szCs w:val="16"/>
          <w:color w:val="auto"/>
        </w:rPr>
        <w:t>(a) the average annual net revenue of a trailing</w:t>
      </w:r>
    </w:p>
    <w:p>
      <w:pPr>
        <w:spacing w:after="0" w:line="229" w:lineRule="auto"/>
        <w:tabs>
          <w:tab w:leader="none" w:pos="3820" w:val="left"/>
        </w:tabs>
        <w:rPr>
          <w:sz w:val="20"/>
          <w:szCs w:val="20"/>
          <w:color w:val="auto"/>
        </w:rPr>
      </w:pPr>
      <w:r>
        <w:rPr>
          <w:rFonts w:ascii="Arial" w:cs="Arial" w:eastAsia="Arial" w:hAnsi="Arial"/>
          <w:sz w:val="18"/>
          <w:szCs w:val="18"/>
          <w:color w:val="auto"/>
        </w:rPr>
        <w:t>two-year period preceding such reset year over (b)</w:t>
      </w:r>
      <w:r>
        <w:rPr>
          <w:sz w:val="20"/>
          <w:szCs w:val="20"/>
          <w:color w:val="auto"/>
        </w:rPr>
        <w:tab/>
      </w:r>
      <w:r>
        <w:rPr>
          <w:rFonts w:ascii="Arial" w:cs="Arial" w:eastAsia="Arial" w:hAnsi="Arial"/>
          <w:sz w:val="16"/>
          <w:szCs w:val="16"/>
          <w:color w:val="auto"/>
        </w:rPr>
        <w:t>two-year period preceding such reset year over (b)</w:t>
      </w:r>
    </w:p>
    <w:p>
      <w:pPr>
        <w:spacing w:after="0" w:line="228" w:lineRule="auto"/>
        <w:tabs>
          <w:tab w:leader="none" w:pos="3820" w:val="left"/>
        </w:tabs>
        <w:rPr>
          <w:sz w:val="20"/>
          <w:szCs w:val="20"/>
          <w:color w:val="auto"/>
        </w:rPr>
      </w:pPr>
      <w:r>
        <w:rPr>
          <w:rFonts w:ascii="Arial" w:cs="Arial" w:eastAsia="Arial" w:hAnsi="Arial"/>
          <w:sz w:val="18"/>
          <w:szCs w:val="18"/>
          <w:color w:val="auto"/>
        </w:rPr>
        <w:t>a threshold amount (defined as 50% of LTM net</w:t>
      </w:r>
      <w:r>
        <w:rPr>
          <w:sz w:val="20"/>
          <w:szCs w:val="20"/>
          <w:color w:val="auto"/>
        </w:rPr>
        <w:tab/>
      </w:r>
      <w:r>
        <w:rPr>
          <w:rFonts w:ascii="Arial" w:cs="Arial" w:eastAsia="Arial" w:hAnsi="Arial"/>
          <w:sz w:val="16"/>
          <w:szCs w:val="16"/>
          <w:color w:val="auto"/>
        </w:rPr>
        <w:t>a threshold amount (defined as 50% of LTM net</w:t>
      </w:r>
    </w:p>
    <w:p>
      <w:pPr>
        <w:spacing w:after="0"/>
        <w:tabs>
          <w:tab w:leader="none" w:pos="3820" w:val="left"/>
        </w:tabs>
        <w:rPr>
          <w:sz w:val="20"/>
          <w:szCs w:val="20"/>
          <w:color w:val="auto"/>
        </w:rPr>
      </w:pPr>
      <w:r>
        <w:rPr>
          <w:rFonts w:ascii="Arial" w:cs="Arial" w:eastAsia="Arial" w:hAnsi="Arial"/>
          <w:sz w:val="18"/>
          <w:szCs w:val="18"/>
          <w:color w:val="auto"/>
        </w:rPr>
        <w:t>revenues prior to acquisition)</w:t>
      </w:r>
      <w:r>
        <w:rPr>
          <w:sz w:val="20"/>
          <w:szCs w:val="20"/>
          <w:color w:val="auto"/>
        </w:rPr>
        <w:tab/>
      </w:r>
      <w:r>
        <w:rPr>
          <w:rFonts w:ascii="Arial" w:cs="Arial" w:eastAsia="Arial" w:hAnsi="Arial"/>
          <w:sz w:val="16"/>
          <w:szCs w:val="16"/>
          <w:color w:val="auto"/>
        </w:rPr>
        <w:t>revenues prior to acquisition)</w:t>
      </w:r>
    </w:p>
    <w:p>
      <w:pPr>
        <w:spacing w:after="0" w:line="324" w:lineRule="exact"/>
        <w:rPr>
          <w:sz w:val="20"/>
          <w:szCs w:val="20"/>
          <w:color w:val="auto"/>
        </w:rPr>
      </w:pPr>
    </w:p>
    <w:p>
      <w:pPr>
        <w:sectPr>
          <w:pgSz w:w="11900" w:h="16838" w:orient="portrait"/>
          <w:cols w:equalWidth="0" w:num="2">
            <w:col w:w="2940" w:space="720"/>
            <w:col w:w="7580"/>
          </w:cols>
          <w:pgMar w:left="320" w:top="287" w:right="339" w:bottom="1440" w:gutter="0" w:footer="0" w:header="0"/>
          <w:type w:val="continuous"/>
        </w:sectPr>
      </w:pPr>
    </w:p>
    <w:p>
      <w:pPr>
        <w:jc w:val="both"/>
        <w:ind w:firstLine="8"/>
        <w:spacing w:after="0" w:line="241" w:lineRule="auto"/>
        <w:tabs>
          <w:tab w:leader="none" w:pos="217"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February 1, 2020 through January 31, 2021. In relation to the Greektown Lease Agreement, the amount represents current annual base rent payable for the current lease year, which is the period from June 1, 2020 through May 31, 2021.</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1"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net revenue to rent ratio coverage, as applicable, is below the stated floor, the escalation will be reduced to such amount to achieve the stated net revenue to rent ratio coverage, as applicable, provided that the amount shall never result in a decrease to the prior year’s rent. In relation to the Greektown Lease Agreement, in May 2020, the lease was adjusted to remove the escalation for lease years 2 and 3 and to provide for a net revenue to rent ratio coverage floor to be mutually agreed upon by both parties prior to the commencement of lease year four.</w:t>
      </w:r>
    </w:p>
    <w:p>
      <w:pPr>
        <w:spacing w:after="0" w:line="1" w:lineRule="exact"/>
        <w:rPr>
          <w:rFonts w:ascii="Arial" w:cs="Arial" w:eastAsia="Arial" w:hAnsi="Arial"/>
          <w:sz w:val="14"/>
          <w:szCs w:val="14"/>
          <w:i w:val="1"/>
          <w:iCs w:val="1"/>
          <w:color w:val="auto"/>
        </w:rPr>
      </w:pPr>
    </w:p>
    <w:p>
      <w:pPr>
        <w:jc w:val="both"/>
        <w:ind w:firstLine="8"/>
        <w:spacing w:after="0" w:line="246" w:lineRule="auto"/>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rent is subject to the percentage rent multiplier. After the percentage rent reset in lease year three, any amounts related to percentage rent are considered contingent rent in accordance with GAAP. During the three and nine months ended September 30, 2020, we recognized approximately $0.1 million and $0.2 million, respectively, in contingent rent in relation to the Margaritaville Lease Agreement escalation. No such rent has been recognized for the three and nine months ended September 30, 2019. In relation to the Greektown Lease Agreement, no such rent has been recognized for the three and nine months ended September 30, 2020 and 2019.</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 Rock Cincinnati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Hard Rock Cincinnati Lease Agreement: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9/30/2034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base rent </w:t>
            </w:r>
            <w:r>
              <w:rPr>
                <w:rFonts w:ascii="Arial" w:cs="Arial" w:eastAsia="Arial" w:hAnsi="Arial"/>
                <w:sz w:val="23"/>
                <w:szCs w:val="23"/>
                <w:i w:val="1"/>
                <w:iCs w:val="1"/>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$43,391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2-4 - 1.5%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w w:val="89"/>
              </w:rPr>
              <w:t>Lease years 5-15 - The greater of 2% or the change in CPI unless the change in CPI is less than 0.5%, 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which case there is no escalation in rent for such lease year</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352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October 1, 2020 through September 30, 2021.</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08"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2020 and 2019.</w:t>
      </w:r>
    </w:p>
    <w:p>
      <w:pPr>
        <w:ind w:right="20" w:firstLine="8"/>
        <w:spacing w:after="0" w:line="255" w:lineRule="auto"/>
        <w:tabs>
          <w:tab w:leader="none" w:pos="211"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the average of net revenues for lease years 5 through 7 compared to the average net revenue for lease years 1 through 3, multiplied by the Variable rent percentage.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Century Portfolio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Century Portfolio Lease Agreement: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33" w:lineRule="exact"/>
        <w:rPr>
          <w:sz w:val="20"/>
          <w:szCs w:val="20"/>
          <w:color w:val="auto"/>
        </w:rPr>
      </w:pPr>
    </w:p>
    <w:p>
      <w:pPr>
        <w:ind w:left="20"/>
        <w:spacing w:after="0"/>
        <w:tabs>
          <w:tab w:leader="none" w:pos="72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5"/>
          <w:szCs w:val="15"/>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 maturity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ind w:left="20"/>
        <w:spacing w:after="0"/>
        <w:rPr>
          <w:sz w:val="20"/>
          <w:szCs w:val="20"/>
          <w:color w:val="auto"/>
        </w:rPr>
      </w:pPr>
      <w:r>
        <w:rPr>
          <w:rFonts w:ascii="Arial" w:cs="Arial" w:eastAsia="Arial" w:hAnsi="Arial"/>
          <w:sz w:val="18"/>
          <w:szCs w:val="18"/>
          <w:color w:val="auto"/>
        </w:rPr>
        <w:t>Escalator commencement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revenue to rent ratio floor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29" w:hanging="229"/>
        <w:spacing w:after="0"/>
        <w:tabs>
          <w:tab w:leader="none" w:pos="2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years</w:t>
      </w:r>
    </w:p>
    <w:p>
      <w:pPr>
        <w:spacing w:after="0" w:line="23" w:lineRule="exact"/>
        <w:rPr>
          <w:rFonts w:ascii="Arial" w:cs="Arial" w:eastAsia="Arial" w:hAnsi="Arial"/>
          <w:sz w:val="18"/>
          <w:szCs w:val="18"/>
          <w:color w:val="auto"/>
        </w:rPr>
      </w:pPr>
    </w:p>
    <w:p>
      <w:pPr>
        <w:ind w:left="9"/>
        <w:spacing w:after="0"/>
        <w:rPr>
          <w:rFonts w:ascii="Arial" w:cs="Arial" w:eastAsia="Arial" w:hAnsi="Arial"/>
          <w:sz w:val="18"/>
          <w:szCs w:val="18"/>
          <w:color w:val="auto"/>
        </w:rPr>
      </w:pPr>
      <w:r>
        <w:rPr>
          <w:rFonts w:ascii="Arial" w:cs="Arial" w:eastAsia="Arial" w:hAnsi="Arial"/>
          <w:sz w:val="18"/>
          <w:szCs w:val="18"/>
          <w:color w:val="auto"/>
        </w:rPr>
        <w:t>12/31/2034</w:t>
      </w:r>
    </w:p>
    <w:p>
      <w:pPr>
        <w:spacing w:after="0" w:line="22" w:lineRule="exact"/>
        <w:rPr>
          <w:rFonts w:ascii="Arial" w:cs="Arial" w:eastAsia="Arial" w:hAnsi="Arial"/>
          <w:sz w:val="18"/>
          <w:szCs w:val="18"/>
          <w:color w:val="auto"/>
        </w:rPr>
      </w:pPr>
    </w:p>
    <w:p>
      <w:pPr>
        <w:ind w:left="9" w:right="6060"/>
        <w:spacing w:after="0" w:line="266" w:lineRule="auto"/>
        <w:rPr>
          <w:rFonts w:ascii="Arial" w:cs="Arial" w:eastAsia="Arial" w:hAnsi="Arial"/>
          <w:sz w:val="18"/>
          <w:szCs w:val="18"/>
          <w:color w:val="auto"/>
        </w:rPr>
      </w:pPr>
      <w:r>
        <w:rPr>
          <w:rFonts w:ascii="Arial" w:cs="Arial" w:eastAsia="Arial" w:hAnsi="Arial"/>
          <w:sz w:val="18"/>
          <w:szCs w:val="18"/>
          <w:color w:val="auto"/>
        </w:rPr>
        <w:t>Four, five-year terms $25,000</w:t>
      </w:r>
    </w:p>
    <w:p>
      <w:pPr>
        <w:ind w:left="9"/>
        <w:spacing w:after="0"/>
        <w:rPr>
          <w:rFonts w:ascii="Arial" w:cs="Arial" w:eastAsia="Arial" w:hAnsi="Arial"/>
          <w:sz w:val="18"/>
          <w:szCs w:val="18"/>
          <w:color w:val="auto"/>
        </w:rPr>
      </w:pPr>
      <w:r>
        <w:rPr>
          <w:rFonts w:ascii="Arial" w:cs="Arial" w:eastAsia="Arial" w:hAnsi="Arial"/>
          <w:sz w:val="18"/>
          <w:szCs w:val="18"/>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-422275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-130810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9"/>
        <w:spacing w:after="0"/>
        <w:rPr>
          <w:sz w:val="20"/>
          <w:szCs w:val="20"/>
          <w:color w:val="auto"/>
        </w:rPr>
      </w:pPr>
      <w:r>
        <w:rPr>
          <w:rFonts w:ascii="Arial" w:cs="Arial" w:eastAsia="Arial" w:hAnsi="Arial"/>
          <w:sz w:val="18"/>
          <w:szCs w:val="18"/>
          <w:color w:val="auto"/>
        </w:rPr>
        <w:t>Lease years 2-3 - 1.0%</w:t>
      </w:r>
    </w:p>
    <w:p>
      <w:pPr>
        <w:ind w:left="9"/>
        <w:spacing w:after="0"/>
        <w:rPr>
          <w:sz w:val="20"/>
          <w:szCs w:val="20"/>
          <w:color w:val="auto"/>
        </w:rPr>
      </w:pPr>
      <w:r>
        <w:rPr>
          <w:rFonts w:ascii="Arial" w:cs="Arial" w:eastAsia="Arial" w:hAnsi="Arial"/>
          <w:sz w:val="18"/>
          <w:szCs w:val="18"/>
          <w:color w:val="auto"/>
        </w:rPr>
        <w:t>Lease years 4-15 - The greater of 1.25% or the change in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4445</wp:posOffset>
            </wp:positionV>
            <wp:extent cx="713232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 w:right="220"/>
        <w:spacing w:after="0" w:line="234" w:lineRule="auto"/>
        <w:rPr>
          <w:sz w:val="20"/>
          <w:szCs w:val="20"/>
          <w:color w:val="auto"/>
        </w:rPr>
      </w:pPr>
      <w:r>
        <w:rPr>
          <w:rFonts w:ascii="Arial" w:cs="Arial" w:eastAsia="Arial" w:hAnsi="Arial"/>
          <w:sz w:val="18"/>
          <w:szCs w:val="18"/>
          <w:color w:val="auto"/>
        </w:rPr>
        <w:t>7.5x commencing lease year six - if the coverage ratio is below the stated amount the escalator will be reduced to 0.75%</w:t>
      </w:r>
    </w:p>
    <w:p>
      <w:pPr>
        <w:spacing w:after="0" w:line="1" w:lineRule="exact"/>
        <w:rPr>
          <w:sz w:val="20"/>
          <w:szCs w:val="20"/>
          <w:color w:val="auto"/>
        </w:rPr>
      </w:pPr>
    </w:p>
    <w:p>
      <w:pPr>
        <w:sectPr>
          <w:pgSz w:w="11900" w:h="16838" w:orient="portrait"/>
          <w:cols w:equalWidth="0" w:num="2">
            <w:col w:w="2951" w:space="720"/>
            <w:col w:w="7569"/>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Variable rent commencement/reset</w:t>
            </w:r>
          </w:p>
        </w:tc>
        <w:tc>
          <w:tcPr>
            <w:tcW w:w="8140" w:type="dxa"/>
            <w:vAlign w:val="bottom"/>
          </w:tcPr>
          <w:p>
            <w:pPr>
              <w:ind w:left="580"/>
              <w:spacing w:after="0"/>
              <w:rPr>
                <w:sz w:val="20"/>
                <w:szCs w:val="20"/>
                <w:color w:val="auto"/>
              </w:rPr>
            </w:pPr>
            <w:r>
              <w:rPr>
                <w:rFonts w:ascii="Arial" w:cs="Arial" w:eastAsia="Arial" w:hAnsi="Arial"/>
                <w:sz w:val="18"/>
                <w:szCs w:val="18"/>
                <w:color w:val="auto"/>
              </w:rPr>
              <w:t>Lease year 8 and 11</w:t>
            </w:r>
          </w:p>
        </w:tc>
      </w:tr>
      <w:tr>
        <w:trPr>
          <w:trHeight w:val="230"/>
        </w:trPr>
        <w:tc>
          <w:tcPr>
            <w:tcW w:w="3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80% Base Rent and 20% Variable Rent</w:t>
            </w:r>
          </w:p>
        </w:tc>
      </w:tr>
      <w:tr>
        <w:trPr>
          <w:trHeight w:val="215"/>
        </w:trPr>
        <w:tc>
          <w:tcPr>
            <w:tcW w:w="3100" w:type="dxa"/>
            <w:vAlign w:val="bottom"/>
          </w:tcPr>
          <w:p>
            <w:pPr>
              <w:ind w:left="20"/>
              <w:spacing w:after="0" w:line="215"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8140" w:type="dxa"/>
            <w:vAlign w:val="bottom"/>
          </w:tcPr>
          <w:p>
            <w:pPr>
              <w:ind w:left="580"/>
              <w:spacing w:after="0"/>
              <w:rPr>
                <w:sz w:val="20"/>
                <w:szCs w:val="20"/>
                <w:color w:val="auto"/>
              </w:rPr>
            </w:pPr>
            <w:r>
              <w:rPr>
                <w:rFonts w:ascii="Arial" w:cs="Arial" w:eastAsia="Arial" w:hAnsi="Arial"/>
                <w:sz w:val="18"/>
                <w:szCs w:val="18"/>
                <w:color w:val="auto"/>
              </w:rPr>
              <w:t>4%</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____________________</w:t>
            </w:r>
          </w:p>
        </w:tc>
        <w:tc>
          <w:tcPr>
            <w:tcW w:w="8140" w:type="dxa"/>
            <w:vAlign w:val="bottom"/>
          </w:tcPr>
          <w:p>
            <w:pPr>
              <w:spacing w:after="0"/>
              <w:rPr>
                <w:sz w:val="19"/>
                <w:szCs w:val="19"/>
                <w:color w:val="auto"/>
              </w:rPr>
            </w:pPr>
          </w:p>
        </w:tc>
      </w:tr>
    </w:tbl>
    <w:p>
      <w:pPr>
        <w:ind w:left="220" w:hanging="212"/>
        <w:spacing w:after="0"/>
        <w:tabs>
          <w:tab w:leader="none" w:pos="2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December 6, 2019 through December 31, 2020.</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08"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2020 and 2019.</w:t>
      </w:r>
    </w:p>
    <w:p>
      <w:pPr>
        <w:jc w:val="both"/>
        <w:ind w:firstLine="8"/>
        <w:spacing w:after="0" w:line="248" w:lineRule="auto"/>
        <w:tabs>
          <w:tab w:leader="none" w:pos="204"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in each case multiplied by the Variable rent percentage.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Cleveland/Thistledown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material lease provisions of our JACK Cleveland/Thistledown Lease Agreement, as amended on July 16,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1/31/2040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five-year terms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$65,880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three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3-4 - 1.0%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5-7 - 1.5%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Lease years 8-15 - The greater of 1.5% or the change in CPI capped at 2.5%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6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Net revenue to rent ratio floor</w:t>
            </w:r>
          </w:p>
        </w:tc>
        <w:tc>
          <w:tcPr>
            <w:tcW w:w="7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4.9x in any lease year (commencing in lease year 6) - if the coverage ratio is below the stated amount,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640" w:type="dxa"/>
            <w:vAlign w:val="bottom"/>
            <w:gridSpan w:val="3"/>
            <w:vMerge w:val="continue"/>
            <w:shd w:val="clear" w:color="auto" w:fill="CCEEFF"/>
          </w:tcPr>
          <w:p>
            <w:pPr>
              <w:spacing w:after="0"/>
              <w:rPr>
                <w:sz w:val="11"/>
                <w:szCs w:val="11"/>
                <w:color w:val="auto"/>
              </w:rPr>
            </w:pPr>
          </w:p>
        </w:tc>
        <w:tc>
          <w:tcPr>
            <w:tcW w:w="7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there is no escalation in rent for such lease year</w:t>
            </w: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tcPr>
          <w:p>
            <w:pPr>
              <w:ind w:left="20"/>
              <w:spacing w:after="0"/>
              <w:rPr>
                <w:sz w:val="20"/>
                <w:szCs w:val="20"/>
                <w:color w:val="auto"/>
              </w:rPr>
            </w:pPr>
            <w:r>
              <w:rPr>
                <w:rFonts w:ascii="Arial" w:cs="Arial" w:eastAsia="Arial" w:hAnsi="Arial"/>
                <w:sz w:val="18"/>
                <w:szCs w:val="18"/>
                <w:color w:val="auto"/>
              </w:rPr>
              <w:t>Lease year 8, 11 and 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352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January 24, 2020 through January 31, 2021.</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08"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2020 and 2019.</w:t>
      </w:r>
    </w:p>
    <w:p>
      <w:pPr>
        <w:jc w:val="both"/>
        <w:ind w:firstLine="8"/>
        <w:spacing w:after="0" w:line="246" w:lineRule="auto"/>
        <w:tabs>
          <w:tab w:leader="none" w:pos="205"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(i) for lease year 8 as an increase or decrease of the average of net revenues for lease years 5 through 7 compared to the average net revenue for lease years 1 through 3, (ii) for lease year 11 as an increase or decrease of the average of net revenues for lease years 8 through 10 compared to the average net revenue for lease years 5 through 7, and (iii) for lease year 16 as an increase or decrease of the average of net revenues for lease years 13 through 15 compared to the average net revenue for lease years 8 through 10, in each case multiplied by the Variable rent percentage.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capital expenditure requirements of the respective tenants under the Caesars Lease Agreements, as amended following</w:t>
      </w:r>
    </w:p>
    <w:p>
      <w:pPr>
        <w:spacing w:after="0" w:line="46" w:lineRule="exact"/>
        <w:rPr>
          <w:sz w:val="20"/>
          <w:szCs w:val="20"/>
          <w:color w:val="auto"/>
        </w:rPr>
      </w:pPr>
    </w:p>
    <w:p>
      <w:pPr>
        <w:ind w:firstLine="8"/>
        <w:spacing w:after="0" w:line="260" w:lineRule="auto"/>
        <w:tabs>
          <w:tab w:leader="none" w:pos="2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consummation of the Eldorado Transaction, which amendments increased the existing capital expenditure requirements in proportion to the overall increase in the tenant’s net revenue arising from the MTA Properties and (ii) the sale of Harrah’s Reno:</w:t>
      </w:r>
    </w:p>
    <w:p>
      <w:pPr>
        <w:sectPr>
          <w:pgSz w:w="11900" w:h="16838" w:orient="portrait"/>
          <w:cols w:equalWidth="0" w:num="1">
            <w:col w:w="11240"/>
          </w:cols>
          <w:pgMar w:left="320" w:top="287" w:right="339" w:bottom="1440" w:gutter="0" w:footer="0" w:header="0"/>
        </w:sectPr>
      </w:pPr>
    </w:p>
    <w:tbl>
      <w:tblPr>
        <w:tblLayout w:type="fixed"/>
        <w:tblInd w:w="0" w:type="dxa"/>
        <w:tblCellMar>
          <w:top w:w="0" w:type="dxa"/>
          <w:left w:w="0" w:type="dxa"/>
          <w:bottom w:w="0" w:type="dxa"/>
          <w:right w:w="0" w:type="dxa"/>
        </w:tblCellMar>
      </w:tblPr>
      <w:tr>
        <w:trPr>
          <w:trHeight w:val="186"/>
        </w:trPr>
        <w:tc>
          <w:tcPr>
            <w:tcW w:w="3240" w:type="dxa"/>
            <w:vAlign w:val="bottom"/>
            <w:vMerge w:val="restart"/>
          </w:tcPr>
          <w:p>
            <w:pPr>
              <w:ind w:left="126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6"/>
                <w:szCs w:val="16"/>
                <w:color w:val="auto"/>
              </w:rPr>
            </w:pPr>
          </w:p>
        </w:tc>
        <w:tc>
          <w:tcPr>
            <w:tcW w:w="364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89"/>
              </w:rPr>
              <w:t>Regional Master Lease Agreement and Joliet</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0" w:type="dxa"/>
            <w:vAlign w:val="bottom"/>
          </w:tcPr>
          <w:p>
            <w:pPr>
              <w:spacing w:after="0"/>
              <w:rPr>
                <w:sz w:val="1"/>
                <w:szCs w:val="1"/>
                <w:color w:val="auto"/>
              </w:rPr>
            </w:pPr>
          </w:p>
        </w:tc>
      </w:tr>
      <w:tr>
        <w:trPr>
          <w:trHeight w:val="37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Yearly minimum expenditure</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3"/>
                <w:szCs w:val="23"/>
                <w:i w:val="1"/>
                <w:iCs w:val="1"/>
                <w:color w:val="auto"/>
                <w:w w:val="87"/>
                <w:vertAlign w:val="superscript"/>
              </w:rPr>
              <w:t>(1)</w:t>
            </w:r>
          </w:p>
        </w:tc>
        <w:tc>
          <w:tcPr>
            <w:tcW w:w="0" w:type="dxa"/>
            <w:vAlign w:val="bottom"/>
          </w:tcPr>
          <w:p>
            <w:pPr>
              <w:spacing w:after="0"/>
              <w:rPr>
                <w:sz w:val="1"/>
                <w:szCs w:val="1"/>
                <w:color w:val="auto"/>
              </w:rPr>
            </w:pPr>
          </w:p>
        </w:tc>
      </w:tr>
      <w:tr>
        <w:trPr>
          <w:trHeight w:val="254"/>
        </w:trPr>
        <w:tc>
          <w:tcPr>
            <w:tcW w:w="3340" w:type="dxa"/>
            <w:vAlign w:val="bottom"/>
            <w:gridSpan w:val="2"/>
          </w:tcPr>
          <w:p>
            <w:pPr>
              <w:ind w:left="20"/>
              <w:spacing w:after="0" w:line="254" w:lineRule="exact"/>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3"/>
                <w:szCs w:val="23"/>
                <w:i w:val="1"/>
                <w:iCs w:val="1"/>
                <w:color w:val="auto"/>
                <w:vertAlign w:val="superscript"/>
              </w:rPr>
              <w:t>(2)</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$328 million</w:t>
            </w:r>
          </w:p>
        </w:tc>
        <w:tc>
          <w:tcPr>
            <w:tcW w:w="0" w:type="dxa"/>
            <w:vAlign w:val="bottom"/>
          </w:tcPr>
          <w:p>
            <w:pPr>
              <w:spacing w:after="0"/>
              <w:rPr>
                <w:sz w:val="1"/>
                <w:szCs w:val="1"/>
                <w:color w:val="auto"/>
              </w:rPr>
            </w:pP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Initial minimum capital expenditure</w:t>
            </w:r>
          </w:p>
        </w:tc>
        <w:tc>
          <w:tcPr>
            <w:tcW w:w="36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Las Vegas Master Lease Agreement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 of net revenues for CPLV (commencing in 2022 with</w:t>
      </w:r>
    </w:p>
    <w:p>
      <w:pPr>
        <w:jc w:val="center"/>
        <w:ind w:right="20"/>
        <w:spacing w:after="0" w:line="218" w:lineRule="auto"/>
        <w:rPr>
          <w:sz w:val="20"/>
          <w:szCs w:val="20"/>
          <w:color w:val="auto"/>
        </w:rPr>
      </w:pPr>
      <w:r>
        <w:rPr>
          <w:rFonts w:ascii="Arial" w:cs="Arial" w:eastAsia="Arial" w:hAnsi="Arial"/>
          <w:sz w:val="18"/>
          <w:szCs w:val="18"/>
          <w:color w:val="auto"/>
        </w:rPr>
        <w:t xml:space="preserve">respect to HLV) </w:t>
      </w:r>
      <w:r>
        <w:rPr>
          <w:rFonts w:ascii="Arial" w:cs="Arial" w:eastAsia="Arial" w:hAnsi="Arial"/>
          <w:sz w:val="23"/>
          <w:szCs w:val="23"/>
          <w:i w:val="1"/>
          <w:iCs w:val="1"/>
          <w:color w:val="auto"/>
          <w:vertAlign w:val="superscript"/>
        </w:rPr>
        <w:t>(1)</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 million</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$171 million (2017 - 2021) (with respect solely to HLV)</w:t>
      </w:r>
    </w:p>
    <w:p>
      <w:pPr>
        <w:spacing w:after="0" w:line="285" w:lineRule="exact"/>
        <w:rPr>
          <w:sz w:val="20"/>
          <w:szCs w:val="20"/>
          <w:color w:val="auto"/>
        </w:rPr>
      </w:pPr>
    </w:p>
    <w:p>
      <w:pPr>
        <w:sectPr>
          <w:pgSz w:w="11900" w:h="16838" w:orient="portrait"/>
          <w:cols w:equalWidth="0" w:num="2">
            <w:col w:w="6980" w:space="120"/>
            <w:col w:w="4140"/>
          </w:cols>
          <w:pgMar w:left="320" w:top="287" w:right="339" w:bottom="1440" w:gutter="0" w:footer="0" w:header="0"/>
          <w:type w:val="continuous"/>
        </w:sectPr>
      </w:pPr>
    </w:p>
    <w:p>
      <w:pPr>
        <w:ind w:firstLine="8"/>
        <w:spacing w:after="0" w:line="250" w:lineRule="auto"/>
        <w:tabs>
          <w:tab w:leader="none" w:pos="218"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agreements require a $119.3 million floor on annual capital expenditures for CPLV, Joliet and the Regional Master Lease Agreement properties in the aggregate. Additionally, annual building &amp; improvement capital improvements must be equal to or greater than 1% of prior year net revenues.</w:t>
      </w:r>
    </w:p>
    <w:p>
      <w:pPr>
        <w:jc w:val="both"/>
        <w:ind w:firstLine="8"/>
        <w:spacing w:after="0" w:line="246" w:lineRule="auto"/>
        <w:tabs>
          <w:tab w:leader="none" w:pos="209"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CEOC is required to spend $421.9 million on capital expenditures (excluding gaming equipment) over a rolling three-year period, with $327.8 million allocated to the regional assets, $84.0 million allocated to Caesars Palace Las Vegas and the remaining balance of $10.1 million to facilities covered by any Formation Lease Agreement in such proportion as CEOC may elect. Additionally, CEOC is required to expend a minimum of $590.3 million on capital expenditures (including gaming equipment) across certain of its affiliates and other assets, together with the $421.9 million requirement.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ongoing COVID-19 pandemic and its impact on operations and financial performance, we agreed with Caesars, to provide limited relief with respect to a portion of their capital expenditure obligations under the Las Vegas Master Lease Agreement, the Regional Master Lease Agreement and the Joliet Lease Agreement (which relief was subsequently adjusted on October 27, 2020 to provide for a proportionate adjustment to account for the addition of the MTA Properties to the Regional Master Lease Agreement). This relief is conditioned upon (i) expenditures by Caesars of certain minimum capital expenditures, (ii) timely payment of Caesars’ rent obligations under the Caesars Lease Agreements and (iii) no event of default occurring under any of the Caesars Lease Agreements during the applicable compliance period. If Caesars fails to satisfy any of the foregoing conditions, Caesars will be required to satisfy the capital expenditure obligations currently set forth in the Las Vegas Master Lease Agreement, the Regional Master Lease Agreement and the Joliet Lease Agreement.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capital expenditure requirements of the respective tenants under the Penn National Lease Agreements, Hard Rock Cincinnati Lease Agreement, Century Portfolio Lease Agreement and JACK Cleveland/Thistledown Lease Agreement: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Penn National Lease</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Hard Rock Cincinnati</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Century Portfolio</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rPr>
              <w:t>JACK</w:t>
            </w:r>
          </w:p>
        </w:tc>
        <w:tc>
          <w:tcPr>
            <w:tcW w:w="0" w:type="dxa"/>
            <w:vAlign w:val="bottom"/>
          </w:tcPr>
          <w:p>
            <w:pPr>
              <w:spacing w:after="0"/>
              <w:rPr>
                <w:sz w:val="1"/>
                <w:szCs w:val="1"/>
                <w:color w:val="auto"/>
              </w:rPr>
            </w:pPr>
          </w:p>
        </w:tc>
      </w:tr>
      <w:tr>
        <w:trPr>
          <w:trHeight w:val="176"/>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Cleveland/Thistledown</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Agreements</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Lease Agreement</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8"/>
              </w:rPr>
              <w:t>1% of net revenues</w:t>
            </w: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7"/>
              </w:rPr>
              <w:t>Initial minimum of $30</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1% of net gaming</w:t>
            </w:r>
          </w:p>
        </w:tc>
        <w:tc>
          <w:tcPr>
            <w:tcW w:w="18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 xml:space="preserve">million </w:t>
            </w:r>
            <w:r>
              <w:rPr>
                <w:rFonts w:ascii="Arial" w:cs="Arial" w:eastAsia="Arial" w:hAnsi="Arial"/>
                <w:sz w:val="20"/>
                <w:szCs w:val="20"/>
                <w:i w:val="1"/>
                <w:iCs w:val="1"/>
                <w:color w:val="auto"/>
                <w:vertAlign w:val="superscript"/>
              </w:rPr>
              <w:t>(2)</w:t>
            </w:r>
          </w:p>
        </w:tc>
        <w:tc>
          <w:tcPr>
            <w:tcW w:w="0" w:type="dxa"/>
            <w:vAlign w:val="bottom"/>
          </w:tcPr>
          <w:p>
            <w:pPr>
              <w:spacing w:after="0"/>
              <w:rPr>
                <w:sz w:val="1"/>
                <w:szCs w:val="1"/>
                <w:color w:val="auto"/>
              </w:rPr>
            </w:pPr>
          </w:p>
        </w:tc>
      </w:tr>
      <w:tr>
        <w:trPr>
          <w:trHeight w:val="81"/>
        </w:trPr>
        <w:tc>
          <w:tcPr>
            <w:tcW w:w="34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Yearly minimum expenditure</w:t>
            </w: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2"/>
              </w:rPr>
              <w:t>based on rolling four-</w:t>
            </w:r>
          </w:p>
        </w:tc>
        <w:tc>
          <w:tcPr>
            <w:tcW w:w="19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1% of net revenues</w:t>
            </w:r>
          </w:p>
        </w:tc>
        <w:tc>
          <w:tcPr>
            <w:tcW w:w="1940" w:type="dxa"/>
            <w:vAlign w:val="bottom"/>
            <w:gridSpan w:val="2"/>
            <w:vMerge w:val="continue"/>
            <w:shd w:val="clear" w:color="auto" w:fill="CCEEFF"/>
          </w:tcPr>
          <w:p>
            <w:pPr>
              <w:spacing w:after="0"/>
              <w:rPr>
                <w:sz w:val="7"/>
                <w:szCs w:val="7"/>
                <w:color w:val="auto"/>
              </w:rPr>
            </w:pP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Thereafter - 1% of net</w:t>
            </w:r>
          </w:p>
        </w:tc>
        <w:tc>
          <w:tcPr>
            <w:tcW w:w="0" w:type="dxa"/>
            <w:vAlign w:val="bottom"/>
          </w:tcPr>
          <w:p>
            <w:pPr>
              <w:spacing w:after="0"/>
              <w:rPr>
                <w:sz w:val="1"/>
                <w:szCs w:val="1"/>
                <w:color w:val="auto"/>
              </w:rPr>
            </w:pPr>
          </w:p>
        </w:tc>
      </w:tr>
      <w:tr>
        <w:trPr>
          <w:trHeight w:val="175"/>
        </w:trPr>
        <w:tc>
          <w:tcPr>
            <w:tcW w:w="3460" w:type="dxa"/>
            <w:vAlign w:val="bottom"/>
            <w:gridSpan w:val="2"/>
            <w:vMerge w:val="continue"/>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960" w:type="dxa"/>
            <w:vAlign w:val="bottom"/>
            <w:gridSpan w:val="2"/>
            <w:vMerge w:val="continue"/>
            <w:shd w:val="clear" w:color="auto" w:fill="CCEEFF"/>
          </w:tcPr>
          <w:p>
            <w:pPr>
              <w:spacing w:after="0"/>
              <w:rPr>
                <w:sz w:val="15"/>
                <w:szCs w:val="15"/>
                <w:color w:val="auto"/>
              </w:rPr>
            </w:pPr>
          </w:p>
        </w:tc>
        <w:tc>
          <w:tcPr>
            <w:tcW w:w="194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6"/>
                <w:szCs w:val="16"/>
                <w:color w:val="auto"/>
                <w:w w:val="94"/>
              </w:rPr>
              <w:t xml:space="preserve">revenues </w:t>
            </w:r>
            <w:r>
              <w:rPr>
                <w:rFonts w:ascii="Arial" w:cs="Arial" w:eastAsia="Arial" w:hAnsi="Arial"/>
                <w:sz w:val="20"/>
                <w:szCs w:val="20"/>
                <w:i w:val="1"/>
                <w:iCs w:val="1"/>
                <w:color w:val="auto"/>
                <w:w w:val="94"/>
                <w:vertAlign w:val="superscript"/>
              </w:rPr>
              <w:t>(1)</w:t>
            </w:r>
          </w:p>
        </w:tc>
        <w:tc>
          <w:tcPr>
            <w:tcW w:w="1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940" w:type="dxa"/>
            <w:vAlign w:val="bottom"/>
            <w:gridSpan w:val="2"/>
            <w:shd w:val="clear" w:color="auto" w:fill="CCEEFF"/>
          </w:tcPr>
          <w:p>
            <w:pPr>
              <w:jc w:val="center"/>
              <w:ind w:right="100"/>
              <w:spacing w:after="0" w:line="95" w:lineRule="exact"/>
              <w:rPr>
                <w:sz w:val="20"/>
                <w:szCs w:val="20"/>
                <w:color w:val="auto"/>
              </w:rPr>
            </w:pPr>
            <w:r>
              <w:rPr>
                <w:rFonts w:ascii="Arial" w:cs="Arial" w:eastAsia="Arial" w:hAnsi="Arial"/>
                <w:sz w:val="10"/>
                <w:szCs w:val="10"/>
                <w:color w:val="auto"/>
              </w:rPr>
              <w:t>year basis</w:t>
            </w:r>
          </w:p>
        </w:tc>
        <w:tc>
          <w:tcPr>
            <w:tcW w:w="1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80" w:type="dxa"/>
            <w:vAlign w:val="bottom"/>
            <w:shd w:val="clear" w:color="auto" w:fill="CCEEFF"/>
          </w:tcPr>
          <w:p>
            <w:pPr>
              <w:jc w:val="center"/>
              <w:spacing w:after="0" w:line="95" w:lineRule="exact"/>
              <w:rPr>
                <w:sz w:val="20"/>
                <w:szCs w:val="20"/>
                <w:color w:val="auto"/>
              </w:rPr>
            </w:pPr>
            <w:r>
              <w:rPr>
                <w:rFonts w:ascii="Arial" w:cs="Arial" w:eastAsia="Arial" w:hAnsi="Arial"/>
                <w:sz w:val="10"/>
                <w:szCs w:val="10"/>
                <w:color w:val="auto"/>
              </w:rPr>
              <w:t>revenues on a rolling</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three-year basis</w:t>
            </w: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firstLine="8"/>
        <w:spacing w:after="0" w:line="241" w:lineRule="auto"/>
        <w:tabs>
          <w:tab w:leader="none" w:pos="21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Minimum of 1% of net gaming revenue on a rolling three-year basis for each individual facility and 1% of net gaming revenues per fiscal year for the facilities collectively. In May 2020, in connection with the ongoing COVID-19 pandemic and its impact on operations and financial performance, we agreed to waive Century’s capital expenditure requirements for 2020 and defer to not later than December 31, 2021 certain other expenditures contemplated in connection with the underwriting of the acquired casino properties, conditioned upon (i) Century’s timely payment of rent obligations under the Century Portfolio Lease Agreement during the compliance period set forth in the amendment and (ii) no tenant event of default occurring under the Century Portfolio Lease Agreement during the compliance period set forth in the amendment. If Century fails to satisfy any of the foregoing conditions, Century will be required to satisfy the capital expenditure obligations set forth in the Century Portfolio Lease Agreement or, in certain cases, to deposit amounts in respect thereof into a capital expenditure reserve for expenditure in accordance with the amendment.</w:t>
      </w:r>
    </w:p>
    <w:p>
      <w:pPr>
        <w:spacing w:after="0" w:line="2" w:lineRule="exact"/>
        <w:rPr>
          <w:rFonts w:ascii="Arial" w:cs="Arial" w:eastAsia="Arial" w:hAnsi="Arial"/>
          <w:sz w:val="14"/>
          <w:szCs w:val="14"/>
          <w:i w:val="1"/>
          <w:iCs w:val="1"/>
          <w:color w:val="auto"/>
        </w:rPr>
      </w:pPr>
    </w:p>
    <w:p>
      <w:pPr>
        <w:ind w:firstLine="8"/>
        <w:spacing w:after="0" w:line="255" w:lineRule="auto"/>
        <w:tabs>
          <w:tab w:leader="none" w:pos="218"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Initial minimum required to be spent from the period commencing April 1, 2019 through December 31, 2022, which includes $18.0 million to be advanced by us and expended by JACK Entertainment for the construction of the new gaming patio amenity at JACK Thistledown Racino.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investments in loans as of September 30,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Principal</w:t>
            </w:r>
          </w:p>
        </w:tc>
        <w:tc>
          <w:tcPr>
            <w:tcW w:w="180" w:type="dxa"/>
            <w:vAlign w:val="bottom"/>
          </w:tcPr>
          <w:p>
            <w:pPr>
              <w:spacing w:after="0" w:line="20" w:lineRule="exact"/>
              <w:rPr>
                <w:sz w:val="1"/>
                <w:szCs w:val="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line="20" w:lineRule="exact"/>
              <w:rPr>
                <w:sz w:val="1"/>
                <w:szCs w:val="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Future Funding</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Final</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vMerge w:val="restart"/>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Loan Type</w:t>
            </w:r>
          </w:p>
        </w:tc>
        <w:tc>
          <w:tcPr>
            <w:tcW w:w="100" w:type="dxa"/>
            <w:vAlign w:val="bottom"/>
            <w:vMerge w:val="restart"/>
          </w:tcPr>
          <w:p>
            <w:pPr>
              <w:spacing w:after="0"/>
              <w:rPr>
                <w:sz w:val="15"/>
                <w:szCs w:val="15"/>
                <w:color w:val="auto"/>
              </w:rPr>
            </w:pPr>
          </w:p>
        </w:tc>
        <w:tc>
          <w:tcPr>
            <w:tcW w:w="180" w:type="dxa"/>
            <w:vAlign w:val="bottom"/>
            <w:vMerge w:val="restart"/>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3"/>
              <w:spacing w:after="0" w:line="216"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i w:val="1"/>
                <w:i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Maturity</w:t>
            </w:r>
            <w:r>
              <w:rPr>
                <w:rFonts w:ascii="Arial" w:cs="Arial" w:eastAsia="Arial" w:hAnsi="Arial"/>
                <w:sz w:val="21"/>
                <w:szCs w:val="21"/>
                <w:b w:val="1"/>
                <w:bCs w:val="1"/>
                <w:i w:val="1"/>
                <w:iCs w:val="1"/>
                <w:color w:val="auto"/>
                <w:vertAlign w:val="superscript"/>
              </w:rPr>
              <w:t>(4)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Forum Convention Center Mortgage</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Senior Secured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399,173</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w w:val="89"/>
              </w:rPr>
              <w:t>9/18/2025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Chelsea Piers Mortgage Loan</w:t>
            </w:r>
          </w:p>
        </w:tc>
        <w:tc>
          <w:tcPr>
            <w:tcW w:w="172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Amended and Restated ROV Loan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ind w:left="200"/>
              <w:spacing w:after="0"/>
              <w:rPr>
                <w:sz w:val="20"/>
                <w:szCs w:val="20"/>
                <w:color w:val="auto"/>
              </w:rPr>
            </w:pPr>
            <w:r>
              <w:rPr>
                <w:rFonts w:ascii="Arial" w:cs="Arial" w:eastAsia="Arial" w:hAnsi="Arial"/>
                <w:sz w:val="18"/>
                <w:szCs w:val="18"/>
                <w:color w:val="auto"/>
              </w:rPr>
              <w:t>ROV Term Loan</w:t>
            </w:r>
          </w:p>
        </w:tc>
        <w:tc>
          <w:tcPr>
            <w:tcW w:w="172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9.0 %</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89"/>
              </w:rPr>
              <w:t>1/24/2027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ROV Credit Facility</w:t>
            </w:r>
          </w:p>
        </w:tc>
        <w:tc>
          <w:tcPr>
            <w:tcW w:w="172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 + 2.75%</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9"/>
              </w:rPr>
              <w:t>1/24/2027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533,713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060" w:type="dxa"/>
            <w:vAlign w:val="bottom"/>
            <w:gridSpan w:val="3"/>
            <w:vMerge w:val="continue"/>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loan origination costs and allowance for credit losses.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Our future funding commitments are subject to our borrowers' compliance with the financial covenants and other applicable provisions of each respective loan agreement.</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4"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current interest rate per annum. The interest rate of the Forum Convention Center Mortgage Loan is subject to 2.0% annual escalation (resulting in a year two interest rate of 7.854%).</w:t>
      </w:r>
    </w:p>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Final maturity assumes all extension options are exercised; however, our loans may be repaid, subject to certain conditions, prior to such date.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Allowance for Credit Losses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326</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 2020, we adopted ASC 326 and, as a result, we are required to estimate and record non-cash credit losses related to our historical and any future investments in sales-type and direct financing leases, lease financing receivables and loans. Upon adoption, we recorded a $309.4 million cumulative adjustment, representing a 2.88% CECL allowance. Such amount was recorded as a cumulative-effect adjustment to our opening balance sheet with a reduction in our Investments in leases - sales-type and direct financing and a corresponding charge to retained (deficit) earnings. Periods prior to the adoption date that are presented for comparative purposes are not adjusted or disclosed.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three months ended September 30, 2020, we recognized a $177.1 million increase in our allowance for credit losses primarily driven by the increase in investment balances subject to CECL related to the consummation of the Eldorado Transaction. Specifically, the current quarter increase was primarily attributable to (i) the increase in investment balances resulting from the Eldorado Transaction, which includes (A) an initial CECL allowance on our $1.8 billion investment in the MTA Properties, (B) an additional CECL allowance on our aggregate $1.4 billion increased investment in the Las Vegas Master Lease Agreement as a result of the CPLV Additional Rent Acquisition and HLV Additional Rent Acquisition and (C) an additional CECL allowance on the $333.4 million increased balance of our existing Caesars Lease Agreements as a result of the mark to fair value in connection with the reassessment of lease classification, (ii) an increase in the R&amp;S Period PD of Caesars as a result of the Eldorado/Caesars Merger and (iii) an initial CECL allowance on our $400.0 million investment in the Forum Convention Center Mortgage Loan. This increase was partially offset by a decrease in the R&amp;S Period PD of our other tenants and their parent guarantors as a result of an improvement in their economic outlook due to the reopening of a majority of their gaming operations and relative performance of such operations during the third quarter of 2020.</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September 30, 2020, we recognized a $261.1 million increase in our allowance for credit losses. The increase in the CECL allowance was primarily driven by (i) the Eldorado Transaction, Eldorado/Caesars Merger and Forum Convention Center Mortgage Loan as described above, (ii) an increase in the Long-term Period PD of our tenants due to downgrades on certain of the credit ratings of our tenants’ senior secured debt and (iii) a $22.2 million increase related to our initial investment in JACK Cleveland/Thistledown and the ROV Loan in January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loss standard does not require retrospective application and as such there is no corresponding charge for the three and nine months ended September 30, 2019.</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September 30, 2020 and December 31, 2019, and since our Formation Date, all of our Lease Agreements and loan investments are current in payment of their obligations to us and no investments are on non-accrual status. Additionally, to the best of our knowledge, none of our tenants were in contravention of any of the Lease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detail the allowance for credit losses included as a component in our Investments in leases - sales-type and direct 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leases - financing receivables and Investments in loans as of September 30, 2020 and January 1, 2020, the date of adoption: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820"/>
              <w:spacing w:after="0"/>
              <w:rPr>
                <w:sz w:val="20"/>
                <w:szCs w:val="20"/>
                <w:color w:val="auto"/>
              </w:rPr>
            </w:pPr>
            <w:r>
              <w:rPr>
                <w:rFonts w:ascii="Arial" w:cs="Arial" w:eastAsia="Arial" w:hAnsi="Arial"/>
                <w:sz w:val="16"/>
                <w:szCs w:val="16"/>
                <w:b w:val="1"/>
                <w:bCs w:val="1"/>
                <w:color w:val="auto"/>
              </w:rPr>
              <w:t>September 30, 2020</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Allowance</w:t>
            </w: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Net Investment</w:t>
            </w:r>
          </w:p>
        </w:tc>
        <w:tc>
          <w:tcPr>
            <w:tcW w:w="1920" w:type="dxa"/>
            <w:vAlign w:val="bottom"/>
          </w:tcPr>
          <w:p>
            <w:pPr>
              <w:jc w:val="right"/>
              <w:ind w:right="173"/>
              <w:spacing w:after="0" w:line="158" w:lineRule="exact"/>
              <w:rPr>
                <w:sz w:val="20"/>
                <w:szCs w:val="20"/>
                <w:color w:val="auto"/>
              </w:rPr>
            </w:pPr>
            <w:r>
              <w:rPr>
                <w:rFonts w:ascii="Arial" w:cs="Arial" w:eastAsia="Arial" w:hAnsi="Arial"/>
                <w:sz w:val="16"/>
                <w:szCs w:val="16"/>
                <w:b w:val="1"/>
                <w:bCs w:val="1"/>
                <w:color w:val="auto"/>
              </w:rPr>
              <w:t>Allowance as a %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20" w:type="dxa"/>
            <w:vAlign w:val="bottom"/>
          </w:tcPr>
          <w:p>
            <w:pPr>
              <w:jc w:val="right"/>
              <w:ind w:right="333"/>
              <w:spacing w:after="0" w:line="175" w:lineRule="exact"/>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 and direct financing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13,476,969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13,009,966</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2,693,257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2,600,228</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533,713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277,309</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16,991,658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16,421,216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3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940"/>
              <w:spacing w:after="0"/>
              <w:rPr>
                <w:sz w:val="20"/>
                <w:szCs w:val="20"/>
                <w:color w:val="auto"/>
              </w:rPr>
            </w:pPr>
            <w:r>
              <w:rPr>
                <w:rFonts w:ascii="Arial" w:cs="Arial" w:eastAsia="Arial" w:hAnsi="Arial"/>
                <w:sz w:val="16"/>
                <w:szCs w:val="16"/>
                <w:b w:val="1"/>
                <w:bCs w:val="1"/>
                <w:color w:val="auto"/>
              </w:rPr>
              <w:t>January 1, 2020</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Allowance</w:t>
            </w: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Net Investment</w:t>
            </w:r>
          </w:p>
        </w:tc>
        <w:tc>
          <w:tcPr>
            <w:tcW w:w="1920" w:type="dxa"/>
            <w:vAlign w:val="bottom"/>
          </w:tcPr>
          <w:p>
            <w:pPr>
              <w:jc w:val="right"/>
              <w:ind w:right="173"/>
              <w:spacing w:after="0" w:line="158" w:lineRule="exact"/>
              <w:rPr>
                <w:sz w:val="20"/>
                <w:szCs w:val="20"/>
                <w:color w:val="auto"/>
              </w:rPr>
            </w:pPr>
            <w:r>
              <w:rPr>
                <w:rFonts w:ascii="Arial" w:cs="Arial" w:eastAsia="Arial" w:hAnsi="Arial"/>
                <w:sz w:val="16"/>
                <w:szCs w:val="16"/>
                <w:b w:val="1"/>
                <w:bCs w:val="1"/>
                <w:color w:val="auto"/>
              </w:rPr>
              <w:t>Allowance as a %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20" w:type="dxa"/>
            <w:vAlign w:val="bottom"/>
          </w:tcPr>
          <w:p>
            <w:pPr>
              <w:jc w:val="right"/>
              <w:ind w:right="333"/>
              <w:spacing w:after="0" w:line="175" w:lineRule="exact"/>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 and direct financing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10,424,883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10,734,245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10,424,883</w:t>
            </w:r>
          </w:p>
        </w:tc>
        <w:tc>
          <w:tcPr>
            <w:tcW w:w="10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reflects the roll-forward of the allowance for credit losses on our real estate portfolio for the nine months ended September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176"/>
        </w:trPr>
        <w:tc>
          <w:tcPr>
            <w:tcW w:w="2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0" w:type="dxa"/>
            <w:vAlign w:val="bottom"/>
          </w:tcPr>
          <w:p>
            <w:pPr>
              <w:spacing w:after="0"/>
              <w:rPr>
                <w:sz w:val="15"/>
                <w:szCs w:val="15"/>
                <w:color w:val="auto"/>
              </w:rPr>
            </w:pPr>
          </w:p>
        </w:tc>
        <w:tc>
          <w:tcPr>
            <w:tcW w:w="1860" w:type="dxa"/>
            <w:vAlign w:val="bottom"/>
          </w:tcPr>
          <w:p>
            <w:pPr>
              <w:jc w:val="right"/>
              <w:ind w:right="971"/>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December 31, 2019</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Initial allowance upon adoption</w:t>
            </w:r>
          </w:p>
        </w:tc>
        <w:tc>
          <w:tcPr>
            <w:tcW w:w="6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309,362</w:t>
            </w:r>
          </w:p>
        </w:tc>
      </w:tr>
      <w:tr>
        <w:trPr>
          <w:trHeight w:val="230"/>
        </w:trPr>
        <w:tc>
          <w:tcPr>
            <w:tcW w:w="2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allowance from current period investments</w:t>
            </w:r>
          </w:p>
        </w:tc>
        <w:tc>
          <w:tcPr>
            <w:tcW w:w="6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228,919</w:t>
            </w:r>
          </w:p>
        </w:tc>
      </w:tr>
      <w:tr>
        <w:trPr>
          <w:trHeight w:val="229"/>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period change in credit allowance</w:t>
            </w:r>
          </w:p>
        </w:tc>
        <w:tc>
          <w:tcPr>
            <w:tcW w:w="6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32,161</w:t>
            </w:r>
          </w:p>
        </w:tc>
      </w:tr>
      <w:tr>
        <w:trPr>
          <w:trHeight w:val="230"/>
        </w:trPr>
        <w:tc>
          <w:tcPr>
            <w:tcW w:w="2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6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8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Recoveries</w:t>
            </w:r>
          </w:p>
        </w:tc>
        <w:tc>
          <w:tcPr>
            <w:tcW w:w="6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Ending Balance September 30, 2020</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 amortized cost basis of our investments by the credit quality indicator we assigned to each lease or loan guarantor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January 1, 2020, the date of adoption:</w:t>
      </w:r>
    </w:p>
    <w:p>
      <w:pPr>
        <w:spacing w:after="0" w:line="90"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20320</wp:posOffset>
            </wp:positionV>
            <wp:extent cx="57518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2620" w:val="left"/>
          <w:tab w:leader="none" w:pos="3900" w:val="left"/>
          <w:tab w:leader="none" w:pos="5240" w:val="left"/>
          <w:tab w:leader="none" w:pos="6560" w:val="left"/>
          <w:tab w:leader="none" w:pos="7860" w:val="left"/>
          <w:tab w:leader="none" w:pos="9060" w:val="left"/>
          <w:tab w:leader="none" w:pos="10400" w:val="left"/>
        </w:tabs>
        <w:rPr>
          <w:sz w:val="20"/>
          <w:szCs w:val="20"/>
          <w:color w:val="auto"/>
        </w:rPr>
      </w:pPr>
      <w:r>
        <w:rPr>
          <w:rFonts w:ascii="Arial" w:cs="Arial" w:eastAsia="Arial" w:hAnsi="Arial"/>
          <w:sz w:val="14"/>
          <w:szCs w:val="14"/>
          <w:b w:val="1"/>
          <w:bCs w:val="1"/>
          <w:i w:val="1"/>
          <w:iCs w:val="1"/>
          <w:u w:val="single" w:color="auto"/>
          <w:color w:val="auto"/>
        </w:rPr>
        <w:t>(In thousands)</w:t>
      </w:r>
      <w:r>
        <w:rPr>
          <w:sz w:val="20"/>
          <w:szCs w:val="20"/>
          <w:color w:val="auto"/>
        </w:rPr>
        <w:tab/>
      </w:r>
      <w:r>
        <w:rPr>
          <w:rFonts w:ascii="Arial" w:cs="Arial" w:eastAsia="Arial" w:hAnsi="Arial"/>
          <w:sz w:val="16"/>
          <w:szCs w:val="16"/>
          <w:b w:val="1"/>
          <w:bCs w:val="1"/>
          <w:color w:val="auto"/>
        </w:rPr>
        <w:t>Ba2</w:t>
      </w:r>
      <w:r>
        <w:rPr>
          <w:sz w:val="20"/>
          <w:szCs w:val="20"/>
          <w:color w:val="auto"/>
        </w:rPr>
        <w:tab/>
      </w:r>
      <w:r>
        <w:rPr>
          <w:rFonts w:ascii="Arial" w:cs="Arial" w:eastAsia="Arial" w:hAnsi="Arial"/>
          <w:sz w:val="16"/>
          <w:szCs w:val="16"/>
          <w:b w:val="1"/>
          <w:bCs w:val="1"/>
          <w:color w:val="auto"/>
        </w:rPr>
        <w:t>Ba3</w:t>
      </w:r>
      <w:r>
        <w:rPr>
          <w:sz w:val="20"/>
          <w:szCs w:val="20"/>
          <w:color w:val="auto"/>
        </w:rPr>
        <w:tab/>
      </w:r>
      <w:r>
        <w:rPr>
          <w:rFonts w:ascii="Arial" w:cs="Arial" w:eastAsia="Arial" w:hAnsi="Arial"/>
          <w:sz w:val="16"/>
          <w:szCs w:val="16"/>
          <w:b w:val="1"/>
          <w:bCs w:val="1"/>
          <w:color w:val="auto"/>
        </w:rPr>
        <w:t>B1</w:t>
      </w:r>
      <w:r>
        <w:rPr>
          <w:sz w:val="20"/>
          <w:szCs w:val="20"/>
          <w:color w:val="auto"/>
        </w:rPr>
        <w:tab/>
      </w:r>
      <w:r>
        <w:rPr>
          <w:rFonts w:ascii="Arial" w:cs="Arial" w:eastAsia="Arial" w:hAnsi="Arial"/>
          <w:sz w:val="16"/>
          <w:szCs w:val="16"/>
          <w:b w:val="1"/>
          <w:bCs w:val="1"/>
          <w:color w:val="auto"/>
        </w:rPr>
        <w:t>B2</w:t>
      </w:r>
      <w:r>
        <w:rPr>
          <w:sz w:val="20"/>
          <w:szCs w:val="20"/>
          <w:color w:val="auto"/>
        </w:rPr>
        <w:tab/>
      </w:r>
      <w:r>
        <w:rPr>
          <w:rFonts w:ascii="Arial" w:cs="Arial" w:eastAsia="Arial" w:hAnsi="Arial"/>
          <w:sz w:val="16"/>
          <w:szCs w:val="16"/>
          <w:b w:val="1"/>
          <w:bCs w:val="1"/>
          <w:color w:val="auto"/>
        </w:rPr>
        <w:t>B3</w:t>
      </w:r>
      <w:r>
        <w:rPr>
          <w:sz w:val="20"/>
          <w:szCs w:val="20"/>
          <w:color w:val="auto"/>
        </w:rPr>
        <w:tab/>
      </w:r>
      <w:r>
        <w:rPr>
          <w:rFonts w:ascii="Arial" w:cs="Arial" w:eastAsia="Arial" w:hAnsi="Arial"/>
          <w:sz w:val="16"/>
          <w:szCs w:val="16"/>
          <w:b w:val="1"/>
          <w:bCs w:val="1"/>
          <w:color w:val="auto"/>
        </w:rPr>
        <w:t>N/A</w:t>
      </w:r>
      <w:r>
        <w:rPr>
          <w:rFonts w:ascii="Arial" w:cs="Arial" w:eastAsia="Arial" w:hAnsi="Arial"/>
          <w:sz w:val="21"/>
          <w:szCs w:val="21"/>
          <w:b w:val="1"/>
          <w:bCs w:val="1"/>
          <w:i w:val="1"/>
          <w:iCs w:val="1"/>
          <w:color w:val="auto"/>
          <w:vertAlign w:val="superscript"/>
        </w:rPr>
        <w:t>(1)</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591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tbl>
      <w:tblPr>
        <w:tblLayout w:type="fixed"/>
        <w:tblInd w:w="20" w:type="dxa"/>
        <w:tblCellMar>
          <w:top w:w="0" w:type="dxa"/>
          <w:left w:w="0" w:type="dxa"/>
          <w:bottom w:w="0" w:type="dxa"/>
          <w:right w:w="0" w:type="dxa"/>
        </w:tblCellMar>
      </w:tblPr>
      <w:tr>
        <w:trPr>
          <w:trHeight w:val="160"/>
        </w:trPr>
        <w:tc>
          <w:tcPr>
            <w:tcW w:w="2140" w:type="dxa"/>
            <w:vAlign w:val="bottom"/>
          </w:tcPr>
          <w:p>
            <w:pPr>
              <w:spacing w:after="0" w:line="160" w:lineRule="exact"/>
              <w:rPr>
                <w:sz w:val="20"/>
                <w:szCs w:val="20"/>
                <w:color w:val="auto"/>
              </w:rPr>
            </w:pPr>
            <w:r>
              <w:rPr>
                <w:rFonts w:ascii="Arial" w:cs="Arial" w:eastAsia="Arial" w:hAnsi="Arial"/>
                <w:sz w:val="18"/>
                <w:szCs w:val="18"/>
                <w:color w:val="auto"/>
                <w:w w:val="90"/>
              </w:rPr>
              <w:t>Investments in leases - direct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line="176" w:lineRule="exact"/>
              <w:rPr>
                <w:sz w:val="20"/>
                <w:szCs w:val="20"/>
                <w:color w:val="auto"/>
              </w:rPr>
            </w:pPr>
            <w:r>
              <w:rPr>
                <w:rFonts w:ascii="Arial" w:cs="Arial" w:eastAsia="Arial" w:hAnsi="Arial"/>
                <w:sz w:val="18"/>
                <w:szCs w:val="18"/>
                <w:color w:val="auto"/>
              </w:rPr>
              <w:t>financing, sales-type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line="176" w:lineRule="exact"/>
              <w:rPr>
                <w:sz w:val="20"/>
                <w:szCs w:val="20"/>
                <w:color w:val="auto"/>
              </w:rPr>
            </w:pPr>
            <w:r>
              <w:rPr>
                <w:rFonts w:ascii="Arial" w:cs="Arial" w:eastAsia="Arial" w:hAnsi="Arial"/>
                <w:sz w:val="18"/>
                <w:szCs w:val="18"/>
                <w:color w:val="auto"/>
              </w:rPr>
              <w:t>financing receivable,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line="176" w:lineRule="exact"/>
              <w:rPr>
                <w:sz w:val="20"/>
                <w:szCs w:val="20"/>
                <w:color w:val="auto"/>
              </w:rPr>
            </w:pPr>
            <w:r>
              <w:rPr>
                <w:rFonts w:ascii="Arial" w:cs="Arial" w:eastAsia="Arial" w:hAnsi="Arial"/>
                <w:sz w:val="18"/>
                <w:szCs w:val="18"/>
                <w:color w:val="auto"/>
              </w:rPr>
              <w:t>Investments in loans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 w:leader="none" w:pos="1260" w:val="left"/>
          <w:tab w:leader="none" w:pos="1640" w:val="left"/>
          <w:tab w:leader="none" w:pos="1980" w:val="left"/>
          <w:tab w:leader="none" w:pos="2980" w:val="left"/>
          <w:tab w:leader="none" w:pos="3520" w:val="left"/>
          <w:tab w:leader="none" w:pos="4280" w:val="left"/>
          <w:tab w:leader="none" w:pos="4800" w:val="left"/>
          <w:tab w:leader="none" w:pos="5580" w:val="left"/>
          <w:tab w:leader="none" w:pos="6180" w:val="left"/>
          <w:tab w:leader="none" w:pos="6860" w:val="left"/>
          <w:tab w:leader="none" w:pos="72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tab/>
        <w:t>15,724,024</w:t>
        <w:tab/>
        <w:t>$</w:t>
      </w:r>
      <w:r>
        <w:rPr>
          <w:sz w:val="20"/>
          <w:szCs w:val="20"/>
          <w:color w:val="auto"/>
        </w:rPr>
        <w:tab/>
      </w:r>
      <w:r>
        <w:rPr>
          <w:rFonts w:ascii="Arial" w:cs="Arial" w:eastAsia="Arial" w:hAnsi="Arial"/>
          <w:sz w:val="18"/>
          <w:szCs w:val="18"/>
          <w:color w:val="auto"/>
        </w:rPr>
        <w:t>921,511</w:t>
        <w:tab/>
        <w:t>$</w:t>
      </w:r>
      <w:r>
        <w:rPr>
          <w:sz w:val="20"/>
          <w:szCs w:val="20"/>
          <w:color w:val="auto"/>
        </w:rPr>
        <w:tab/>
      </w:r>
      <w:r>
        <w:rPr>
          <w:rFonts w:ascii="Arial" w:cs="Arial" w:eastAsia="Arial" w:hAnsi="Arial"/>
          <w:sz w:val="18"/>
          <w:szCs w:val="18"/>
          <w:color w:val="auto"/>
        </w:rPr>
        <w:t>281,123</w:t>
        <w:tab/>
        <w:t>$</w:t>
      </w:r>
      <w:r>
        <w:rPr>
          <w:sz w:val="20"/>
          <w:szCs w:val="20"/>
          <w:color w:val="auto"/>
        </w:rPr>
        <w:tab/>
      </w:r>
      <w:r>
        <w:rPr>
          <w:rFonts w:ascii="Arial" w:cs="Arial" w:eastAsia="Arial" w:hAnsi="Arial"/>
          <w:sz w:val="18"/>
          <w:szCs w:val="18"/>
          <w:color w:val="auto"/>
        </w:rPr>
        <w:t>65,000</w:t>
        <w:tab/>
        <w:t>$</w:t>
      </w:r>
      <w:r>
        <w:rPr>
          <w:sz w:val="20"/>
          <w:szCs w:val="20"/>
          <w:color w:val="auto"/>
        </w:rPr>
        <w:tab/>
      </w:r>
      <w:r>
        <w:rPr>
          <w:rFonts w:ascii="Arial" w:cs="Arial" w:eastAsia="Arial" w:hAnsi="Arial"/>
          <w:sz w:val="15"/>
          <w:szCs w:val="15"/>
          <w:color w:val="auto"/>
        </w:rPr>
        <w:t>16,991,658</w:t>
      </w:r>
    </w:p>
    <w:p>
      <w:pPr>
        <w:spacing w:after="0" w:line="224" w:lineRule="exact"/>
        <w:rPr>
          <w:sz w:val="20"/>
          <w:szCs w:val="20"/>
          <w:color w:val="auto"/>
        </w:rPr>
      </w:pPr>
    </w:p>
    <w:p>
      <w:pPr>
        <w:sectPr>
          <w:pgSz w:w="11900" w:h="16838" w:orient="portrait"/>
          <w:cols w:equalWidth="0" w:num="2">
            <w:col w:w="2380" w:space="720"/>
            <w:col w:w="8140"/>
          </w:cols>
          <w:pgMar w:left="320" w:top="287" w:right="3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2"/>
              </w:rPr>
              <w:t>January 1, 2020</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4"/>
                <w:szCs w:val="14"/>
                <w:color w:val="auto"/>
              </w:rPr>
            </w:pPr>
          </w:p>
        </w:tc>
        <w:tc>
          <w:tcPr>
            <w:tcW w:w="1060" w:type="dxa"/>
            <w:vAlign w:val="bottom"/>
            <w:gridSpan w:val="2"/>
          </w:tcPr>
          <w:p>
            <w:pPr>
              <w:ind w:left="220"/>
              <w:spacing w:after="0" w:line="172" w:lineRule="exact"/>
              <w:rPr>
                <w:sz w:val="20"/>
                <w:szCs w:val="20"/>
                <w:color w:val="auto"/>
              </w:rPr>
            </w:pPr>
            <w:r>
              <w:rPr>
                <w:rFonts w:ascii="Arial" w:cs="Arial" w:eastAsia="Arial" w:hAnsi="Arial"/>
                <w:sz w:val="16"/>
                <w:szCs w:val="16"/>
                <w:b w:val="1"/>
                <w:bCs w:val="1"/>
                <w:color w:val="auto"/>
              </w:rPr>
              <w:t>Ba2</w:t>
            </w:r>
          </w:p>
        </w:tc>
        <w:tc>
          <w:tcPr>
            <w:tcW w:w="280" w:type="dxa"/>
            <w:vAlign w:val="bottom"/>
          </w:tcPr>
          <w:p>
            <w:pPr>
              <w:spacing w:after="0"/>
              <w:rPr>
                <w:sz w:val="14"/>
                <w:szCs w:val="14"/>
                <w:color w:val="auto"/>
              </w:rPr>
            </w:pPr>
          </w:p>
        </w:tc>
        <w:tc>
          <w:tcPr>
            <w:tcW w:w="1260" w:type="dxa"/>
            <w:vAlign w:val="bottom"/>
            <w:gridSpan w:val="3"/>
          </w:tcPr>
          <w:p>
            <w:pPr>
              <w:ind w:left="160"/>
              <w:spacing w:after="0" w:line="172" w:lineRule="exact"/>
              <w:rPr>
                <w:sz w:val="20"/>
                <w:szCs w:val="20"/>
                <w:color w:val="auto"/>
              </w:rPr>
            </w:pPr>
            <w:r>
              <w:rPr>
                <w:rFonts w:ascii="Arial" w:cs="Arial" w:eastAsia="Arial" w:hAnsi="Arial"/>
                <w:sz w:val="16"/>
                <w:szCs w:val="16"/>
                <w:b w:val="1"/>
                <w:bCs w:val="1"/>
                <w:color w:val="auto"/>
              </w:rPr>
              <w:t>Ba3</w:t>
            </w:r>
          </w:p>
        </w:tc>
        <w:tc>
          <w:tcPr>
            <w:tcW w:w="1060" w:type="dxa"/>
            <w:vAlign w:val="bottom"/>
            <w:gridSpan w:val="2"/>
          </w:tcPr>
          <w:p>
            <w:pPr>
              <w:ind w:left="260"/>
              <w:spacing w:after="0" w:line="172" w:lineRule="exact"/>
              <w:rPr>
                <w:sz w:val="20"/>
                <w:szCs w:val="20"/>
                <w:color w:val="auto"/>
              </w:rPr>
            </w:pPr>
            <w:r>
              <w:rPr>
                <w:rFonts w:ascii="Arial" w:cs="Arial" w:eastAsia="Arial" w:hAnsi="Arial"/>
                <w:sz w:val="16"/>
                <w:szCs w:val="16"/>
                <w:b w:val="1"/>
                <w:bCs w:val="1"/>
                <w:color w:val="auto"/>
              </w:rPr>
              <w:t>B1</w:t>
            </w:r>
          </w:p>
        </w:tc>
        <w:tc>
          <w:tcPr>
            <w:tcW w:w="320" w:type="dxa"/>
            <w:vAlign w:val="bottom"/>
          </w:tcPr>
          <w:p>
            <w:pPr>
              <w:spacing w:after="0"/>
              <w:rPr>
                <w:sz w:val="14"/>
                <w:szCs w:val="14"/>
                <w:color w:val="auto"/>
              </w:rPr>
            </w:pPr>
          </w:p>
        </w:tc>
        <w:tc>
          <w:tcPr>
            <w:tcW w:w="980" w:type="dxa"/>
            <w:vAlign w:val="bottom"/>
            <w:gridSpan w:val="2"/>
          </w:tcPr>
          <w:p>
            <w:pPr>
              <w:jc w:val="center"/>
              <w:ind w:right="420"/>
              <w:spacing w:after="0" w:line="172" w:lineRule="exact"/>
              <w:rPr>
                <w:sz w:val="20"/>
                <w:szCs w:val="20"/>
                <w:color w:val="auto"/>
              </w:rPr>
            </w:pPr>
            <w:r>
              <w:rPr>
                <w:rFonts w:ascii="Arial" w:cs="Arial" w:eastAsia="Arial" w:hAnsi="Arial"/>
                <w:sz w:val="16"/>
                <w:szCs w:val="16"/>
                <w:b w:val="1"/>
                <w:bCs w:val="1"/>
                <w:color w:val="auto"/>
                <w:w w:val="97"/>
              </w:rPr>
              <w:t>B2</w:t>
            </w:r>
          </w:p>
        </w:tc>
        <w:tc>
          <w:tcPr>
            <w:tcW w:w="300" w:type="dxa"/>
            <w:vAlign w:val="bottom"/>
          </w:tcPr>
          <w:p>
            <w:pPr>
              <w:spacing w:after="0"/>
              <w:rPr>
                <w:sz w:val="14"/>
                <w:szCs w:val="14"/>
                <w:color w:val="auto"/>
              </w:rPr>
            </w:pPr>
          </w:p>
        </w:tc>
        <w:tc>
          <w:tcPr>
            <w:tcW w:w="1240" w:type="dxa"/>
            <w:vAlign w:val="bottom"/>
            <w:gridSpan w:val="3"/>
          </w:tcPr>
          <w:p>
            <w:pPr>
              <w:ind w:left="200"/>
              <w:spacing w:after="0" w:line="172" w:lineRule="exact"/>
              <w:rPr>
                <w:sz w:val="20"/>
                <w:szCs w:val="20"/>
                <w:color w:val="auto"/>
              </w:rPr>
            </w:pPr>
            <w:r>
              <w:rPr>
                <w:rFonts w:ascii="Arial" w:cs="Arial" w:eastAsia="Arial" w:hAnsi="Arial"/>
                <w:sz w:val="16"/>
                <w:szCs w:val="16"/>
                <w:b w:val="1"/>
                <w:bCs w:val="1"/>
                <w:color w:val="auto"/>
              </w:rPr>
              <w:t>B3</w:t>
            </w:r>
          </w:p>
        </w:tc>
        <w:tc>
          <w:tcPr>
            <w:tcW w:w="1300" w:type="dxa"/>
            <w:vAlign w:val="bottom"/>
            <w:gridSpan w:val="3"/>
          </w:tcPr>
          <w:p>
            <w:pPr>
              <w:ind w:left="140"/>
              <w:spacing w:after="0" w:line="172" w:lineRule="exact"/>
              <w:rPr>
                <w:sz w:val="20"/>
                <w:szCs w:val="20"/>
                <w:color w:val="auto"/>
              </w:rPr>
            </w:pPr>
            <w:r>
              <w:rPr>
                <w:rFonts w:ascii="Arial" w:cs="Arial" w:eastAsia="Arial" w:hAnsi="Arial"/>
                <w:sz w:val="15"/>
                <w:szCs w:val="15"/>
                <w:b w:val="1"/>
                <w:bCs w:val="1"/>
                <w:color w:val="auto"/>
              </w:rPr>
              <w:t>N/A</w:t>
            </w:r>
            <w:r>
              <w:rPr>
                <w:rFonts w:ascii="Arial" w:cs="Arial" w:eastAsia="Arial" w:hAnsi="Arial"/>
                <w:sz w:val="19"/>
                <w:szCs w:val="19"/>
                <w:b w:val="1"/>
                <w:bCs w:val="1"/>
                <w:i w:val="1"/>
                <w:iCs w:val="1"/>
                <w:color w:val="auto"/>
                <w:vertAlign w:val="superscript"/>
              </w:rPr>
              <w:t>(1)</w:t>
            </w:r>
          </w:p>
        </w:tc>
        <w:tc>
          <w:tcPr>
            <w:tcW w:w="1020" w:type="dxa"/>
            <w:vAlign w:val="bottom"/>
          </w:tcPr>
          <w:p>
            <w:pPr>
              <w:jc w:val="right"/>
              <w:ind w:right="375"/>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0"/>
              </w:rPr>
              <w:t>Investments in leases - direct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financing, sales-type and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financing receivable,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1,527,776</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3"/>
            <w:vMerge w:val="restart"/>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8,926,229</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280,240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3"/>
            <w:vMerge w:val="restart"/>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300" w:type="dxa"/>
            <w:vAlign w:val="bottom"/>
            <w:gridSpan w:val="3"/>
            <w:vMerge w:val="restart"/>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10,734,245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6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130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We estimate the CECL allowance for the Chelsea Piers Mortgage Loan using a traditional commercial real estate model based on standardized credit metrics to estimate potential losses.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Other Assets and Other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September 30, 2020 and December 31, 2019:</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6"/>
                <w:szCs w:val="16"/>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2020</w:t>
            </w:r>
          </w:p>
        </w:tc>
        <w:tc>
          <w:tcPr>
            <w:tcW w:w="240" w:type="dxa"/>
            <w:vAlign w:val="bottom"/>
          </w:tcPr>
          <w:p>
            <w:pPr>
              <w:spacing w:after="0"/>
              <w:rPr>
                <w:sz w:val="16"/>
                <w:szCs w:val="16"/>
                <w:color w:val="auto"/>
              </w:rPr>
            </w:pPr>
          </w:p>
        </w:tc>
        <w:tc>
          <w:tcPr>
            <w:tcW w:w="1800" w:type="dxa"/>
            <w:vAlign w:val="bottom"/>
          </w:tcPr>
          <w:p>
            <w:pPr>
              <w:jc w:val="right"/>
              <w:ind w:right="271"/>
              <w:spacing w:after="0"/>
              <w:rPr>
                <w:sz w:val="20"/>
                <w:szCs w:val="20"/>
                <w:color w:val="auto"/>
              </w:rPr>
            </w:pPr>
            <w:r>
              <w:rPr>
                <w:rFonts w:ascii="Arial" w:cs="Arial" w:eastAsia="Arial" w:hAnsi="Arial"/>
                <w:sz w:val="16"/>
                <w:szCs w:val="16"/>
                <w:b w:val="1"/>
                <w:bCs w:val="1"/>
                <w:color w:val="auto"/>
                <w:w w:val="98"/>
              </w:rPr>
              <w:t>December 31,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Sales-type sub-leases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69,704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70,406</w:t>
            </w: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w:t>
            </w: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Debt financing costs</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9,542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14,575</w:t>
            </w: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Tenant receivables</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Deferred acquisition costs</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11,134</w:t>
            </w: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60,111</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3,252</w:t>
            </w: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29"/>
        </w:trPr>
        <w:tc>
          <w:tcPr>
            <w:tcW w:w="7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September 30, 2020 and December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September 30, 2020</w:t>
            </w:r>
          </w:p>
        </w:tc>
        <w:tc>
          <w:tcPr>
            <w:tcW w:w="100" w:type="dxa"/>
            <w:vAlign w:val="bottom"/>
          </w:tcPr>
          <w:p>
            <w:pPr>
              <w:spacing w:after="0"/>
              <w:rPr>
                <w:sz w:val="16"/>
                <w:szCs w:val="16"/>
                <w:color w:val="auto"/>
              </w:rPr>
            </w:pPr>
          </w:p>
        </w:tc>
        <w:tc>
          <w:tcPr>
            <w:tcW w:w="206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rPr>
              <w:t>December 31, 2019</w:t>
            </w:r>
          </w:p>
        </w:tc>
        <w:tc>
          <w:tcPr>
            <w:tcW w:w="2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14,805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80,591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78,674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(10,887)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 net</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80" w:type="dxa"/>
            <w:vAlign w:val="bottom"/>
            <w:gridSpan w:val="5"/>
          </w:tcPr>
          <w:p>
            <w:pPr>
              <w:jc w:val="right"/>
              <w:ind w:right="133"/>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60" w:type="dxa"/>
            <w:vAlign w:val="bottom"/>
            <w:gridSpan w:val="5"/>
          </w:tcPr>
          <w:p>
            <w:pPr>
              <w:jc w:val="center"/>
              <w:ind w:right="651"/>
              <w:spacing w:after="0"/>
              <w:rPr>
                <w:sz w:val="20"/>
                <w:szCs w:val="20"/>
                <w:color w:val="auto"/>
              </w:rPr>
            </w:pPr>
            <w:r>
              <w:rPr>
                <w:rFonts w:ascii="Arial" w:cs="Arial" w:eastAsia="Arial" w:hAnsi="Arial"/>
                <w:sz w:val="16"/>
                <w:szCs w:val="16"/>
                <w:b w:val="1"/>
                <w:bCs w:val="1"/>
                <w:color w:val="auto"/>
                <w:w w:val="92"/>
              </w:rPr>
              <w:t>Nine Months Ended</w:t>
            </w: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6"/>
                <w:szCs w:val="16"/>
                <w:b w:val="1"/>
                <w:bCs w:val="1"/>
                <w:color w:val="auto"/>
                <w:w w:val="93"/>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line="172" w:lineRule="exact"/>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435"/>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31"/>
              <w:spacing w:after="0" w:line="172"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September 30, 2020 and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6"/>
                <w:szCs w:val="16"/>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2020</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sub-lease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Derivative liability</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65,078</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21,023</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other compensation</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3,382</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other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123,918</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September 30, 2020 and December 31,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140" w:type="dxa"/>
            <w:vAlign w:val="bottom"/>
            <w:gridSpan w:val="4"/>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gridSpan w:val="8"/>
          </w:tcPr>
          <w:p>
            <w:pPr>
              <w:jc w:val="center"/>
              <w:ind w:left="115"/>
              <w:spacing w:after="0"/>
              <w:rPr>
                <w:sz w:val="20"/>
                <w:szCs w:val="20"/>
                <w:color w:val="auto"/>
              </w:rPr>
            </w:pPr>
            <w:r>
              <w:rPr>
                <w:rFonts w:ascii="Arial" w:cs="Arial" w:eastAsia="Arial" w:hAnsi="Arial"/>
                <w:sz w:val="16"/>
                <w:szCs w:val="16"/>
                <w:b w:val="1"/>
                <w:bCs w:val="1"/>
                <w:color w:val="auto"/>
                <w:w w:val="90"/>
              </w:rPr>
              <w:t>September 30, 2020</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20" w:type="dxa"/>
            <w:vAlign w:val="bottom"/>
          </w:tcPr>
          <w:p>
            <w:pPr>
              <w:spacing w:after="0"/>
              <w:rPr>
                <w:sz w:val="13"/>
                <w:szCs w:val="13"/>
                <w:color w:val="auto"/>
              </w:rPr>
            </w:pPr>
          </w:p>
        </w:tc>
        <w:tc>
          <w:tcPr>
            <w:tcW w:w="1060" w:type="dxa"/>
            <w:vAlign w:val="bottom"/>
            <w:gridSpan w:val="3"/>
          </w:tcPr>
          <w:p>
            <w:pPr>
              <w:jc w:val="center"/>
              <w:ind w:right="140"/>
              <w:spacing w:after="0" w:line="155" w:lineRule="exact"/>
              <w:rPr>
                <w:sz w:val="20"/>
                <w:szCs w:val="20"/>
                <w:color w:val="auto"/>
              </w:rPr>
            </w:pPr>
            <w:r>
              <w:rPr>
                <w:rFonts w:ascii="Arial" w:cs="Arial" w:eastAsia="Arial" w:hAnsi="Arial"/>
                <w:sz w:val="16"/>
                <w:szCs w:val="16"/>
                <w:b w:val="1"/>
                <w:bCs w:val="1"/>
                <w:color w:val="auto"/>
                <w:w w:val="96"/>
              </w:rPr>
              <w:t>Final</w:t>
            </w:r>
          </w:p>
        </w:tc>
        <w:tc>
          <w:tcPr>
            <w:tcW w:w="40" w:type="dxa"/>
            <w:vAlign w:val="bottom"/>
          </w:tcPr>
          <w:p>
            <w:pPr>
              <w:spacing w:after="0"/>
              <w:rPr>
                <w:sz w:val="13"/>
                <w:szCs w:val="13"/>
                <w:color w:val="auto"/>
              </w:rPr>
            </w:pPr>
          </w:p>
        </w:tc>
        <w:tc>
          <w:tcPr>
            <w:tcW w:w="1180" w:type="dxa"/>
            <w:vAlign w:val="bottom"/>
            <w:gridSpan w:val="3"/>
            <w:vMerge w:val="restart"/>
          </w:tcPr>
          <w:p>
            <w:pPr>
              <w:jc w:val="center"/>
              <w:ind w:right="16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Face Value</w:t>
            </w:r>
          </w:p>
        </w:tc>
        <w:tc>
          <w:tcPr>
            <w:tcW w:w="4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3"/>
                <w:szCs w:val="23"/>
                <w:i w:val="1"/>
                <w:iCs w:val="1"/>
                <w:color w:val="auto"/>
                <w:w w:val="95"/>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Maturity</w:t>
            </w:r>
          </w:p>
        </w:tc>
        <w:tc>
          <w:tcPr>
            <w:tcW w:w="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VICI PropCo Senior Secured Credit Facilities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L + 2.00%</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3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3"/>
              </w:rPr>
              <w:t>L + 1.75%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2025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4"/>
          </w:tcPr>
          <w:p>
            <w:pPr>
              <w:ind w:left="200"/>
              <w:spacing w:after="0"/>
              <w:rPr>
                <w:sz w:val="20"/>
                <w:szCs w:val="20"/>
                <w:color w:val="auto"/>
              </w:rPr>
            </w:pPr>
            <w:r>
              <w:rPr>
                <w:rFonts w:ascii="Arial" w:cs="Arial" w:eastAsia="Arial" w:hAnsi="Arial"/>
                <w:sz w:val="18"/>
                <w:szCs w:val="18"/>
                <w:color w:val="auto"/>
              </w:rPr>
              <w:t>2026 Notes</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4.250%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1,232,405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2027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00"/>
              <w:spacing w:after="0"/>
              <w:rPr>
                <w:sz w:val="20"/>
                <w:szCs w:val="20"/>
                <w:color w:val="auto"/>
              </w:rPr>
            </w:pPr>
            <w:r>
              <w:rPr>
                <w:rFonts w:ascii="Arial" w:cs="Arial" w:eastAsia="Arial" w:hAnsi="Arial"/>
                <w:sz w:val="18"/>
                <w:szCs w:val="18"/>
                <w:color w:val="auto"/>
              </w:rPr>
              <w:t>2029 Notes</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4.625%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985,330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2030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6,761,832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6140" w:type="dxa"/>
            <w:vAlign w:val="bottom"/>
            <w:gridSpan w:val="4"/>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8"/>
          </w:tcPr>
          <w:p>
            <w:pPr>
              <w:jc w:val="center"/>
              <w:ind w:left="135"/>
              <w:spacing w:after="0"/>
              <w:rPr>
                <w:sz w:val="20"/>
                <w:szCs w:val="20"/>
                <w:color w:val="auto"/>
              </w:rPr>
            </w:pPr>
            <w:r>
              <w:rPr>
                <w:rFonts w:ascii="Arial" w:cs="Arial" w:eastAsia="Arial" w:hAnsi="Arial"/>
                <w:sz w:val="16"/>
                <w:szCs w:val="16"/>
                <w:b w:val="1"/>
                <w:bCs w:val="1"/>
                <w:color w:val="auto"/>
                <w:w w:val="90"/>
              </w:rPr>
              <w:t>December 31, 2019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20" w:type="dxa"/>
            <w:vAlign w:val="bottom"/>
          </w:tcPr>
          <w:p>
            <w:pPr>
              <w:spacing w:after="0"/>
              <w:rPr>
                <w:sz w:val="13"/>
                <w:szCs w:val="13"/>
                <w:color w:val="auto"/>
              </w:rPr>
            </w:pPr>
          </w:p>
        </w:tc>
        <w:tc>
          <w:tcPr>
            <w:tcW w:w="1060" w:type="dxa"/>
            <w:vAlign w:val="bottom"/>
            <w:gridSpan w:val="3"/>
          </w:tcPr>
          <w:p>
            <w:pPr>
              <w:jc w:val="center"/>
              <w:ind w:right="60"/>
              <w:spacing w:after="0" w:line="155" w:lineRule="exact"/>
              <w:rPr>
                <w:sz w:val="20"/>
                <w:szCs w:val="20"/>
                <w:color w:val="auto"/>
              </w:rPr>
            </w:pPr>
            <w:r>
              <w:rPr>
                <w:rFonts w:ascii="Arial" w:cs="Arial" w:eastAsia="Arial" w:hAnsi="Arial"/>
                <w:sz w:val="16"/>
                <w:szCs w:val="16"/>
                <w:b w:val="1"/>
                <w:bCs w:val="1"/>
                <w:color w:val="auto"/>
                <w:w w:val="96"/>
              </w:rPr>
              <w:t>Final</w:t>
            </w:r>
          </w:p>
        </w:tc>
        <w:tc>
          <w:tcPr>
            <w:tcW w:w="40" w:type="dxa"/>
            <w:vAlign w:val="bottom"/>
          </w:tcPr>
          <w:p>
            <w:pPr>
              <w:spacing w:after="0"/>
              <w:rPr>
                <w:sz w:val="13"/>
                <w:szCs w:val="13"/>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Face Value</w:t>
            </w:r>
          </w:p>
        </w:tc>
        <w:tc>
          <w:tcPr>
            <w:tcW w:w="4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4"/>
              </w:rPr>
              <w:t>Carrying Value</w:t>
            </w:r>
            <w:r>
              <w:rPr>
                <w:rFonts w:ascii="Arial" w:cs="Arial" w:eastAsia="Arial" w:hAnsi="Arial"/>
                <w:sz w:val="23"/>
                <w:szCs w:val="23"/>
                <w:i w:val="1"/>
                <w:iCs w:val="1"/>
                <w:color w:val="auto"/>
                <w:w w:val="94"/>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9"/>
              </w:rPr>
              <w:t>Maturity</w:t>
            </w:r>
          </w:p>
        </w:tc>
        <w:tc>
          <w:tcPr>
            <w:tcW w:w="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0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VICI PropCo Senior Secured Credit Facilities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4"/>
          </w:tcPr>
          <w:p>
            <w:pPr>
              <w:ind w:left="2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L + 2.00%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3"/>
              </w:rPr>
              <w:t>L + 2.00%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2,076,962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00"/>
              <w:spacing w:after="0" w:line="230" w:lineRule="exact"/>
              <w:rPr>
                <w:sz w:val="20"/>
                <w:szCs w:val="20"/>
                <w:color w:val="auto"/>
              </w:rPr>
            </w:pPr>
            <w:r>
              <w:rPr>
                <w:rFonts w:ascii="Arial" w:cs="Arial" w:eastAsia="Arial" w:hAnsi="Arial"/>
                <w:sz w:val="18"/>
                <w:szCs w:val="18"/>
                <w:color w:val="auto"/>
              </w:rPr>
              <w:t xml:space="preserve">Second Lien Notes </w:t>
            </w:r>
            <w:r>
              <w:rPr>
                <w:rFonts w:ascii="Arial" w:cs="Arial" w:eastAsia="Arial" w:hAnsi="Arial"/>
                <w:sz w:val="23"/>
                <w:szCs w:val="23"/>
                <w:i w:val="1"/>
                <w:iCs w:val="1"/>
                <w:color w:val="auto"/>
                <w:vertAlign w:val="superscript"/>
              </w:rPr>
              <w:t>(5)</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498,480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498,480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4"/>
          </w:tcPr>
          <w:p>
            <w:pPr>
              <w:ind w:left="200"/>
              <w:spacing w:after="0"/>
              <w:rPr>
                <w:sz w:val="20"/>
                <w:szCs w:val="20"/>
                <w:color w:val="auto"/>
              </w:rPr>
            </w:pPr>
            <w:r>
              <w:rPr>
                <w:rFonts w:ascii="Arial" w:cs="Arial" w:eastAsia="Arial" w:hAnsi="Arial"/>
                <w:sz w:val="18"/>
                <w:szCs w:val="18"/>
                <w:color w:val="auto"/>
              </w:rPr>
              <w:t>2026 Notes</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4.250%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1,231,227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2029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4.625%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4,848,480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4,791,563</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On May 15, 2019, we amended our Revolving Credit Facility to, among other things, increase borrowing capacity by $600.0 million to a total of $1.0 billion and extend the maturity date to May 2024. After giving effect to the amendments executed on May 15, 2019, borrowings under the Revolving Credit Facility will bear interest at a rate based on a leverage-based pricing grid with a range of 1.75% to 2.00% over LIBOR, or between 0.75% and 1.00% over the base rate depending on our total net debt to adjusted total assets ratio. Additionally, after giving effect to the amendments executed on May 15, 2019, the commitment fee under the Revolving Credit Facility is calculated on a leverage-based pricing grid with a range of 0.375% to 0.5%, in each case depending on our total net debt to adjusted total assets ratio. For the three and nine months ended September 30, 2020, the commitment fee was 0.375%.</w:t>
      </w:r>
    </w:p>
    <w:p>
      <w:pPr>
        <w:spacing w:after="0" w:line="2"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In connection with the repricing of the Term Loan B Facility in January 2020, the interest rate was decreased to LIBOR plus 1.75%. As of September 30, 2020 and December 31, 2019, we had six interest rate swap agreements outstanding with third-party financial institutions having an aggregate notional amount of $2.0 billion at a blended LIBOR rate of 2.7173%.</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 Second Lien Notes were redeemed in full on February 20, 2020 with a portion of the proceeds from the February 2020 Senior Unsecured Notes offering.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380" w:type="dxa"/>
            <w:vAlign w:val="bottom"/>
          </w:tcPr>
          <w:p>
            <w:pPr>
              <w:jc w:val="center"/>
              <w:ind w:left="961"/>
              <w:spacing w:after="0"/>
              <w:rPr>
                <w:sz w:val="20"/>
                <w:szCs w:val="20"/>
                <w:color w:val="auto"/>
              </w:rPr>
            </w:pPr>
            <w:r>
              <w:rPr>
                <w:rFonts w:ascii="Arial" w:cs="Arial" w:eastAsia="Arial" w:hAnsi="Arial"/>
                <w:sz w:val="20"/>
                <w:szCs w:val="20"/>
                <w:b w:val="1"/>
                <w:bCs w:val="1"/>
                <w:color w:val="auto"/>
              </w:rPr>
              <w:t>VICI PROPERTIES INC.</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380" w:type="dxa"/>
            <w:vAlign w:val="bottom"/>
          </w:tcPr>
          <w:p>
            <w:pPr>
              <w:jc w:val="center"/>
              <w:ind w:left="981"/>
              <w:spacing w:after="0"/>
              <w:rPr>
                <w:sz w:val="20"/>
                <w:szCs w:val="20"/>
                <w:color w:val="auto"/>
              </w:rPr>
            </w:pPr>
            <w:r>
              <w:rPr>
                <w:rFonts w:ascii="Arial" w:cs="Arial" w:eastAsia="Arial" w:hAnsi="Arial"/>
                <w:sz w:val="20"/>
                <w:szCs w:val="20"/>
                <w:b w:val="1"/>
                <w:bCs w:val="1"/>
                <w:color w:val="auto"/>
                <w:w w:val="97"/>
              </w:rPr>
              <w:t>NOTES TO CONSOLIDATED FINANCIAL STATEMENTS (Continued)</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380" w:type="dxa"/>
            <w:vAlign w:val="bottom"/>
          </w:tcPr>
          <w:p>
            <w:pPr>
              <w:jc w:val="center"/>
              <w:ind w:left="961"/>
              <w:spacing w:after="0"/>
              <w:rPr>
                <w:sz w:val="20"/>
                <w:szCs w:val="20"/>
                <w:color w:val="auto"/>
              </w:rPr>
            </w:pPr>
            <w:r>
              <w:rPr>
                <w:rFonts w:ascii="Arial" w:cs="Arial" w:eastAsia="Arial" w:hAnsi="Arial"/>
                <w:sz w:val="20"/>
                <w:szCs w:val="20"/>
                <w:b w:val="1"/>
                <w:bCs w:val="1"/>
                <w:color w:val="auto"/>
              </w:rPr>
              <w:t>(UNAUDITED)</w:t>
            </w: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928"/>
        </w:trPr>
        <w:tc>
          <w:tcPr>
            <w:tcW w:w="9280" w:type="dxa"/>
            <w:vAlign w:val="bottom"/>
            <w:gridSpan w:val="3"/>
          </w:tcPr>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September 30, 2020:</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rPr>
              <w:t>Future Minimum</w:t>
            </w:r>
          </w:p>
        </w:tc>
      </w:tr>
      <w:tr>
        <w:trPr>
          <w:trHeight w:val="189"/>
        </w:trPr>
        <w:tc>
          <w:tcPr>
            <w:tcW w:w="20" w:type="dxa"/>
            <w:vAlign w:val="bottom"/>
          </w:tcPr>
          <w:p>
            <w:pPr>
              <w:spacing w:after="0"/>
              <w:rPr>
                <w:sz w:val="16"/>
                <w:szCs w:val="16"/>
                <w:color w:val="auto"/>
              </w:rPr>
            </w:pPr>
          </w:p>
        </w:tc>
        <w:tc>
          <w:tcPr>
            <w:tcW w:w="9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6"/>
                <w:szCs w:val="16"/>
                <w:color w:val="auto"/>
              </w:rPr>
            </w:pPr>
          </w:p>
        </w:tc>
        <w:tc>
          <w:tcPr>
            <w:tcW w:w="1740" w:type="dxa"/>
            <w:vAlign w:val="bottom"/>
          </w:tcPr>
          <w:p>
            <w:pPr>
              <w:jc w:val="right"/>
              <w:ind w:right="510"/>
              <w:spacing w:after="0" w:line="189" w:lineRule="exact"/>
              <w:rPr>
                <w:sz w:val="20"/>
                <w:szCs w:val="20"/>
                <w:color w:val="auto"/>
              </w:rPr>
            </w:pPr>
            <w:r>
              <w:rPr>
                <w:rFonts w:ascii="Arial" w:cs="Arial" w:eastAsia="Arial" w:hAnsi="Arial"/>
                <w:sz w:val="18"/>
                <w:szCs w:val="18"/>
                <w:b w:val="1"/>
                <w:bCs w:val="1"/>
                <w:color w:val="auto"/>
              </w:rPr>
              <w:t>Payments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(remaining)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8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22,000</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2,068,000</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Total minimum repayments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26, 2019, the Operating Partnership and the Co-Issuer (together with the Operating Partnership, the “Issuers”), wholly owned subsidiaries of the Company issued (i) $1,250.0 million in aggregate principal amount of 2026 Notes under an indenture dated as of November 26, 2019 (the “2026 Notes Indenture”), among the Issuers, the subsidiary guarantors party thereto and UMB Bank, National Association, as trustee (the “Trustee”), and (ii) $1,000.0 million in aggregate principal amount of 2029 Notes under an indenture dated as of November 26, 2019 (the “2029 Notes Indenture” and, together with the 2026 Notes Indenture, the “2019 Senior Unsecured Notes Indentures”), among the Issuers, the subsidiary guarantors party thereto and the Trustee. We used a portion of the net proceeds of the offering to repay in full the CPLV CMBS Debt, and pay certain fees and expenses including the net prepayment penalty of $55.4 million. On January 24, 2020, the remaining net proceeds were used to pay for a portion of the purchase price of the JACK Cleveland/Thistledown Acquisition. The 2026 Notes will mature on December 1, 2026, and the 2029 Notes will mature on December 1, 2029. Interest on the 2026 Notes will accrue at a rate of 4.250% per annum, and interest on the 2029 Notes will accrue at a rate of 4.625% per annum.</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February 5, 2020, the Issuers issued (i) $750.0 million in aggregate principal amount of 2025 Notes under an indenture dated as of February 5, 2020 (the “2025 Notes Indenture”), among the Issuers, the subsidiary guarantors party thereto and the Trustee, (ii) $750.0 million in aggregate principal amount of 2027 Notes under an indenture dated as of February 5, 2020 (the “2027 Notes Indenture”), among the Issuers, the subsidiary guarantors party thereto and the Trustee and (iii) $1.0 billion in aggregate principal amount of 2030 Notes under an indenture dated as of February 5, 2020 (the “2030 Notes Indenture” and, together with the 2025 Notes Indenture and the 2027 Notes Indenture, the “2020 Senior Unsecured Notes Indentures”), among the Issuers, the subsidiary guarantors party thereto and the Trustee. The 2020 Senior Unsecured Notes Indentures, together with the 2019 Senior Unsecured Notes Indentures, are referred to as the “Senior Unsecured Notes Indentures”. We placed $2.0 billion of the net proceeds of the February 2020 Senior Unsecured Notes offering into escrow pending the consummation of the Eldorado Transaction (which was subsequently released from escrow and used to fund a portion of the purchase price of the Eldorado Transaction on July 20, 2020), and used the remaining net proceeds from the 2025 Notes, together with cash on hand, to redeem in full the outstanding $498.5 million in aggregate principal amount of the Second Lien Notes plus the Second Lien Notes Applicable Premium (as defined in the Second Lien Notes indenture), for a total redemption cost of approximately $537.5 million. The 2025 Notes will mature on February 15, 2025, the 2027 Notes will mature on February 15, 2027 and the 2030 Notes will mature on August 15, 2030. Interest on the 2025 Notes accrues at a rate of 3.500% per annum, interest on the 2027 Notes accrues at a rate of 3.750% per annum and interest on the 2030 Notes accrues at a rate of 4.125% per annum.</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November 2019 Senior Unsecured Notes and the February 2020 Senior Unsecured Notes (together, the “Senior Unsecured Notes”) were sold in the United States only to accredited investors pursuant to an exemption from the Securities Act of 1933, as amended (the “Securities Act”), and subsequently resold to persons reasonably believed to be qualified institutional buyers pursuant to Rule 144A under the Securities Act and to non-U.S. persons in accordance with Regulation S under the Securities Act.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November 2019 Senior Unsecured Notes is payable semi-annually in cash in arrears on June 1 and December 1 of each year, commencing on June 1, 2020. Interest on the February 2020 Senior Unsecured Notes is payable semi-annually in cash in arrears on February 15 and August 15 of each year, commencing on August 15, 2020. The Senior Unsecured Notes are fully and unconditionally guaranteed, jointly and severally, on a senior unsecured basis by each existing and future direct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indirect wholly owned material domestic subsidiary of the Operating Partnership that incurs or guarantees certain bank indebtedness or any other material capital market indebtedness, other than certain excluded subsidiaries and the Co-Issuer.</w:t>
      </w:r>
    </w:p>
    <w:p>
      <w:pPr>
        <w:spacing w:after="0" w:line="116" w:lineRule="exact"/>
        <w:rPr>
          <w:sz w:val="20"/>
          <w:szCs w:val="20"/>
          <w:color w:val="auto"/>
        </w:rPr>
      </w:pPr>
    </w:p>
    <w:p>
      <w:pPr>
        <w:jc w:val="both"/>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Operating Partnership and its subsidiaries represent our “Real Property Business” segment, with the “Golf Course Business” segment corresponding to the portion of our business operated through entities that are not direct or indirect subsidiaries of the Operating Partnership or obligors of the Senior Unsecured Notes. Refer to </w:t>
      </w:r>
      <w:hyperlink w:anchor="page50">
        <w:r>
          <w:rPr>
            <w:rFonts w:ascii="Arial" w:cs="Arial" w:eastAsia="Arial" w:hAnsi="Arial"/>
            <w:sz w:val="18"/>
            <w:szCs w:val="18"/>
            <w:u w:val="single" w:color="auto"/>
            <w:color w:val="0000FF"/>
          </w:rPr>
          <w:t>“Note 15 - Segment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about our segments.</w:t>
      </w:r>
    </w:p>
    <w:p>
      <w:pPr>
        <w:spacing w:after="0" w:line="13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Issuers may redeem the 2025 Notes at any time prior to February 15, 2022, in whole or in part, at a redemption price equal to 100% of the accrued principal amount thereof plus unpaid interest, if any, to the redemption date plus a make-whole premium. The Issuers may redeem the 2025 Notes, in whole or in part, at any time on or after February 15, 2022, at a redemption price of (i) 101.750% of the principal amount should such redemption occur before February 15, 2023, (ii) 100.875% of the principal amount should such redemption occur before February 15, 2024 and (iii) 100% of the principal amount should such redemption occur on or after February 15, 2024, in each case plus accrued and unpaid interest, if any, to, but excluding, the redemption date. The Issuers may redeem the 2026 Notes at any time prior to December 1, 2022, in whole or in part, at a redemption price equal to 100% of the accrued principal amount thereof plus unpaid interest, if any, to the redemption date plus a make-whole premium. The Issuers may redeem the 2026 Notes, in whole or in part, at any time on or after December 1, 2022 at the redemption price of (i) 102.125% of the principal amount should such redemption occur before December 1, 2023, (ii) 101.063% of the principal amount should such redemption occur before December 1, 2024 and (iii) 100% of the principal amount should such redemption occur on or after December 1, 2024, in each case plus accrued and unpaid interest, if any, to, but excluding, the redemption date. The Issuers may redeem the 2027 Notes at any time prior to February 15, 2023, in whole or in part, at a redemption price equal to 100% of the accrued principal amount thereof plus unpaid interest, if any, to the redemption date plus a make-whole premium. The Issuers may redeem the 2027 Notes, in whole or in part, at any time on or after February 15, 2023, at a redemption price of (i) 101.875% of the principal amount should such redemption occur before February 15, 2024, (ii) 100.938% of the principal amount should such redemption occur before February 15, 2025 and (iii) 100% of the principal amount should such redemption occur on or after February 15, 2025, in each case plus accrued and unpaid interest, if any, to, but excluding, the redemption date. The Issuers may redeem the 2029 Notes at any time prior to December 1, 2024, in whole or in part, at a redemption price equal to 100% of the accrued principal amount thereof plus unpaid interest, if any, to the redemption date plus a make-whole premium. The Issuers may redeem the 2029 Notes, in whole or in part, at any time on or after December 1, 2024 at the redemption price of (i) 102.313% of the principal amount should such redemption occur before December 1, 2025, (ii) 101.541% of the principal amount should such redemption occur before December 1, 2026, (iii) 100.771% of the principal amount should such redemption occur before December 1, 2027 and (iv) 100% of the principal amount should such redemption occur on or after December 1, 2027, in each case plus accrued and unpaid interest, if any, to, but excluding, the redemption date. The Issuers may redeem the 2030 Notes at any time prior to February 15, 2025, in whole or in part, at a redemption price equal to 100% of the accrued principal amount thereof plus unpaid interest, if any, to the redemption date plus a make-whole premium. The Issuers may redeem the 2030 Notes, in whole or in part, at any time on or after February 15, 2025, at a redemption price of (i) 102.063% of the principal amount should such redemption occur before February 15, 2026, (ii) 101.375% of the principal amount should such redemption occur before February 15, 2027, (iii) 100.688% of the principal amount should such redemption occur before February 15, 2028 and (iv) 100% of the principal amount should such redemption occur on or after February 15, 2028, in each case plus accrued and unpaid interest, if any, to, but excluding, the redemption date.</w:t>
      </w:r>
    </w:p>
    <w:p>
      <w:pPr>
        <w:spacing w:after="0" w:line="3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before December 1, 2022, the Issuers may redeem up to 40% of the November 2019 Senior Unsecured Notes with the net cash proceeds from certain equity offerings (i) at a redemption price of 104.250% of the principal amount redeemed in the case of the 2026 Notes and (ii) at a redemption price of 104.625% of the principal amount redeemed in the case of the 2029 Notes. However, the Issuers may only make such redemptions if at least 60% of the aggregate principal amount of the series of November 2019 Senior Unsecured Notes issued under the applicable 2019 Senior Unsecured Notes Indenture remains outstanding after the occurrence of such redemption. Before February 15, 2022, the Issuers may redeem up to 40% of the 2025 Notes with the net cash proceeds from certain equity offerings at a redemption price of 103.500% of the principal amount redeemed. Before February 15, 2023, the Issuers may redeem up to 40% of each of the 2027 Notes and the 2030 Notes, as applicable, with the net cash proceeds from certain equity offerings (i) at a redemption price of 103.750% of the principal amount redeemed in the case of the 2027 Notes and (ii) at a redemption price of 104.125% of the principal amount redeemed in the case of the 2030 Notes. However, the Issuers may only make such redemptions if at least 60% of the aggregate principal amount of the series of February 2020 Senior Unsecured Notes issued under the applicable February 2020 Senior Unsecured Notes Indenture remains outstanding after the occurrence of such redemption.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2027 Notes, the 2030 Notes and the portion of the 2025 Notes in excess of the amount applied to redeem the Second Lien Notes were previously subject to special mandatory redemption in accordance with the terms of the applicable Indentures, which terms were satisfied in connection with the closing of the transactions pursuant to the MTA (other than the MTA Properties Acquisitions). As such, the 2027 Notes, the 2030 Notes and the 2025 Notes are no longer subject to a special mandatory redemption.</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Senior Unsecured Notes Indentures contain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Senior Unsecured Notes Indentures), plus the aggregate net proceeds from (i) the sale of certain equity interests in, (ii) capital contributions to, and (iii) certain convertible indebtedness of the Operating Partnership. As of September 30, 2020, the restricted net assets of the Operating Partnership were approximately $7.8 billion.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2017, VICI PropCo entered into a credit agreement (the “Credit Agreement”) comprised of a $2.2 billion Term Loan B Facility and a $400.0 million Revolving Credit Facility (the Term Loan B Facility and the Revolving Credit Facility, as amended as discussed below, are referred to together as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15, 2019, VICI PropCo, entered into Amendment No. 2 (“Amendment No. 2”) to the Credit Agreement, pursuant to which certain lenders agreed to provide VICI PropCo with incremental revolving credit commitments and availability under the revolving credit facility in the aggregate principal amount of $600.0 million on the same terms as VICI Propco’s current revolving credit facility under the Revolving Credit Facility. After giving effect to Amendment No. 2, the Credit Agreement, provided total borrowing capacity pursuant to the revolving credit commitments in the aggregate principal amount of $1.0 billion.</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May 15, 2019, immediately after giving effect to Amendment No. 2, VICI Propco entered into Amendment No. 3 (“Amendment No. 3”, together with Amendment No. 2, the “Amendments”) to the Credit Agreement, which amended and restated the Credit Agreement in its entirety as of May 15, 2019 ( the “Amended and Restated Credit Agreement”) to, among other things, (i) refinance the Revolving Credit Facility in whole with a new class of revolving commitments, (ii) extend the maturity date to May 15, 2024, which represents an extension of the December 22, 2022 maturity date of the Revolving Credit Facility, (iii) provide that borrowings under the Revolving Credit Facility will bear interest at a rate based on a leverage-based pricing grid with a range of between 1.75% to 2.00% over LIBOR, or between 0.75% and 1.00% over the base rate, in each case depending on our total net debt to adjusted total assets ratio, (iv) provide that the commitment fee payable under the Revolving Credit Facility will bear interest at a rate based on a leverage-based pricing grid with a range of between 0.375% to 0.50% depending on our total net debt to adjusted total assets ratio, (v) amend the existing springing financial covenant, which previously required VICI Propco to maintain a total net debt to adjusted asset ratio of not more than 0.75 to 1.00 if there was 30% utilization of the Revolving Credit Facility, to require that, only with respect to the Revolving Credit Facility commencing with the first full fiscal quarter ending after the effectiveness of Amendment No. 3, VICI Propco maintain a maximum total net debt to adjusted asset ratio of not more than 0.65 to 1.00 as of the last day of any fiscal quarter (or, during any fiscal quarter in which certain permitted acquisitions were consummated and the three consecutive fiscal quarters thereafter, not more than 0.70 to 1.00), and (vi) include a new financial covenant only with respect to the Revolving Credit Facility, requiring VICI Propco to maintain, commencing with the first full fiscal quarter after the effectiveness of Amendment No. 3, an interest coverage ratio (defined as EBITDA to interest charges) of not less than 2.00 to 1.00 as of the last day of any fiscal quarter. The Revolving Credit Facility is available to be used for working capital purposes, capital expenditures, permitted acquisitions, permitted investments, permitted restricted payments and for other lawful corporate purposes. The Amended and Restated Credit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 provides for capacity to add incremental loans in an aggregate amount of: (x) $1.2 billion to be used solely to finance certain acquisitions; plus (y) an unlimited amount, subject to VICI Propco not exceeding certain leverage ratios.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Amended and Restated Credit Agreement provides that, in the event the LIBOR Rate is no longer in effect, a comparable or successor rate approved by the Administrative Agent under such facility shall be utilized, provided that such approved rate shall be applied in a manner consistent with market practice.</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Amended and Restated Credit Agreement contains customary covenants that are consistent with those set forth in the Credit Agreement (except as to the financial covenants described above), which,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with respect to the restricted payments covenant, the ability to make unlimited restricted payments to maintain our REIT status and to avoid the payment of federal or state income or excise tax, the ability to make restricted payments in an amount not to exceed 95% of our Funds from Operations (as defined in the Amended and Restated Credit Agreement) subject to no event of default under the Amended and Restated Credit Agreement and pro forma compliance with the financial covenant pursuant to the Amended and Restated Credit Agreement, and the ability to make additional restricted payments in an aggregate amount not to exceed the greater of 0.6% of Adjusted Total Assets or $30.0 million. We are also subject to the financial covenants under the Revolving Credit Facility, as previously described above.</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Senior Secured Credit Facilities are secured by a first priority lien on substantially all of VICI PropCo’s and its existing and subsequently acquired wholly owned material domestic restricted subsidiaries’ material assets, including mortgages on their respective real estate, subject to customary exclusions. None of VICI nor certain subsidiaries of VICI PropCo, including CPLV Borrower, are subject to the covenants of the Amended and Restated Credit Agreement or are guarantors of the Senior Secured Credit Facilities. The Term Loan B Facility may be voluntarily prepaid at VICI PropCo’s option, in whole or in part, at any time, and is subject to mandatory prepayment in the event of receipt by VICI PropCo or any of its restricted subsidiaries of the proceeds from the occurrence of certain events, including asset sales, casualty events and issuance of certain indebtedness.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2018, we completed an initial public offering resulting in net proceeds of approximately $1.3 billion. We used a portion of those proceeds to pay down the $300.0 million outstanding on the Revolving Credit Facility and to repay $100.0 million of the principal amount outstanding on the Term Loan B Facility. Under the Amended and Restated Credit Agreement, the Term Loan B Facility is subject to amortization of 1.0% of principal per annum payable in equal quarterly installments on the last business day of each calendar quarter. However, as a result of prepaying $100.0 million of the Term Loan B Facility in February 2018 the next principal payment due on the Term Loan B Facility is September 2022.</w:t>
      </w:r>
    </w:p>
    <w:p>
      <w:pPr>
        <w:spacing w:after="0" w:line="12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41">
        <w:r>
          <w:rPr>
            <w:rFonts w:ascii="Arial" w:cs="Arial" w:eastAsia="Arial" w:hAnsi="Arial"/>
            <w:sz w:val="18"/>
            <w:szCs w:val="18"/>
            <w:u w:val="single" w:color="auto"/>
            <w:color w:val="0000FF"/>
          </w:rPr>
          <w:t>Note 9 - Derivatives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our interest rate swap agreements related to the Term Loan B Facility.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24, 2019, in connection with the Eldorado Transaction, VICI PropCo entered into the Commitment Letter with the Bridge Lender, pursuant to which and subject to the terms and conditions set forth therein, the Bridge Lender agreed to provide (i) a 364-day first lien secured bridge facility of up to $3.3 billion in the aggregate and (ii) a 364-day second lien secured bridge facility of up to $1.5 billion in the aggregate, for the purpose of providing a portion of the financing necessary to fund the consideration to be paid pursuant to the terms of the Eldorado Transaction documents and related fees and expenses. The Bridge Facilities were subject to a tiered commitment fee based on the period the commitment is outstanding and a structuring fee. The commitment fee was equal to, with respect to any commitments that are terminated prior to July 22, 2019, 0.25% of such commitments, with respect to any commitments that are outstanding on July 22, 2019 and are terminated prior to June 24, 2020, 0.50% of such commitments, with respect to any commitments that are outstanding on June 24, 2020 and are terminated prior to September 24, 2020, 0.75% of such commitments, and with respect to any commitments that are outstanding on September 24, 2020, 1.00% of such commitments. The structuring fee was equal to 0.10% of the total aggregate commitments at the date of the Commitment Letter and is payable as such commitments are terminated. For the nine months ended September 30, 2020, we have recognized $3.1 million of fees related to the Bridge Facilities in Interest expense on our Statement of Operations. No such amount was recognized for the three months ended September 30, 2020 as the Bridge Facilities were terminated in June 2020.</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November 2019 Senior Unsecured Notes offering, the commitments under the Bridge Facilities were reduced by $1.6 billion, to $3.2 billion. Following the February 2020 Senior Unsecured Notes offering, we placed $2.0 billion of the net proceeds of the offering into escrow pending the consummation of the Eldorado Transaction and the commitments under the Bridge Facilities were further reduced by $2.0 billion to $1.2 billion. The commitments under the Bridge Facilities were fully terminated at our election in June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Notes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Second Lien Notes were issued on October 6, 2017, pursuant to an indenture by and among VICI PropCo and its wholly owned subsidiary, VICI FC Inc., the subsidiary guarantors party thereto, and UMB Bank National Association, as trustee. On February 20, 2020 we used a portion of the proceeds from the issuance of the 2025 Notes, together with cash on hand, to redeem in full the Second Lien Notes at a redemption price of 100% of the principal amount of the Second Lien Notes then outstanding plus the Second Lien Notes Applicable Premium, for a total redemption cost of $537.5 million. In connection with the full redemption, we recognized a loss on extinguishment of debt of $39.1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the Operating Partnership,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September 30, 2020, we are in compliance with all financial covenants under our debt obligations.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Derivatives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24, 2018, we entered into four interest rate swap agreements with third-party financial institutions having an aggregate notional amount of $1.5 billion. On January 3, 2019, we entered into two additional interest rate swap agreements with third-party financial institutions having an aggregate notional amount of $500.0 million. The interest rate swap transactions are designated as cash flow hedges that effectively fix the LIBOR component of the interest rate on a portion of the outstanding debt under the Term Loan B Facility at 2.8297% and 2.3802%, respectively. Subsequent to the effectiveness and for the duration of the interest rate swap transactions, we are only subject to interest rate risk on $100.0 million of variable rate debt.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detail our outstanding interest rate derivatives that were designated as cash flow hedges of interest rate risk as of September 30, 2020 and December 31, 2019:</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ind w:left="280"/>
              <w:spacing w:after="0"/>
              <w:rPr>
                <w:sz w:val="20"/>
                <w:szCs w:val="20"/>
                <w:color w:val="auto"/>
              </w:rPr>
            </w:pPr>
            <w:r>
              <w:rPr>
                <w:rFonts w:ascii="Arial" w:cs="Arial" w:eastAsia="Arial" w:hAnsi="Arial"/>
                <w:sz w:val="16"/>
                <w:szCs w:val="16"/>
                <w:b w:val="1"/>
                <w:bCs w:val="1"/>
                <w:color w:val="auto"/>
              </w:rPr>
              <w:t>September 30, 2020</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5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4"/>
              </w:rPr>
              <w:t>Number of</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Fixed Rate</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Notional</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Index</w:t>
            </w: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3580" w:type="dxa"/>
            <w:vAlign w:val="bottom"/>
            <w:gridSpan w:val="3"/>
            <w:vMerge w:val="continue"/>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Instruments</w:t>
            </w: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2.3802%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USD LIBOR</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c>
          <w:tcPr>
            <w:tcW w:w="0" w:type="dxa"/>
            <w:vAlign w:val="bottom"/>
          </w:tcPr>
          <w:p>
            <w:pPr>
              <w:spacing w:after="0"/>
              <w:rPr>
                <w:sz w:val="1"/>
                <w:szCs w:val="1"/>
                <w:color w:val="auto"/>
              </w:rPr>
            </w:pPr>
          </w:p>
        </w:tc>
      </w:tr>
      <w:tr>
        <w:trPr>
          <w:trHeight w:val="607"/>
        </w:trPr>
        <w:tc>
          <w:tcPr>
            <w:tcW w:w="358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4"/>
          </w:tcPr>
          <w:p>
            <w:pPr>
              <w:ind w:left="300"/>
              <w:spacing w:after="0"/>
              <w:rPr>
                <w:sz w:val="20"/>
                <w:szCs w:val="20"/>
                <w:color w:val="auto"/>
              </w:rPr>
            </w:pPr>
            <w:r>
              <w:rPr>
                <w:rFonts w:ascii="Arial" w:cs="Arial" w:eastAsia="Arial" w:hAnsi="Arial"/>
                <w:sz w:val="16"/>
                <w:szCs w:val="16"/>
                <w:b w:val="1"/>
                <w:bCs w:val="1"/>
                <w:color w:val="auto"/>
              </w:rPr>
              <w:t>December 31, 2019</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5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4"/>
              </w:rPr>
              <w:t>Number of</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Fixed Rate</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Notional</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Index</w:t>
            </w: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3580" w:type="dxa"/>
            <w:vAlign w:val="bottom"/>
            <w:gridSpan w:val="3"/>
            <w:vMerge w:val="continue"/>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Instruments</w:t>
            </w: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2.3802%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USD LIBOR</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and December 31, 2019, the interest rate swaps are in net unrealized loss positions and are recorded within Other liabilities. The following table presents the effect of our derivative financial instruments on our Statement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00" w:type="dxa"/>
            <w:vAlign w:val="bottom"/>
            <w:gridSpan w:val="4"/>
          </w:tcPr>
          <w:p>
            <w:pPr>
              <w:ind w:left="42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108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53"/>
              <w:spacing w:after="0" w:line="172" w:lineRule="exact"/>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53"/>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(loss) recorded in other comprehensive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(39,180)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(54,992)</w:t>
            </w:r>
          </w:p>
        </w:tc>
      </w:tr>
      <w:tr>
        <w:trPr>
          <w:trHeight w:val="230"/>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recorded in interest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12,970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29,664</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4,816</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assets and liabilities measured at fair value on a recurring basis as of September 30, 2020 and December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September 30, 2020</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400"/>
              <w:spacing w:after="0" w:line="172"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04"/>
        </w:trPr>
        <w:tc>
          <w:tcPr>
            <w:tcW w:w="20" w:type="dxa"/>
            <w:vAlign w:val="bottom"/>
          </w:tcPr>
          <w:p>
            <w:pPr>
              <w:spacing w:after="0"/>
              <w:rPr>
                <w:sz w:val="24"/>
                <w:szCs w:val="24"/>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104,258</w:t>
            </w:r>
          </w:p>
        </w:tc>
        <w:tc>
          <w:tcPr>
            <w:tcW w:w="1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104,258</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360"/>
              <w:spacing w:after="0" w:line="172"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Carrying Amount</w:t>
            </w:r>
          </w:p>
        </w:tc>
        <w:tc>
          <w:tcPr>
            <w:tcW w:w="30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59,474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59,474</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04"/>
        </w:trPr>
        <w:tc>
          <w:tcPr>
            <w:tcW w:w="20" w:type="dxa"/>
            <w:vAlign w:val="bottom"/>
          </w:tcPr>
          <w:p>
            <w:pPr>
              <w:spacing w:after="0"/>
              <w:rPr>
                <w:sz w:val="24"/>
                <w:szCs w:val="24"/>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65,078</w:t>
            </w: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65,078</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5"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 is equal to their fair value due to the short-term nature of the investments as well as their credit quality.</w:t>
      </w:r>
    </w:p>
    <w:p>
      <w:pPr>
        <w:spacing w:after="0" w:line="55" w:lineRule="exact"/>
        <w:rPr>
          <w:rFonts w:ascii="Arial" w:cs="Arial" w:eastAsia="Arial" w:hAnsi="Arial"/>
          <w:sz w:val="14"/>
          <w:szCs w:val="14"/>
          <w:i w:val="1"/>
          <w:iCs w:val="1"/>
          <w:color w:val="auto"/>
        </w:rPr>
      </w:pPr>
    </w:p>
    <w:p>
      <w:pPr>
        <w:ind w:right="240" w:firstLine="8"/>
        <w:spacing w:after="0" w:line="273" w:lineRule="auto"/>
        <w:tabs>
          <w:tab w:leader="none" w:pos="204"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estimated fair values of our financial instruments as of September 30, 2020 and December 31, 2019 for which fair value is only disclosed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 2020</w:t>
            </w:r>
          </w:p>
        </w:tc>
        <w:tc>
          <w:tcPr>
            <w:tcW w:w="320" w:type="dxa"/>
            <w:vAlign w:val="bottom"/>
          </w:tcPr>
          <w:p>
            <w:pPr>
              <w:spacing w:after="0"/>
              <w:rPr>
                <w:sz w:val="18"/>
                <w:szCs w:val="18"/>
                <w:color w:val="auto"/>
              </w:rPr>
            </w:pPr>
          </w:p>
        </w:tc>
        <w:tc>
          <w:tcPr>
            <w:tcW w:w="24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December 31, 2019</w:t>
            </w:r>
          </w:p>
        </w:tc>
      </w:tr>
      <w:tr>
        <w:trPr>
          <w:trHeight w:val="172"/>
        </w:trPr>
        <w:tc>
          <w:tcPr>
            <w:tcW w:w="20" w:type="dxa"/>
            <w:vAlign w:val="bottom"/>
          </w:tcPr>
          <w:p>
            <w:pPr>
              <w:spacing w:after="0"/>
              <w:rPr>
                <w:sz w:val="14"/>
                <w:szCs w:val="14"/>
                <w:color w:val="auto"/>
              </w:rPr>
            </w:pPr>
          </w:p>
        </w:tc>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40" w:type="dxa"/>
            <w:vAlign w:val="bottom"/>
            <w:tcBorders>
              <w:top w:val="single" w:sz="8" w:color="auto"/>
            </w:tcBorders>
            <w:gridSpan w:val="3"/>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31"/>
              <w:spacing w:after="0" w:line="172"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4"/>
                <w:szCs w:val="14"/>
                <w:color w:val="auto"/>
              </w:rPr>
            </w:pPr>
          </w:p>
        </w:tc>
        <w:tc>
          <w:tcPr>
            <w:tcW w:w="1440" w:type="dxa"/>
            <w:vAlign w:val="bottom"/>
            <w:tcBorders>
              <w:top w:val="single" w:sz="8" w:color="auto"/>
            </w:tcBorders>
            <w:gridSpan w:val="3"/>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11"/>
              <w:spacing w:after="0" w:line="172" w:lineRule="exact"/>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Financial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2,600,228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2,666,800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Investments in loans </w:t>
            </w:r>
            <w:r>
              <w:rPr>
                <w:rFonts w:ascii="Arial" w:cs="Arial" w:eastAsia="Arial" w:hAnsi="Arial"/>
                <w:sz w:val="23"/>
                <w:szCs w:val="23"/>
                <w:i w:val="1"/>
                <w:iCs w:val="1"/>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52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144,057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1,101,893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1,101,893</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jc w:val="center"/>
              <w:ind w:right="4000"/>
              <w:spacing w:after="0"/>
              <w:rPr>
                <w:sz w:val="20"/>
                <w:szCs w:val="20"/>
                <w:color w:val="auto"/>
              </w:rPr>
            </w:pPr>
            <w:r>
              <w:rPr>
                <w:rFonts w:ascii="Arial" w:cs="Arial" w:eastAsia="Arial" w:hAnsi="Arial"/>
                <w:sz w:val="18"/>
                <w:szCs w:val="18"/>
                <w:b w:val="1"/>
                <w:bCs w:val="1"/>
                <w:i w:val="1"/>
                <w:iCs w:val="1"/>
                <w:color w:val="auto"/>
                <w:w w:val="91"/>
              </w:rPr>
              <w:t>Financial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2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3"/>
                <w:szCs w:val="23"/>
                <w:i w:val="1"/>
                <w:iCs w:val="1"/>
                <w:color w:val="auto"/>
                <w:vertAlign w:val="superscript"/>
              </w:rPr>
              <w:t>(2)</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520" w:type="dxa"/>
            <w:vAlign w:val="bottom"/>
            <w:gridSpan w:val="2"/>
          </w:tcPr>
          <w:p>
            <w:pPr>
              <w:ind w:left="400"/>
              <w:spacing w:after="0"/>
              <w:rPr>
                <w:sz w:val="20"/>
                <w:szCs w:val="20"/>
                <w:color w:val="auto"/>
              </w:rPr>
            </w:pPr>
            <w:r>
              <w:rPr>
                <w:rFonts w:ascii="Arial" w:cs="Arial" w:eastAsia="Arial" w:hAnsi="Arial"/>
                <w:sz w:val="18"/>
                <w:szCs w:val="18"/>
                <w:color w:val="auto"/>
              </w:rPr>
              <w:t>Term Loan B Facility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2,079,760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2,023,875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2,076,962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2,110,500</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Second Lien Notes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538,358</w:t>
            </w:r>
          </w:p>
        </w:tc>
      </w:tr>
      <w:tr>
        <w:trPr>
          <w:trHeight w:val="229"/>
        </w:trPr>
        <w:tc>
          <w:tcPr>
            <w:tcW w:w="20" w:type="dxa"/>
            <w:vAlign w:val="bottom"/>
          </w:tcPr>
          <w:p>
            <w:pPr>
              <w:spacing w:after="0"/>
              <w:rPr>
                <w:sz w:val="19"/>
                <w:szCs w:val="19"/>
                <w:color w:val="auto"/>
              </w:rPr>
            </w:pPr>
          </w:p>
        </w:tc>
        <w:tc>
          <w:tcPr>
            <w:tcW w:w="5520" w:type="dxa"/>
            <w:vAlign w:val="bottom"/>
            <w:gridSpan w:val="2"/>
          </w:tcPr>
          <w:p>
            <w:pPr>
              <w:jc w:val="center"/>
              <w:ind w:right="3980"/>
              <w:spacing w:after="0"/>
              <w:rPr>
                <w:sz w:val="20"/>
                <w:szCs w:val="20"/>
                <w:color w:val="auto"/>
              </w:rPr>
            </w:pPr>
            <w:r>
              <w:rPr>
                <w:rFonts w:ascii="Arial" w:cs="Arial" w:eastAsia="Arial" w:hAnsi="Arial"/>
                <w:sz w:val="18"/>
                <w:szCs w:val="18"/>
                <w:color w:val="auto"/>
                <w:w w:val="89"/>
              </w:rPr>
              <w:t>2025 Notes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739,749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745,313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jc w:val="center"/>
              <w:ind w:right="3980"/>
              <w:spacing w:after="0"/>
              <w:rPr>
                <w:sz w:val="20"/>
                <w:szCs w:val="20"/>
                <w:color w:val="auto"/>
              </w:rPr>
            </w:pPr>
            <w:r>
              <w:rPr>
                <w:rFonts w:ascii="Arial" w:cs="Arial" w:eastAsia="Arial" w:hAnsi="Arial"/>
                <w:sz w:val="18"/>
                <w:szCs w:val="18"/>
                <w:color w:val="auto"/>
                <w:w w:val="89"/>
              </w:rPr>
              <w:t>2026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1,287,500</w:t>
            </w:r>
          </w:p>
        </w:tc>
      </w:tr>
      <w:tr>
        <w:trPr>
          <w:trHeight w:val="230"/>
        </w:trPr>
        <w:tc>
          <w:tcPr>
            <w:tcW w:w="20" w:type="dxa"/>
            <w:vAlign w:val="bottom"/>
          </w:tcPr>
          <w:p>
            <w:pPr>
              <w:spacing w:after="0"/>
              <w:rPr>
                <w:sz w:val="19"/>
                <w:szCs w:val="19"/>
                <w:color w:val="auto"/>
              </w:rPr>
            </w:pPr>
          </w:p>
        </w:tc>
        <w:tc>
          <w:tcPr>
            <w:tcW w:w="5520" w:type="dxa"/>
            <w:vAlign w:val="bottom"/>
            <w:gridSpan w:val="2"/>
          </w:tcPr>
          <w:p>
            <w:pPr>
              <w:jc w:val="center"/>
              <w:ind w:right="3980"/>
              <w:spacing w:after="0"/>
              <w:rPr>
                <w:sz w:val="20"/>
                <w:szCs w:val="20"/>
                <w:color w:val="auto"/>
              </w:rPr>
            </w:pPr>
            <w:r>
              <w:rPr>
                <w:rFonts w:ascii="Arial" w:cs="Arial" w:eastAsia="Arial" w:hAnsi="Arial"/>
                <w:sz w:val="18"/>
                <w:szCs w:val="18"/>
                <w:color w:val="auto"/>
                <w:w w:val="89"/>
              </w:rPr>
              <w:t>2027 Notes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739,316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jc w:val="center"/>
              <w:ind w:right="3980"/>
              <w:spacing w:after="0"/>
              <w:rPr>
                <w:sz w:val="20"/>
                <w:szCs w:val="20"/>
                <w:color w:val="auto"/>
              </w:rPr>
            </w:pPr>
            <w:r>
              <w:rPr>
                <w:rFonts w:ascii="Arial" w:cs="Arial" w:eastAsia="Arial" w:hAnsi="Arial"/>
                <w:sz w:val="18"/>
                <w:szCs w:val="18"/>
                <w:color w:val="auto"/>
                <w:w w:val="89"/>
              </w:rPr>
              <w:t>2029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1,045,000</w:t>
            </w:r>
          </w:p>
        </w:tc>
      </w:tr>
      <w:tr>
        <w:trPr>
          <w:trHeight w:val="211"/>
        </w:trPr>
        <w:tc>
          <w:tcPr>
            <w:tcW w:w="20" w:type="dxa"/>
            <w:vAlign w:val="bottom"/>
          </w:tcPr>
          <w:p>
            <w:pPr>
              <w:spacing w:after="0"/>
              <w:rPr>
                <w:sz w:val="18"/>
                <w:szCs w:val="18"/>
                <w:color w:val="auto"/>
              </w:rPr>
            </w:pPr>
          </w:p>
        </w:tc>
        <w:tc>
          <w:tcPr>
            <w:tcW w:w="5520" w:type="dxa"/>
            <w:vAlign w:val="bottom"/>
            <w:gridSpan w:val="2"/>
          </w:tcPr>
          <w:p>
            <w:pPr>
              <w:jc w:val="center"/>
              <w:ind w:right="3980"/>
              <w:spacing w:after="0"/>
              <w:rPr>
                <w:sz w:val="20"/>
                <w:szCs w:val="20"/>
                <w:color w:val="auto"/>
              </w:rPr>
            </w:pPr>
            <w:r>
              <w:rPr>
                <w:rFonts w:ascii="Arial" w:cs="Arial" w:eastAsia="Arial" w:hAnsi="Arial"/>
                <w:sz w:val="18"/>
                <w:szCs w:val="18"/>
                <w:color w:val="auto"/>
                <w:w w:val="89"/>
              </w:rPr>
              <w:t>2030 Notes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985,272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988,750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4"/>
        </w:trPr>
        <w:tc>
          <w:tcPr>
            <w:tcW w:w="554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jc w:val="both"/>
        <w:ind w:left="340" w:hanging="332"/>
        <w:spacing w:after="0" w:line="260" w:lineRule="auto"/>
        <w:tabs>
          <w:tab w:leader="none" w:pos="332"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These investments represent the (i) JACK Cleveland/Thistledown Lease Agreement and the MTA Properties, and (ii) the Amended and Restated ROV Loan, the Chelsea Piers Mortgage Loan and the Forum Convention Center Mortgage Loan, all of which were made during the nine months ended September 30, 2020. Given the proximity of the date of our investment to the date of the financial statements, we determined that the fair value materially approximates the purchase price of the acquisition of these financial assets.</w:t>
      </w:r>
    </w:p>
    <w:p>
      <w:pPr>
        <w:ind w:left="340" w:hanging="332"/>
        <w:spacing w:after="0" w:line="255" w:lineRule="auto"/>
        <w:tabs>
          <w:tab w:leader="none" w:pos="332"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Upon Lease Modification in Connection with the Eldorado Transaction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20, 2020, in connection with the Eldorado Transaction and as required under ASC 842, we reassessed the lease classification of the Las Vegas Master Lease Agreement, Regional Master Lease Agreement and Joliet Lease Agreement and determined the leases meet the definition of a sales-type lease, including the land component of Caesars Palace Las Vegas. As a result of the reclassifications of the Caesars Lease Agreements from direct financing and operating leases to sales-type leases, we recorded the investments at their estimated fair values as of the modification date and recognized a net gain equal to the difference in fair value of the asset and its carrying value immediately prior to the modification.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valued the real estate portfolio using a rent multiple taking into consideration a variety of factors, including (i) asset quality and location, (ii) property and lease-level cash flows and (iii) supply and demand dynamics of each property’s respective market. With respect to certain assets for which we have signed sale agreements that will be removed from the Regional Master Lease Agreement upon consummation of such transactions, which includes Bally’s Atlantic City and Louisiana Downs, these assets were recorded at fair value using the contract price less costs to sell.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current quarter, as a result of the re-measurement of the Caesars Lease Agreements to fair value, we recognized a $333.4 million gain upon lease modification in our Statement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assets measured at fair value on a non-recurring basis in relation to the gain upon modification of the Caesars Lease Agreements as of the modification date during the three months ended September 30,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93"/>
              </w:rPr>
              <w:t>July 20, 2020</w:t>
            </w: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jc w:val="center"/>
              <w:ind w:right="520"/>
              <w:spacing w:after="0" w:line="172"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400" w:type="dxa"/>
            <w:vAlign w:val="bottom"/>
          </w:tcPr>
          <w:p>
            <w:pPr>
              <w:spacing w:after="0"/>
              <w:rPr>
                <w:sz w:val="19"/>
                <w:szCs w:val="19"/>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Investments in sales-type leases - Caesars Lease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10,228,465</w:t>
            </w:r>
          </w:p>
        </w:tc>
        <w:tc>
          <w:tcPr>
            <w:tcW w:w="14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10,228,465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40" w:type="dxa"/>
            <w:vAlign w:val="bottom"/>
            <w:gridSpan w:val="2"/>
          </w:tcPr>
          <w:p>
            <w:pPr>
              <w:ind w:left="280"/>
              <w:spacing w:after="0" w:line="230" w:lineRule="exact"/>
              <w:rPr>
                <w:sz w:val="20"/>
                <w:szCs w:val="20"/>
                <w:color w:val="auto"/>
              </w:rPr>
            </w:pPr>
            <w:r>
              <w:rPr>
                <w:rFonts w:ascii="Arial" w:cs="Arial" w:eastAsia="Arial" w:hAnsi="Arial"/>
                <w:sz w:val="18"/>
                <w:szCs w:val="18"/>
                <w:color w:val="auto"/>
              </w:rPr>
              <w:t xml:space="preserve">Agreements </w:t>
            </w:r>
            <w:r>
              <w:rPr>
                <w:rFonts w:ascii="Arial" w:cs="Arial" w:eastAsia="Arial" w:hAnsi="Arial"/>
                <w:sz w:val="23"/>
                <w:szCs w:val="23"/>
                <w:i w:val="1"/>
                <w:iCs w:val="1"/>
                <w:color w:val="auto"/>
                <w:vertAlign w:val="superscript"/>
              </w:rPr>
              <w:t>(1)</w:t>
            </w:r>
          </w:p>
        </w:tc>
        <w:tc>
          <w:tcPr>
            <w:tcW w:w="1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Investments in sales-type leases - assets subject to sales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24,266</w:t>
            </w:r>
          </w:p>
        </w:tc>
        <w:tc>
          <w:tcPr>
            <w:tcW w:w="1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24,266</w:t>
            </w:r>
          </w:p>
        </w:tc>
        <w:tc>
          <w:tcPr>
            <w:tcW w:w="1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280"/>
              <w:spacing w:after="0" w:line="230" w:lineRule="exact"/>
              <w:rPr>
                <w:sz w:val="20"/>
                <w:szCs w:val="20"/>
                <w:color w:val="auto"/>
              </w:rPr>
            </w:pPr>
            <w:r>
              <w:rPr>
                <w:rFonts w:ascii="Arial" w:cs="Arial" w:eastAsia="Arial" w:hAnsi="Arial"/>
                <w:sz w:val="18"/>
                <w:szCs w:val="18"/>
                <w:color w:val="auto"/>
              </w:rPr>
              <w:t xml:space="preserve">agreements </w:t>
            </w:r>
            <w:r>
              <w:rPr>
                <w:rFonts w:ascii="Arial" w:cs="Arial" w:eastAsia="Arial" w:hAnsi="Arial"/>
                <w:sz w:val="23"/>
                <w:szCs w:val="23"/>
                <w:i w:val="1"/>
                <w:iCs w:val="1"/>
                <w:color w:val="auto"/>
                <w:vertAlign w:val="superscript"/>
              </w:rPr>
              <w:t>(2)</w:t>
            </w: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hanging="332"/>
        <w:spacing w:after="0" w:line="241" w:lineRule="auto"/>
        <w:tabs>
          <w:tab w:leader="none" w:pos="2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measurement of the Caesars Lease Agreements excludes the MTA Properties Acquisitions, HLV Additional Rent Acquisition and CPLV Additional Rent Acquisition as these transactions occurred in connection with the Eldorado Transaction and the investments are measured at historical cost.</w:t>
      </w:r>
    </w:p>
    <w:p>
      <w:pPr>
        <w:ind w:left="340" w:hanging="332"/>
        <w:spacing w:after="0" w:line="255" w:lineRule="auto"/>
        <w:tabs>
          <w:tab w:leader="none" w:pos="2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Bally’s Atlantic City and Louisiana Downs assets, which are each currently subject to sales agreements. The fair value of these investments is based on the contract price and represents a Level 2 measurement as defined in ASC 820.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unobservable inputs used in non-recurring Level 3 fair value measurements: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gridSpan w:val="3"/>
          </w:tcPr>
          <w:p>
            <w:pPr>
              <w:ind w:left="1060"/>
              <w:spacing w:after="0"/>
              <w:rPr>
                <w:sz w:val="20"/>
                <w:szCs w:val="20"/>
                <w:color w:val="auto"/>
              </w:rPr>
            </w:pPr>
            <w:r>
              <w:rPr>
                <w:rFonts w:ascii="Arial" w:cs="Arial" w:eastAsia="Arial" w:hAnsi="Arial"/>
                <w:sz w:val="16"/>
                <w:szCs w:val="16"/>
                <w:b w:val="1"/>
                <w:bCs w:val="1"/>
                <w:color w:val="auto"/>
              </w:rPr>
              <w:t>Significant Assumptions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760" w:type="dxa"/>
            <w:vAlign w:val="bottom"/>
            <w:gridSpan w:val="2"/>
            <w:vMerge w:val="restart"/>
          </w:tcPr>
          <w:p>
            <w:pPr>
              <w:jc w:val="center"/>
              <w:ind w:right="1000"/>
              <w:spacing w:after="0"/>
              <w:rPr>
                <w:sz w:val="20"/>
                <w:szCs w:val="20"/>
                <w:color w:val="auto"/>
              </w:rPr>
            </w:pPr>
            <w:r>
              <w:rPr>
                <w:rFonts w:ascii="Arial" w:cs="Arial" w:eastAsia="Arial" w:hAnsi="Arial"/>
                <w:sz w:val="18"/>
                <w:szCs w:val="18"/>
                <w:b w:val="1"/>
                <w:bCs w:val="1"/>
                <w:color w:val="auto"/>
                <w:w w:val="87"/>
              </w:rPr>
              <w:t>Asset Type</w:t>
            </w:r>
          </w:p>
        </w:tc>
        <w:tc>
          <w:tcPr>
            <w:tcW w:w="260" w:type="dxa"/>
            <w:vAlign w:val="bottom"/>
          </w:tcPr>
          <w:p>
            <w:pPr>
              <w:spacing w:after="0" w:line="20" w:lineRule="exact"/>
              <w:rPr>
                <w:sz w:val="1"/>
                <w:szCs w:val="1"/>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i w:val="1"/>
                <w:iCs w:val="1"/>
                <w:color w:val="auto"/>
                <w:vertAlign w:val="superscript"/>
              </w:rPr>
              <w:t>(1)</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Valuation Technique</w:t>
            </w: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Range</w:t>
            </w:r>
          </w:p>
        </w:tc>
        <w:tc>
          <w:tcPr>
            <w:tcW w:w="1680" w:type="dxa"/>
            <w:vAlign w:val="bottom"/>
          </w:tcPr>
          <w:p>
            <w:pPr>
              <w:jc w:val="center"/>
              <w:spacing w:after="0" w:line="223" w:lineRule="exact"/>
              <w:rPr>
                <w:sz w:val="20"/>
                <w:szCs w:val="20"/>
                <w:color w:val="auto"/>
              </w:rPr>
            </w:pPr>
            <w:r>
              <w:rPr>
                <w:rFonts w:ascii="Arial" w:cs="Arial" w:eastAsia="Arial" w:hAnsi="Arial"/>
                <w:sz w:val="18"/>
                <w:szCs w:val="18"/>
                <w:b w:val="1"/>
                <w:bCs w:val="1"/>
                <w:color w:val="auto"/>
                <w:w w:val="87"/>
              </w:rPr>
              <w:t>Weighted Average</w:t>
            </w:r>
            <w:r>
              <w:rPr>
                <w:rFonts w:ascii="Arial" w:cs="Arial" w:eastAsia="Arial" w:hAnsi="Arial"/>
                <w:sz w:val="23"/>
                <w:szCs w:val="23"/>
                <w:b w:val="1"/>
                <w:bCs w:val="1"/>
                <w:i w:val="1"/>
                <w:iCs w:val="1"/>
                <w:color w:val="auto"/>
                <w:w w:val="87"/>
                <w:vertAlign w:val="superscript"/>
              </w:rPr>
              <w:t>(2)</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5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Investment in sales-type lease - Casinos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10,228,465</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Rent Multiple</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9.75x - 15.50x</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13.0x</w:t>
            </w:r>
          </w:p>
        </w:tc>
        <w:tc>
          <w:tcPr>
            <w:tcW w:w="0" w:type="dxa"/>
            <w:vAlign w:val="bottom"/>
          </w:tcPr>
          <w:p>
            <w:pPr>
              <w:spacing w:after="0"/>
              <w:rPr>
                <w:sz w:val="1"/>
                <w:szCs w:val="1"/>
                <w:color w:val="auto"/>
              </w:rPr>
            </w:pPr>
          </w:p>
        </w:tc>
      </w:tr>
      <w:tr>
        <w:trPr>
          <w:trHeight w:val="209"/>
        </w:trPr>
        <w:tc>
          <w:tcPr>
            <w:tcW w:w="356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2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measurement of the Caesars Lease Agreements excludes the MTA Properties Acquisitions, HLV Additional Rent Acquisition and CPLV Additional Rent Acquisition as these transactions occurred in connection with the Eldorado Transaction and the investments are measured at historical cost.</w:t>
      </w:r>
    </w:p>
    <w:p>
      <w:pPr>
        <w:ind w:left="220" w:hanging="212"/>
        <w:spacing w:after="0"/>
        <w:tabs>
          <w:tab w:leader="none" w:pos="2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Weighted by relative fair value.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September 30, 2020, we are not subject to any litigation that we believe could have, individually or in the aggregate, a material adverse effect on our business, financial condition or results of operations, liquidity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liable under various operating leases for: (i) land at the Cascata golf course, which expires in 2038 and (ii) offices in New Orleans, LA and New York, NY, which expire in 2021 and 2030, respectively. The weighted average remaining lease term as of September 30, 2020 under our operating leases was 15.6 years. Our Cascata ground lease has three 10-year extension options. The rent of such options would be the in-place rent at the time of renewal.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4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6"/>
                <w:szCs w:val="16"/>
                <w:b w:val="1"/>
                <w:bCs w:val="1"/>
                <w:color w:val="auto"/>
                <w:w w:val="93"/>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3"/>
              <w:spacing w:after="0" w:line="172" w:lineRule="exact"/>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35"/>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53"/>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expense</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0"/>
                <w:szCs w:val="20"/>
                <w:color w:val="auto"/>
              </w:rPr>
            </w:pP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953</w:t>
            </w:r>
          </w:p>
        </w:tc>
      </w:tr>
    </w:tbl>
    <w:p>
      <w:pPr>
        <w:spacing w:after="0" w:line="20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10, 2019 we entered into a lease agreement for new office space in New York, NY for our corporate headquarters. The lease has a 10-year term, with one 5-year extension option and requires a fixed annual rent of $0.9 million. We determined the lease was an operating lease and the discount rate for the lease was determined to be 5.3% based on the yield of our current secured borrowings, adjusted to match borrowings of similar terms.</w:t>
      </w:r>
    </w:p>
    <w:p>
      <w:pPr>
        <w:spacing w:after="0" w:line="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1, 2019, upon adoption of ASC 842, we recorded an $11.1 million right of use asset and a corresponding lease liability within Other assets and Other liabilities, respectively, on our Balance Sheet, related to the ground lease of the land at the Cascata Golf Course. The discount rate for the lease was determined to be 5.5% and was based on the yield of our current secured borrowings, adjusted to match borrowings of similar terms.</w:t>
      </w:r>
    </w:p>
    <w:p>
      <w:pPr>
        <w:spacing w:after="0" w:line="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we have a $17.7 million right of use asset and corresponding lease liability recorded in Other assets and Other liabilities, respectively, on our Balance Sheet related to our operating lease commitments for which we are the lessee.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future minimum lease commitments relating to the base lease rent portion of noncancelable operating leases at September 30, 2020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(remaining)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1,851</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1,827</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30"/>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19,074</w:t>
            </w:r>
          </w:p>
        </w:tc>
      </w:tr>
      <w:tr>
        <w:trPr>
          <w:trHeight w:val="223"/>
        </w:trPr>
        <w:tc>
          <w:tcPr>
            <w:tcW w:w="20" w:type="dxa"/>
            <w:vAlign w:val="bottom"/>
          </w:tcPr>
          <w:p>
            <w:pPr>
              <w:spacing w:after="0"/>
              <w:rPr>
                <w:sz w:val="19"/>
                <w:szCs w:val="19"/>
                <w:color w:val="auto"/>
              </w:rPr>
            </w:pPr>
          </w:p>
        </w:tc>
        <w:tc>
          <w:tcPr>
            <w:tcW w:w="8740" w:type="dxa"/>
            <w:vAlign w:val="bottom"/>
            <w:gridSpan w:val="2"/>
          </w:tcPr>
          <w:p>
            <w:pPr>
              <w:ind w:left="200"/>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w:t>
            </w:r>
          </w:p>
        </w:tc>
      </w:tr>
      <w:tr>
        <w:trPr>
          <w:trHeight w:val="230"/>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Lease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17,671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 Commitments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of our acquisitions necessitate that we assume, as the lessee, ground and use leases, the cost of which is passed to our tenants through the Lease Agreements, which require the tenants to pay all costs associated with such ground and use leases and provide for their direct payment to the landlord.</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determined we are the primary obligor of certain of such ground and use leases and, accordingly, have presented these leases on a gross basis on our Balance Sheet and Statement of Operations. Further, we assessed the classification of the sub-lease to our tenant through the Lease Agreements, and our obligation as primary obligor of the ground and use leases and determined that they meet the definition of a sales-type lease and finance lease, respectively. The following table details the balance and location in our Balance Sheet of the ground and use leases as of September 30, 2020 and December 31, 2019, which is primarily comprised of the HNO Ground Lease: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2020</w:t>
            </w:r>
          </w:p>
        </w:tc>
        <w:tc>
          <w:tcPr>
            <w:tcW w:w="240" w:type="dxa"/>
            <w:vAlign w:val="bottom"/>
          </w:tcPr>
          <w:p>
            <w:pPr>
              <w:spacing w:after="0"/>
              <w:rPr>
                <w:sz w:val="16"/>
                <w:szCs w:val="16"/>
                <w:color w:val="auto"/>
              </w:rPr>
            </w:pPr>
          </w:p>
        </w:tc>
        <w:tc>
          <w:tcPr>
            <w:tcW w:w="182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December 31,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assets (sales-type sub-lease)</w:t>
            </w:r>
          </w:p>
        </w:tc>
        <w:tc>
          <w:tcPr>
            <w:tcW w:w="2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r>
      <w:tr>
        <w:trPr>
          <w:trHeight w:val="230"/>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Other liabilities (finance sub-lease liability)</w:t>
            </w: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284,558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8,688</w:t>
            </w:r>
          </w:p>
        </w:tc>
      </w:tr>
      <w:tr>
        <w:trPr>
          <w:trHeight w:val="80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80" w:type="dxa"/>
            <w:vAlign w:val="bottom"/>
          </w:tcPr>
          <w:p>
            <w:pPr>
              <w:jc w:val="right"/>
              <w:ind w:right="121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108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940" w:type="dxa"/>
            <w:vAlign w:val="bottom"/>
          </w:tcPr>
          <w:p>
            <w:pPr>
              <w:jc w:val="right"/>
              <w:ind w:right="13"/>
              <w:spacing w:after="0" w:line="172" w:lineRule="exact"/>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53"/>
              <w:spacing w:after="0" w:line="172" w:lineRule="exact"/>
              <w:rPr>
                <w:sz w:val="20"/>
                <w:szCs w:val="20"/>
                <w:color w:val="auto"/>
              </w:rPr>
            </w:pPr>
            <w:r>
              <w:rPr>
                <w:rFonts w:ascii="Arial" w:cs="Arial" w:eastAsia="Arial" w:hAnsi="Arial"/>
                <w:sz w:val="16"/>
                <w:szCs w:val="16"/>
                <w:b w:val="1"/>
                <w:bCs w:val="1"/>
                <w:color w:val="auto"/>
                <w:w w:val="95"/>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Rental income and expense </w:t>
            </w:r>
            <w:r>
              <w:rPr>
                <w:rFonts w:ascii="Arial" w:cs="Arial" w:eastAsia="Arial" w:hAnsi="Arial"/>
                <w:sz w:val="23"/>
                <w:szCs w:val="23"/>
                <w:i w:val="1"/>
                <w:iCs w:val="1"/>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1"/>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11,838</w:t>
            </w:r>
          </w:p>
        </w:tc>
        <w:tc>
          <w:tcPr>
            <w:tcW w:w="120" w:type="dxa"/>
            <w:vAlign w:val="bottom"/>
          </w:tcPr>
          <w:p>
            <w:pPr>
              <w:spacing w:after="0"/>
              <w:rPr>
                <w:sz w:val="18"/>
                <w:szCs w:val="18"/>
                <w:color w:val="auto"/>
              </w:rPr>
            </w:pP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12,146</w:t>
            </w:r>
          </w:p>
        </w:tc>
        <w:tc>
          <w:tcPr>
            <w:tcW w:w="100" w:type="dxa"/>
            <w:vAlign w:val="bottom"/>
          </w:tcPr>
          <w:p>
            <w:pPr>
              <w:spacing w:after="0"/>
              <w:rPr>
                <w:sz w:val="18"/>
                <w:szCs w:val="18"/>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174"/>
        </w:trPr>
        <w:tc>
          <w:tcPr>
            <w:tcW w:w="534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jc w:val="both"/>
        <w:ind w:left="340" w:hanging="332"/>
        <w:spacing w:after="0" w:line="248" w:lineRule="auto"/>
        <w:tabs>
          <w:tab w:leader="none" w:pos="332"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and nine months ended September 30, 2020, these amounts are presented gross in Other income with an offsetting amount in Other expenses within the Statement of Operations. For the three and nine months ended September 30, 2019, we recorded such amounts as a component of General and administrative expenses on a net basis as these charges were not material to the Statement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lease commitments relating to the ground and use leases at September 30, 2020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(remaining)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26,350</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26,350</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23,350</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23,350</w:t>
            </w:r>
          </w:p>
        </w:tc>
      </w:tr>
      <w:tr>
        <w:trPr>
          <w:trHeight w:val="230"/>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765,079</w:t>
            </w:r>
          </w:p>
        </w:tc>
      </w:tr>
      <w:tr>
        <w:trPr>
          <w:trHeight w:val="223"/>
        </w:trPr>
        <w:tc>
          <w:tcPr>
            <w:tcW w:w="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893,666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609,108</w:t>
            </w:r>
          </w:p>
        </w:tc>
      </w:tr>
      <w:tr>
        <w:trPr>
          <w:trHeight w:val="230"/>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Finance sub-lease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284,558</w:t>
            </w:r>
          </w:p>
        </w:tc>
      </w:tr>
    </w:tbl>
    <w:p>
      <w:pPr>
        <w:spacing w:after="0" w:line="20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discount rate for the ground and use leases was determined based on the yield of our current secured borrowings, adjusted to match borrowings of similar terms and are between 6% and 8%. The weighted average remaining lease term as of September 30, 2020 under our finance leases was 38.0 years.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the authority to issue 750,000,000 shares of stock, consisting of 700,000,000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Offering</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17, 2020, we completed a primary follow-on offering of 29,900,000 shares of common stock (inclusive of 3,900,000 shares sold pursuant to the exercise in full of the underwriters’ option to purchase additional common stock) at a public offering price of $22.15 per share for an aggregate offering value of $662.3 million, all of which are subject to a forward sale agreement (the “June 2020 Forward Sale Agreement”), which initially required settlement by September 17, 2020. On September 16, 2020, we amended the June 2020 Forward Sale Agreement to extend the maturity date from September 17, 2020 to June 17, 2021. We did not initially receive any proceeds from the sale of the shares of common stock in the offering, which were sold to the underwriters by the forward purchaser or its affiliates. We determined that the June 2020 Forward Sale Agreement meets the criteria for equity classification and is therefore exempt from derivative accounting. We recorded the June 2020 Forward Sale Agreement at fair value at inception, which we determined to be zero. Subsequent changes to fair value are not required under equity classification.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28, 2020, we partially settled the June 2020 Forward Sale Agreement by delivering 3,000,000 shares of our common stock to the forward purchaser, in exchange for total net proceeds of approximately $63.0 million, which was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calculated based on the net forward sale price on the settlement date of $21.04 per share. The physical settlement of the June 2020 Forward Sale Agreement is calculated based on the initial forward sale price per share of $21.37, as adjusted for a floating interest rate factor and other fixed amounts based on the passage of time, as specified in the June 2020 Forward Sale Agreement.</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settle the remaining 26,900,000 shares under the June 2020 Forward Sale Agreement entirely by the physical delivery of shares of our common stock in exchange for cash proceeds, although we may elect cash settlement or net share settlement for all or a portion of our remaining obligations under the June 2020 Forward Sale Agreement. As of September 30, 2020, the forward share price was $20.71 and would result in us receiving approximately $557.0 million in cash proceeds if we were to physically settle the remaining shares under the June 2020 Forward Sale Agreement. Alternatively, if we were to net cash settle the remaining shares under the June 2020 Forward Sale Agreement, it would result in a cash outflow of $71.6 million or, if we were to net share settle the remaining shares under the June 2020 Forward Sale Agreement, it would result in us delivering approximately 3.1 million shares.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the remaining shares of common stock issuable upon settlement of the June 2020 Forward Sale Agreement will be reflected in our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remaining shares under the June 2020 Forward Sale Agreement over the number of shares of common stock that could be purchased by us in the market (based on the average market price during the period) using the proceeds receivable upon physical settlement of the remaining shares (based on the adjusted forward sales price at the end of the reporting period). If and when we physically settle the remaining shares under the June 2020 Forward Sale Agreement, the delivery of shares of our common stock will result in an increase in the number of shares of common stock outstanding and dilution to our earnings per share. We intend to use the net proceeds upon settlement of the remaining shares under the June 2020 Forward Sale Agreement for general corporate purposes, which may include future transactions, the acquisition and improvement of properties, capital expenditures, working capital and the repayment of indebtedness.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2019 Offering</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28, 2019, we completed a primary follow-on offering of (i) 50,000,000 shares of common stock (including 15,000,000 shares sold pursuant to the exercise in full of the underwriters’ option to purchase additional common stock) at an offering price of $21.50 per share for an aggregate offering value of $1.1 billion, resulting in net proceeds, after the deduction of the underwriting discount and expenses, of $1.0 billion and (ii) 65,000,000 shares of common stock that were subject to forward sale agreements to be settled by September 26, 2020 (collectively the “June 2019 Forward Sale Agreements”). We did not initially receive any proceeds from the sale of the shares of common stock subject to the June 2019 Forward Sale Agreements that were sold by the forward purchasers or their respective affiliates. We determined that the June 2019 Forward Sale Agreements meet the criteria for equity classification and are therefore exempt from derivative accounting. We recorded the June 2019 Forward Sale Agreements at fair value at inception, which we determined to be zero. Subsequent changes to fair value were not required under equity classification.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 2020, we physically settled the June 2019 Forward Sale Agreements in full by delivering 65,000,000 shares of our common stock to the forward purchasers, in exchange for total net proceeds of approximately $1.3 billion. The physical settlement of the June 2019 Forward Sale Agreements was calculated based on the forward sale price of $19.64 per share. The proceeds were used to consummate the Eldorado Transaction.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entered into an equity distribution agreement, as amended (the “ATM Agreement”), pursuant to which we may sell, from time to time, up to an aggregate sales price of $750.0 million of our common stock (the “ATM Program”). Sales of common stock, if any, made pursuant to the ATM Agreement may be sold in negotiated transactions or transactions that are deemed to be “at the market” offerings, as defined in Rule 415 of the Securities Act. Actual sales under the ATM Program will depend on a variety of factors including market conditions, the trading price of our common stock, our capital needs, and our determination of the appropriate sources of funding to meet such needs. During the nine months ended September 30, 2020, we sold a total of 7,500,000 shares under the ATM Program for net proceeds of $200.0 million. During the year ended December 31, 2019, we sold a total of 6,107,633 shares under the ATM Program for net proceeds of $128.3 million. We have no obligation to sell the remaining shares available for sale under the ATM Program.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Common Stock Outstanding</w:t>
            </w: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02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6"/>
                <w:szCs w:val="16"/>
                <w:b w:val="1"/>
                <w:bCs w:val="1"/>
                <w:color w:val="auto"/>
              </w:rPr>
              <w:t xml:space="preserve">Beginning Balance January 1, </w:t>
            </w:r>
            <w:r>
              <w:rPr>
                <w:rFonts w:ascii="Arial" w:cs="Arial" w:eastAsia="Arial" w:hAnsi="Arial"/>
                <w:sz w:val="21"/>
                <w:szCs w:val="21"/>
                <w:b w:val="1"/>
                <w:bCs w:val="1"/>
                <w:i w:val="1"/>
                <w:iCs w:val="1"/>
                <w:color w:val="auto"/>
                <w:vertAlign w:val="superscript"/>
              </w:rPr>
              <w:t>(1)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461,004,742</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404,729,616</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in primary follow-on offerings</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Issuance of common stock upon physical settlement of forward sale agreements </w:t>
            </w:r>
            <w:r>
              <w:rPr>
                <w:rFonts w:ascii="Arial" w:cs="Arial" w:eastAsia="Arial" w:hAnsi="Arial"/>
                <w:sz w:val="23"/>
                <w:szCs w:val="23"/>
                <w:i w:val="1"/>
                <w:iCs w:val="1"/>
                <w:color w:val="auto"/>
                <w:vertAlign w:val="superscript"/>
              </w:rPr>
              <w:t>(1)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68,000,000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under the at-the-market offering program</w:t>
            </w:r>
          </w:p>
        </w:tc>
        <w:tc>
          <w:tcPr>
            <w:tcW w:w="2060" w:type="dxa"/>
            <w:vAlign w:val="bottom"/>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6,107,633</w:t>
            </w:r>
          </w:p>
        </w:tc>
        <w:tc>
          <w:tcPr>
            <w:tcW w:w="0" w:type="dxa"/>
            <w:vAlign w:val="bottom"/>
          </w:tcPr>
          <w:p>
            <w:pPr>
              <w:spacing w:after="0"/>
              <w:rPr>
                <w:sz w:val="1"/>
                <w:szCs w:val="1"/>
                <w:color w:val="auto"/>
              </w:rPr>
            </w:pPr>
          </w:p>
        </w:tc>
      </w:tr>
      <w:tr>
        <w:trPr>
          <w:trHeight w:val="176"/>
        </w:trPr>
        <w:tc>
          <w:tcPr>
            <w:tcW w:w="70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Issuance of restricted and unrestricted common stock under the stock incentive program, net of</w:t>
            </w:r>
          </w:p>
        </w:tc>
        <w:tc>
          <w:tcPr>
            <w:tcW w:w="2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164,037</w:t>
            </w:r>
          </w:p>
        </w:tc>
        <w:tc>
          <w:tcPr>
            <w:tcW w:w="100" w:type="dxa"/>
            <w:vAlign w:val="bottom"/>
            <w:shd w:val="clear" w:color="auto" w:fill="CCEEFF"/>
          </w:tcPr>
          <w:p>
            <w:pPr>
              <w:spacing w:after="0"/>
              <w:rPr>
                <w:sz w:val="15"/>
                <w:szCs w:val="15"/>
                <w:color w:val="auto"/>
              </w:rPr>
            </w:pPr>
          </w:p>
        </w:tc>
        <w:tc>
          <w:tcPr>
            <w:tcW w:w="2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168,496</w:t>
            </w:r>
          </w:p>
        </w:tc>
        <w:tc>
          <w:tcPr>
            <w:tcW w:w="0" w:type="dxa"/>
            <w:vAlign w:val="bottom"/>
          </w:tcPr>
          <w:p>
            <w:pPr>
              <w:spacing w:after="0"/>
              <w:rPr>
                <w:sz w:val="1"/>
                <w:szCs w:val="1"/>
                <w:color w:val="auto"/>
              </w:rPr>
            </w:pPr>
          </w:p>
        </w:tc>
      </w:tr>
      <w:tr>
        <w:trPr>
          <w:trHeight w:val="234"/>
        </w:trPr>
        <w:tc>
          <w:tcPr>
            <w:tcW w:w="7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forfeitures </w:t>
            </w:r>
            <w:r>
              <w:rPr>
                <w:rFonts w:ascii="Arial" w:cs="Arial" w:eastAsia="Arial" w:hAnsi="Arial"/>
                <w:sz w:val="23"/>
                <w:szCs w:val="23"/>
                <w:i w:val="1"/>
                <w:iCs w:val="1"/>
                <w:color w:val="auto"/>
                <w:vertAlign w:val="superscript"/>
              </w:rPr>
              <w:t>(2)</w:t>
            </w:r>
          </w:p>
        </w:tc>
        <w:tc>
          <w:tcPr>
            <w:tcW w:w="2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color w:val="auto"/>
              </w:rPr>
              <w:t>Ending Balance September 30,</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536,668,779</w:t>
            </w: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461,005,745</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vMerge w:val="restart"/>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26,900,000 remaining shares subject to the June 2020 Forward Sale Agreement as such shares are not yet settled.</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9"/>
        </w:numPr>
        <w:rPr>
          <w:rFonts w:ascii="Arial" w:cs="Arial" w:eastAsia="Arial" w:hAnsi="Arial"/>
          <w:sz w:val="13"/>
          <w:szCs w:val="13"/>
          <w:i w:val="1"/>
          <w:iCs w:val="1"/>
          <w:color w:val="auto"/>
        </w:rPr>
      </w:pPr>
      <w:r>
        <w:rPr>
          <w:rFonts w:ascii="Arial" w:cs="Arial" w:eastAsia="Arial" w:hAnsi="Arial"/>
          <w:sz w:val="13"/>
          <w:szCs w:val="13"/>
          <w:i w:val="1"/>
          <w:iCs w:val="1"/>
          <w:color w:val="auto"/>
        </w:rPr>
        <w:t>The nine months ended September 30, 2020 and 2019 excludes 239,437 share units and 157,512 share units, respectively, issued under the performance-based stock incentive program.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nine months ended September 30, 2020 and 2019 were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0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2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920" w:type="dxa"/>
            <w:vAlign w:val="bottom"/>
            <w:tcBorders>
              <w:top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92"/>
              </w:rPr>
              <w:t>Payment Date</w:t>
            </w:r>
          </w:p>
        </w:tc>
        <w:tc>
          <w:tcPr>
            <w:tcW w:w="346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12, 2020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31, 2020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April 9, 2020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January 1, 2020 - March 31, 2020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000" w:type="dxa"/>
            <w:vAlign w:val="bottom"/>
            <w:gridSpan w:val="4"/>
          </w:tcPr>
          <w:p>
            <w:pPr>
              <w:jc w:val="center"/>
              <w:ind w:right="120"/>
              <w:spacing w:after="0"/>
              <w:rPr>
                <w:sz w:val="20"/>
                <w:szCs w:val="20"/>
                <w:color w:val="auto"/>
              </w:rPr>
            </w:pPr>
            <w:r>
              <w:rPr>
                <w:rFonts w:ascii="Arial" w:cs="Arial" w:eastAsia="Arial" w:hAnsi="Arial"/>
                <w:sz w:val="18"/>
                <w:szCs w:val="18"/>
                <w:color w:val="auto"/>
                <w:w w:val="87"/>
              </w:rPr>
              <w:t>June 11, 2020</w:t>
            </w:r>
          </w:p>
        </w:tc>
        <w:tc>
          <w:tcPr>
            <w:tcW w:w="202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June 30, 2020</w:t>
            </w:r>
          </w:p>
        </w:tc>
        <w:tc>
          <w:tcPr>
            <w:tcW w:w="192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July 10, 2020</w:t>
            </w:r>
          </w:p>
        </w:tc>
        <w:tc>
          <w:tcPr>
            <w:tcW w:w="346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April 1, 2020 - June 30, 2020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0.2975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00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10, 2020</w:t>
            </w:r>
          </w:p>
        </w:tc>
        <w:tc>
          <w:tcPr>
            <w:tcW w:w="202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30, 2020</w:t>
            </w:r>
          </w:p>
        </w:tc>
        <w:tc>
          <w:tcPr>
            <w:tcW w:w="192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8, 2020</w:t>
            </w:r>
          </w:p>
        </w:tc>
        <w:tc>
          <w:tcPr>
            <w:tcW w:w="346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89"/>
              </w:rPr>
              <w:t>July 1, 2020 - September 30, 2020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0.3300</w:t>
            </w:r>
          </w:p>
        </w:tc>
        <w:tc>
          <w:tcPr>
            <w:tcW w:w="20" w:type="dxa"/>
            <w:vAlign w:val="bottom"/>
            <w:shd w:val="clear" w:color="auto" w:fill="CCEEFF"/>
          </w:tcPr>
          <w:p>
            <w:pPr>
              <w:spacing w:after="0"/>
              <w:rPr>
                <w:sz w:val="19"/>
                <w:szCs w:val="19"/>
                <w:color w:val="auto"/>
              </w:rPr>
            </w:pPr>
          </w:p>
        </w:tc>
      </w:tr>
      <w:tr>
        <w:trPr>
          <w:trHeight w:val="483"/>
        </w:trPr>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8"/>
          </w:tcPr>
          <w:p>
            <w:pPr>
              <w:ind w:left="180"/>
              <w:spacing w:after="0"/>
              <w:rPr>
                <w:sz w:val="20"/>
                <w:szCs w:val="20"/>
                <w:color w:val="auto"/>
              </w:rPr>
            </w:pPr>
            <w:r>
              <w:rPr>
                <w:rFonts w:ascii="Arial" w:cs="Arial" w:eastAsia="Arial" w:hAnsi="Arial"/>
                <w:sz w:val="16"/>
                <w:szCs w:val="16"/>
                <w:b w:val="1"/>
                <w:bCs w:val="1"/>
                <w:color w:val="auto"/>
              </w:rPr>
              <w:t>Nine Months Ended September 30, 2019</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3"/>
              </w:rPr>
              <w:t>Declaration Date</w:t>
            </w:r>
          </w:p>
        </w:tc>
        <w:tc>
          <w:tcPr>
            <w:tcW w:w="20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3"/>
              </w:rPr>
              <w:t>Record Date</w:t>
            </w:r>
          </w:p>
        </w:tc>
        <w:tc>
          <w:tcPr>
            <w:tcW w:w="19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Payment Date</w:t>
            </w:r>
          </w:p>
        </w:tc>
        <w:tc>
          <w:tcPr>
            <w:tcW w:w="34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Pr>
          <w:p>
            <w:pPr>
              <w:spacing w:after="0"/>
              <w:rPr>
                <w:sz w:val="18"/>
                <w:szCs w:val="18"/>
                <w:color w:val="auto"/>
              </w:rPr>
            </w:pPr>
          </w:p>
        </w:tc>
        <w:tc>
          <w:tcPr>
            <w:tcW w:w="1460" w:type="dxa"/>
            <w:vAlign w:val="bottom"/>
          </w:tcPr>
          <w:p>
            <w:pPr>
              <w:jc w:val="right"/>
              <w:ind w:right="512"/>
              <w:spacing w:after="0"/>
              <w:rPr>
                <w:sz w:val="20"/>
                <w:szCs w:val="20"/>
                <w:color w:val="auto"/>
              </w:rPr>
            </w:pPr>
            <w:r>
              <w:rPr>
                <w:rFonts w:ascii="Arial" w:cs="Arial" w:eastAsia="Arial" w:hAnsi="Arial"/>
                <w:sz w:val="16"/>
                <w:szCs w:val="16"/>
                <w:b w:val="1"/>
                <w:bCs w:val="1"/>
                <w:color w:val="auto"/>
              </w:rPr>
              <w:t>Dividend</w:t>
            </w:r>
          </w:p>
        </w:tc>
        <w:tc>
          <w:tcPr>
            <w:tcW w:w="20" w:type="dxa"/>
            <w:vAlign w:val="bottom"/>
          </w:tcPr>
          <w:p>
            <w:pPr>
              <w:spacing w:after="0"/>
              <w:rPr>
                <w:sz w:val="18"/>
                <w:szCs w:val="18"/>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2019</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29, 2019</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April 11, 2019</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2019 - March 31, 2019</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000" w:type="dxa"/>
            <w:vAlign w:val="bottom"/>
            <w:gridSpan w:val="4"/>
          </w:tcPr>
          <w:p>
            <w:pPr>
              <w:jc w:val="center"/>
              <w:ind w:right="120"/>
              <w:spacing w:after="0"/>
              <w:rPr>
                <w:sz w:val="20"/>
                <w:szCs w:val="20"/>
                <w:color w:val="auto"/>
              </w:rPr>
            </w:pPr>
            <w:r>
              <w:rPr>
                <w:rFonts w:ascii="Arial" w:cs="Arial" w:eastAsia="Arial" w:hAnsi="Arial"/>
                <w:sz w:val="18"/>
                <w:szCs w:val="18"/>
                <w:color w:val="auto"/>
                <w:w w:val="87"/>
              </w:rPr>
              <w:t>June 13, 2019</w:t>
            </w:r>
          </w:p>
        </w:tc>
        <w:tc>
          <w:tcPr>
            <w:tcW w:w="2020" w:type="dxa"/>
            <w:vAlign w:val="bottom"/>
            <w:gridSpan w:val="4"/>
          </w:tcPr>
          <w:p>
            <w:pPr>
              <w:jc w:val="center"/>
              <w:ind w:right="140"/>
              <w:spacing w:after="0"/>
              <w:rPr>
                <w:sz w:val="20"/>
                <w:szCs w:val="20"/>
                <w:color w:val="auto"/>
              </w:rPr>
            </w:pPr>
            <w:r>
              <w:rPr>
                <w:rFonts w:ascii="Arial" w:cs="Arial" w:eastAsia="Arial" w:hAnsi="Arial"/>
                <w:sz w:val="18"/>
                <w:szCs w:val="18"/>
                <w:color w:val="auto"/>
                <w:w w:val="87"/>
              </w:rPr>
              <w:t>June 28, 2019</w:t>
            </w:r>
          </w:p>
        </w:tc>
        <w:tc>
          <w:tcPr>
            <w:tcW w:w="192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July 12, 2019</w:t>
            </w:r>
          </w:p>
        </w:tc>
        <w:tc>
          <w:tcPr>
            <w:tcW w:w="346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April 1, 2019 - June 30, 2019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0.2875</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00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12, 2019</w:t>
            </w:r>
          </w:p>
        </w:tc>
        <w:tc>
          <w:tcPr>
            <w:tcW w:w="202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27, 2019</w:t>
            </w:r>
          </w:p>
        </w:tc>
        <w:tc>
          <w:tcPr>
            <w:tcW w:w="192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9"/>
              </w:rPr>
              <w:t>October 10, 2019</w:t>
            </w:r>
          </w:p>
        </w:tc>
        <w:tc>
          <w:tcPr>
            <w:tcW w:w="346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89"/>
              </w:rPr>
              <w:t>July 1, 2019 - September 30, 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0.2975</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Earnings Per Share</w:t>
      </w:r>
    </w:p>
    <w:p>
      <w:pPr>
        <w:spacing w:after="0" w:line="165"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the remaining shares under the June 2020 Forward Sale Agreement. The shares issuable upon settlement of the remaining shares under the June 2020 Forward Sale Agreement, as described in </w:t>
      </w:r>
      <w:hyperlink w:anchor="page46">
        <w:r>
          <w:rPr>
            <w:rFonts w:ascii="Arial" w:cs="Arial" w:eastAsia="Arial" w:hAnsi="Arial"/>
            <w:sz w:val="17"/>
            <w:szCs w:val="17"/>
            <w:u w:val="single" w:color="auto"/>
            <w:color w:val="0000FF"/>
          </w:rPr>
          <w:t>Note 12 - Stockholders' Equity</w:t>
        </w:r>
      </w:hyperlink>
      <w:r>
        <w:rPr>
          <w:rFonts w:ascii="Arial" w:cs="Arial" w:eastAsia="Arial" w:hAnsi="Arial"/>
          <w:sz w:val="17"/>
          <w:szCs w:val="17"/>
          <w:color w:val="auto"/>
        </w:rPr>
        <w:t>, are reflected in the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remaining shares under the June 2020 Forward Sale Agreement over the number of shares of common stock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remaining shares under the June 2020 Forward Sale Agreement, the delivery of shares of common stock would result in an increase in the number of shares outstanding and dilution to earnings per share.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9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3"/>
              </w:rPr>
              <w:t>Three Months Ended</w:t>
            </w:r>
          </w:p>
        </w:tc>
        <w:tc>
          <w:tcPr>
            <w:tcW w:w="2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98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0" w:type="dxa"/>
            <w:vAlign w:val="bottom"/>
          </w:tcPr>
          <w:p>
            <w:pPr>
              <w:jc w:val="right"/>
              <w:ind w:right="454"/>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32"/>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0" w:type="dxa"/>
            <w:vAlign w:val="bottom"/>
          </w:tcPr>
          <w:p>
            <w:pPr>
              <w:jc w:val="right"/>
              <w:ind w:right="454"/>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52"/>
              <w:spacing w:after="0" w:line="172" w:lineRule="exact"/>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Determination of shares: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1400" w:type="dxa"/>
            <w:vAlign w:val="bottom"/>
          </w:tcPr>
          <w:p>
            <w:pPr>
              <w:jc w:val="right"/>
              <w:spacing w:after="0"/>
              <w:rPr>
                <w:sz w:val="20"/>
                <w:szCs w:val="20"/>
                <w:color w:val="auto"/>
              </w:rPr>
            </w:pPr>
            <w:r>
              <w:rPr>
                <w:rFonts w:ascii="Arial" w:cs="Arial" w:eastAsia="Arial" w:hAnsi="Arial"/>
                <w:sz w:val="18"/>
                <w:szCs w:val="18"/>
                <w:color w:val="auto"/>
              </w:rPr>
              <w:t>533,408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460,666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496,003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426,438</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Assumed conversion of restricted stock </w:t>
            </w:r>
            <w:r>
              <w:rPr>
                <w:rFonts w:ascii="Arial" w:cs="Arial" w:eastAsia="Arial" w:hAnsi="Arial"/>
                <w:sz w:val="23"/>
                <w:szCs w:val="23"/>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Assumed settlement of forward sale agreements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465,772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hanging="332"/>
        <w:spacing w:after="0" w:line="255" w:lineRule="auto"/>
        <w:tabs>
          <w:tab w:leader="none" w:pos="332"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and nine months ended September 30, 2020, certain unvested restricted shares and unvested performance-based restricted shares were excluded from the computation of diluted EPS because the effect of doing so was anti-dilutive.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0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4"/>
                <w:szCs w:val="14"/>
                <w:color w:val="auto"/>
              </w:rPr>
            </w:pPr>
          </w:p>
        </w:tc>
        <w:tc>
          <w:tcPr>
            <w:tcW w:w="1060" w:type="dxa"/>
            <w:vAlign w:val="bottom"/>
          </w:tcPr>
          <w:p>
            <w:pPr>
              <w:jc w:val="right"/>
              <w:ind w:right="433"/>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31"/>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3"/>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51"/>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398,274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144,435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603,664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447,333</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426,438</w:t>
            </w:r>
          </w:p>
        </w:tc>
      </w:tr>
      <w:tr>
        <w:trPr>
          <w:trHeight w:val="223"/>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Basic EPS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Diluted: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447,333</w:t>
            </w: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428,366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Stock-Based Compensation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September 30, 2020, 11,477,422 shares of common stock remained available for issuance by us as equity awards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320" w:type="dxa"/>
            <w:vAlign w:val="bottom"/>
          </w:tcPr>
          <w:p>
            <w:pPr>
              <w:spacing w:after="0"/>
              <w:rPr>
                <w:sz w:val="16"/>
                <w:szCs w:val="16"/>
                <w:color w:val="auto"/>
              </w:rPr>
            </w:pPr>
          </w:p>
        </w:tc>
        <w:tc>
          <w:tcPr>
            <w:tcW w:w="2580" w:type="dxa"/>
            <w:vAlign w:val="bottom"/>
            <w:gridSpan w:val="4"/>
          </w:tcPr>
          <w:p>
            <w:pPr>
              <w:jc w:val="center"/>
              <w:ind w:right="275"/>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240" w:type="dxa"/>
            <w:vAlign w:val="bottom"/>
          </w:tcPr>
          <w:p>
            <w:pPr>
              <w:jc w:val="right"/>
              <w:ind w:right="435"/>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37"/>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r>
      <w:tr>
        <w:trPr>
          <w:trHeight w:val="81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35"/>
              <w:spacing w:after="0"/>
              <w:rPr>
                <w:sz w:val="20"/>
                <w:szCs w:val="20"/>
                <w:color w:val="auto"/>
              </w:rPr>
            </w:pPr>
            <w:r>
              <w:rPr>
                <w:rFonts w:ascii="Arial" w:cs="Arial" w:eastAsia="Arial" w:hAnsi="Arial"/>
                <w:sz w:val="18"/>
                <w:szCs w:val="18"/>
                <w:color w:val="auto"/>
                <w:w w:val="99"/>
              </w:rPr>
              <w:t>49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time-based restricted stock and performance-based restricted stock units: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0" w:type="dxa"/>
            <w:vAlign w:val="bottom"/>
            <w:gridSpan w:val="5"/>
          </w:tcPr>
          <w:p>
            <w:pPr>
              <w:ind w:left="560"/>
              <w:spacing w:after="0"/>
              <w:rPr>
                <w:sz w:val="20"/>
                <w:szCs w:val="20"/>
                <w:color w:val="auto"/>
              </w:rPr>
            </w:pPr>
            <w:r>
              <w:rPr>
                <w:rFonts w:ascii="Arial" w:cs="Arial" w:eastAsia="Arial" w:hAnsi="Arial"/>
                <w:sz w:val="16"/>
                <w:szCs w:val="16"/>
                <w:b w:val="1"/>
                <w:bCs w:val="1"/>
                <w:color w:val="auto"/>
              </w:rPr>
              <w:t>Nine Months Ended September 30, 2020</w:t>
            </w:r>
          </w:p>
        </w:tc>
        <w:tc>
          <w:tcPr>
            <w:tcW w:w="3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Nine Months Ended September 30, 2019</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6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32"/>
              <w:spacing w:after="0" w:line="158" w:lineRule="exact"/>
              <w:rPr>
                <w:sz w:val="20"/>
                <w:szCs w:val="20"/>
                <w:color w:val="auto"/>
              </w:rPr>
            </w:pPr>
            <w:r>
              <w:rPr>
                <w:rFonts w:ascii="Arial" w:cs="Arial" w:eastAsia="Arial" w:hAnsi="Arial"/>
                <w:sz w:val="16"/>
                <w:szCs w:val="16"/>
                <w:b w:val="1"/>
                <w:bCs w:val="1"/>
                <w:color w:val="auto"/>
                <w:w w:val="93"/>
              </w:rPr>
              <w:t>Weighted Average Grant</w:t>
            </w:r>
          </w:p>
        </w:tc>
        <w:tc>
          <w:tcPr>
            <w:tcW w:w="120" w:type="dxa"/>
            <w:vAlign w:val="bottom"/>
          </w:tcPr>
          <w:p>
            <w:pPr>
              <w:spacing w:after="0"/>
              <w:rPr>
                <w:sz w:val="13"/>
                <w:szCs w:val="13"/>
                <w:color w:val="auto"/>
              </w:rPr>
            </w:pPr>
          </w:p>
        </w:tc>
        <w:tc>
          <w:tcPr>
            <w:tcW w:w="186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ind w:right="52"/>
              <w:spacing w:after="0" w:line="158" w:lineRule="exact"/>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5"/>
              </w:rPr>
              <w:t>Date Fair Value</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ind w:right="372"/>
              <w:spacing w:after="0" w:line="175"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9"/>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30"/>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29"/>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30"/>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Outstanding at end of period</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there was $11.5 million of unrecognized compensation cost related to non-vested stock-based compensation arrangements under the Plan. This cost is expected to be recognized over a weighted average period of 1.8 years.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Segment Information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loan investments and represents the substantial majority of our business. The golf course business segment consists of four golf courses, with each being operating segments that are aggregated into one reportable segment.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each reportable segment presented below are consistent with the way our management assesses these results and allocates resources. The following table presents certain information with respect to our segments: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1"/>
              </w:rPr>
              <w:t>Three Months Ended September 30, 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2"/>
              </w:rPr>
              <w:t>Three Months Ended September 30, 2019</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6"/>
              </w:rPr>
              <w:t>VICI Consolidated</w:t>
            </w:r>
          </w:p>
        </w:tc>
        <w:tc>
          <w:tcPr>
            <w:tcW w:w="0" w:type="dxa"/>
            <w:vAlign w:val="bottom"/>
          </w:tcPr>
          <w:p>
            <w:pPr>
              <w:spacing w:after="0"/>
              <w:rPr>
                <w:sz w:val="1"/>
                <w:szCs w:val="1"/>
                <w:color w:val="auto"/>
              </w:rPr>
            </w:pPr>
          </w:p>
        </w:tc>
      </w:tr>
      <w:tr>
        <w:trPr>
          <w:trHeight w:val="175"/>
        </w:trPr>
        <w:tc>
          <w:tcPr>
            <w:tcW w:w="2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Business</w:t>
            </w: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222,513</w:t>
            </w: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139,596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139,683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208,380</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(68,531)</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Gain upon lease modification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Income (loss) before income</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395,763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395,850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147,275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146,539</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146,515</w:t>
            </w: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16,761,134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16,851,830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12,481,892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12,581,466</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7,465,576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7,482,291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4,491,307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16,090</w:t>
            </w:r>
          </w:p>
        </w:tc>
        <w:tc>
          <w:tcPr>
            <w:tcW w:w="10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4,507,397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2"/>
              </w:rPr>
              <w:t>Nine Months Ended September 30, 2019</w:t>
            </w:r>
          </w:p>
        </w:tc>
        <w:tc>
          <w:tcPr>
            <w:tcW w:w="0" w:type="dxa"/>
            <w:vAlign w:val="bottom"/>
          </w:tcPr>
          <w:p>
            <w:pPr>
              <w:spacing w:after="0"/>
              <w:rPr>
                <w:sz w:val="1"/>
                <w:szCs w:val="1"/>
                <w:color w:val="auto"/>
              </w:rPr>
            </w:pPr>
          </w:p>
        </w:tc>
      </w:tr>
      <w:tr>
        <w:trPr>
          <w:trHeight w:val="158"/>
        </w:trPr>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6"/>
              </w:rPr>
              <w:t>VICI Consolidated</w:t>
            </w:r>
          </w:p>
        </w:tc>
        <w:tc>
          <w:tcPr>
            <w:tcW w:w="0" w:type="dxa"/>
            <w:vAlign w:val="bottom"/>
          </w:tcPr>
          <w:p>
            <w:pPr>
              <w:spacing w:after="0"/>
              <w:rPr>
                <w:sz w:val="1"/>
                <w:szCs w:val="1"/>
                <w:color w:val="auto"/>
              </w:rPr>
            </w:pPr>
          </w:p>
        </w:tc>
      </w:tr>
      <w:tr>
        <w:trPr>
          <w:trHeight w:val="175"/>
        </w:trPr>
        <w:tc>
          <w:tcPr>
            <w:tcW w:w="2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Business</w:t>
            </w: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657,261</w:t>
            </w: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535,151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536,340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611,824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615,741</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(176,936)</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Gain upon lease modification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Loss on extinguishment of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604,985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606,191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450,552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454,666</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450,365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453,568</w:t>
            </w: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16,761,134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90,696</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16,851,830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12,481,892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99,574</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12,581,466</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7,465,576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4,491,307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4,507,397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Subsequent Events</w:t>
      </w:r>
    </w:p>
    <w:p>
      <w:pPr>
        <w:spacing w:after="0" w:line="246" w:lineRule="exact"/>
        <w:rPr>
          <w:sz w:val="20"/>
          <w:szCs w:val="20"/>
          <w:color w:val="auto"/>
        </w:rPr>
      </w:pPr>
    </w:p>
    <w:p>
      <w:pPr>
        <w:jc w:val="both"/>
        <w:spacing w:after="0" w:line="263" w:lineRule="auto"/>
        <w:rPr>
          <w:rFonts w:ascii="Arial" w:cs="Arial" w:eastAsia="Arial" w:hAnsi="Arial"/>
          <w:sz w:val="18"/>
          <w:szCs w:val="18"/>
          <w:color w:val="0000FF"/>
        </w:rPr>
      </w:pPr>
      <w:hyperlink w:anchor="page18">
        <w:r>
          <w:rPr>
            <w:rFonts w:ascii="Arial" w:cs="Arial" w:eastAsia="Arial" w:hAnsi="Arial"/>
            <w:sz w:val="18"/>
            <w:szCs w:val="18"/>
            <w:color w:val="auto"/>
          </w:rPr>
          <w:t xml:space="preserve">We have evaluated subsequent events and, except for the Amended and Restated Omnibus Amendment on October 27, 2020 (as described in </w:t>
        </w:r>
        <w:r>
          <w:rPr>
            <w:rFonts w:ascii="Arial" w:cs="Arial" w:eastAsia="Arial" w:hAnsi="Arial"/>
            <w:sz w:val="18"/>
            <w:szCs w:val="18"/>
            <w:u w:val="single" w:color="auto"/>
            <w:color w:val="0000FF"/>
          </w:rPr>
          <w:t>Note 4 -</w:t>
        </w:r>
      </w:hyperlink>
      <w:r>
        <w:rPr>
          <w:rFonts w:ascii="Arial" w:cs="Arial" w:eastAsia="Arial" w:hAnsi="Arial"/>
          <w:sz w:val="18"/>
          <w:szCs w:val="18"/>
          <w:color w:val="auto"/>
        </w:rPr>
        <w:t xml:space="preserve"> </w:t>
      </w:r>
      <w:hyperlink w:anchor="page18">
        <w:r>
          <w:rPr>
            <w:rFonts w:ascii="Arial" w:cs="Arial" w:eastAsia="Arial" w:hAnsi="Arial"/>
            <w:sz w:val="18"/>
            <w:szCs w:val="18"/>
            <w:u w:val="single" w:color="auto"/>
            <w:color w:val="0000FF"/>
          </w:rPr>
          <w:t>Property Transactions</w:t>
        </w:r>
        <w:r>
          <w:rPr>
            <w:rFonts w:ascii="Arial" w:cs="Arial" w:eastAsia="Arial" w:hAnsi="Arial"/>
            <w:sz w:val="18"/>
            <w:szCs w:val="18"/>
            <w:color w:val="000000"/>
          </w:rPr>
          <w:t>) and the payment of dividends on October 8, 2020 (as described in</w:t>
        </w:r>
        <w:r>
          <w:rPr>
            <w:rFonts w:ascii="Arial" w:cs="Arial" w:eastAsia="Arial" w:hAnsi="Arial"/>
            <w:sz w:val="18"/>
            <w:szCs w:val="18"/>
            <w:color w:val="0000FF"/>
          </w:rPr>
          <w:t xml:space="preserve"> </w:t>
        </w:r>
      </w:hyperlink>
      <w:hyperlink w:anchor="page46">
        <w:r>
          <w:rPr>
            <w:rFonts w:ascii="Arial" w:cs="Arial" w:eastAsia="Arial" w:hAnsi="Arial"/>
            <w:sz w:val="18"/>
            <w:szCs w:val="18"/>
            <w:u w:val="single" w:color="auto"/>
            <w:color w:val="0000FF"/>
          </w:rPr>
          <w:t>Note 12 - Stockholders' Equity</w:t>
        </w:r>
      </w:hyperlink>
      <w:hyperlink w:anchor="page18">
        <w:r>
          <w:rPr>
            <w:rFonts w:ascii="Arial" w:cs="Arial" w:eastAsia="Arial" w:hAnsi="Arial"/>
            <w:sz w:val="18"/>
            <w:szCs w:val="18"/>
            <w:color w:val="000000"/>
          </w:rPr>
          <w:t>), there were no other events</w:t>
        </w:r>
      </w:hyperlink>
      <w:r>
        <w:rPr>
          <w:rFonts w:ascii="Arial" w:cs="Arial" w:eastAsia="Arial" w:hAnsi="Arial"/>
          <w:sz w:val="18"/>
          <w:szCs w:val="18"/>
          <w:color w:val="0000FF"/>
        </w:rPr>
        <w:t xml:space="preserve"> </w:t>
      </w:r>
      <w:r>
        <w:rPr>
          <w:rFonts w:ascii="Arial" w:cs="Arial" w:eastAsia="Arial" w:hAnsi="Arial"/>
          <w:sz w:val="18"/>
          <w:szCs w:val="18"/>
          <w:color w:val="000000"/>
        </w:rPr>
        <w:t>relative to the Financial Statements that require additional disclosure.</w:t>
      </w:r>
    </w:p>
    <w:p>
      <w:pPr>
        <w:spacing w:after="0" w:line="200" w:lineRule="exact"/>
        <w:rPr>
          <w:rFonts w:ascii="Arial" w:cs="Arial" w:eastAsia="Arial" w:hAnsi="Arial"/>
          <w:sz w:val="18"/>
          <w:szCs w:val="18"/>
          <w:color w:val="0000FF"/>
        </w:rPr>
      </w:pPr>
    </w:p>
    <w:p>
      <w:pPr>
        <w:spacing w:after="0" w:line="362"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96"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following discussion and analysis of the financial position and operating results of VICI Properties Inc. for the three and nine months ended September 30, 2020 should be read in conjunction with the Consolidated Financial Statements and related notes thereto and other financial information contained elsewhere in this Quarterly Report on Form 10-Q and the audited consolidated financial statements and related notes for the year ended December 31, 2019, which were included in our </w:t>
      </w:r>
      <w:hyperlink r:id="rId21">
        <w:r>
          <w:rPr>
            <w:rFonts w:ascii="Arial" w:cs="Arial" w:eastAsia="Arial" w:hAnsi="Arial"/>
            <w:sz w:val="16"/>
            <w:szCs w:val="16"/>
            <w:i w:val="1"/>
            <w:iCs w:val="1"/>
            <w:u w:val="single" w:color="auto"/>
            <w:color w:val="0000FF"/>
          </w:rPr>
          <w:t>Annual Report on Form 10-K for the year ended December 31, 2019</w:t>
        </w:r>
      </w:hyperlink>
      <w:r>
        <w:rPr>
          <w:rFonts w:ascii="Arial" w:cs="Arial" w:eastAsia="Arial" w:hAnsi="Arial"/>
          <w:sz w:val="16"/>
          <w:szCs w:val="16"/>
          <w:i w:val="1"/>
          <w:iCs w:val="1"/>
          <w:color w:val="auto"/>
        </w:rPr>
        <w:t xml:space="preserve">. All defined terms included herein have the same meaning as those set forth in the </w:t>
      </w:r>
      <w:hyperlink w:anchor="page8">
        <w:r>
          <w:rPr>
            <w:rFonts w:ascii="Arial" w:cs="Arial" w:eastAsia="Arial" w:hAnsi="Arial"/>
            <w:sz w:val="16"/>
            <w:szCs w:val="16"/>
            <w:i w:val="1"/>
            <w:iCs w:val="1"/>
            <w:u w:val="single" w:color="auto"/>
            <w:color w:val="0000FF"/>
          </w:rPr>
          <w:t>Notes to the Consolidated Financial Statements</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contained within this Quarterly Report on Form 10-Q.</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24" w:lineRule="exact"/>
        <w:rPr>
          <w:sz w:val="20"/>
          <w:szCs w:val="20"/>
          <w:color w:val="auto"/>
        </w:rPr>
      </w:pPr>
    </w:p>
    <w:p>
      <w:pPr>
        <w:jc w:val="both"/>
        <w:spacing w:after="0" w:line="285" w:lineRule="auto"/>
        <w:rPr>
          <w:rFonts w:ascii="Arial" w:cs="Arial" w:eastAsia="Arial" w:hAnsi="Arial"/>
          <w:sz w:val="16"/>
          <w:szCs w:val="16"/>
          <w:color w:val="0000FF"/>
        </w:rPr>
      </w:pPr>
      <w:r>
        <w:rPr>
          <w:rFonts w:ascii="Arial" w:cs="Arial" w:eastAsia="Arial" w:hAnsi="Arial"/>
          <w:sz w:val="16"/>
          <w:szCs w:val="16"/>
          <w:color w:val="auto"/>
        </w:rPr>
        <w:t xml:space="preserve">Currently, one of the most significant factors that could cause actual outcomes to differ materially from our forward-looking statements is the impact of the COVID-19 pandemic on the financial condition, results of operations, cash flows and performance of the Company and its tenants. The extent to which the COVID-19 pandemic impacts the Company, its tenants and its pending transactions, will largely depend on future developments that are highly uncertain and cannot be predicted with confidence, including the impact of the actions taken to contain the pandemic or mitigate its impact, and the direct and indirect economic effects of the pandemic and containment measures on our tenants, including various state governments and/or regulatory authorities issuing directives, mandates, orders or similar actions restricting freedom of movement and business operations, such as travel restrictions, border closures, business closures, limitations on public gatherings, quarantines and “shelter-at-home” orders that resulted in the temporary closure of our tenants’ operations at our properties, the ability of the Company’s tenants to successfully operate their businesses following the reopening of their respective facilities, including the costs of complying with regulatory requirements necessary to keep the facilities open, including compliance with restrictions and reduced capacity requirements, the need to close any of the facilities after reopening as a result of the COVID-19 pandemic, and the effects of the negotiated capital expenditure reductions and other amendments to the Lease Agreements that the Company agreed to with certain of its tenants in response to the COVID-19 pandemic. Each of the foregoing could have a material adverse effect on our tenants’ ability to satisfy their obligations under their leases with us, including their continued ability to pay rent in a timely manner, or at all, and/or to fund capital expenditures or make other payments required under their leases. In addition, changes and instability in global, national and regional economic activity and financial markets as a result of the COVID-19 pandemic have negatively impacted consumer discretionary spending and travel and may continue to do so, which could have a material adverse effect on </w:t>
      </w:r>
      <w:hyperlink r:id="rId21">
        <w:r>
          <w:rPr>
            <w:rFonts w:ascii="Arial" w:cs="Arial" w:eastAsia="Arial" w:hAnsi="Arial"/>
            <w:sz w:val="16"/>
            <w:szCs w:val="16"/>
            <w:color w:val="auto"/>
          </w:rPr>
          <w:t xml:space="preserve">our tenants’ businesses. Investors are cautioned to interpret many of the risks identified under the section entitled “Risk Factors” in our </w:t>
        </w:r>
        <w:r>
          <w:rPr>
            <w:rFonts w:ascii="Arial" w:cs="Arial" w:eastAsia="Arial" w:hAnsi="Arial"/>
            <w:sz w:val="16"/>
            <w:szCs w:val="16"/>
            <w:u w:val="single" w:color="auto"/>
            <w:color w:val="0000FF"/>
          </w:rPr>
          <w:t>Annual Report on</w:t>
        </w:r>
      </w:hyperlink>
      <w:r>
        <w:rPr>
          <w:rFonts w:ascii="Arial" w:cs="Arial" w:eastAsia="Arial" w:hAnsi="Arial"/>
          <w:sz w:val="16"/>
          <w:szCs w:val="16"/>
          <w:color w:val="auto"/>
        </w:rPr>
        <w:t xml:space="preserve"> </w:t>
      </w:r>
      <w:hyperlink r:id="rId21">
        <w:r>
          <w:rPr>
            <w:rFonts w:ascii="Arial" w:cs="Arial" w:eastAsia="Arial" w:hAnsi="Arial"/>
            <w:sz w:val="16"/>
            <w:szCs w:val="16"/>
            <w:u w:val="single" w:color="auto"/>
            <w:color w:val="0000FF"/>
          </w:rPr>
          <w:t>Form 10-K for the year ended December 31, 2019</w:t>
        </w:r>
        <w:r>
          <w:rPr>
            <w:rFonts w:ascii="Arial" w:cs="Arial" w:eastAsia="Arial" w:hAnsi="Arial"/>
            <w:sz w:val="16"/>
            <w:szCs w:val="16"/>
            <w:color w:val="000000"/>
          </w:rPr>
          <w:t>, our Quarterly Reports on Form 10-Q and Current Reports on Form 8-K as being heightened as a result</w:t>
        </w:r>
      </w:hyperlink>
      <w:r>
        <w:rPr>
          <w:rFonts w:ascii="Arial" w:cs="Arial" w:eastAsia="Arial" w:hAnsi="Arial"/>
          <w:sz w:val="16"/>
          <w:szCs w:val="16"/>
          <w:color w:val="0000FF"/>
        </w:rPr>
        <w:t xml:space="preserve"> </w:t>
      </w:r>
      <w:r>
        <w:rPr>
          <w:rFonts w:ascii="Arial" w:cs="Arial" w:eastAsia="Arial" w:hAnsi="Arial"/>
          <w:sz w:val="16"/>
          <w:szCs w:val="16"/>
          <w:color w:val="000000"/>
        </w:rPr>
        <w:t>of the ongoing and numerous adverse impacts of the COVID-19 pandemic.</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including low consumer confidence, unemployment levels and depressed real estate prices resulting from the severity and duration of any downturn in the U.S. or global economy (including stemming from the COVID-19 pandemic and changes in economic conditions as a result of the COVID-19 pandemic); our dependence on subsidiaries of Caesars, Penn National, Hard Rock, Century Casinos and JACK Entertainment as tenants of our properties and Caesars, Penn National, Seminole Hard Rock, Century Casinos and Rock Ohio Ventures LLC or certain of their respective subsidiaries as guarantors of the lease payments and the negative consequences any material adverse effect on their respective businesses could have on us; our borrowers’ ability to repay their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outstanding loan obligations to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the possibility that our tenants may choose not to renew the Lease Agreements following the initial or subsequent terms of the leases; restrictions on our ability to sell our properties subject to the Lease Agreements; Caesars’, Penn National’s, Hard Rock’s, Century Casinos’ and JACK Entertainment’s historical results may not be a reliable indicator of their future results; our substantial amount of indebtedness and ability to service, refinance and otherwise fulfill our obligations under such indebtedness; limits on our operational and financial flexibility imposed by our debt agreements; our historical financial information may not be reliable indicators of our future results of operations, financial condition and cash flows; the possibility that our pending transactions may not be completed or that completion may be unduly delayed; the possibility that we identify significant environmental, tax, legal or other issues that materially and adversely impact the value of assets acquired or secured as collateral (or other benefits we expect to receive) in any of our pending or recently completed transactions; the effects of our recently completed and pending transactions on us, including the future impact on our financial condition, financial and operating results, cash flows, strategy and plans; the possibility our separation from CEOC fails to qualify as a tax-free spin-off, which could subject us to significant tax liabilities; the impact of changes to the U.S. Federal income tax laws; the possibility of foreclosure on our properties if we are unable to meet required debt service payments; the impact of a rise in interest rates on us; our inability to successfully pursue investments in, and acquisitions of, additional properties; the impact of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the costs of operating as a public company; our inability to operate as a stand-alone company; our inability to maintain our qualification for taxation as a REIT; our reliance on distributions received from the Operating Partnership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and hedge fund investors,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 on Form 10-K, Quarterly Reports on Form 10-Q and Current Reports on Form 8-K.</w:t>
      </w: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Our national, geographically diverse portfolio currently consists of 29 market leading properties (reflecting the acquisitions and dispositions described herein, as well as the removal of Tunica Roadhouse, which has permanently closed),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over 48 million square feet, our well-maintained properties are currently located across urban, destination and drive-to markets in twelve states, contain approximately 19,200 hotel rooms and feature over 200 restaurants, bars and nightclubs.</w:t>
      </w:r>
    </w:p>
    <w:p>
      <w:pPr>
        <w:spacing w:after="0" w:line="22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portfolio also includes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chart summarizes our current portfolio of properties, our pending transactions and our properties subject to right of first refusal agreements and put/call agreements with Caesars: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83185</wp:posOffset>
            </wp:positionV>
            <wp:extent cx="5863590" cy="4397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lease our properties to subsidiaries of Caesars, Penn National, Hard Rock, Century Casinos and JACK Entertainment, with Caesars being our largest tenant. We believe we have a mutually beneficial relationship with Caesars, Penn National, Hard Rock, Century Casinos and JACK Entertainment, all of which are leading owners and operators of gaming, entertainment and leisure properties. Our long-term triple-net Lease Agreements with subsidiaries of Caesars, Penn National, Hard Rock, Century Casinos and JACK Entertainment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 term. Given current market conditions and the ongoing impact of the COVID-19 pandemic, we anticipate more limited acquisition and investment activity in the near term and we will prioritize our existing tenant relationships and assets, as well as our financial strength and liquidity over the near- to medium-term. However, we will continue to evaluate and may opportunistically pursue accretive acquisitions or investments that may arise in the market.</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is competitively positioned and well-maintained. Pursuant to the terms of the Lease Agreements, which generally require our tenants to invest in our properties (subject in certain cases to temporary relief we granted certain tenants on a portion of their capital expenditure obligations),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highly complementary single-asset and portfolio acquisitions and other investments to augment growth as market conditions allow and with a focus on disciplined capital allocation given the ongoing impact of the COVID-19 pandemic.</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current macroeconomic impact of the COVID-19 pandemic and market conditions more broadly. We conduct our real property business through our Operating Partnership and our golf course business through a TRS, VICI Golf.</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included in this Quarterly Report on Form 10-Q is our consolidated results (including the real property business and the golf course business) for the three and nine months ended September 30,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11, 2020, the World Health Organization declared COVID-19 a pandemic, and on March 13, 2020, the United States declared a national emergency. Among the broader public health, societal and global impact, the COVID-19 pandemic resulted in state governments and/or regulatory authorities issuing various directives, mandates, orders or similar actions, resulting in the temporary closure of our tenants’ operations at all of our properties. Our golf course business has also been impacted, with all four courses temporarily ceasing operations in March 2020 as a result of the COVID-19 pandemic, although our golf courses were subsequently reopened in early to mid-May 2020 in compliance with applicable regulations and restrictions. The operations of all of our properties have reopened, subject to operating limitations set forth by the state and local governments and/or regulatory authorities. As a result, our tenants’ facilities at our properties have reopened at reduced capacity and subject to additional operating restrictions, and we cannot predict how long they will be required to operate subject to such operating restrictions or whether they will be subject to additional restrictions or forced to close again in the future. The full extent to which the COVID-19 pandemic ultimately impacts us and our tenants continues to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on our tenants, including our tenants’ financial performance and the duration and extent of operating limitations and reduced capacity requirements. We continue to closely monitor the impact of the COVID-19 pandemic on us, our tenants and our pending transactions.</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closure and restriction of their operations, our tenants have experienced a substantial number of cancellations and reductions in future events and reservations in connection with the uncertain duration of the COVID-19 pandemic. Following the reopening of our tenants’ businesses, they have faced additional challenges with respect to restoring operations, customer engagement and financial performance, although, in many of our tenants’ regional markets their early operational performance following reopening has generally been at or near prior-year levels for such period. More broadly, the COVID-19 pandemic and the actions taken to contain the pandemic or mitigate its impact have resulted in a prolonged period of significant economic uncertainty, as well as a global economic recession, which is generally expected to continue into 2021. Additional economic effects may continue well beyond the lifting or phasing out of governmental restrictions related to COVID-19, thereby negatively affecting an economic recovery in the gaming sector. Historically, economic indicators such as GDP growth, consumer confidence and employment are correlated with demand for gaming, entertainment and leisure properties, and economic recessions have led to a decrease in gaming revenue, although the impact of such recessions have generally been less volatile than the impact on retail revenue and S&amp;P 500 sales.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of our tenants have fulfilled their rent obligations through October 2020 and we continue to engage with our tenants in connection with the ongoing COVID-19 pandemic and its impact on operations, liquidity and financial performance. However, in connection with the ongoing COVID-19 pandemic and its impact on our tenants’ operations and financial performance, we have provided certain relief under the applicable Lease Agreements to some of our tenants. While the relief we have provided has not deferred or reduced rent obligations for any of our tenants and we do not currently anticipate providing any such relief, due to these factors and the continuing uncertainty of the ultimate impact of the COVID-19 pandemic, there can be no assurance that our tenants will continue to fulfill their rent obligations in full or that our tenants will make anticipated capital expenditures to maintain or improve our properties. Further, future or current economic conditions could impact our tenants’ ability to meet capital improvement requirements or other obligations required in our Lease Agreements that could result in a decrease in value of our properties. We continue to actively engage in dialogues with our tenants regarding the impact of the COVID-19 pandemic on their businesses, including with respect to their respective financial and operating situations, liquidity needs and contingency planning. Although all of our tenants have fulfilled their rent obligation in full through October 2020,</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cannot predict with confidence when our tenants’ operations at our properties will operate without restriction, whether they will be forced to close again in the future, or if and when they will return to pre-pandemic performance levels. As the duration of the pandemic and operational restrictions lengthens, or if new operational restrictions are imposed, our tenants’ liquidity positions may become more stressed and it may cause one or more of our tenants to be unwilling or unable to meet their obligations to us in full, or at all, or to otherwise seek modifications to such obligations. As a triple-net lessor, we believe we are generally in a strong creditor position and structurally insulated from operational and performance impacts of our tenants, both positive and negative. However, given the unprecedented nature of the COVID-19 pandemic, we understand that working with our tenants in the short term to ensure their long-term financial health and performance may become necessary and should provide meaningful benefits to us as well over the long-term.</w:t>
      </w:r>
    </w:p>
    <w:p>
      <w:pPr>
        <w:spacing w:after="0" w:line="112"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As described herein, the full extent to which the COVID-19 pandemic ultimately impacts us and our tenants will depend on future developments, which are highly uncertain and cannot be predicted with confidence, including the scope, severity and duration of the pandemic, the actions taken to contain the pandemic or mitigate its impact, the direct and indirect economic effects of the pandemic and containment measures on our tenants, the length of time our tenants’ operations at our properties remain restricted, or close again in the future, our tenants’ financial performance following reopening and any operating limitations upon reopening. These uncertainties make it difficult to predict our operating results for the remainder of 2020. We will continue to closely monitor the impact of COVID-19 on us, our tenants and our pending transactions. For more information, refer to “</w:t>
      </w:r>
      <w:hyperlink w:anchor="page76">
        <w:r>
          <w:rPr>
            <w:rFonts w:ascii="Arial" w:cs="Arial" w:eastAsia="Arial" w:hAnsi="Arial"/>
            <w:sz w:val="17"/>
            <w:szCs w:val="17"/>
            <w:u w:val="single" w:color="auto"/>
            <w:color w:val="0000FF"/>
          </w:rPr>
          <w:t>Part II – Item 1A. Risk Factors</w:t>
        </w:r>
      </w:hyperlink>
      <w:r>
        <w:rPr>
          <w:rFonts w:ascii="Arial" w:cs="Arial" w:eastAsia="Arial" w:hAnsi="Arial"/>
          <w:sz w:val="17"/>
          <w:szCs w:val="17"/>
          <w:color w:val="auto"/>
        </w:rPr>
        <w:t>” included elsewhere in this Quarterly Report on Form 10-Q.</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2020,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30, 2020, we and Caesars closed on the previously announced transaction to sell Harrah’s Reno to a third party at a purchase price of $41.5 million. Pursuant to the agreement, we received $31.1 million of the proceeds of the sale and Caesars received $10.4 million of the proceeds. The annual rent payments under the Regional Master Lease Agreement remain unchanged following completion of the disposition.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Mortgage Loan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18, 2020, in accordance with a non-binding letter of intent (the “LOI”) entered into on June 15, 2020, we entered into a mortgage loan agreement with a subsidiary of Caesars (the “Forum Convention Center Borrower”) pursuant to which we loaned $400.0 million to the Forum Convention Center Borrower for a term of five years, with such loan secured by, among other things, a first priority fee mortgage on the Caesars Forum Convention Center (the “Forum Convention Center Mortgage Loan”).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interest rate on the Forum Convention Center Mortgage Loan is initially 7.7% per annum, with annual interest payments subject to 2.0% annual escalation (resulting in year two annual interest of $31,416,000 based on a year two interest rate of 7.854%), with interest paid monthly in cash in arrears. Except as provided below, no prepayments are permitted during the first two years of the term of the Forum Convention Center Mortgage Loan. During the third and fourth years of the term of the Forum Convention Center Mortgage Loan, the Forum Convention Center Borrower may prepay the Forum Convention Center Mortgage Loan, in each case in full but not in part, at 102% of par in year three and 101% of par in year four. During the fifth year of the term of the Forum Convention Center Mortgage Loan, the Forum Convention Center Borrower may prepay the Forum Convention Center Mortgage Loan in full but not in part at par. However, the Forum Convention Center Mortgage Loan may be prepaid at any time at par, without penalty or make-whole, in connection with our acquisition of the Caesars Forum Convention Center and an OpCo sale and conversion to an OpCo/PropCo structure, subject to our consent, which may be withheld in our sole discretion.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Forum Convention Center Mortgage Loan is secured by a first priority mortgage on the Caesars Forum Convention Center, as well as a first priority lien on the equity interests in the Forum Convention Center Borrower, a first priority security interest in all of the Forum Convention Center Borrower’s interest in furniture, fixtures and equipment used, owned or related to the operation of the Caesars Forum Convention Center, and a first priority assignment of the Forum Convention Center Borrower’s interest in leases and rents, including a collateral assignment of the Forum Convention Center Borrower’s interest in the lease on the Caesars Forum Convention Center pursuant to which the Forum Convention Center Borrower leases the Caesars Forum Convention Center to another subsidiary of Caesars (the “Caesars Tenant”), which lease is fully subordinate to the Forum Convention Center Mortgage Loan. In addition, if the Forum Convention Center Borrower defaults on the Forum Convention Center Mortgage Loan and we take title to the Caesars Forum Convention Center, we may, at our option under certain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circumstances, keep the lease with the Caesars Tenant in effect (which lease is guaranteed by Caesars and has an initial annual rent of $33.9 million, subject to annual increases equal to the greater of 2% and the annual consumer price index increase).</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in connection with the consummation of the Forum Convention Center Mortgage Loan, we and Caesars waived the conditionality of the consummation of such loan transaction on the consummation of the potential acquisition of approximately 23 acres of land in the vicinity of, or adjacent to, The LINQ Hotel &amp; Casino, Bally’s Las Vegas, Paris Las Vegas and Planet Hollywood gaming facilities (the “Las Vegas Land”) as initially contemplated by the LOI. While the parties may evaluate the potential transaction involving the Las Vegas Land in the future, the parties are not actively pursuing consummation of the transaction at this time and we are under no obligation to purchase the Las Vegas Land, and, as such, there can be no assurances that the Las Vegas Land acquisition will close on the contemplated terms or at 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Convention Center Put-Call Agreement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18, 2020, concurrent with the entry into the Forum Convention Center Mortgage Loan and in accordance with the LOI, we and a subsidiary of Caesars amended and restated the Amended and Restated Put-Call Right Agreement entered into on July 20, 2020 in connection with the consummation of the Eldorado Transaction (as further amended, the “A&amp;R Convention Center Put-Call Agreement”) related to the Caesars Forum Convention Center. The A&amp;R Convention Center Put-Call Agreement provides for (i) a call right in our favor, which, if exercised, would result in the sale by Caesars to us and simultaneous leaseback by us to Caesars of the Caesars Forum Convention Center (the “Convention Center Call Right”), at a price equal to 13.0x the initial annual rent for Caesars Forum Convention Center as proposed by Caesars (which shall be between $25.0 million and $35.0 million), exercisable by us from September 18, 2025 (the scheduled maturity date of the Forum Convention Center Mortgage Loan) until December 31, 2026, (ii) a put right in favor of Caesars, which, if exercised, would result in the sale by Caesars to us and simultaneous leaseback by us to Caesars of the Caesars Forum Convention Center (the “Convention Center Put Right”) at a price equal to 13.0x the initial annual rent for the Caesars Forum Convention Center as proposed by Caesars (which shall be between $25.0 million and $35.0 million), exercisable by Caesars between January 1, 2024 and December 31, 2024, and (iii) if there is an event of default under the Forum Convention Center Mortgage Loan, the Convention Center Put Right will not be exercisable and we, at our option, may accelerate the Convention Center Call Right so that it is exercisable from the date of such event of default until December 31, 2026 (in addition to any other remedies available to us in connection with such event of default).</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A&amp;R Convention Center Put-Call Agreement also provides for, if Caesars exercises the Convention Center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(the “HLV Repurchase Right”), exercisable by Caesars during a one-year period commencing on the date upon which the closing under the Convention Center Put Right transaction does not occur and ending on the day immediately preceding the one-year anniversary thereof for a price equal to 13.0x the rent of the Harrah’s Las Vegas property for the most recently ended annual period for which Caesars’ financial statements are available as of Caesars’ election to exercise the HLV Repurchase Right.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Louisiana Downs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we and Caesars entered into definitive agreements to sell Harrah’s Louisiana Downs Casino for $22.0 million to Rubico Acquisition Corp. We are entitled to receive $5.5 million of the proceeds from the sale and Caesars is entitled to $16.5 million of the proceeds. The annual rent payments under the Regional Master Lease Agreement will remain unchanged following completion of the disposition, which we anticipate will close by early 2021 and remains subject to regulatory approval and customary closing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Chelsea Piers Mortgage Loan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2020, we entered into an $80.0 million mortgage loan agreement (the “Chelsea Piers Mortgage Loan”) with Chelsea Piers New York (“Chelsea Piers”) secured by the Chelsea Piers complex in New York City, pursuant to which we provided (i) an initial term loan of $65.0 million and (ii) a $15.0 million delayed draw term loan at the borrowers’ election (which remained undrawn as of September 30, 2020), subject to certain conditions. The Chelsea Piers Mortgage Loan bears interest at a rate of 7.0% per annum, with a term of 7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Consummation of the Eldorado Transaction</w:t>
      </w:r>
    </w:p>
    <w:p>
      <w:pPr>
        <w:spacing w:after="0" w:line="171" w:lineRule="exact"/>
        <w:rPr>
          <w:sz w:val="20"/>
          <w:szCs w:val="20"/>
          <w:color w:val="auto"/>
        </w:rPr>
      </w:pPr>
    </w:p>
    <w:p>
      <w:pPr>
        <w:jc w:val="both"/>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On July 20, 2020, concurrent with the consummation of the Eldorado/Caesars Merger, we consummated the Eldorado Transaction contemplated by the MTA and the MTA Property Purchase Agreements (as defined below). We funded the Eldorado Transaction with a combination of cash on hand, the proceeds from the physical settlement of the June 2019 Forward Sale Agreements on June 2, 2020, as described in </w:t>
      </w:r>
      <w:hyperlink w:anchor="page46">
        <w:r>
          <w:rPr>
            <w:rFonts w:ascii="Arial" w:cs="Arial" w:eastAsia="Arial" w:hAnsi="Arial"/>
            <w:sz w:val="17"/>
            <w:szCs w:val="17"/>
            <w:u w:val="single" w:color="auto"/>
            <w:color w:val="0000FF"/>
          </w:rPr>
          <w:t>Note 12 - Stockholders’ Equity</w:t>
        </w:r>
      </w:hyperlink>
      <w:r>
        <w:rPr>
          <w:rFonts w:ascii="Arial" w:cs="Arial" w:eastAsia="Arial" w:hAnsi="Arial"/>
          <w:sz w:val="17"/>
          <w:szCs w:val="17"/>
          <w:color w:val="auto"/>
        </w:rPr>
        <w:t>, and the proceeds from our February 2020 Senior Unsecured Notes offering previously held in escrow. Any references to Caesars in the subsequent transaction discussion refer to the combined Eldorado/Caesars subsequent to the consummation of the Eldorado/Caesars Merger.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Eldorado Transaction includes the consummation of the transactions contemplated by the following agreements:</w:t>
      </w:r>
    </w:p>
    <w:p>
      <w:pPr>
        <w:spacing w:after="0" w:line="171" w:lineRule="exact"/>
        <w:rPr>
          <w:sz w:val="20"/>
          <w:szCs w:val="20"/>
          <w:color w:val="auto"/>
        </w:rPr>
      </w:pPr>
    </w:p>
    <w:p>
      <w:pPr>
        <w:jc w:val="both"/>
        <w:ind w:left="740" w:hanging="368"/>
        <w:spacing w:after="0" w:line="285" w:lineRule="auto"/>
        <w:tabs>
          <w:tab w:leader="none" w:pos="73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the MTA Properties. </w:t>
      </w:r>
      <w:r>
        <w:rPr>
          <w:rFonts w:ascii="Arial" w:cs="Arial" w:eastAsia="Arial" w:hAnsi="Arial"/>
          <w:sz w:val="16"/>
          <w:szCs w:val="16"/>
          <w:color w:val="auto"/>
        </w:rPr>
        <w:t>We acquired all of the land and real estate assets associated with Harrah’s New Orleans, Harrah’s Laughlin</w:t>
      </w:r>
      <w:r>
        <w:rPr>
          <w:rFonts w:ascii="Arial" w:cs="Arial" w:eastAsia="Arial" w:hAnsi="Arial"/>
          <w:sz w:val="16"/>
          <w:szCs w:val="16"/>
          <w:i w:val="1"/>
          <w:iCs w:val="1"/>
          <w:color w:val="auto"/>
        </w:rPr>
        <w:t xml:space="preserve"> </w:t>
      </w:r>
      <w:r>
        <w:rPr>
          <w:rFonts w:ascii="Arial" w:cs="Arial" w:eastAsia="Arial" w:hAnsi="Arial"/>
          <w:sz w:val="16"/>
          <w:szCs w:val="16"/>
          <w:color w:val="auto"/>
        </w:rPr>
        <w:t>and Harrah’s Atlantic City (collectively, the “MTA Properties”) for an aggregate purchase price of $1,823.5 million (the “MTA Properties Acquisitions”). The Regional Master Lease Agreement was amended to, among other things, include each such property, with initial aggregate total annual rent payable to us increased by $154.0 million to $621.7 million, and to extend the initial term to July 2035 and to adjust certain minimum capital expenditure requirements and other related terms and conditions as a result of the MTA Properties being included in the Regional Master Lease Agreement as further described in “—Lease Amendments and Terminations” below. We completed the MTA Properties Acquisitions pursuant to the following agreements: (i) a Purchase and Sale Agreement (the “Harrah’s New Orleans Purchase Agreement”) pursuant to which we agreed to acquire, and Eldorado agreed to cause to be sold, all of the fee and leasehold interests in the land and real property improvements associated with Harrah’s New Orleans in New Orleans, Louisiana (“Harrah’s New Orleans”) for a cash purchase price of $789.5 million, (ii) a Purchase and Sale Agreement (the “Harrah’s Atlantic City Purchase Agreement”) pursuant to which we agreed to acquire, and Eldorado agreed to cause to be sold, all of the land and real property improvements associated with Harrah’s Resort Atlantic City and Harrah’s Atlantic City Waterfront Conference Center in Atlantic City, New Jersey for a cash purchase price of $599.3 million; and (iii) a Purchase and Sale Agreement (the “Harrah’s Laughlin Purchase Agreement” and, collectively with the Harrah’s New Orleans Purchase Agreement and the Harrah’s Atlantic City Purchase Agreement, the “MTA Property Purchase Agreements”) pursuant to which we agreed to acquire, and Eldorado agreed to cause to be sold, all of the equity interests in a newly formed entity that acquired the land and real property improvements associated with Harrah’s Laughlin Hotel &amp; Casino in Laughlin, Nevada for a cash purchase price of $434.8 million. Each of our call options on the MTA Properties terminated upon the closing of the MTA Properties Acquisitions.</w:t>
      </w:r>
    </w:p>
    <w:p>
      <w:pPr>
        <w:spacing w:after="0" w:line="119" w:lineRule="exact"/>
        <w:rPr>
          <w:rFonts w:ascii="Arial" w:cs="Arial" w:eastAsia="Arial" w:hAnsi="Arial"/>
          <w:sz w:val="16"/>
          <w:szCs w:val="16"/>
          <w:color w:val="auto"/>
        </w:rPr>
      </w:pPr>
    </w:p>
    <w:p>
      <w:pPr>
        <w:jc w:val="both"/>
        <w:ind w:left="740"/>
        <w:spacing w:after="0" w:line="293" w:lineRule="auto"/>
        <w:rPr>
          <w:rFonts w:ascii="Arial" w:cs="Arial" w:eastAsia="Arial" w:hAnsi="Arial"/>
          <w:sz w:val="16"/>
          <w:szCs w:val="16"/>
          <w:color w:val="auto"/>
        </w:rPr>
      </w:pPr>
      <w:r>
        <w:rPr>
          <w:rFonts w:ascii="Arial" w:cs="Arial" w:eastAsia="Arial" w:hAnsi="Arial"/>
          <w:sz w:val="16"/>
          <w:szCs w:val="16"/>
          <w:color w:val="auto"/>
        </w:rPr>
        <w:t>On July 20, 2020, in connection with the completion of the purchase of Harrah’s New Orleans, the tenant’s leasehold interest in that certain Second Amended and Restated Lease Agreement (the “HNO Ground Lease”) dated as of April 3, 2020, by and among Jazz Casino Company, L.L.C., a Louisiana limited liability company (“JCC”), New Orleans Building Corporation (“NOBC”) and the City of New Orleans, was assigned by JCC to us. The HNO Ground Lease sets forth the terms and conditions pursuant to which we lease from NOBC a portion of the land upon which Harrah’s New Orleans is located. Simultaneous with entering into the assignment of the HNO Ground Lease, we subleased our interest in the HNO Ground Lease to Caesars in accordance with the terms and conditions of the Regional Master Lease Agreement.</w:t>
      </w:r>
    </w:p>
    <w:p>
      <w:pPr>
        <w:spacing w:after="0" w:line="110" w:lineRule="exact"/>
        <w:rPr>
          <w:rFonts w:ascii="Arial" w:cs="Arial" w:eastAsia="Arial" w:hAnsi="Arial"/>
          <w:sz w:val="16"/>
          <w:szCs w:val="16"/>
          <w:color w:val="auto"/>
        </w:rPr>
      </w:pPr>
    </w:p>
    <w:p>
      <w:pPr>
        <w:jc w:val="both"/>
        <w:ind w:left="740"/>
        <w:spacing w:after="0" w:line="270" w:lineRule="auto"/>
        <w:rPr>
          <w:rFonts w:ascii="Arial" w:cs="Arial" w:eastAsia="Arial" w:hAnsi="Arial"/>
          <w:sz w:val="16"/>
          <w:szCs w:val="16"/>
          <w:color w:val="auto"/>
        </w:rPr>
      </w:pPr>
      <w:r>
        <w:rPr>
          <w:rFonts w:ascii="Arial" w:cs="Arial" w:eastAsia="Arial" w:hAnsi="Arial"/>
          <w:sz w:val="17"/>
          <w:szCs w:val="17"/>
          <w:color w:val="auto"/>
        </w:rPr>
        <w:t>Pursuant to the Regional Master Lease Agreement, Caesars is required to perform our obligations as tenant under the HNO Ground Lease, which include the obligation to construct a new hotel intended to be located on the ground-leased premises and to expend at least $325.0 million in connection with the construction of such hotel. The HNO Ground Lease contains certain rights in our favor should Caesars fail to perform our obligations thereunder, including providing us with additional cure periods to cure defaults. If we are unable to cure a Caesars default during any such additional cure period, then, subject to certain conditions more particularly set forth in the HNO Ground Lease, we will have a further additional period (up to 12-24 months) to seek to terminate Caesars as tenant and to enter into a replacement sublease with a new operator with respect to the leased premises. If we fail to cure such default at the end of such additional cure period, NOBC would have the right to exercise remedies, including termination of the HNO Ground Lease, in which case we would no longer have any right, title or interest to the leased premises or the improvements located thereon.</w:t>
      </w:r>
    </w:p>
    <w:p>
      <w:pPr>
        <w:spacing w:after="0" w:line="126" w:lineRule="exact"/>
        <w:rPr>
          <w:rFonts w:ascii="Arial" w:cs="Arial" w:eastAsia="Arial" w:hAnsi="Arial"/>
          <w:sz w:val="16"/>
          <w:szCs w:val="16"/>
          <w:color w:val="auto"/>
        </w:rPr>
      </w:pPr>
    </w:p>
    <w:p>
      <w:pPr>
        <w:jc w:val="both"/>
        <w:ind w:left="740" w:hanging="368"/>
        <w:spacing w:after="0" w:line="263"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Creation of Las Vegas Master Lease. </w:t>
      </w:r>
      <w:r>
        <w:rPr>
          <w:rFonts w:ascii="Arial" w:cs="Arial" w:eastAsia="Arial" w:hAnsi="Arial"/>
          <w:sz w:val="18"/>
          <w:szCs w:val="18"/>
          <w:color w:val="auto"/>
        </w:rPr>
        <w:t>In consideration of a payment by us to (i) the tenant under the CPLV Lease Agreement of $1,189.9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“CPLV Lease Amendment Payment”) and (ii) the tenant under the HLV Lease Agreement of $213.8 million (the “HLV Lease Amendment Payment”), upon the consummation of the Eldorado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40"/>
        <w:spacing w:after="0" w:line="293" w:lineRule="auto"/>
        <w:rPr>
          <w:sz w:val="20"/>
          <w:szCs w:val="20"/>
          <w:color w:val="auto"/>
        </w:rPr>
      </w:pPr>
      <w:r>
        <w:rPr>
          <w:rFonts w:ascii="Arial" w:cs="Arial" w:eastAsia="Arial" w:hAnsi="Arial"/>
          <w:sz w:val="16"/>
          <w:szCs w:val="16"/>
          <w:color w:val="auto"/>
        </w:rPr>
        <w:t>Transaction, (a) the CPLV Lease Agreement was amended to (A) combine the CPLV Lease Agreement and the HLV Lease Agreement into a single Las Vegas Master Lease Agreement, (B) increase the annual rent payable to us thereunder associated with Caesars Palace Las Vegas by $83.5 million (the “CPLV Additional Rent Acquisition”), (C) increase the annual rent previously payable to us with respect to the Harrah’s Las Vegas property by $15.0 million (the “HLV Additional Rent Acquisition”) under the Las Vegas Master Lease Agreement and (D) to provide for the amended terms described below, and (b) the HLV Lease Agreement and the related lease guaranty were terminated. As a result of such amendments, the Harrah’s Las Vegas property is also now subject to the higher rent escalator under the Las Vegas Master Lease Agreement.</w:t>
      </w:r>
    </w:p>
    <w:p>
      <w:pPr>
        <w:spacing w:after="0" w:line="110" w:lineRule="exact"/>
        <w:rPr>
          <w:sz w:val="20"/>
          <w:szCs w:val="20"/>
          <w:color w:val="auto"/>
        </w:rPr>
      </w:pPr>
    </w:p>
    <w:p>
      <w:pPr>
        <w:jc w:val="both"/>
        <w:ind w:left="740" w:hanging="368"/>
        <w:spacing w:after="0" w:line="284" w:lineRule="auto"/>
        <w:tabs>
          <w:tab w:leader="none" w:pos="73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Lease Amendments and Terminations. </w:t>
      </w:r>
      <w:r>
        <w:rPr>
          <w:rFonts w:ascii="Arial" w:cs="Arial" w:eastAsia="Arial" w:hAnsi="Arial"/>
          <w:sz w:val="16"/>
          <w:szCs w:val="16"/>
          <w:color w:val="auto"/>
        </w:rPr>
        <w:t>Each of the Caesars Lease Agreements was amended to, among other things, (i) remove the rent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floors, which coverage floors served to reduce the rent escalators under such leases in the event that the “EBITDAR to Rent Ratio” (as defined in the applicable Caesars Lease Agreements) coverage was below the stated floor and (ii) extend the term of each such lease by such additional period of time as necessary to ensure that each lease will have a full 15-year initial lease term following the consummation of the Eldorado Transaction. The Regional Master Lease Agreement was also amended to, among other things: (a) permit the tenant under the Regional Master Lease Agreement to cause facilities subject to the Regional Master Lease Agreement that in the aggregate represent up to five percent of the aggregate EBITDAR of (A) all of the facilities under such Regional Master Lease Agreement and (B) the Harrah’s Joliet facility, for the 2018 fiscal year (defined as the “2018 EBITDAR Pool” in the Regional Master Lease Agreement, without giving effect to any increase in the 2018 EBITDAR Pool as a result of a facility being added to the Regional Master Lease Agreement) to be sold (whereby the tenant and landlord under the Regional Master Lease Agreement would sell the operations and real estate, respectively, with respect to such facility), provided, among other things, that (1) we and Caesars mutually agree to the split of proceeds from such sales, (2) such sales do not result in any impairment(s)/asset write down(s) by us, (3) rent under the Regional Master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Regional Master Lease Agreement may only sell such properties if certain terms and conditions are met, including that replacement tenants meet certain criteria provided in the Regional Master Lease Agreement; and (c) require that the tenant under the Regional Master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27" w:lineRule="exact"/>
        <w:rPr>
          <w:rFonts w:ascii="Arial" w:cs="Arial" w:eastAsia="Arial" w:hAnsi="Arial"/>
          <w:sz w:val="16"/>
          <w:szCs w:val="16"/>
          <w:color w:val="auto"/>
        </w:rPr>
      </w:pPr>
    </w:p>
    <w:p>
      <w:pPr>
        <w:jc w:val="both"/>
        <w:ind w:left="740"/>
        <w:spacing w:after="0" w:line="291" w:lineRule="auto"/>
        <w:rPr>
          <w:rFonts w:ascii="Arial" w:cs="Arial" w:eastAsia="Arial" w:hAnsi="Arial"/>
          <w:sz w:val="16"/>
          <w:szCs w:val="16"/>
          <w:color w:val="auto"/>
        </w:rPr>
      </w:pPr>
      <w:r>
        <w:rPr>
          <w:rFonts w:ascii="Arial" w:cs="Arial" w:eastAsia="Arial" w:hAnsi="Arial"/>
          <w:sz w:val="16"/>
          <w:szCs w:val="16"/>
          <w:color w:val="auto"/>
        </w:rPr>
        <w:t>Caesars has executed new guaranties with respect to the Las Vegas Master Lease Agreement (the “Las Vegas Lease Guaranty”), the Regional Master Lease Agreement (the “Regional Lease Guaranty”) and the Joliet Lease Agreement (the “Joliet Lease Guaranty” and, together with the Las Vegas Lease Guaranty and the Regional Lease Guaranty, the “Caesars Guaranties”), guaranteeing the prompt and complete payment and performance in full of: (i) all monetary obligations of the tenants under the Caesars Lease Agreements, including all rent and other sums payable by the tenants under the Caesars Lease Agreements and any obligation to pay monetary damages in connection with any breach and to pay any indemnification obligations of the tenants under the Caesars Lease Agreements; and (ii) the performance when due of all other covenants, agreements and requirements to be performed and satisfied by the tenants under the Caesars Lease Agreements.</w:t>
      </w:r>
    </w:p>
    <w:p>
      <w:pPr>
        <w:spacing w:after="0" w:line="112" w:lineRule="exact"/>
        <w:rPr>
          <w:rFonts w:ascii="Arial" w:cs="Arial" w:eastAsia="Arial" w:hAnsi="Arial"/>
          <w:sz w:val="16"/>
          <w:szCs w:val="16"/>
          <w:color w:val="auto"/>
        </w:rPr>
      </w:pPr>
    </w:p>
    <w:p>
      <w:pPr>
        <w:jc w:val="both"/>
        <w:ind w:left="740"/>
        <w:spacing w:after="0" w:line="275" w:lineRule="auto"/>
        <w:rPr>
          <w:rFonts w:ascii="Arial" w:cs="Arial" w:eastAsia="Arial" w:hAnsi="Arial"/>
          <w:sz w:val="16"/>
          <w:szCs w:val="16"/>
          <w:color w:val="auto"/>
        </w:rPr>
      </w:pPr>
      <w:r>
        <w:rPr>
          <w:rFonts w:ascii="Arial" w:cs="Arial" w:eastAsia="Arial" w:hAnsi="Arial"/>
          <w:sz w:val="17"/>
          <w:szCs w:val="17"/>
          <w:color w:val="auto"/>
        </w:rPr>
        <w:t>In connection with entering into the amendments to the Caesars Lease Agreements and the Caesars Guaranties described above, we and Caesars terminated the Management and Lease Support Agreements, dated as of October 6, 2017, with respect to each of the Caesars Lease Agreements, pursuant to which, among other things, Pre-Merger Caesars previously guaranteed the tenants’ monetary obligations under the Caesars Lease Agreements and the Guaranty of Lease dated as of December 22, 2017 pursuant to which, among other things, a subsidiary of Pre-Merger Caesars guaranteed the tenant’s obligations under the HLV Lease Agreement.</w:t>
      </w:r>
    </w:p>
    <w:p>
      <w:pPr>
        <w:spacing w:after="0" w:line="122" w:lineRule="exact"/>
        <w:rPr>
          <w:rFonts w:ascii="Arial" w:cs="Arial" w:eastAsia="Arial" w:hAnsi="Arial"/>
          <w:sz w:val="16"/>
          <w:szCs w:val="16"/>
          <w:color w:val="auto"/>
        </w:rPr>
      </w:pPr>
    </w:p>
    <w:p>
      <w:pPr>
        <w:jc w:val="both"/>
        <w:ind w:left="740" w:hanging="368"/>
        <w:spacing w:after="0" w:line="257" w:lineRule="auto"/>
        <w:tabs>
          <w:tab w:leader="none" w:pos="73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Centaur Properties Put-Call Agreement</w:t>
      </w:r>
      <w:r>
        <w:rPr>
          <w:rFonts w:ascii="Arial" w:cs="Arial" w:eastAsia="Arial" w:hAnsi="Arial"/>
          <w:sz w:val="18"/>
          <w:szCs w:val="18"/>
          <w:color w:val="auto"/>
        </w:rPr>
        <w:t>. Prior to the consummation of the Eldorado Transaction, we were party to a right of first refusal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affiliates of Pre-Merger Caesars with respect to two gaming facilities in Indiana - Harrah’s Hoosier Park and Indiana Grand (together, the “Centaur Properties”). Upon the consummation of the Eldorado Transaction, the Second Amended and Restated Right of First Refusal Agreement between us and Pre-Merger Caesars terminated in accordance with its terms, which included the right of first refusal that we had with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40"/>
        <w:spacing w:after="0" w:line="269" w:lineRule="auto"/>
        <w:rPr>
          <w:sz w:val="20"/>
          <w:szCs w:val="20"/>
          <w:color w:val="auto"/>
        </w:rPr>
      </w:pPr>
      <w:r>
        <w:rPr>
          <w:rFonts w:ascii="Arial" w:cs="Arial" w:eastAsia="Arial" w:hAnsi="Arial"/>
          <w:sz w:val="17"/>
          <w:szCs w:val="17"/>
          <w:color w:val="auto"/>
        </w:rPr>
        <w:t>respect to the Centaur Properties, and we entered into a Put-Call Right Agreement with Caesars (the “Centaur Put-Call Agreement”), whereby (i) we have the right to acquire all of the land and real estate assets associated with the Centaur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Centaur Properties at a price equal to 12.5x the initial annual rent of each facility, and to simultaneously lease back each such Centaur Property to a subsidiary of Caesars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Centaur Put-Call Agreement provides that the leaseback of the Centaur Properties will be implemented through the addition of the Centaur Properties to the Regional Master Lease Agreement.</w:t>
      </w:r>
    </w:p>
    <w:p>
      <w:pPr>
        <w:spacing w:after="0" w:line="131" w:lineRule="exact"/>
        <w:rPr>
          <w:sz w:val="20"/>
          <w:szCs w:val="20"/>
          <w:color w:val="auto"/>
        </w:rPr>
      </w:pPr>
    </w:p>
    <w:p>
      <w:pPr>
        <w:jc w:val="both"/>
        <w:ind w:left="740" w:hanging="368"/>
        <w:spacing w:after="0" w:line="279" w:lineRule="auto"/>
        <w:tabs>
          <w:tab w:leader="none" w:pos="735"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Amended and Restated Caesars Forum Convention Center Put-Call Agreement. </w:t>
      </w:r>
      <w:r>
        <w:rPr>
          <w:rFonts w:ascii="Arial" w:cs="Arial" w:eastAsia="Arial" w:hAnsi="Arial"/>
          <w:sz w:val="17"/>
          <w:szCs w:val="17"/>
          <w:color w:val="auto"/>
        </w:rPr>
        <w:t>Upon the consummation of the Eldorado Transaction, we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an A&amp;R Put-Call Right Agreement with Caesars amending and restating that certain put-call agreement related to the Caesars Forum Convention Center. In connection with the consummation of the Forum Convention Center Mortgage Loan on September 18, 2020, we further amended the agreement as described above in “—Amended and Restated Convention Center Put-Call Agreement”.</w:t>
      </w:r>
    </w:p>
    <w:p>
      <w:pPr>
        <w:spacing w:after="0" w:line="117" w:lineRule="exact"/>
        <w:rPr>
          <w:rFonts w:ascii="Arial" w:cs="Arial" w:eastAsia="Arial" w:hAnsi="Arial"/>
          <w:sz w:val="17"/>
          <w:szCs w:val="17"/>
          <w:color w:val="auto"/>
        </w:rPr>
      </w:pPr>
    </w:p>
    <w:p>
      <w:pPr>
        <w:jc w:val="both"/>
        <w:ind w:left="740" w:hanging="368"/>
        <w:spacing w:after="0" w:line="270" w:lineRule="auto"/>
        <w:tabs>
          <w:tab w:leader="none" w:pos="735"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Las Vegas Strip Assets ROFR</w:t>
      </w:r>
      <w:r>
        <w:rPr>
          <w:rFonts w:ascii="Arial" w:cs="Arial" w:eastAsia="Arial" w:hAnsi="Arial"/>
          <w:sz w:val="17"/>
          <w:szCs w:val="17"/>
          <w:color w:val="auto"/>
        </w:rPr>
        <w:t>. Upon the consummation of the Eldorado Transaction, we entered into a right of first refusal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Caesars (the “Las Vegas Strip ROFR Agreement”) pursuant to which we have the first right, with respect to the first two Las Vegas Strip assets described below that Caesars proposes to sell, whether pursuant to a sale leaseback or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asset subject to the Las Vegas Strip ROFR Agreement, the foregoing assets plus The LINQ gaming facility. If we enter into a sale leaseback transaction with Caesars on any of these facilities, the leaseback may be implemented through the addition of such properties to the Las Vegas Master Lease Agreement.</w:t>
      </w:r>
    </w:p>
    <w:p>
      <w:pPr>
        <w:spacing w:after="0" w:line="126" w:lineRule="exact"/>
        <w:rPr>
          <w:rFonts w:ascii="Arial" w:cs="Arial" w:eastAsia="Arial" w:hAnsi="Arial"/>
          <w:sz w:val="17"/>
          <w:szCs w:val="17"/>
          <w:color w:val="auto"/>
        </w:rPr>
      </w:pPr>
    </w:p>
    <w:p>
      <w:pPr>
        <w:jc w:val="both"/>
        <w:ind w:left="740" w:hanging="368"/>
        <w:spacing w:after="0" w:line="311" w:lineRule="auto"/>
        <w:tabs>
          <w:tab w:leader="none" w:pos="735"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Horseshoe Baltimore ROFR. </w:t>
      </w:r>
      <w:r>
        <w:rPr>
          <w:rFonts w:ascii="Arial" w:cs="Arial" w:eastAsia="Arial" w:hAnsi="Arial"/>
          <w:sz w:val="16"/>
          <w:szCs w:val="16"/>
          <w:color w:val="auto"/>
        </w:rPr>
        <w:t>Upon the consummation of the Eldorado Transaction, we entered into a right of first refusal agreement with Caesars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we have the first right to enter into a sale leaseback transaction with respect to the land and real estate assets associated with the Horseshoe Baltimore gaming facility (subject to any consent required from Caesars’ joint venture partners with respect to this asset).</w:t>
      </w:r>
    </w:p>
    <w:p>
      <w:pPr>
        <w:spacing w:after="0" w:line="94" w:lineRule="exact"/>
        <w:rPr>
          <w:rFonts w:ascii="Arial" w:cs="Arial" w:eastAsia="Arial" w:hAnsi="Arial"/>
          <w:sz w:val="16"/>
          <w:szCs w:val="16"/>
          <w:color w:val="auto"/>
        </w:rPr>
      </w:pPr>
    </w:p>
    <w:p>
      <w:pPr>
        <w:jc w:val="both"/>
        <w:ind w:left="740" w:hanging="408"/>
        <w:spacing w:after="0" w:line="25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CPLV CMBS Refinancing</w:t>
      </w:r>
      <w:r>
        <w:rPr>
          <w:rFonts w:ascii="Arial" w:cs="Arial" w:eastAsia="Arial" w:hAnsi="Arial"/>
          <w:sz w:val="18"/>
          <w:szCs w:val="18"/>
          <w:color w:val="auto"/>
        </w:rPr>
        <w:t>. We were obligated to cause the CPLV CMBS Debt to be repaid in full prior to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Eldorado/Caesars Merger. In November 2019, we repaid the CPLV CMBS Debt in full resulting in a prepayment penalty of $110.8 million, of which $55.4 million was reimbursed by Caesars upon the consummation of the Eldorado Transaction in accordance with the MTA as follows: $31.0 million was paid to us in cash, $20.5 million was credited to us as a reduction in the CPLV Lease Amendment Payment and $3.9 million was credited to us as a reduction in the HLV Lease Amendment Payment.</w:t>
      </w:r>
    </w:p>
    <w:p>
      <w:pPr>
        <w:spacing w:after="0" w:line="133" w:lineRule="exact"/>
        <w:rPr>
          <w:rFonts w:ascii="Arial" w:cs="Arial" w:eastAsia="Arial" w:hAnsi="Arial"/>
          <w:sz w:val="18"/>
          <w:szCs w:val="18"/>
          <w:color w:val="auto"/>
        </w:rPr>
      </w:pPr>
    </w:p>
    <w:p>
      <w:pPr>
        <w:jc w:val="both"/>
        <w:ind w:left="740" w:hanging="408"/>
        <w:spacing w:after="0" w:line="272" w:lineRule="auto"/>
        <w:tabs>
          <w:tab w:leader="none" w:pos="735"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Eldorado Bridge Facilities</w:t>
      </w:r>
      <w:r>
        <w:rPr>
          <w:rFonts w:ascii="Arial" w:cs="Arial" w:eastAsia="Arial" w:hAnsi="Arial"/>
          <w:sz w:val="17"/>
          <w:szCs w:val="17"/>
          <w:color w:val="auto"/>
        </w:rPr>
        <w:t>. On June 24, 2019, in connection with the Eldorado Transaction, VICI PropCo entered into a commitment letter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 Letter”) with Deutsche Bank Securities Inc. and Deutsche Bank AG Cayman Islands Branch (collectively, the “Bridge Lender”), pursuant to which and subject to the terms and conditions set forth therein, the Bridge Lender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 fund the Eldorado Transaction. The commitments under the Bridge Facilities were fully terminated at our election in June 2020.</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Lease Agreement Amendment and Amended and Restated ROV Loan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16, 2020, we and JACK Entertainment entered into an amendment to the JACK Cleveland/Thistledown Lease Agreement (the “JACK Lease Agreement Amendment”), pursuant to which, among other things, we agreed to fund $18.0 million for the construction of a new gaming patio amenity at JACK Thistledown Racino, which will be leased by JACK Entertainment pursuant to the JACK Lease Agreement Amendment. In connection with the construction of the gaming patio, commencing on April 1, 2022, rent under the JACK Cleveland/Thistledown Lease Agreement (as amended by the JACK Lease Agreement Amendment) will be increased by an incremental $1.8 million. The JACK Lease Agreement Amendment also provides for relief with respect to certain existing covenants through March 31, 2022, adds an additional five years to the initial lease term, with the tenant under the JACK Cleveland/Thistledown Lease Agreement having three (rather than four) five-year renewal options as a result of such extension of the initial lease term, and provides for rent escalation to begin in 2022 rather than 2021. The JACK Lease Agreement Amendment does not provide for a reduction or deferral of the tenant’s rent obligations. The tenant’s obligations under the JACK Lease Agreement Amendment are guaranteed by Rock Ohio Ventures LLC (“Rock Ohio Ventures”). Pursuant to the Jack Lease Agreement Amendment, the relief provided thereunder is conditioned upon (i) the tenant’s timely payment of rent obligations under the JACK Cleveland/Thistledown Lease Agreement and (ii) no tenant event of default occurring under the JACK Cleveland/Thistledown Lease Agreement during the compliance period set forth in the JACK Lease Agreement Amendment.</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Simultaneously with entry into the JACK Lease Agreement Amendment, we and affiliates of Rock Ohio Ventures entered into an amendment and restatement of our existing $50.0 million term loan agreement with such affiliates of Rock Ohio Ventures (the “Amended and Restated ROV Loan”), pursuant to which, among other things, we increased our existing term loan to $70.0 million (the “ROV Term Loan”) which bears interest at a rate of 9.0% per annum (which interest, at the option of JACK Entertainment, may be paid-in-kind through April 30, 2021 with any paid-in-kind interest required to be paid in cash in eleven equal monthly installments ending March 31, 2022), and added a $25.0 million revolving credit facility (the “ROV Credit Facility”), which bears interest at a rate of LIBOR plus 2.75% per annum. A commitment fee of 0.50% per annum calculated on the unused portion of the ROV Credit Facility is payable quarterly. The Amended and Restated ROV Loan, which includes the ROV Term Loan and ROV Credit Facility, matures in January 2025 which maturity date may be extended at the borrower’s election for up to two additional years if certain conditions are satisfied. In connection with the amendment and restatement, we received additional collateral, including an additional land parcel in proximity to JACK Cleveland so that the loan is now secured by a first priority lien on substantially all gaming and non-gaming real and personal property of JACK Entertainment, including the furniture, fixtures and equipment associated with the properties. The amendment and restatement also provides the obligors with relief with respect to certain existing financial covenants through March 31,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Capex Amendment to Caesars Leases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 2020, we entered into an Omnibus Amendment to Leases (the “Omnibus Amendment”) with Pre-Merger Caesars. Pursuant to the Omnibus Amendment, Caesars has been granted certain relief with respect to a portion of their capital expenditure obligations under the Caesars Lease Agreements conditioned upon (i) funding by Caesars of certain minimum capital expenditures in fiscal year 2020 (which represent a reduction of the minimum capital expenditure amounts currently set forth in the Caesars Lease Agreements), (ii) timely payment of Caesars’ rent obligations under the Caesars Lease Agreements during the compliance period set forth in the Omnibus Amendment, and (iii) no tenant event of default occurring under any of the Caesars Lease Agreements during the compliance period set forth in the Omnibus Amendment. Caesars will receive credit for certain deemed capital expenditure amounts, which credit may be used to satisfy certain of their capital expenditure obligations in the 2020, 2021 and 2022 fiscal years, provided that the foregoing conditions are satisfied. If Caesars fails to satisfy any of the foregoing conditions, Caesars will be required to satisfy the capital expenditure obligations set forth in the Caesars Lease Agreements or, in certain cases, to deposit amounts in respect thereof into a capital expenditure reserve in accordance with the Omnibus Amendment.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September 30, 2020, on October 27, 2020, we and Caesars entered into an Amended and Restated Omnibus Amendment to Leases, which provides for a proportionate adjustment to certain relief previously granted under the Omnibus Amendment with respect to a portion of the capital expenditure obligations of Caesars under the Caesars Lease Agreements in order to account for the addition of the MTA Properties to the Regional Master Lease Agreement pursuant to the MTA Properties Acquisitions on July 20,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Century Portfolio Lease Agreement</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2020, we entered into an amendment to the Century Portfolio Lease Agreement with Century Casinos. The Century Portfolio Lease Agreement contains certain covenants, including minimum capital expenditures. The covenants under the Century Portfolio Lease Agreement began on January 1, 2020; however, as a result of the casino closures in connection with the COVID-19 pandemic, we agreed to waive Century Casinos’ capital expenditure requirements for 2020 and defer to not later than December 31, 2021 certain other expenditures contemplated in connection with the underwriting of the Century Portfolio. Pursuant to the amendment to the Century Portfolio Lease Agreement, the capital expenditure relief is conditioned upon (i) Century Casinos’ timely payment of rent obligations under the Century Portfolio Lease Agreement during the compliance period set forth in the amendment and (ii) no tenant event of default occurring under the Century Portfolio Lease Agreement during the compliance period set forth in the amendment. If Century Casinos fails to satisfy any of the foregoing conditions, Century Casinos will be required to satisfy the capital expenditure obligations set forth in the Century Portfolio Lease Agreement or, in certain cases, to deposit amounts in respect thereof into a capital expenditure reserve for expenditure in accordance with the amendment.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Bally’s Atlantic City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24, 2020, we and Caesars entered into definitive agreements to sell the Bally’s Atlantic City Hotel &amp; Casino for $25.0 million to a subsidiary of Twin River Worldwide Holdings, Inc. We are entitled to receive approximately $19.0 million of the proceeds from the sale and Caesars is entitled to approximately $6.0 million of the proceeds. The annual rent payments under the Regional Master Lease Agreement will remain unchanged following completion of the disposition, which we anticipate will close by the end of the year and remains subject to regulatory approval and customary closing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February 2020 Senior Notes Offering and Redemption and Repayment of the Second Lien Notes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5, 2020, the Issuers issued (i) $750.0 million in aggregate principal amount of 2025 Notes, (ii) $750.0 million in aggregate principal amount of 2027 Notes and (iii) $1.0 billion aggregate principal amount of 2030 Notes. We placed $2.0 billion of the net proceeds of the offering into escrow pending the consummation of the Eldorado Transaction (which was subsequently released from escrow and used to fund a portion of the purchase price of the Eldorado Transaction). On February 20, 2020 we used the remaining net proceeds from the 2025 Notes, together with cash on hand, to redeem in full the outstanding $498.5 million in aggregate principal amount of the Second Lien Notes plus the Second Lien Notes Applicable Premium, for a total redemption cost of approximately $537.5 million. The 2025 Notes will mature on February 15, 2025, the 2027 Notes will mature on February 15, 2027 and the 2030 Notes will mature on August 15, 2030. Interest on the 2025 Notes will accrue at a rate of 3.500% per annum, interest on the 2027 Notes will accrue at a rate of 3.750% per annum and interest on the 2030 Notes will accrue at a rate of 4.125% per annum. Interest on the February 2020 Unsecured Notes will be payable semi-annually in cash in arrears on February 15 and August 15 of each year, commencing on August 15,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JACK Cleveland/Thistledown</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24, 2020 we completed the previously announced transaction to acquire the casino-entitled land and real estate and related assets of JACK Cleveland, located in Cleveland, Ohio and JACK Thistledown located in North Randall, Ohio (the “JACK Cleveland/Thistledown Acquisition”) from JACK Entertainment, for approximately $843.3 million. Simultaneous with the closing of the JACK Cleveland/Thistledown Acquisition, we entered into a master triple-net lease agreement for JACK Cleveland and JACK Thistledown with a subsidiary of JACK Entertainment. The lease has an initial total annual rent of $65.9 million and an initial term of 15 years, with four five-year tenant renewal options. The tenant’s obligations under the lease are guaranteed by Rock Ohio Ventures. Additionally, we made a $50.0 million loan to affiliates of Rock Ohio Ventures secured by, among other things, certain non-gaming real estate assets owned by such affiliates and guaranteed by Rock Ohio Ventures. The terms of the JACK Cleveland/Thistledown Lease Agreement and the ROV Loan were subsequently amended on July 16, 2020 pursuant to the JACK Lease Agreement Amendment and Amended and Restated ROV Loan as described above under “—JACK Lease Agreement Amendment and Amended and Restated ROV Loan.”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Repricing of Term Loan B Facility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real property business and our golf course business represent our two reportable segments. The real property business segment consists of leased real property and loan investments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our management assesses these results and allocates resources.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b w:val="1"/>
                <w:bCs w:val="1"/>
                <w:i w:val="1"/>
                <w:iCs w:val="1"/>
                <w:color w:val="auto"/>
                <w:w w:val="88"/>
              </w:rPr>
              <w:t>(In thousands)</w:t>
            </w:r>
          </w:p>
        </w:tc>
        <w:tc>
          <w:tcPr>
            <w:tcW w:w="30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1"/>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0"/>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Variance</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0"/>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0"/>
              <w:spacing w:after="0" w:line="175" w:lineRule="exact"/>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Income from sales-type and direct financing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Income from operating leases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Income from lease financing receivables and loans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Golf operations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195,295</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Golf operations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allowance for credit losses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Transaction and acquisition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139,683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536,340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(79,401)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(231,185)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(176,936)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Loss from extinguishment of debt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(39,059)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upon lease modification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395,850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146,539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249,311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606,191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454,666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396,218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605,796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152,228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Less: Net loss (income) attributable to non-</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603,664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2020 and 2019, our revenue was comprised of the following items: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2"/>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2"/>
              <w:spacing w:after="0" w:line="175" w:lineRule="exact"/>
              <w:rPr>
                <w:sz w:val="20"/>
                <w:szCs w:val="20"/>
                <w:color w:val="auto"/>
              </w:rPr>
            </w:pPr>
            <w:r>
              <w:rPr>
                <w:rFonts w:ascii="Arial" w:cs="Arial" w:eastAsia="Arial" w:hAnsi="Arial"/>
                <w:sz w:val="16"/>
                <w:szCs w:val="16"/>
                <w:b w:val="1"/>
                <w:bCs w:val="1"/>
                <w:color w:val="auto"/>
                <w:w w:val="98"/>
              </w:rPr>
              <w:t>Variance</w:t>
            </w: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2"/>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2"/>
              <w:spacing w:after="0" w:line="175" w:lineRule="exact"/>
              <w:rPr>
                <w:sz w:val="20"/>
                <w:szCs w:val="20"/>
                <w:color w:val="auto"/>
              </w:rPr>
            </w:pPr>
            <w:r>
              <w:rPr>
                <w:rFonts w:ascii="Arial" w:cs="Arial" w:eastAsia="Arial" w:hAnsi="Arial"/>
                <w:sz w:val="16"/>
                <w:szCs w:val="16"/>
                <w:b w:val="1"/>
                <w:bCs w:val="1"/>
                <w:color w:val="auto"/>
                <w:w w:val="98"/>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Leasing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185,588</w:t>
            </w: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Income from loans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3,028</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4,953</w:t>
            </w: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r>
      <w:tr>
        <w:trPr>
          <w:trHeight w:val="229"/>
        </w:trPr>
        <w:tc>
          <w:tcPr>
            <w:tcW w:w="2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Golf operations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117,140</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sales-type, operating and financing receivables leases: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3"/>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Variance</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1"/>
              <w:spacing w:after="0" w:line="175" w:lineRule="exact"/>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Income from sales-type and direct financing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220"/>
              <w:spacing w:after="0"/>
              <w:rPr>
                <w:sz w:val="20"/>
                <w:szCs w:val="20"/>
                <w:color w:val="auto"/>
              </w:rPr>
            </w:pPr>
            <w:r>
              <w:rPr>
                <w:rFonts w:ascii="Arial" w:cs="Arial" w:eastAsia="Arial" w:hAnsi="Arial"/>
                <w:sz w:val="18"/>
                <w:szCs w:val="18"/>
                <w:color w:val="auto"/>
              </w:rPr>
              <w:t>Total leasing revenue</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323,711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216,914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106,797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821,628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636,040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220"/>
              <w:spacing w:after="0"/>
              <w:rPr>
                <w:sz w:val="20"/>
                <w:szCs w:val="20"/>
                <w:color w:val="auto"/>
              </w:rPr>
            </w:pPr>
            <w:r>
              <w:rPr>
                <w:rFonts w:ascii="Arial" w:cs="Arial" w:eastAsia="Arial" w:hAnsi="Arial"/>
                <w:sz w:val="18"/>
                <w:szCs w:val="18"/>
                <w:color w:val="auto"/>
              </w:rPr>
              <w:t>Total contractual leasing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176,004</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8"/>
        <w:spacing w:after="0" w:line="241" w:lineRule="auto"/>
        <w:tabs>
          <w:tab w:leader="none" w:pos="211"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the certain operating land parcels were reassessed for lease classification and determined to be a sales-type lease. Accordingly, subsequent to July 20, 2020, such income is recognized as Income from sales-type and direct financing leases.</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29"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MTA Properties and the JACK Cleveland/Thistledown Lease Agreement both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5"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leases, sales-type leases and lease financing receivables in order to recognize income on an effective interest basis at a constant rate of return over the term of the leases.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Leasing revenue is generated from rent from our Lease Agreements. Total leasing revenue increased $106.8 million and $185.6 million during the three and nine months ended September 30, 2020, respectively, compared to the three and nine months ended September 30, 2019, respectively. Total contractual leasing revenue increased $85.4 million and $176.0 million during the three and nine months ended September 30, 2020, respectively, compared to the three and nine months ended September 30, 2019, respectively. The increase was primarily driven by the addition of Greektown, Hard Rock Cincinnati, the Century Portfolio, JACK Cleveland/Thistledown and the MTA Properties to our real estate portfolio in May 2019, September 2019, December 2019, January 2020 and July 2020, respectively, as well as the CPLV Additional Rent Acquisition and the HLV Additional Rent Acquisition in July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Loans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loans increased $3.0 million and $5.0 million during the three and nine months ended September 30, 2020, respectively, compared to the three and nine months ended September 30, 2019, respectively. The increase was driven by the addition of the ROV Loan (and the Amended and Restated ROV Loan), Chelsea Piers Mortgage Loan and Forum Convention Center Mortgage Loan to our real estate portfolio in January 2020 (and July 2020), August 2020 and September 2020,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2019, Other income was included net in General and administrative expenses. During the three and nine months ended September 30, 2020, we have re-classified Other income to be presented gross with an offsetting amount within Other expenses. Additionally, during the three months ended September 30, 2020, we recognized additional income and offsetting expense as a result of the assumption of the HNO Ground Lease as part of the MTA Properties Acquisitions.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Operations Revenue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Revenues from golf operations stayed consistent during the three months ended September 30, 2020 compared to the three months ended September 30, 2019 and decreased $3.9 million during the nine months ended September 30, 2020 compared to the nine months ended September 30, 2019. The decrease was primarily driven by the closure of our golf courses in mid-March until early to mid-May as a result of the ongoing COVID-19 pandemic, partially offset by an increase in the contractual fees paid to us by Caesars for the use of our golf courses, pursuant to a golf course use agreement.</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2020 and 2019, our operating expenses were comprised of the following items: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3"/>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51"/>
              <w:spacing w:after="0" w:line="175" w:lineRule="exact"/>
              <w:rPr>
                <w:sz w:val="20"/>
                <w:szCs w:val="20"/>
                <w:color w:val="auto"/>
              </w:rPr>
            </w:pPr>
            <w:r>
              <w:rPr>
                <w:rFonts w:ascii="Arial" w:cs="Arial" w:eastAsia="Arial" w:hAnsi="Arial"/>
                <w:sz w:val="16"/>
                <w:szCs w:val="16"/>
                <w:b w:val="1"/>
                <w:bCs w:val="1"/>
                <w:color w:val="auto"/>
              </w:rPr>
              <w:t>Variance</w:t>
            </w: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1"/>
              <w:spacing w:after="0" w:line="175" w:lineRule="exact"/>
              <w:rPr>
                <w:sz w:val="20"/>
                <w:szCs w:val="20"/>
                <w:color w:val="auto"/>
              </w:rPr>
            </w:pPr>
            <w:r>
              <w:rPr>
                <w:rFonts w:ascii="Arial" w:cs="Arial" w:eastAsia="Arial" w:hAnsi="Arial"/>
                <w:sz w:val="16"/>
                <w:szCs w:val="16"/>
                <w:b w:val="1"/>
                <w:bCs w:val="1"/>
                <w:color w:val="auto"/>
                <w:w w:val="98"/>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Golf operations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(1,182)</w:t>
            </w:r>
          </w:p>
        </w:tc>
      </w:tr>
      <w:tr>
        <w:trPr>
          <w:trHeight w:val="230"/>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allowance for credit losses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177,052</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261,080</w:t>
            </w:r>
          </w:p>
        </w:tc>
      </w:tr>
      <w:tr>
        <w:trPr>
          <w:trHeight w:val="230"/>
        </w:trPr>
        <w:tc>
          <w:tcPr>
            <w:tcW w:w="2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185,837</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$1.3 million and $3.1 million for the three and nine months ended September 30, 2020 as compared to the three and nine months ended September 30, 2019, respectively. The increase was primarily driven by an increase in compensation, including stock-based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2019, Other expenses were included net in General and administrative expenses. During the three and nine months ended September 30, 2020, we have re-classified Other expenses to be presented gross with an offsetting amount within Other income. Additionally, during the three months ended September 30, 2020, we recognized additional income and offsetting expense as a result of the assumption of the HNO Ground Lease as part of the MTA Properties Acquisitions.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Operations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Expenses from golf operations decreased $0.8 million and $1.2 million during the three and nine months ended September 30, 2020, respectively, compared to the three and nine months ended September 30, 2019, respectively. The decrease was primarily driven by the closure of our golf courses in mid-March until early to mid-May as a result of the ongoing COVID-19 pandemic, partially offset by an increase in the water usage charges at one of our golf courses. Additionally, even though our courses were closed from mid-March until early to mid-May as a result of the ongoing COVID-19 pandemic, we continued to pay all of our golf course employees their full salaries and benefits for a period of time and, accordingly, the decrease in our golf course operating revenues was not proportionately offset by a decrease in golf course operating expenses.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Allowance for Credit Losses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 2020, we adopted ASU No. 2016-13 -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which requires us to record an estimated credit loss for our (i) Investments in leases - sales-type and direct financing, (ii) Investments in leases - financing receivables and (iii) Investments in loans. During the three months ended September 30, 2020, we recognized a $177.1 million increase in our allowance for credit losses primarily related to an increase in our investment balances subject to CECL from the consummation of the Eldorado Transaction. Specifically, the increase was driven by (i) the increase in investment balances resulting from the Eldorado Transaction, which includes (A) an initial CECL allowance on our $1.8 billion investment in the MTA Properties, (B) an additional CECL allowance on our aggregate $1.4 billion increased investment in the Las Vegas Master Lease Agreement as a result of the CPLV Additional Rent Acquisition and HLV Additional Rent Acquisition and (C) an additional CECL allowance on the $333.4 million increased balance of our existing Caesars Lease Agreements as a result of the mark to fair value in connection with the reassessment of lease classification, (ii) an increase in the R&amp;S Period PD of Caesars as a result of the Eldorado/Caesars Merger and (iii) an initial CECL allowance on our $400.0 million investment in the Forum Convention Center Mortgage Loan. This increase was partially offset by a decrease in the R&amp;S Period PD of our other tenants and their parent guarantors as a result of an improvement in their economic outlook due to the reopening of a majority of their gaming operations and relative performance of such operations during the second and third quarter of 2020.</w:t>
      </w:r>
    </w:p>
    <w:p>
      <w:pPr>
        <w:spacing w:after="0" w:line="125" w:lineRule="exact"/>
        <w:rPr>
          <w:sz w:val="20"/>
          <w:szCs w:val="20"/>
          <w:color w:val="auto"/>
        </w:rPr>
      </w:pPr>
    </w:p>
    <w:p>
      <w:pPr>
        <w:jc w:val="both"/>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During the nine months ended September 30, 2020, we recognized a $261.1 million increase in allowance for credit losses related to our real estate portfolio as a result of (i) the Eldorado Transaction, Eldorado/Caesars Merger and Forum Convention Center Mortgage Loan as described above, (ii) an increase in the Long-term Period PD of our tenants due to downgrades on certain of the credit ratings of our tenants’ senior secured debt and (iii) a $22.2 million increase related to our initial investment in JACK Cleveland/Thistledown and the ROV Loan in January 2020. The credit loss standard does </w:t>
      </w:r>
      <w:hyperlink w:anchor="page32">
        <w:r>
          <w:rPr>
            <w:rFonts w:ascii="Arial" w:cs="Arial" w:eastAsia="Arial" w:hAnsi="Arial"/>
            <w:sz w:val="18"/>
            <w:szCs w:val="18"/>
            <w:color w:val="auto"/>
          </w:rPr>
          <w:t xml:space="preserve">not require retrospective application and as such there is no corresponding charge for the three and nine months ended September 30, 2019. Refer to </w:t>
        </w:r>
        <w:r>
          <w:rPr>
            <w:rFonts w:ascii="Arial" w:cs="Arial" w:eastAsia="Arial" w:hAnsi="Arial"/>
            <w:sz w:val="18"/>
            <w:szCs w:val="18"/>
            <w:u w:val="single" w:color="auto"/>
            <w:color w:val="0000FF"/>
          </w:rPr>
          <w:t>Note 6</w:t>
        </w:r>
      </w:hyperlink>
      <w:r>
        <w:rPr>
          <w:rFonts w:ascii="Arial" w:cs="Arial" w:eastAsia="Arial" w:hAnsi="Arial"/>
          <w:sz w:val="18"/>
          <w:szCs w:val="18"/>
          <w:color w:val="auto"/>
        </w:rPr>
        <w:t xml:space="preserve"> </w:t>
      </w:r>
      <w:hyperlink w:anchor="page32">
        <w:r>
          <w:rPr>
            <w:rFonts w:ascii="Arial" w:cs="Arial" w:eastAsia="Arial" w:hAnsi="Arial"/>
            <w:sz w:val="18"/>
            <w:szCs w:val="18"/>
            <w:u w:val="single" w:color="auto"/>
            <w:color w:val="0000FF"/>
          </w:rPr>
          <w:t>- Allowance for Credit Losses</w:t>
        </w:r>
        <w:r>
          <w:rPr>
            <w:rFonts w:ascii="Arial" w:cs="Arial" w:eastAsia="Arial" w:hAnsi="Arial"/>
            <w:sz w:val="18"/>
            <w:szCs w:val="18"/>
            <w:color w:val="0000FF"/>
          </w:rPr>
          <w:t xml:space="preserve"> </w:t>
        </w:r>
        <w:r>
          <w:rPr>
            <w:rFonts w:ascii="Arial" w:cs="Arial" w:eastAsia="Arial" w:hAnsi="Arial"/>
            <w:sz w:val="18"/>
            <w:szCs w:val="18"/>
            <w:color w:val="000000"/>
          </w:rPr>
          <w:t>for further details.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and acquisition expenses increased $1.0 million and $3.0 million during the three and nine months ended September 30, 2020, respectively, compared to the three and nine months ended September 30, 2019, respectively. Changes in transaction and acquisition expenses are related to fluctuations in (i) costs incurred for investments during the period that are not capitalizable under GAAP and (ii) costs incurred for investments that we are no longer pursuing.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increased $8.9 million and $54.2 million during the three and nine months ended September 30, 2020, respectively, as compared to the three and nine months ended September 30, 2019, respectively. The increase is primarily attributable to the increase in debt of $4.75 billion in the aggregate from the February 2020 Senior Unsecured Notes offering and the November 2019 Senior Unsecured Notes offering, partially offset by a reduction in debt of $2.05 billion as a result of the full redemption of the Second Lien Notes in February 2020 and full repayment of the CPLV CMBS Debt in November 2019.</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the weighted average annualized interest rate of our debt decreased to 4.18% and 4.48% during the three and nine months ended September 30, 2020, respectively, from 4.97% during the three and nine months ended September 30, 2019 as a result of (i) the weighted average interest rate on the February 2020 Senior Unsecured Notes and the November 2019 Senior Unsecured Notes being lower than the weighted average interest rate of the Second Lien Notes and CPLV CMBS Debt, (ii) a decrease in LIBOR on the $100.0 million portion of our variable rate debt that is not hedged and (iii) a reduction in the interest rate on the Term Loan B Facility from LIBOR plus 2.00% to LIBOR plus 1.75%.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decreased $6.5 million and $9.1 million during the three and nine months ended September 30, 2020, respectively, compared to the three and nine months ended September 30, 2019, respectively. The decrease was primarily driven by an overall decrease in our cash on hand and a substantial decrease in the interest rates earned on our excess cash.</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September 30, 2020, we recognized a loss on extinguishment of debt of $39.1 million resulting from the full redemption of our Second Lien Notes in February 2020. We had no such related extinguishment of debt during the nine months ended September 30,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Upon Lease Modification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Eldorado Transaction and as required under ASC 842, we reassessed the lease classification of the Las Vegas Master Lease Agreement, Regional Master Lease Agreement and Joliet Lease Agreement and determined the leases meet the definition of a sales-type lease, including the land component of Caesars Palace Las Vegas. As a result of the reclassifications of the Caesars Lease Agreements from direct financing and operating leases to sales-type leases, we recorded the investments at their estimated fair values as of the modification date and recognized a net gain equal to the difference in fair value of the assets and their carrying values immediately prior to the modification.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22" w:lineRule="exact"/>
        <w:rPr>
          <w:sz w:val="20"/>
          <w:szCs w:val="20"/>
          <w:color w:val="auto"/>
        </w:rPr>
      </w:pPr>
    </w:p>
    <w:p>
      <w:pPr>
        <w:jc w:val="both"/>
        <w:spacing w:after="0" w:line="269" w:lineRule="auto"/>
        <w:rPr>
          <w:rFonts w:ascii="Arial" w:cs="Arial" w:eastAsia="Arial" w:hAnsi="Arial"/>
          <w:sz w:val="17"/>
          <w:szCs w:val="17"/>
          <w:color w:val="0000FF"/>
        </w:rPr>
      </w:pPr>
      <w:r>
        <w:rPr>
          <w:rFonts w:ascii="Arial" w:cs="Arial" w:eastAsia="Arial" w:hAnsi="Arial"/>
          <w:sz w:val="17"/>
          <w:szCs w:val="17"/>
          <w:color w:val="auto"/>
        </w:rPr>
        <w:t xml:space="preserve">AFFO is a non-GAAP financial measure that we use as a supplemental operating measure to evaluate our performance. We calculate AFFO by adding or subtracting from FFO non-cash leasing and financing adjustments, non-cash change in allowance for credit losses,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and gains (or losses) on debt extinguishment, other non-recurring non-cash transactions (such as non-cash gain upon lease modification) and non-cash adjustments attributable to non-controlling interest with respect to certain of the foregoing. The non-cash change in allowance for credit losses consists of estimated credit loss for our Investments in leases - sales-type and direct financing, Investments in leases - financing receivables and Investments in loans as a result of our adoption of ASU No. 2016-13 - Financial Instruments-Credit Losses (Topic 326). No similar adjustments are reflected in prior periods because the accounting standard was adopted effective January 1, 2020 and does not require retrospective application. Please see </w:t>
      </w:r>
      <w:hyperlink w:anchor="page32">
        <w:r>
          <w:rPr>
            <w:rFonts w:ascii="Arial" w:cs="Arial" w:eastAsia="Arial" w:hAnsi="Arial"/>
            <w:sz w:val="17"/>
            <w:szCs w:val="17"/>
            <w:u w:val="single" w:color="auto"/>
            <w:color w:val="0000FF"/>
          </w:rPr>
          <w:t>Note 6 - Allowance for Credit Losses</w:t>
        </w:r>
        <w:r>
          <w:rPr>
            <w:rFonts w:ascii="Arial" w:cs="Arial" w:eastAsia="Arial" w:hAnsi="Arial"/>
            <w:sz w:val="17"/>
            <w:szCs w:val="17"/>
            <w:color w:val="0000FF"/>
          </w:rPr>
          <w:t xml:space="preserve"> </w:t>
        </w:r>
      </w:hyperlink>
      <w:r>
        <w:rPr>
          <w:rFonts w:ascii="Arial" w:cs="Arial" w:eastAsia="Arial" w:hAnsi="Arial"/>
          <w:sz w:val="17"/>
          <w:szCs w:val="17"/>
          <w:color w:val="000000"/>
        </w:rPr>
        <w:t>for</w:t>
      </w:r>
      <w:r>
        <w:rPr>
          <w:rFonts w:ascii="Arial" w:cs="Arial" w:eastAsia="Arial" w:hAnsi="Arial"/>
          <w:sz w:val="17"/>
          <w:szCs w:val="17"/>
          <w:color w:val="0000FF"/>
        </w:rPr>
        <w:t xml:space="preserve"> </w:t>
      </w:r>
      <w:r>
        <w:rPr>
          <w:rFonts w:ascii="Arial" w:cs="Arial" w:eastAsia="Arial" w:hAnsi="Arial"/>
          <w:sz w:val="17"/>
          <w:szCs w:val="17"/>
          <w:color w:val="000000"/>
        </w:rPr>
        <w:t>further information.</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Adjusted EBITDA by adding or subtracting from AFFO contractual interest expense and interest income (collectively, interest expense, net) and income tax expense.</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FFO per Share, AFFO, AFFO per Share and Adjusted EBITDA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Three Months Ended</w:t>
            </w:r>
          </w:p>
        </w:tc>
        <w:tc>
          <w:tcPr>
            <w:tcW w:w="280" w:type="dxa"/>
            <w:vAlign w:val="bottom"/>
          </w:tcPr>
          <w:p>
            <w:pPr>
              <w:spacing w:after="0"/>
              <w:rPr>
                <w:sz w:val="16"/>
                <w:szCs w:val="16"/>
                <w:color w:val="auto"/>
              </w:rPr>
            </w:pPr>
          </w:p>
        </w:tc>
        <w:tc>
          <w:tcPr>
            <w:tcW w:w="2640" w:type="dxa"/>
            <w:vAlign w:val="bottom"/>
            <w:gridSpan w:val="4"/>
          </w:tcPr>
          <w:p>
            <w:pPr>
              <w:jc w:val="right"/>
              <w:ind w:right="69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280" w:type="dxa"/>
            <w:vAlign w:val="bottom"/>
          </w:tcPr>
          <w:p>
            <w:pPr>
              <w:spacing w:after="0"/>
              <w:rPr>
                <w:sz w:val="18"/>
                <w:szCs w:val="18"/>
                <w:color w:val="auto"/>
              </w:rPr>
            </w:pPr>
          </w:p>
        </w:tc>
        <w:tc>
          <w:tcPr>
            <w:tcW w:w="2640" w:type="dxa"/>
            <w:vAlign w:val="bottom"/>
            <w:gridSpan w:val="4"/>
          </w:tcPr>
          <w:p>
            <w:pPr>
              <w:jc w:val="right"/>
              <w:ind w:right="870"/>
              <w:spacing w:after="0"/>
              <w:rPr>
                <w:sz w:val="20"/>
                <w:szCs w:val="20"/>
                <w:color w:val="auto"/>
              </w:rPr>
            </w:pPr>
            <w:r>
              <w:rPr>
                <w:rFonts w:ascii="Arial" w:cs="Arial" w:eastAsia="Arial" w:hAnsi="Arial"/>
                <w:sz w:val="16"/>
                <w:szCs w:val="16"/>
                <w:b w:val="1"/>
                <w:bCs w:val="1"/>
                <w:color w:val="auto"/>
              </w:rPr>
              <w:t>September 30,</w:t>
            </w:r>
          </w:p>
        </w:tc>
      </w:tr>
      <w:tr>
        <w:trPr>
          <w:trHeight w:val="172"/>
        </w:trPr>
        <w:tc>
          <w:tcPr>
            <w:tcW w:w="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1"/>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0"/>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1"/>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0"/>
              <w:spacing w:after="0" w:line="172" w:lineRule="exact"/>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447,333</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Real estate depreciation</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FFO</w:t>
            </w: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398,274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144,435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603,664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447,333</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Non-cash leasing and financing adjustments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change in allowance for credit losses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4,749</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Amortization of debt issuance costs and original issue discount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18,180</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depreciation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(1,991)</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Non-cash gain upon lease modification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adjustments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AFFO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227,907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164,620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584,140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472,939</w:t>
            </w: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142,895</w:t>
            </w: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616,932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FFO per common share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20" w:type="dxa"/>
            <w:vAlign w:val="bottom"/>
          </w:tcPr>
          <w:p>
            <w:pPr>
              <w:spacing w:after="0"/>
              <w:rPr>
                <w:sz w:val="19"/>
                <w:szCs w:val="19"/>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AFFO per common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w w:val="92"/>
              </w:rPr>
              <w:t>Weighted average number of shares of common stock outstanding</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533,407,916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460,666,295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496,002,850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426,437,889</w:t>
            </w:r>
          </w:p>
        </w:tc>
      </w:tr>
      <w:tr>
        <w:trPr>
          <w:trHeight w:val="230"/>
        </w:trPr>
        <w:tc>
          <w:tcPr>
            <w:tcW w:w="20" w:type="dxa"/>
            <w:vAlign w:val="bottom"/>
          </w:tcPr>
          <w:p>
            <w:pPr>
              <w:spacing w:after="0"/>
              <w:rPr>
                <w:sz w:val="20"/>
                <w:szCs w:val="20"/>
                <w:color w:val="auto"/>
              </w:rPr>
            </w:pPr>
          </w:p>
        </w:tc>
        <w:tc>
          <w:tcPr>
            <w:tcW w:w="530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536,180,175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465,771,668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499,982,269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428,366,146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2020, our available cash balances, short-term investments, capacity under our Revolving Credit Facility and additional available proceeds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500" w:type="dxa"/>
            <w:vAlign w:val="bottom"/>
          </w:tcPr>
          <w:p>
            <w:pPr>
              <w:spacing w:after="0"/>
              <w:rPr>
                <w:sz w:val="16"/>
                <w:szCs w:val="16"/>
                <w:color w:val="auto"/>
              </w:rPr>
            </w:pPr>
          </w:p>
        </w:tc>
        <w:tc>
          <w:tcPr>
            <w:tcW w:w="2520" w:type="dxa"/>
            <w:vAlign w:val="bottom"/>
          </w:tcPr>
          <w:p>
            <w:pPr>
              <w:jc w:val="right"/>
              <w:ind w:right="772"/>
              <w:spacing w:after="0"/>
              <w:rPr>
                <w:sz w:val="20"/>
                <w:szCs w:val="20"/>
                <w:color w:val="auto"/>
              </w:rPr>
            </w:pPr>
            <w:r>
              <w:rPr>
                <w:rFonts w:ascii="Arial" w:cs="Arial" w:eastAsia="Arial" w:hAnsi="Arial"/>
                <w:sz w:val="15"/>
                <w:szCs w:val="15"/>
                <w:b w:val="1"/>
                <w:bCs w:val="1"/>
                <w:color w:val="auto"/>
              </w:rPr>
              <w:t>September 30,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5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19,973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3"/>
                <w:szCs w:val="23"/>
                <w:i w:val="1"/>
                <w:iCs w:val="1"/>
                <w:color w:val="auto"/>
                <w:vertAlign w:val="superscript"/>
              </w:rPr>
              <w:t>(1)</w:t>
            </w:r>
          </w:p>
        </w:tc>
        <w:tc>
          <w:tcPr>
            <w:tcW w:w="5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8200" w:type="dxa"/>
            <w:vAlign w:val="bottom"/>
            <w:tcBorders>
              <w:bottom w:val="single" w:sz="8" w:color="CCEEFF"/>
            </w:tcBorders>
            <w:gridSpan w:val="2"/>
          </w:tcPr>
          <w:p>
            <w:pPr>
              <w:spacing w:after="0" w:line="256" w:lineRule="exact"/>
              <w:rPr>
                <w:sz w:val="20"/>
                <w:szCs w:val="20"/>
                <w:color w:val="auto"/>
              </w:rPr>
            </w:pPr>
            <w:r>
              <w:rPr>
                <w:rFonts w:ascii="Arial" w:cs="Arial" w:eastAsia="Arial" w:hAnsi="Arial"/>
                <w:sz w:val="18"/>
                <w:szCs w:val="18"/>
                <w:color w:val="auto"/>
              </w:rPr>
              <w:t xml:space="preserve">Proceeds available from settlement of the June 2020 Forward Sale Agreement </w:t>
            </w:r>
            <w:r>
              <w:rPr>
                <w:rFonts w:ascii="Arial" w:cs="Arial" w:eastAsia="Arial" w:hAnsi="Arial"/>
                <w:sz w:val="23"/>
                <w:szCs w:val="23"/>
                <w:i w:val="1"/>
                <w:iCs w:val="1"/>
                <w:color w:val="auto"/>
                <w:vertAlign w:val="superscript"/>
              </w:rPr>
              <w:t>(2)</w:t>
            </w:r>
          </w:p>
        </w:tc>
        <w:tc>
          <w:tcPr>
            <w:tcW w:w="5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557,037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1,721,067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Subject to compliance with the financial covenants and other applicable provisions of our Revolving Credit Facility.</w:t>
      </w:r>
    </w:p>
    <w:p>
      <w:pPr>
        <w:spacing w:after="0" w:line="13" w:lineRule="exact"/>
        <w:rPr>
          <w:rFonts w:ascii="Arial" w:cs="Arial" w:eastAsia="Arial" w:hAnsi="Arial"/>
          <w:sz w:val="14"/>
          <w:szCs w:val="14"/>
          <w:i w:val="1"/>
          <w:iCs w:val="1"/>
          <w:color w:val="auto"/>
        </w:rPr>
      </w:pPr>
    </w:p>
    <w:p>
      <w:pPr>
        <w:ind w:left="320" w:hanging="312"/>
        <w:spacing w:after="0"/>
        <w:tabs>
          <w:tab w:leader="none" w:pos="320" w:val="left"/>
        </w:tabs>
        <w:numPr>
          <w:ilvl w:val="0"/>
          <w:numId w:val="35"/>
        </w:numPr>
        <w:rPr>
          <w:rFonts w:ascii="Arial" w:cs="Arial" w:eastAsia="Arial" w:hAnsi="Arial"/>
          <w:sz w:val="13"/>
          <w:szCs w:val="13"/>
          <w:i w:val="1"/>
          <w:iCs w:val="1"/>
          <w:color w:val="auto"/>
        </w:rPr>
      </w:pPr>
      <w:r>
        <w:rPr>
          <w:rFonts w:ascii="Arial" w:cs="Arial" w:eastAsia="Arial" w:hAnsi="Arial"/>
          <w:sz w:val="13"/>
          <w:szCs w:val="13"/>
          <w:i w:val="1"/>
          <w:iCs w:val="1"/>
          <w:color w:val="auto"/>
        </w:rPr>
        <w:t>Assumes the physical settlement of the remaining 26,900,000 shares under the June 2020 Forward Sale Agreement at the forward sale price of $20.71, calculated as of September 30, 2020.</w:t>
      </w:r>
    </w:p>
    <w:p>
      <w:pPr>
        <w:spacing w:after="0" w:line="167"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w:t>
      </w:r>
      <w:hyperlink w:anchor="page44">
        <w:r>
          <w:rPr>
            <w:rFonts w:ascii="Arial" w:cs="Arial" w:eastAsia="Arial" w:hAnsi="Arial"/>
            <w:sz w:val="18"/>
            <w:szCs w:val="18"/>
            <w:color w:val="auto"/>
          </w:rPr>
          <w:t xml:space="preserve">operations and certain non-recurring expenditures. For a list of our material contractual commitments refer to </w:t>
        </w:r>
        <w:r>
          <w:rPr>
            <w:rFonts w:ascii="Arial" w:cs="Arial" w:eastAsia="Arial" w:hAnsi="Arial"/>
            <w:sz w:val="18"/>
            <w:szCs w:val="18"/>
            <w:u w:val="single" w:color="auto"/>
            <w:color w:val="0000FF"/>
          </w:rPr>
          <w:t>Note 11 - Commitments and Contingent</w:t>
        </w:r>
      </w:hyperlink>
      <w:r>
        <w:rPr>
          <w:rFonts w:ascii="Arial" w:cs="Arial" w:eastAsia="Arial" w:hAnsi="Arial"/>
          <w:sz w:val="18"/>
          <w:szCs w:val="18"/>
          <w:color w:val="auto"/>
        </w:rPr>
        <w:t xml:space="preserve"> </w:t>
      </w:r>
      <w:hyperlink w:anchor="page44">
        <w:r>
          <w:rPr>
            <w:rFonts w:ascii="Arial" w:cs="Arial" w:eastAsia="Arial" w:hAnsi="Arial"/>
            <w:sz w:val="18"/>
            <w:szCs w:val="18"/>
            <w:u w:val="single" w:color="auto"/>
            <w:color w:val="0000FF"/>
          </w:rPr>
          <w:t>Liabilities</w:t>
        </w:r>
        <w:r>
          <w:rPr>
            <w:rFonts w:ascii="Arial" w:cs="Arial" w:eastAsia="Arial" w:hAnsi="Arial"/>
            <w:sz w:val="18"/>
            <w:szCs w:val="18"/>
            <w:color w:val="000000"/>
          </w:rPr>
          <w:t>.</w:t>
        </w:r>
      </w:hyperlink>
    </w:p>
    <w:p>
      <w:pPr>
        <w:spacing w:after="0" w:line="133"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Our long-term obligations consist primarily of principal payments on our outstanding debt obligations and future funding commitments under our lease and loan agreements. As of September 30, 2020, we have $6.9 billion of debt obligations outstanding, none of which are maturing in the next twelve months. As of September 30, 2020, we have $58.0 million in future funding commitments consisting of $25.0 million related to the ROV Credit Facility, $15.0 million related to the Chelsea Piers Mortgage Loan and $18.0 million related to the funding of the construction of a new gaming patio amenity at JACK Thistledown Racino ($6.0 million of which was funded on October 1, 2020), which will be leased by JACK Entertainment pursuant to the JACK Lease Agreement Amendment. For a summary of principal debt balances and their maturity dates and principal terms refer to </w:t>
      </w:r>
      <w:hyperlink w:anchor="page35">
        <w:r>
          <w:rPr>
            <w:rFonts w:ascii="Arial" w:cs="Arial" w:eastAsia="Arial" w:hAnsi="Arial"/>
            <w:sz w:val="18"/>
            <w:szCs w:val="18"/>
            <w:u w:val="single" w:color="auto"/>
            <w:color w:val="0000FF"/>
          </w:rPr>
          <w:t>Note 8 - Debt</w:t>
        </w:r>
      </w:hyperlink>
      <w:r>
        <w:rPr>
          <w:rFonts w:ascii="Arial" w:cs="Arial" w:eastAsia="Arial" w:hAnsi="Arial"/>
          <w:sz w:val="18"/>
          <w:szCs w:val="18"/>
          <w:color w:val="auto"/>
        </w:rPr>
        <w:t xml:space="preserve">, in the Notes to our Consolidated Financial Statements. For a summary of our future funding commitments under our loan portfolio refer to </w:t>
      </w:r>
      <w:hyperlink w:anchor="page25">
        <w:r>
          <w:rPr>
            <w:rFonts w:ascii="Arial" w:cs="Arial" w:eastAsia="Arial" w:hAnsi="Arial"/>
            <w:sz w:val="18"/>
            <w:szCs w:val="18"/>
            <w:u w:val="single" w:color="auto"/>
            <w:color w:val="0000FF"/>
          </w:rPr>
          <w:t xml:space="preserve">Note 5 - Real </w:t>
        </w:r>
      </w:hyperlink>
      <w:r>
        <w:rPr>
          <w:rFonts w:ascii="Arial" w:cs="Arial" w:eastAsia="Arial" w:hAnsi="Arial"/>
          <w:sz w:val="18"/>
          <w:szCs w:val="18"/>
          <w:color w:val="auto"/>
        </w:rPr>
        <w:t xml:space="preserve">Estate </w:t>
      </w:r>
      <w:hyperlink w:anchor="page25">
        <w:r>
          <w:rPr>
            <w:rFonts w:ascii="Arial" w:cs="Arial" w:eastAsia="Arial" w:hAnsi="Arial"/>
            <w:sz w:val="18"/>
            <w:szCs w:val="18"/>
            <w:u w:val="single" w:color="auto"/>
            <w:color w:val="0000FF"/>
          </w:rPr>
          <w:t>Portfolio</w:t>
        </w:r>
      </w:hyperlink>
      <w:r>
        <w:rPr>
          <w:rFonts w:ascii="Arial" w:cs="Arial" w:eastAsia="Arial" w:hAnsi="Arial"/>
          <w:sz w:val="18"/>
          <w:szCs w:val="18"/>
          <w:color w:val="auto"/>
        </w:rPr>
        <w:t>, in the Notes to our Consolidated Financial Statements.</w:t>
      </w:r>
    </w:p>
    <w:p>
      <w:pPr>
        <w:spacing w:after="0" w:line="200" w:lineRule="exact"/>
        <w:rPr>
          <w:rFonts w:ascii="Arial" w:cs="Arial" w:eastAsia="Arial" w:hAnsi="Arial"/>
          <w:sz w:val="18"/>
          <w:szCs w:val="18"/>
          <w:color w:val="auto"/>
        </w:rPr>
      </w:pPr>
    </w:p>
    <w:p>
      <w:pPr>
        <w:spacing w:after="0" w:line="3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obligations and commitments to make future payments under contracts such as our indebtedness and future minimum lease commitments under operating leases is included in the following table as of September 30,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2020 (remaining)</w:t>
            </w:r>
          </w:p>
        </w:tc>
        <w:tc>
          <w:tcPr>
            <w:tcW w:w="280" w:type="dxa"/>
            <w:vAlign w:val="bottom"/>
          </w:tcPr>
          <w:p>
            <w:pPr>
              <w:spacing w:after="0"/>
              <w:rPr>
                <w:sz w:val="13"/>
                <w:szCs w:val="13"/>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1"/>
              <w:spacing w:after="0" w:line="158" w:lineRule="exact"/>
              <w:rPr>
                <w:sz w:val="20"/>
                <w:szCs w:val="20"/>
                <w:color w:val="auto"/>
              </w:rPr>
            </w:pPr>
            <w:r>
              <w:rPr>
                <w:rFonts w:ascii="Arial" w:cs="Arial" w:eastAsia="Arial" w:hAnsi="Arial"/>
                <w:sz w:val="16"/>
                <w:szCs w:val="16"/>
                <w:b w:val="1"/>
                <w:bCs w:val="1"/>
                <w:color w:val="auto"/>
              </w:rPr>
              <w:t>2024 and</w:t>
            </w:r>
          </w:p>
        </w:tc>
        <w:tc>
          <w:tcPr>
            <w:tcW w:w="0" w:type="dxa"/>
            <w:vAlign w:val="bottom"/>
          </w:tcPr>
          <w:p>
            <w:pPr>
              <w:spacing w:after="0"/>
              <w:rPr>
                <w:sz w:val="1"/>
                <w:szCs w:val="1"/>
                <w:color w:val="auto"/>
              </w:rPr>
            </w:pPr>
          </w:p>
        </w:tc>
      </w:tr>
      <w:tr>
        <w:trPr>
          <w:trHeight w:val="213"/>
        </w:trPr>
        <w:tc>
          <w:tcPr>
            <w:tcW w:w="3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2"/>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2026 Notes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2027 Notes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2029 Notes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2030 Notes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2,068,000</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Scheduled interest payments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1,804,345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910,019</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debt contractual obligations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8,654,345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7,728,019</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Leases and contracts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Future funding commitments – loan</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investments and lease agreements</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line="176" w:lineRule="exact"/>
              <w:rPr>
                <w:sz w:val="20"/>
                <w:szCs w:val="20"/>
                <w:color w:val="auto"/>
              </w:rPr>
            </w:pPr>
            <w:r>
              <w:rPr>
                <w:rFonts w:ascii="Arial" w:cs="Arial" w:eastAsia="Arial" w:hAnsi="Arial"/>
                <w:sz w:val="18"/>
                <w:szCs w:val="18"/>
                <w:color w:val="auto"/>
                <w:w w:val="95"/>
              </w:rPr>
              <w:t>Operating lease for Cascata Golf Course</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19,978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Golf maintenance contract for Rio Secco</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Cascata Golf Course</w:t>
            </w: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Office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leases and contract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62,829</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commitments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8,752,014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7,790,848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 w:lineRule="exact"/>
        <w:rPr>
          <w:sz w:val="20"/>
          <w:szCs w:val="20"/>
          <w:color w:val="auto"/>
        </w:rPr>
      </w:pPr>
    </w:p>
    <w:p>
      <w:pPr>
        <w:jc w:val="both"/>
        <w:ind w:right="20"/>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The 2025 Notes, 2026 Notes, 2027 Notes, 2029 Notes and 2030 Notes will mature on February 15, 2025, December 1, 2026, February 15, 2027, December 1, 2029 and August 15, 2030,</w:t>
      </w:r>
      <w:r>
        <w:rPr>
          <w:rFonts w:ascii="Arial" w:cs="Arial" w:eastAsia="Arial" w:hAnsi="Arial"/>
          <w:sz w:val="14"/>
          <w:szCs w:val="14"/>
          <w:color w:val="auto"/>
        </w:rPr>
        <w:t xml:space="preserve"> </w:t>
      </w:r>
      <w:r>
        <w:rPr>
          <w:rFonts w:ascii="Arial" w:cs="Arial" w:eastAsia="Arial" w:hAnsi="Arial"/>
          <w:sz w:val="14"/>
          <w:szCs w:val="14"/>
          <w:i w:val="1"/>
          <w:iCs w:val="1"/>
          <w:color w:val="auto"/>
        </w:rPr>
        <w:t>respectively.</w:t>
      </w:r>
    </w:p>
    <w:p>
      <w:pPr>
        <w:spacing w:after="0" w:line="1" w:lineRule="exact"/>
        <w:rPr>
          <w:sz w:val="20"/>
          <w:szCs w:val="20"/>
          <w:color w:val="auto"/>
        </w:rPr>
      </w:pPr>
    </w:p>
    <w:p>
      <w:pPr>
        <w:jc w:val="both"/>
        <w:ind w:firstLine="8"/>
        <w:spacing w:after="0" w:line="241" w:lineRule="auto"/>
        <w:tabs>
          <w:tab w:leader="none" w:pos="209"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The Term Loan B Facility is subject to amortization of 1.0% of principal per annum payable in equal quarterly installments on the last business day of each calendar quarter. However, as a result of prepaying $100.0 million in February 2018 the next principal payment due on the Term Loan B Facility is September 2022. The Term Loan B Facility will mature on December 22, 2024 (or if the maturity is extended pursuant to the terms of the agreement, such extended maturity date as determined pursuant thereto).</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The Revolving Credit Facility will mature on May 15, 2024.</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interest payments on variable interest loans are based on a LIBOR rate as of September 30, 2020.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6"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The allocation of our future funding commitments is based on the commitment funding date or expiration date, as applicable, however we may be obligated to fund these commitments earlier than such date.</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sufficient liquidity to meet our liquidity and capital resource requirements primarily through currently available cash and cash equivalents, short-term investments, cash received under our Lease Agreements, borrowings from banks, including undrawn capacity under our Revolving Credit Facility, and proceeds from the issuance of debt and equity securities (including issuances under the June 2020 Forward Sale Agreement and our ATM Agreement).</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the Lease Agreements call for an initial term of fifteen years with four, five-year tenant renewal options and are designed to provide us with a reliable and predictable long-term revenue stream (except for the JACK Cleveland/Thistledown Lease Agreement, as amended, which now provides for an initial term of twenty years with three, five-year renewal options). However, the COVID-19 pandemic has adversely impacted our tenants and their financial condition, and is expected to continue to do so, as all of their properties were closed for a period of time, and upon reopening are subject to operating restrictions and continuing uncertainty as to whether they will be forced to close again in the future. In the event our tenants are unable to make all of their contractual rent payments as provided by the Lease Agreements, we believe we have sufficient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311" w:lineRule="auto"/>
        <w:rPr>
          <w:rFonts w:ascii="Arial" w:cs="Arial" w:eastAsia="Arial" w:hAnsi="Arial"/>
          <w:sz w:val="16"/>
          <w:szCs w:val="16"/>
          <w:color w:val="0000FF"/>
        </w:rPr>
      </w:pPr>
      <w:r>
        <w:rPr>
          <w:rFonts w:ascii="Arial" w:cs="Arial" w:eastAsia="Arial" w:hAnsi="Arial"/>
          <w:sz w:val="16"/>
          <w:szCs w:val="16"/>
          <w:color w:val="auto"/>
        </w:rPr>
        <w:t xml:space="preserve">liquidity from the other sources discussed above to meet all of our contractual obligations for a significant period of time. Additionally, we do not have any debt maturities until 2024. For more information, refer to the risk factors incorporated by reference into </w:t>
      </w:r>
      <w:hyperlink w:anchor="page76">
        <w:r>
          <w:rPr>
            <w:rFonts w:ascii="Arial" w:cs="Arial" w:eastAsia="Arial" w:hAnsi="Arial"/>
            <w:sz w:val="16"/>
            <w:szCs w:val="16"/>
            <w:u w:val="single" w:color="auto"/>
            <w:color w:val="0000FF"/>
          </w:rPr>
          <w:t>Part II. Item 1A. Risk Factors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herein from our </w:t>
      </w:r>
      <w:hyperlink r:id="rId95">
        <w:r>
          <w:rPr>
            <w:rFonts w:ascii="Arial" w:cs="Arial" w:eastAsia="Arial" w:hAnsi="Arial"/>
            <w:sz w:val="16"/>
            <w:szCs w:val="16"/>
            <w:u w:val="single" w:color="auto"/>
            <w:color w:val="0000FF"/>
          </w:rPr>
          <w:t>Quarterly Report on Form 10-Q for the quarter ended June 30, 2020</w:t>
        </w:r>
        <w:r>
          <w:rPr>
            <w:rFonts w:ascii="Arial" w:cs="Arial" w:eastAsia="Arial" w:hAnsi="Arial"/>
            <w:sz w:val="16"/>
            <w:szCs w:val="16"/>
            <w:color w:val="0000FF"/>
          </w:rPr>
          <w:t xml:space="preserve"> </w:t>
        </w:r>
      </w:hyperlink>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color w:val="000000"/>
        </w:rPr>
        <w:t>in our</w:t>
      </w:r>
      <w:r>
        <w:rPr>
          <w:rFonts w:ascii="Arial" w:cs="Arial" w:eastAsia="Arial" w:hAnsi="Arial"/>
          <w:sz w:val="16"/>
          <w:szCs w:val="16"/>
          <w:color w:val="0000FF"/>
        </w:rPr>
        <w:t xml:space="preserve"> </w:t>
      </w:r>
      <w:hyperlink r:id="rId21">
        <w:r>
          <w:rPr>
            <w:rFonts w:ascii="Arial" w:cs="Arial" w:eastAsia="Arial" w:hAnsi="Arial"/>
            <w:sz w:val="16"/>
            <w:szCs w:val="16"/>
            <w:u w:val="single" w:color="auto"/>
            <w:color w:val="0000FF"/>
          </w:rPr>
          <w:t>Annual Report on Form 10-K for the year ended December 31, 2019</w:t>
        </w:r>
      </w:hyperlink>
      <w:r>
        <w:rPr>
          <w:rFonts w:ascii="Arial" w:cs="Arial" w:eastAsia="Arial" w:hAnsi="Arial"/>
          <w:sz w:val="16"/>
          <w:szCs w:val="16"/>
          <w:color w:val="000000"/>
        </w:rPr>
        <w:t>.</w:t>
      </w:r>
    </w:p>
    <w:p>
      <w:pPr>
        <w:spacing w:after="0" w:line="95" w:lineRule="exact"/>
        <w:rPr>
          <w:rFonts w:ascii="Arial" w:cs="Arial" w:eastAsia="Arial" w:hAnsi="Arial"/>
          <w:sz w:val="16"/>
          <w:szCs w:val="16"/>
          <w:color w:val="auto"/>
        </w:rPr>
      </w:pPr>
    </w:p>
    <w:p>
      <w:pPr>
        <w:jc w:val="both"/>
        <w:spacing w:after="0" w:line="268" w:lineRule="auto"/>
        <w:rPr>
          <w:sz w:val="20"/>
          <w:szCs w:val="20"/>
          <w:color w:val="auto"/>
        </w:rPr>
      </w:pPr>
      <w:r>
        <w:rPr>
          <w:rFonts w:ascii="Arial" w:cs="Arial" w:eastAsia="Arial" w:hAnsi="Arial"/>
          <w:sz w:val="17"/>
          <w:szCs w:val="17"/>
          <w:color w:val="auto"/>
        </w:rPr>
        <w:t>Our cash flows from operations and our ability to access capital resources could be adversely affected due to uncertain economic factors and volatility in the financial and credit markets, including the current conditions created by the COVID-19 pandemic which has severely and adversely impacted global, national and regional economic activity and has contributed to significant volatility and negative pressure in financial markets. In particular, in connection with the ongoing COVID-19 pandemic and its impact on our tenants’ operations and financial performance we have provided certain relief under the applicable Lease Agreements to some of our tenants as more fully described above in “—Significant Activities During 2020 — JACK Lease Agreement Amendment and Amended and Restated ROV Loan”, “—Significant Activities During 2020 — Amendment to Century Portfolio Lease Agreement” and “—Significant Activities During 2020 — Omnibus CapEx Amendment to Caesars Leases” and, as a result, we can provide no assurances that our tenants will not default on their leases or fail to make full rental payments if their businesses become challenged due to, among other things, current or future adverse economic conditions. In addition, such tenant default or failure to make full rental payments could impact our operating performance and result in us not satisfying the financial covenants applicable to our outstanding indebtedness, which could result in us not being able to incur additional debt, including the available capacity under our Revolving Credit Facility, or result in a default. Further, future or current economic conditions could impact our tenants’ ability to meet capital improvement requirements or other obligations required in our Lease Agreements that could result in a decrease in the value of our properties.</w:t>
      </w:r>
    </w:p>
    <w:p>
      <w:pPr>
        <w:spacing w:after="0" w:line="132" w:lineRule="exact"/>
        <w:rPr>
          <w:rFonts w:ascii="Arial" w:cs="Arial" w:eastAsia="Arial" w:hAnsi="Arial"/>
          <w:sz w:val="16"/>
          <w:szCs w:val="16"/>
          <w:color w:val="auto"/>
        </w:rPr>
      </w:pPr>
    </w:p>
    <w:p>
      <w:pPr>
        <w:jc w:val="both"/>
        <w:spacing w:after="0" w:line="255"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uncertainties related to COVID-19 and the impact of our response and our tenants’ responses to COVID-19,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 In addition, volatility in the debt capital markets and potential liquidity challenges in the banking sector resulting from the COVID-19 pandemic may increase the risk related to the pricing and availability of debt financing.</w:t>
      </w:r>
    </w:p>
    <w:p>
      <w:pPr>
        <w:spacing w:after="0" w:line="18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The table below summarizes our cash flows for the nine months ended September 30, 2020 and 2019:</w:t>
      </w:r>
    </w:p>
    <w:p>
      <w:pPr>
        <w:spacing w:after="0" w:line="212"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5"/>
          </w:tcPr>
          <w:p>
            <w:pPr>
              <w:ind w:left="240"/>
              <w:spacing w:after="0"/>
              <w:rPr>
                <w:sz w:val="20"/>
                <w:szCs w:val="20"/>
                <w:color w:val="auto"/>
              </w:rPr>
            </w:pPr>
            <w:r>
              <w:rPr>
                <w:rFonts w:ascii="Arial" w:cs="Arial" w:eastAsia="Arial" w:hAnsi="Arial"/>
                <w:sz w:val="16"/>
                <w:szCs w:val="16"/>
                <w:b w:val="1"/>
                <w:bCs w:val="1"/>
                <w:color w:val="auto"/>
              </w:rPr>
              <w:t>Nine Months Ended September 30,</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612"/>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31"/>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71"/>
              <w:spacing w:after="0" w:line="175" w:lineRule="exact"/>
              <w:rPr>
                <w:sz w:val="20"/>
                <w:szCs w:val="20"/>
                <w:color w:val="auto"/>
              </w:rPr>
            </w:pPr>
            <w:r>
              <w:rPr>
                <w:rFonts w:ascii="Arial" w:cs="Arial" w:eastAsia="Arial" w:hAnsi="Arial"/>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Arial" w:cs="Arial" w:eastAsia="Arial" w:hAnsi="Arial"/>
                <w:sz w:val="18"/>
                <w:szCs w:val="18"/>
                <w:color w:val="auto"/>
              </w:rPr>
              <w:t>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539,521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437,199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102,322</w:t>
            </w:r>
          </w:p>
        </w:tc>
      </w:tr>
      <w:tr>
        <w:trPr>
          <w:trHeight w:val="230"/>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Used in investing activities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(4,556,349)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(3,200,492)</w:t>
            </w:r>
          </w:p>
        </w:tc>
      </w:tr>
      <w:tr>
        <w:trPr>
          <w:trHeight w:val="230"/>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Provided by financing activities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3,058,992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2,275,271</w:t>
            </w:r>
          </w:p>
        </w:tc>
      </w:tr>
      <w:tr>
        <w:trPr>
          <w:trHeight w:val="223"/>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(822,899)</w:t>
            </w:r>
          </w:p>
        </w:tc>
      </w:tr>
      <w:tr>
        <w:trPr>
          <w:trHeight w:val="230"/>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503,446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rFonts w:ascii="Arial" w:cs="Arial" w:eastAsia="Arial" w:hAnsi="Arial"/>
          <w:sz w:val="16"/>
          <w:szCs w:val="16"/>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increased $102.3 million for the nine months ended September 30, 2020 compared with the nine months ended September 30, 2019. The increase is primarily driven by an increase in cash rental payments from the Eldorado Transaction in July 2020 and the addition of Greektown, Hard Rock Cincinnati, the Century Portfolio, JACK Cleveland/Thistledown, the ROV Loan (and the Amended and Restated ROV Loan), the Chelsea Piers Mortgage Loan and the Forum Convention Center Mortgage Loan to our real estate portfolio in May 2019, September 2019, December 2019, January 2020 (and July 2020), August 2020 and September 2020, respectively, partially offset by a decrease due to the prepayment of certain rent in December 2019 related to January 2020.</w:t>
      </w:r>
    </w:p>
    <w:p>
      <w:pPr>
        <w:spacing w:after="0" w:line="200" w:lineRule="exact"/>
        <w:rPr>
          <w:rFonts w:ascii="Arial" w:cs="Arial" w:eastAsia="Arial" w:hAnsi="Arial"/>
          <w:sz w:val="16"/>
          <w:szCs w:val="16"/>
          <w:color w:val="auto"/>
        </w:rPr>
      </w:pPr>
    </w:p>
    <w:p>
      <w:pPr>
        <w:spacing w:after="0" w:line="37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investing activities increased $3,200.5 million for the nine months ended September 30, 2020 compared with the nine months ended September 30, 2019. The increase is primarily driven by the ROV Loan (and the Amended and Restated ROV Loan), the JACK Cleveland/Thistledown Acquisition, the Eldorado Transaction, the Chelsea Piers Mortgage Loan and the Forum Convention Center Mortgage Loan for a total of $4,625.1 million, including acquisition costs, during the nine months ended September 30, 2020, as well as a decrease in net maturities of short-term investments of $138.6 million during the nine months ended September 30, 2020 as compared to the nine months ended September 30, 2019. This increase was partially offset by the proceeds to VICI from the sale of Harrah’s Reno in the amount of $31.1 million during the nine months ended September 30, 2020 and the Margaritaville Acquisition, Greektown Acquisition and Hard Rock Cincinnati Acquisition for $1,530.6 million, including acquisition costs, during the nine months ended September 30,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increased $2,275.3 million for the nine months ended September 30, 2020, compared with the nine months ended September 30,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 the primary sources and uses of cash from financing activities included:</w:t>
      </w:r>
    </w:p>
    <w:p>
      <w:pPr>
        <w:spacing w:after="0" w:line="117" w:lineRule="exact"/>
        <w:rPr>
          <w:sz w:val="20"/>
          <w:szCs w:val="20"/>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proceeds from the sale of an aggregate of $1,539.7 million of our common stock pursuant to the full physical settlement of our June 2019 Forward Sale Agreements, the partial physical settlement of $63.0 million of our common stock pursuant to our June 2020 Forward Sale Agreement and our at-the-market program;</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Gross proceeds from our February 2020 Senior Unsecured Notes offering of $2,500.0 million;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Full redemption of the $498.5 million outstanding aggregate principal amount of our Second Lien Notes, as well as the $39.0 million Second Lien Notes Applicable Premium plus fees;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Dividend payments of $435.2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issuance costs of $57.8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Reimbursement of the CPLV CMBS Debt prepayment penalty from Caesars in the amount of $55.4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Distributions of $5.4 million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2019 the primary sources and uses of cash from financing activities included:</w:t>
      </w:r>
    </w:p>
    <w:p>
      <w:pPr>
        <w:spacing w:after="0" w:line="117" w:lineRule="exact"/>
        <w:rPr>
          <w:sz w:val="20"/>
          <w:szCs w:val="20"/>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proceeds from the sale of an aggregate of $1,164.4 million of our common stock from a primary follow-on offering and pursuant to our at-the-market program;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Dividend payments of $366.9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issuance costs of $7.7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Distributions of $6.1 million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jc w:val="both"/>
        <w:ind w:right="20"/>
        <w:spacing w:after="0" w:line="308" w:lineRule="auto"/>
        <w:rPr>
          <w:rFonts w:ascii="Arial" w:cs="Arial" w:eastAsia="Arial" w:hAnsi="Arial"/>
          <w:sz w:val="17"/>
          <w:szCs w:val="17"/>
          <w:color w:val="0000FF"/>
        </w:rPr>
      </w:pPr>
      <w:hyperlink w:anchor="page25">
        <w:r>
          <w:rPr>
            <w:rFonts w:ascii="Arial" w:cs="Arial" w:eastAsia="Arial" w:hAnsi="Arial"/>
            <w:sz w:val="17"/>
            <w:szCs w:val="17"/>
            <w:color w:val="auto"/>
          </w:rPr>
          <w:t xml:space="preserve">As described in our leases, capital expenditures for properties under our Lease Agreements are the responsibility our tenants. Refer to </w:t>
        </w:r>
        <w:r>
          <w:rPr>
            <w:rFonts w:ascii="Arial" w:cs="Arial" w:eastAsia="Arial" w:hAnsi="Arial"/>
            <w:sz w:val="17"/>
            <w:szCs w:val="17"/>
            <w:u w:val="single" w:color="auto"/>
            <w:color w:val="0000FF"/>
          </w:rPr>
          <w:t>Note 5 - Real Estate</w:t>
        </w:r>
      </w:hyperlink>
      <w:r>
        <w:rPr>
          <w:rFonts w:ascii="Arial" w:cs="Arial" w:eastAsia="Arial" w:hAnsi="Arial"/>
          <w:sz w:val="17"/>
          <w:szCs w:val="17"/>
          <w:color w:val="auto"/>
        </w:rPr>
        <w:t xml:space="preserve"> </w:t>
      </w:r>
      <w:hyperlink w:anchor="page25">
        <w:r>
          <w:rPr>
            <w:rFonts w:ascii="Arial" w:cs="Arial" w:eastAsia="Arial" w:hAnsi="Arial"/>
            <w:sz w:val="17"/>
            <w:szCs w:val="17"/>
            <w:u w:val="single" w:color="auto"/>
            <w:color w:val="0000FF"/>
          </w:rPr>
          <w:t>Portfolio</w:t>
        </w:r>
        <w:r>
          <w:rPr>
            <w:rFonts w:ascii="Arial" w:cs="Arial" w:eastAsia="Arial" w:hAnsi="Arial"/>
            <w:sz w:val="17"/>
            <w:szCs w:val="17"/>
            <w:color w:val="0000FF"/>
          </w:rPr>
          <w:t xml:space="preserve"> </w:t>
        </w:r>
        <w:r>
          <w:rPr>
            <w:rFonts w:ascii="Arial" w:cs="Arial" w:eastAsia="Arial" w:hAnsi="Arial"/>
            <w:sz w:val="17"/>
            <w:szCs w:val="17"/>
            <w:color w:val="000000"/>
          </w:rPr>
          <w:t>in the Notes to our Financial Statements for further information of the obligations of our tenants under the Lease Agreements.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During 2020</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5, 2020, the Issuers issued (i) $750.0 million in aggregate principal amount of 2025 Notes, (ii) $750.0 million in aggregate principal amount of 2027 Notes and (iii) $1.0 billion in aggregate principal amount of 2030 Notes. We placed $2.0 billion of the net proceeds of the offering into escrow pending the consummation of the Eldorado Transaction (which was subsequently released from escrow and used to fund a portion of the consideration payable in connection with the closing of the Eldorado Transaction on July 20, 2020). On February 20, 2020, we used the remaining net proceeds from the 2025 Notes, together with cash on hand, to redeem in full the outstanding $498.5 million in aggregate principal amount of the Second Lien Notes plus the Second Lien Notes Applicable Premium, for a total redemption cost of approximately $537.5 million. The 2025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will mature on February 15, 2025, the 2027 Notes will mature on February 15, 2027 and the 2030 Notes will mature on August 15, 2030. Interest on the 2025 Notes will accrue at a rate of 3.500% per annum, interest on the 2027 Notes will accrue at a rate of 3.750% per annum and interest on the 2030 Notes will accrue at a rate of 4.125% per annum. Interest on the February 2020 Unsecured Notes will be payable semi-annually in cash in arrears on February 15 and August 15 of each year, commencing on August 15, 2020.</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September 30, 2020, we were in compliance with all debt-related covenants.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Non-Guarantor Subsidiaries of Senior Unsecured Notes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subsidiaries of the Operating Partnership that do not guarantee the Senior Unsecured Notes accounted for: (i) 5.6% of the Operating Partnership’s revenue (or 5.5% of our consolidated revenue) for the nine months ended September 30, 2020 and (ii) 3.9% of the Operating Partnership’s total assets (or 3.8% of our consolidated total assets) as of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nine months ended September 30, 2020 and 2019 were as follows: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2020</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9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34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12, 2020</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31, 2020</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9, 2020</w:t>
            </w:r>
          </w:p>
        </w:tc>
        <w:tc>
          <w:tcPr>
            <w:tcW w:w="10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2020 - March 31, 2020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r>
      <w:tr>
        <w:trPr>
          <w:trHeight w:val="230"/>
        </w:trPr>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11, 2020</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30, 2020</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10, 2020</w:t>
            </w:r>
          </w:p>
        </w:tc>
        <w:tc>
          <w:tcPr>
            <w:tcW w:w="3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2020 - June 30, 2020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0.2975</w:t>
            </w:r>
          </w:p>
        </w:tc>
      </w:tr>
      <w:tr>
        <w:trPr>
          <w:trHeight w:val="229"/>
        </w:trPr>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10, 2020</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30, 2020</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8, 2020</w:t>
            </w:r>
          </w:p>
        </w:tc>
        <w:tc>
          <w:tcPr>
            <w:tcW w:w="3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2020 - September 30, 2020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0.3300</w:t>
            </w:r>
          </w:p>
        </w:tc>
      </w:tr>
      <w:tr>
        <w:trPr>
          <w:trHeight w:val="483"/>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Nine Months Ended September 30, 2019</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0"/>
        </w:trPr>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3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Pr>
          <w:p>
            <w:pPr>
              <w:spacing w:after="0"/>
              <w:rPr>
                <w:sz w:val="18"/>
                <w:szCs w:val="18"/>
                <w:color w:val="auto"/>
              </w:rPr>
            </w:pPr>
          </w:p>
        </w:tc>
        <w:tc>
          <w:tcPr>
            <w:tcW w:w="1460" w:type="dxa"/>
            <w:vAlign w:val="bottom"/>
          </w:tcPr>
          <w:p>
            <w:pPr>
              <w:jc w:val="right"/>
              <w:ind w:right="492"/>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2019</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29, 2019</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April 11, 2019</w:t>
            </w:r>
          </w:p>
        </w:tc>
        <w:tc>
          <w:tcPr>
            <w:tcW w:w="10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2019 - March 31, 2019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0.2875</w:t>
            </w:r>
          </w:p>
        </w:tc>
      </w:tr>
      <w:tr>
        <w:trPr>
          <w:trHeight w:val="229"/>
        </w:trPr>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13, 2019</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28, 2019</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12, 2019</w:t>
            </w:r>
          </w:p>
        </w:tc>
        <w:tc>
          <w:tcPr>
            <w:tcW w:w="3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2019 - June 30, 2019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0.2875</w:t>
            </w:r>
          </w:p>
        </w:tc>
      </w:tr>
      <w:tr>
        <w:trPr>
          <w:trHeight w:val="230"/>
        </w:trPr>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12, 2019</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27, 2019</w:t>
            </w: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10, 2019</w:t>
            </w:r>
          </w:p>
        </w:tc>
        <w:tc>
          <w:tcPr>
            <w:tcW w:w="3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2019 - September 30, 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0.2975</w:t>
            </w: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spacing w:after="0" w:line="259" w:lineRule="auto"/>
        <w:rPr>
          <w:rFonts w:ascii="Arial" w:cs="Arial" w:eastAsia="Arial" w:hAnsi="Arial"/>
          <w:sz w:val="18"/>
          <w:szCs w:val="18"/>
          <w:color w:val="0000FF"/>
        </w:rPr>
      </w:pPr>
      <w:hyperlink r:id="rId21">
        <w:r>
          <w:rPr>
            <w:rFonts w:ascii="Arial" w:cs="Arial" w:eastAsia="Arial" w:hAnsi="Arial"/>
            <w:sz w:val="18"/>
            <w:szCs w:val="18"/>
            <w:color w:val="auto"/>
          </w:rPr>
          <w:t xml:space="preserve">A complete discussion of our critical accounting policies and estimates is included in our </w:t>
        </w:r>
        <w:r>
          <w:rPr>
            <w:rFonts w:ascii="Arial" w:cs="Arial" w:eastAsia="Arial" w:hAnsi="Arial"/>
            <w:sz w:val="18"/>
            <w:szCs w:val="18"/>
            <w:u w:val="single" w:color="auto"/>
            <w:color w:val="0000FF"/>
          </w:rPr>
          <w:t>Annual Report on Form 10-K for the year ended December 31,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2019</w:t>
        </w:r>
        <w:r>
          <w:rPr>
            <w:rFonts w:ascii="Arial" w:cs="Arial" w:eastAsia="Arial" w:hAnsi="Arial"/>
            <w:sz w:val="18"/>
            <w:szCs w:val="18"/>
            <w:color w:val="000000"/>
          </w:rPr>
          <w:t>. On July 20, 2020 we consummated the Eldorado Transaction, resulting in a significant expansion to our existing accounting policies for the</w:t>
        </w:r>
      </w:hyperlink>
      <w:r>
        <w:rPr>
          <w:rFonts w:ascii="Arial" w:cs="Arial" w:eastAsia="Arial" w:hAnsi="Arial"/>
          <w:sz w:val="18"/>
          <w:szCs w:val="18"/>
          <w:color w:val="0000FF"/>
        </w:rPr>
        <w:t xml:space="preserve"> </w:t>
      </w:r>
      <w:r>
        <w:rPr>
          <w:rFonts w:ascii="Arial" w:cs="Arial" w:eastAsia="Arial" w:hAnsi="Arial"/>
          <w:sz w:val="18"/>
          <w:szCs w:val="18"/>
          <w:color w:val="000000"/>
        </w:rPr>
        <w:t xml:space="preserve">investments in our leases. On January 1, 2020, we adopted ASU No. 2016-13 - </w:t>
      </w:r>
      <w:r>
        <w:rPr>
          <w:rFonts w:ascii="Arial" w:cs="Arial" w:eastAsia="Arial" w:hAnsi="Arial"/>
          <w:sz w:val="18"/>
          <w:szCs w:val="18"/>
          <w:i w:val="1"/>
          <w:iCs w:val="1"/>
          <w:color w:val="000000"/>
        </w:rPr>
        <w:t>Financial Instruments—Credit Losses (Topic 326) (“ASC 326”)</w:t>
      </w:r>
      <w:r>
        <w:rPr>
          <w:rFonts w:ascii="Arial" w:cs="Arial" w:eastAsia="Arial" w:hAnsi="Arial"/>
          <w:sz w:val="18"/>
          <w:szCs w:val="18"/>
          <w:color w:val="000000"/>
        </w:rPr>
        <w:t>, resulting in a significant change in our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and Direct Financing, Net</w:t>
      </w:r>
    </w:p>
    <w:p>
      <w:pPr>
        <w:spacing w:after="0" w:line="171" w:lineRule="exact"/>
        <w:rPr>
          <w:sz w:val="20"/>
          <w:szCs w:val="20"/>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Upon the consummation of the Eldorado Transaction on July 20, 2020, we modified the CPLV Lease Agreement, HLV Lease Agreement, Non-CPLV Lease Agreement and Joliet Lease Agreement, which included amending certain of the lease terms, and combining the CPLV Lease Agreement and HLV Lease Agreement into the Las Vegas Master Lease Agreement and replacing the Non-CPLV Lease Agreement with the Regional Master Lease Agreement. Upon modification, we reassessed the lease classification of the Las Vegas Master Lease Agreement, Regional Master Lease Agreement and Joliet Lease Agreement and determined the leases meet the definition of a sales-type lease, including the land component of Caesars Palace Las Vegas. Accordingly, we reclassified the land component of Caesars Palace Las Vegas from Investments in leases - operating to Investments in leases - sales-type and direct financing. Further, as a result of the reclassifications of the Caesars Lease Agreements from direct financing and operating leases to sales-type leases we recorded the investments at their estimated fair values as of the modification date and recognized a net gain equal to the difference in fair value of the assets and their carrying values immediately prior to the modification. Such gain is recognized in our Statement of Operations as Gain upon lease modification. Subsequent to the consummation of the Eldorado Transaction, we no longer have any leases classified as operating or direct financing and, as such, there is no longer any income recorded through Investments in leases - operating. Refer to </w:t>
      </w:r>
      <w:hyperlink w:anchor="page18">
        <w:r>
          <w:rPr>
            <w:rFonts w:ascii="Arial" w:cs="Arial" w:eastAsia="Arial" w:hAnsi="Arial"/>
            <w:sz w:val="16"/>
            <w:szCs w:val="16"/>
            <w:u w:val="single" w:color="auto"/>
            <w:color w:val="0000FF"/>
          </w:rPr>
          <w:t>Note 4 - Property Transactions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further discussion surrounding the lease modifications. Refer to </w:t>
      </w:r>
      <w:hyperlink w:anchor="page42">
        <w:r>
          <w:rPr>
            <w:rFonts w:ascii="Arial" w:cs="Arial" w:eastAsia="Arial" w:hAnsi="Arial"/>
            <w:sz w:val="16"/>
            <w:szCs w:val="16"/>
            <w:u w:val="single" w:color="auto"/>
            <w:color w:val="0000FF"/>
          </w:rPr>
          <w:t>Note 10 - Fair Value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discussion surrounding the mark to fair value.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842, for transactions in which we enter into a contract to acquire an asset and lease it back to the seller under a sales-type lease (i.e., a sale leaseback transaction), control of the asset is not considered to have transferred to us. As a result, we do not recognize the underlying asset but instead recognize a financial asset in accordance with ASC 310 “Receivables” (“ASC 310”). The accounting for the financing receivable under ASC 310 is materially consistent with the accounting for our investments in leases - sales-type under ASC 842.</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the consummation of the Eldorado Transaction on July 20, 2020, and reassessment of the classification of the Caesars Lease Agreements, as described above, we determined that the MTA Properties Acquisitions meet the definition of a separate contract under ASC 842. In accordance with this guidance, we are required to separately assess the lease classification apart from the other assets in the Regional Master Lease Agreement. We determined that the land and building components of the MTA Properties meet the definition of a sales-type lease and, since we purchased and leased the assets back to Caesars, control is not considered to have transferred to us under GAAP. Accordingly, the MTA Properties are accounted for as Investments in leases - financing receivables on our Balance Sheet, net of allowance for credit losses, in accordance with ASC 310.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we adopted ASC 326 “Credit Losses” (“ASC 326”) which requires that we measure and record current expected credit losses (“CECL”) for the majority of our investments, the scope of which includes our Investments in leases - sales-type and direct financing, Investments in leases - financing receivables and Investments in loans.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cash flows.</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tenants and their parent guarantors over the life of each individual lease or financial asset. We have engaged a nationally recognized data analytics firm to assist us with estimating both the PD and LGD of our tenants and their parent guarantors.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condition of the tenant and applied to a projection of economic conditions over a two-year term. The PD and LGD for the Long-term Period are estimated using the average historical default rates and historical loss rates, respectively, of public companies over the past 35 years that have similar credit profiles or characteristics to our tenants and their parent guarantors. We were unable to use our historical data to estimate losses as we have no loss history to date.</w:t>
      </w:r>
    </w:p>
    <w:p>
      <w:pPr>
        <w:spacing w:after="0" w:line="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CECL allowance is recorded as a reduction to our net Investments in leases - direct financing and sales type, Investments in leases - financing receivables and Investments in loans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required to estimate a CECL allowance related to contractual commitments to extend credit, such as future funding commitments under a revolving credit facility. The CECL allowance related to these future commitments is recorded as a component of Other liabilities on our Balance Sheet.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write-offs or recoveries for the three and nine months ended September 30, 2020.</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2">
        <w:r>
          <w:rPr>
            <w:rFonts w:ascii="Arial" w:cs="Arial" w:eastAsia="Arial" w:hAnsi="Arial"/>
            <w:sz w:val="18"/>
            <w:szCs w:val="18"/>
            <w:u w:val="single" w:color="auto"/>
            <w:color w:val="0000FF"/>
          </w:rPr>
          <w:t>Note 6 -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face market risk exposure in the form of interest rate risk. This market risk arises from our debt obligations. Our primary market risk exposure is interest rate risk with respect to our indebtedness.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2020, we had $6.9 billion aggregate principal amount of outstanding indebtedness. Approximately $2.1 billion of our indebtedness has variable interest rates. We manage most of our interest rate risks related to variable rate borrowings by means of interest rate swap agreements. However, the REIT provisions of the Code substantially limit our ability to hedge our assets and liabilities. We also expect to manage our exposure to interest rate risk by maintaining a mix of fixed and variable rates for our indebtedness.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2020, we had entered into interest rate swap agreements that hedge $2.0 billion of our variable rate debt. Accordingly, we have approximately $100.0 million in variable rate debt that is not hedged. A one percent increase or decrease in the interest rate on our variable-rate borrowings that are not hedged would increase or decrease our annual cash interest expense by approximately $1.0 million.</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three months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September 30, 2020, we are not subject to any litigation that we believe could have, individually or in the aggregate, a material adverse effect on our business, financial condition or results of operations, liquidity or cash flows.</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jc w:val="both"/>
        <w:spacing w:after="0" w:line="257" w:lineRule="auto"/>
        <w:rPr>
          <w:rFonts w:ascii="Arial" w:cs="Arial" w:eastAsia="Arial" w:hAnsi="Arial"/>
          <w:sz w:val="18"/>
          <w:szCs w:val="18"/>
          <w:color w:val="0000FF"/>
        </w:rPr>
      </w:pPr>
      <w:hyperlink r:id="rId21">
        <w:r>
          <w:rPr>
            <w:rFonts w:ascii="Arial" w:cs="Arial" w:eastAsia="Arial" w:hAnsi="Arial"/>
            <w:sz w:val="18"/>
            <w:szCs w:val="18"/>
            <w:color w:val="auto"/>
          </w:rPr>
          <w:t xml:space="preserve">A description of certain factors that may affect our future results and risk factors is set forth in our </w:t>
        </w:r>
        <w:r>
          <w:rPr>
            <w:rFonts w:ascii="Arial" w:cs="Arial" w:eastAsia="Arial" w:hAnsi="Arial"/>
            <w:sz w:val="18"/>
            <w:szCs w:val="18"/>
            <w:u w:val="single" w:color="auto"/>
            <w:color w:val="0000FF"/>
          </w:rPr>
          <w:t>Annual Report on Form 10-K for the year ended</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December 31, 2019</w:t>
        </w:r>
        <w:r>
          <w:rPr>
            <w:rFonts w:ascii="Arial" w:cs="Arial" w:eastAsia="Arial" w:hAnsi="Arial"/>
            <w:sz w:val="18"/>
            <w:szCs w:val="18"/>
            <w:color w:val="000000"/>
          </w:rPr>
          <w:t>. Investors are cautioned to interpret many of the risks identified in our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Annual Report on Form 10-K for the year ended December 31,</w:t>
        </w:r>
      </w:hyperlink>
      <w:r>
        <w:rPr>
          <w:rFonts w:ascii="Arial" w:cs="Arial" w:eastAsia="Arial" w:hAnsi="Arial"/>
          <w:sz w:val="18"/>
          <w:szCs w:val="18"/>
          <w:color w:val="0000FF"/>
        </w:rPr>
        <w:t xml:space="preserve"> </w:t>
      </w:r>
      <w:hyperlink r:id="rId21">
        <w:r>
          <w:rPr>
            <w:rFonts w:ascii="Arial" w:cs="Arial" w:eastAsia="Arial" w:hAnsi="Arial"/>
            <w:sz w:val="18"/>
            <w:szCs w:val="18"/>
            <w:u w:val="single" w:color="auto"/>
            <w:color w:val="0000FF"/>
          </w:rPr>
          <w:t>2019</w:t>
        </w:r>
        <w:r>
          <w:rPr>
            <w:rFonts w:ascii="Arial" w:cs="Arial" w:eastAsia="Arial" w:hAnsi="Arial"/>
            <w:sz w:val="18"/>
            <w:szCs w:val="18"/>
            <w:color w:val="0000FF"/>
          </w:rPr>
          <w:t xml:space="preserve"> </w:t>
        </w:r>
        <w:r>
          <w:rPr>
            <w:rFonts w:ascii="Arial" w:cs="Arial" w:eastAsia="Arial" w:hAnsi="Arial"/>
            <w:sz w:val="18"/>
            <w:szCs w:val="18"/>
            <w:color w:val="000000"/>
          </w:rPr>
          <w:t>as being heightened as a result of the ongoing and numerous adverse impacts of the COVID-19 pandemic. There have been no material changes to</w:t>
        </w:r>
      </w:hyperlink>
      <w:r>
        <w:rPr>
          <w:rFonts w:ascii="Arial" w:cs="Arial" w:eastAsia="Arial" w:hAnsi="Arial"/>
          <w:sz w:val="18"/>
          <w:szCs w:val="18"/>
          <w:color w:val="0000FF"/>
        </w:rPr>
        <w:t xml:space="preserve"> </w:t>
      </w:r>
      <w:hyperlink r:id="rId95">
        <w:r>
          <w:rPr>
            <w:rFonts w:ascii="Arial" w:cs="Arial" w:eastAsia="Arial" w:hAnsi="Arial"/>
            <w:sz w:val="18"/>
            <w:szCs w:val="18"/>
            <w:color w:val="000000"/>
          </w:rPr>
          <w:t xml:space="preserve">those factors for the nine months ended September 30, 2020 other than as set forth in our </w:t>
        </w:r>
        <w:r>
          <w:rPr>
            <w:rFonts w:ascii="Arial" w:cs="Arial" w:eastAsia="Arial" w:hAnsi="Arial"/>
            <w:sz w:val="18"/>
            <w:szCs w:val="18"/>
            <w:u w:val="single" w:color="auto"/>
            <w:color w:val="0000FF"/>
          </w:rPr>
          <w:t>Quarterly Report on Form 10-Q for the quarter ended June 30,</w:t>
        </w:r>
      </w:hyperlink>
      <w:r>
        <w:rPr>
          <w:rFonts w:ascii="Arial" w:cs="Arial" w:eastAsia="Arial" w:hAnsi="Arial"/>
          <w:sz w:val="18"/>
          <w:szCs w:val="18"/>
          <w:color w:val="000000"/>
        </w:rPr>
        <w:t xml:space="preserve"> </w:t>
      </w:r>
      <w:hyperlink r:id="rId95">
        <w:r>
          <w:rPr>
            <w:rFonts w:ascii="Arial" w:cs="Arial" w:eastAsia="Arial" w:hAnsi="Arial"/>
            <w:sz w:val="18"/>
            <w:szCs w:val="18"/>
            <w:u w:val="single" w:color="auto"/>
            <w:color w:val="0000FF"/>
          </w:rPr>
          <w:t>2020</w:t>
        </w:r>
        <w:r>
          <w:rPr>
            <w:rFonts w:ascii="Arial" w:cs="Arial" w:eastAsia="Arial" w:hAnsi="Arial"/>
            <w:sz w:val="18"/>
            <w:szCs w:val="18"/>
            <w:color w:val="000000"/>
          </w:rPr>
          <w:t>, and such risk factors are incorporated by reference herein.</w:t>
        </w:r>
      </w:hyperlink>
    </w:p>
    <w:p>
      <w:pPr>
        <w:spacing w:after="0" w:line="188" w:lineRule="exact"/>
        <w:rPr>
          <w:rFonts w:ascii="Arial" w:cs="Arial" w:eastAsia="Arial" w:hAnsi="Arial"/>
          <w:sz w:val="18"/>
          <w:szCs w:val="18"/>
          <w:color w:val="0000FF"/>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6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(a) Unregistered Sales of Equity Securities and Use of Proceeds</w:t>
      </w:r>
    </w:p>
    <w:p>
      <w:pPr>
        <w:spacing w:after="0" w:line="1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6"/>
          <w:szCs w:val="16"/>
          <w:color w:val="auto"/>
        </w:rPr>
        <w:t>During the three months ended September 30, 2020, we did not repurchase any equity securities registered pursuant to Section 12 of the Exchange Act.</w:t>
      </w:r>
    </w:p>
    <w:p>
      <w:pPr>
        <w:spacing w:after="0" w:line="248" w:lineRule="exact"/>
        <w:rPr>
          <w:rFonts w:ascii="Arial" w:cs="Arial" w:eastAsia="Arial" w:hAnsi="Arial"/>
          <w:sz w:val="18"/>
          <w:szCs w:val="18"/>
          <w:color w:val="0000FF"/>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0000FF"/>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0000FF"/>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16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3"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40" w:type="dxa"/>
            <w:vAlign w:val="bottom"/>
            <w:gridSpan w:val="3"/>
          </w:tcPr>
          <w:p>
            <w:pPr>
              <w:spacing w:after="0"/>
              <w:rPr>
                <w:sz w:val="20"/>
                <w:szCs w:val="20"/>
                <w:color w:val="auto"/>
              </w:rPr>
            </w:pPr>
            <w:r>
              <w:rPr>
                <w:rFonts w:ascii="Arial" w:cs="Arial" w:eastAsia="Arial" w:hAnsi="Arial"/>
                <w:sz w:val="22"/>
                <w:szCs w:val="22"/>
                <w:b w:val="1"/>
                <w:bCs w:val="1"/>
                <w:color w:val="auto"/>
              </w:rPr>
              <w:t>Item 6.</w:t>
            </w:r>
          </w:p>
        </w:tc>
        <w:tc>
          <w:tcPr>
            <w:tcW w:w="5840" w:type="dxa"/>
            <w:vAlign w:val="bottom"/>
            <w:gridSpan w:val="2"/>
          </w:tcPr>
          <w:p>
            <w:pPr>
              <w:ind w:left="260"/>
              <w:spacing w:after="0"/>
              <w:rPr>
                <w:sz w:val="20"/>
                <w:szCs w:val="20"/>
                <w:color w:val="auto"/>
              </w:rPr>
            </w:pPr>
            <w:r>
              <w:rPr>
                <w:rFonts w:ascii="Arial" w:cs="Arial" w:eastAsia="Arial" w:hAnsi="Arial"/>
                <w:sz w:val="22"/>
                <w:szCs w:val="22"/>
                <w:b w:val="1"/>
                <w:bCs w:val="1"/>
                <w:color w:val="auto"/>
              </w:rPr>
              <w:t>Exhibits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00" w:type="dxa"/>
            <w:vAlign w:val="bottom"/>
            <w:gridSpan w:val="2"/>
          </w:tcPr>
          <w:p>
            <w:pPr>
              <w:jc w:val="center"/>
              <w:ind w:right="140"/>
              <w:spacing w:after="0" w:line="122" w:lineRule="exact"/>
              <w:rPr>
                <w:sz w:val="20"/>
                <w:szCs w:val="20"/>
                <w:color w:val="auto"/>
              </w:rPr>
            </w:pPr>
            <w:r>
              <w:rPr>
                <w:rFonts w:ascii="Arial" w:cs="Arial" w:eastAsia="Arial" w:hAnsi="Arial"/>
                <w:sz w:val="14"/>
                <w:szCs w:val="14"/>
                <w:b w:val="1"/>
                <w:bCs w:val="1"/>
                <w:color w:val="auto"/>
                <w:w w:val="98"/>
              </w:rPr>
              <w:t>Exhibit</w:t>
            </w:r>
          </w:p>
        </w:tc>
        <w:tc>
          <w:tcPr>
            <w:tcW w:w="574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1020" w:type="dxa"/>
            <w:vAlign w:val="bottom"/>
            <w:gridSpan w:val="2"/>
          </w:tcPr>
          <w:p>
            <w:pPr>
              <w:jc w:val="center"/>
              <w:ind w:right="140"/>
              <w:spacing w:after="0" w:line="122" w:lineRule="exact"/>
              <w:rPr>
                <w:sz w:val="20"/>
                <w:szCs w:val="20"/>
                <w:color w:val="auto"/>
              </w:rPr>
            </w:pPr>
            <w:r>
              <w:rPr>
                <w:rFonts w:ascii="Arial" w:cs="Arial" w:eastAsia="Arial" w:hAnsi="Arial"/>
                <w:sz w:val="14"/>
                <w:szCs w:val="14"/>
                <w:b w:val="1"/>
                <w:bCs w:val="1"/>
                <w:color w:val="auto"/>
                <w:w w:val="97"/>
              </w:rPr>
              <w:t>Filed</w:t>
            </w:r>
          </w:p>
        </w:tc>
        <w:tc>
          <w:tcPr>
            <w:tcW w:w="7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Form</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0"/>
                <w:szCs w:val="10"/>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5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20"/>
          </w:cols>
          <w:pgMar w:left="320" w:top="287" w:right="359" w:bottom="1440" w:gutter="0" w:footer="0" w:header="0"/>
        </w:sectPr>
      </w:pPr>
    </w:p>
    <w:p>
      <w:pPr>
        <w:ind w:left="1040" w:right="960" w:hanging="728"/>
        <w:spacing w:after="0" w:line="243" w:lineRule="auto"/>
        <w:tabs>
          <w:tab w:leader="none" w:pos="1020" w:val="left"/>
        </w:tabs>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02">
        <w:r>
          <w:rPr>
            <w:rFonts w:ascii="Arial" w:cs="Arial" w:eastAsia="Arial" w:hAnsi="Arial"/>
            <w:sz w:val="18"/>
            <w:szCs w:val="18"/>
            <w:u w:val="single" w:color="auto"/>
            <w:color w:val="0000FF"/>
          </w:rPr>
          <w:t>Las Vegas Lease (Conformed through Second Amendment), dated as of July</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20, 2020, by and among CPLV Property Owner LLC and Claudine Propco</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LLC as Landlord and, Desert Palace LLC, CEOC, LLC and Harrah’s Las</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Vegas LLC as Tenant</w:t>
        </w:r>
      </w:hyperlink>
    </w:p>
    <w:p>
      <w:pPr>
        <w:spacing w:after="0" w:line="80" w:lineRule="exact"/>
        <w:rPr>
          <w:rFonts w:ascii="Arial" w:cs="Arial" w:eastAsia="Arial" w:hAnsi="Arial"/>
          <w:sz w:val="18"/>
          <w:szCs w:val="18"/>
          <w:u w:val="single" w:color="auto"/>
          <w:color w:val="0000FF"/>
        </w:rPr>
      </w:pPr>
    </w:p>
    <w:p>
      <w:pPr>
        <w:ind w:left="280"/>
        <w:spacing w:after="0"/>
        <w:tabs>
          <w:tab w:leader="none" w:pos="1020" w:val="left"/>
        </w:tabs>
        <w:rPr>
          <w:rFonts w:ascii="Arial" w:cs="Arial" w:eastAsia="Arial" w:hAnsi="Arial"/>
          <w:sz w:val="16"/>
          <w:szCs w:val="16"/>
          <w:u w:val="single" w:color="auto"/>
          <w:color w:val="0000FF"/>
        </w:rPr>
      </w:pPr>
      <w:hyperlink r:id="rId103">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03">
        <w:r>
          <w:rPr>
            <w:rFonts w:ascii="Arial" w:cs="Arial" w:eastAsia="Arial" w:hAnsi="Arial"/>
            <w:sz w:val="16"/>
            <w:szCs w:val="16"/>
            <w:u w:val="single" w:color="auto"/>
            <w:color w:val="0000FF"/>
          </w:rPr>
          <w:t>Regional Lease (Conformed through Fifth Amendment), dated as of July 20,</w:t>
        </w:r>
      </w:hyperlink>
    </w:p>
    <w:p>
      <w:pPr>
        <w:spacing w:after="0" w:line="25" w:lineRule="exact"/>
        <w:rPr>
          <w:sz w:val="20"/>
          <w:szCs w:val="20"/>
          <w:color w:val="auto"/>
        </w:rPr>
      </w:pPr>
    </w:p>
    <w:p>
      <w:pPr>
        <w:ind w:left="1040"/>
        <w:spacing w:after="0"/>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2020, by and among the entities listed on Schedules A and B thereto and</w:t>
        </w:r>
      </w:hyperlink>
    </w:p>
    <w:p>
      <w:pPr>
        <w:spacing w:after="0" w:line="7" w:lineRule="exact"/>
        <w:rPr>
          <w:sz w:val="20"/>
          <w:szCs w:val="20"/>
          <w:color w:val="auto"/>
        </w:rPr>
      </w:pPr>
    </w:p>
    <w:p>
      <w:pPr>
        <w:ind w:left="1040"/>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CEOC, LLC</w:t>
        </w:r>
      </w:hyperlink>
    </w:p>
    <w:p>
      <w:pPr>
        <w:spacing w:after="0" w:line="74" w:lineRule="exact"/>
        <w:rPr>
          <w:sz w:val="20"/>
          <w:szCs w:val="20"/>
          <w:color w:val="auto"/>
        </w:rPr>
      </w:pPr>
    </w:p>
    <w:p>
      <w:pPr>
        <w:ind w:left="1040" w:right="980" w:hanging="773"/>
        <w:spacing w:after="0" w:line="248" w:lineRule="auto"/>
        <w:tabs>
          <w:tab w:leader="none" w:pos="1020" w:val="left"/>
        </w:tabs>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104">
        <w:r>
          <w:rPr>
            <w:rFonts w:ascii="Arial" w:cs="Arial" w:eastAsia="Arial" w:hAnsi="Arial"/>
            <w:sz w:val="18"/>
            <w:szCs w:val="18"/>
            <w:u w:val="single" w:color="auto"/>
            <w:color w:val="0000FF"/>
          </w:rPr>
          <w:t>Second Amendment to Lease (Joliet), dated as of July 20, 2020, by and</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between Harrah’s Joliet Landco LLC and Des Plaines Development Limited</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Partnership</w:t>
        </w:r>
      </w:hyperlink>
    </w:p>
    <w:p>
      <w:pPr>
        <w:spacing w:after="0" w:line="74" w:lineRule="exact"/>
        <w:rPr>
          <w:rFonts w:ascii="Arial" w:cs="Arial" w:eastAsia="Arial" w:hAnsi="Arial"/>
          <w:sz w:val="18"/>
          <w:szCs w:val="18"/>
          <w:u w:val="single" w:color="auto"/>
          <w:color w:val="0000FF"/>
        </w:rPr>
      </w:pPr>
    </w:p>
    <w:p>
      <w:pPr>
        <w:jc w:val="both"/>
        <w:ind w:left="1040" w:right="960" w:hanging="728"/>
        <w:spacing w:after="0" w:line="232" w:lineRule="auto"/>
        <w:tabs>
          <w:tab w:leader="none" w:pos="1020" w:val="left"/>
        </w:tabs>
        <w:rPr>
          <w:rFonts w:ascii="Arial" w:cs="Arial" w:eastAsia="Arial" w:hAnsi="Arial"/>
          <w:sz w:val="17"/>
          <w:szCs w:val="17"/>
          <w:u w:val="single" w:color="auto"/>
          <w:color w:val="0000FF"/>
        </w:rPr>
      </w:pPr>
      <w:hyperlink r:id="rId105">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105">
        <w:r>
          <w:rPr>
            <w:rFonts w:ascii="Arial" w:cs="Arial" w:eastAsia="Arial" w:hAnsi="Arial"/>
            <w:sz w:val="17"/>
            <w:szCs w:val="17"/>
            <w:u w:val="single" w:color="auto"/>
            <w:color w:val="0000FF"/>
          </w:rPr>
          <w:t>Guaranty of Lease entered into as of July 20, 2020 by and between Eldorado</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Resorts, Inc. (to be renamed Caesars Entertainment, Inc. and converted to a</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Delaware corporation on the date thereof), CPLV Property Owner LLC, and</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Claudine Propco LLC (Las Vegas Master Lease)</w:t>
        </w:r>
      </w:hyperlink>
    </w:p>
    <w:p>
      <w:pPr>
        <w:spacing w:after="0" w:line="54" w:lineRule="exact"/>
        <w:rPr>
          <w:rFonts w:ascii="Arial" w:cs="Arial" w:eastAsia="Arial" w:hAnsi="Arial"/>
          <w:sz w:val="17"/>
          <w:szCs w:val="17"/>
          <w:u w:val="single" w:color="auto"/>
          <w:color w:val="0000FF"/>
        </w:rPr>
      </w:pPr>
    </w:p>
    <w:p>
      <w:pPr>
        <w:ind w:left="1040" w:right="780" w:hanging="728"/>
        <w:spacing w:after="0" w:line="219" w:lineRule="auto"/>
        <w:tabs>
          <w:tab w:leader="none" w:pos="1020" w:val="left"/>
        </w:tabs>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106">
        <w:r>
          <w:rPr>
            <w:rFonts w:ascii="Arial" w:cs="Arial" w:eastAsia="Arial" w:hAnsi="Arial"/>
            <w:sz w:val="18"/>
            <w:szCs w:val="18"/>
            <w:u w:val="single" w:color="auto"/>
            <w:color w:val="0000FF"/>
          </w:rPr>
          <w:t>Guaranty of Lease entered into as of July 20, 2020 by and between Eldorado</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Resorts, Inc. (to be renamed Caesars Entertainment, Inc. and converted to a</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Delaware corporation on the date thereof) and the entities listed on Schedule A</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thereto (Regional Lease)</w:t>
        </w:r>
      </w:hyperlink>
    </w:p>
    <w:p>
      <w:pPr>
        <w:spacing w:after="0" w:line="55" w:lineRule="exact"/>
        <w:rPr>
          <w:rFonts w:ascii="Arial" w:cs="Arial" w:eastAsia="Arial" w:hAnsi="Arial"/>
          <w:sz w:val="18"/>
          <w:szCs w:val="18"/>
          <w:u w:val="single" w:color="auto"/>
          <w:color w:val="0000FF"/>
        </w:rPr>
      </w:pPr>
    </w:p>
    <w:p>
      <w:pPr>
        <w:ind w:left="1040" w:right="960" w:hanging="728"/>
        <w:spacing w:after="0" w:line="219" w:lineRule="auto"/>
        <w:tabs>
          <w:tab w:leader="none" w:pos="1020" w:val="left"/>
        </w:tabs>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106">
        <w:r>
          <w:rPr>
            <w:rFonts w:ascii="Arial" w:cs="Arial" w:eastAsia="Arial" w:hAnsi="Arial"/>
            <w:sz w:val="18"/>
            <w:szCs w:val="18"/>
            <w:u w:val="single" w:color="auto"/>
            <w:color w:val="0000FF"/>
          </w:rPr>
          <w:t>Guaranty of Lease entered into as of July 20, 2020 by and between Eldorado</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Resorts, Inc. (to be renamed Caesars Entertainment, Inc. and converted to a</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Delaware corporation on the date thereof) and Harrah’s Joliet Landco LLC</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(Joliet Lease)</w:t>
        </w:r>
      </w:hyperlink>
    </w:p>
    <w:p>
      <w:pPr>
        <w:spacing w:after="0" w:line="55" w:lineRule="exact"/>
        <w:rPr>
          <w:rFonts w:ascii="Arial" w:cs="Arial" w:eastAsia="Arial" w:hAnsi="Arial"/>
          <w:sz w:val="18"/>
          <w:szCs w:val="18"/>
          <w:u w:val="single" w:color="auto"/>
          <w:color w:val="0000FF"/>
        </w:rPr>
      </w:pPr>
    </w:p>
    <w:p>
      <w:pPr>
        <w:jc w:val="both"/>
        <w:ind w:left="1040" w:right="860" w:hanging="728"/>
        <w:spacing w:after="0" w:line="224" w:lineRule="auto"/>
        <w:tabs>
          <w:tab w:leader="none" w:pos="1020" w:val="left"/>
        </w:tabs>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108">
        <w:r>
          <w:rPr>
            <w:rFonts w:ascii="Arial" w:cs="Arial" w:eastAsia="Arial" w:hAnsi="Arial"/>
            <w:sz w:val="18"/>
            <w:szCs w:val="18"/>
            <w:u w:val="single" w:color="auto"/>
            <w:color w:val="0000FF"/>
          </w:rPr>
          <w:t>Second Amended and Restated Lease Agreement, dated April 3, 2020, by and</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among Jazz Casino Company, L.L.C., New Orleans Building Corporation and</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the City of New Orleans</w:t>
        </w:r>
      </w:hyperlink>
    </w:p>
    <w:p>
      <w:pPr>
        <w:spacing w:after="0" w:line="55" w:lineRule="exact"/>
        <w:rPr>
          <w:rFonts w:ascii="Arial" w:cs="Arial" w:eastAsia="Arial" w:hAnsi="Arial"/>
          <w:sz w:val="18"/>
          <w:szCs w:val="18"/>
          <w:u w:val="single" w:color="auto"/>
          <w:color w:val="0000FF"/>
        </w:rPr>
      </w:pPr>
    </w:p>
    <w:p>
      <w:pPr>
        <w:ind w:left="1040" w:right="1100" w:hanging="728"/>
        <w:spacing w:after="0" w:line="235" w:lineRule="auto"/>
        <w:tabs>
          <w:tab w:leader="none" w:pos="1020" w:val="left"/>
        </w:tabs>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109">
        <w:r>
          <w:rPr>
            <w:rFonts w:ascii="Arial" w:cs="Arial" w:eastAsia="Arial" w:hAnsi="Arial"/>
            <w:sz w:val="18"/>
            <w:szCs w:val="18"/>
            <w:u w:val="single" w:color="auto"/>
            <w:color w:val="0000FF"/>
          </w:rPr>
          <w:t>Put-Call Right Agreement entered into as of July 20, 2020 by and between</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Centaur Propco LLC and Caesars Resort Collection, LLC</w:t>
        </w:r>
      </w:hyperlink>
    </w:p>
    <w:p>
      <w:pPr>
        <w:spacing w:after="0" w:line="54" w:lineRule="exact"/>
        <w:rPr>
          <w:rFonts w:ascii="Arial" w:cs="Arial" w:eastAsia="Arial" w:hAnsi="Arial"/>
          <w:sz w:val="18"/>
          <w:szCs w:val="18"/>
          <w:u w:val="single" w:color="auto"/>
          <w:color w:val="0000FF"/>
        </w:rPr>
      </w:pPr>
    </w:p>
    <w:p>
      <w:pPr>
        <w:ind w:left="1040" w:right="1060" w:hanging="728"/>
        <w:spacing w:after="0" w:line="219" w:lineRule="auto"/>
        <w:tabs>
          <w:tab w:leader="none" w:pos="1020" w:val="left"/>
        </w:tabs>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110">
        <w:r>
          <w:rPr>
            <w:rFonts w:ascii="Arial" w:cs="Arial" w:eastAsia="Arial" w:hAnsi="Arial"/>
            <w:sz w:val="18"/>
            <w:szCs w:val="18"/>
            <w:u w:val="single" w:color="auto"/>
            <w:color w:val="0000FF"/>
          </w:rPr>
          <w:t>Right of First Refusal Agreement entered into as of July 20, 2020 by and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between Eldorado Resorts, Inc. (to be renamed Caesars Entertainment, Inc.</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and converted to a Delaware corporation on the date thereof) and VICI</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Properties L.P. (Las Vegas Strip Assets)</w:t>
        </w:r>
      </w:hyperlink>
    </w:p>
    <w:p>
      <w:pPr>
        <w:spacing w:after="0" w:line="55" w:lineRule="exact"/>
        <w:rPr>
          <w:rFonts w:ascii="Arial" w:cs="Arial" w:eastAsia="Arial" w:hAnsi="Arial"/>
          <w:sz w:val="18"/>
          <w:szCs w:val="18"/>
          <w:u w:val="single" w:color="auto"/>
          <w:color w:val="0000FF"/>
        </w:rPr>
      </w:pPr>
    </w:p>
    <w:p>
      <w:pPr>
        <w:ind w:left="1040" w:right="1060" w:hanging="773"/>
        <w:spacing w:after="0" w:line="219" w:lineRule="auto"/>
        <w:tabs>
          <w:tab w:leader="none" w:pos="1020" w:val="left"/>
        </w:tabs>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111">
        <w:r>
          <w:rPr>
            <w:rFonts w:ascii="Arial" w:cs="Arial" w:eastAsia="Arial" w:hAnsi="Arial"/>
            <w:sz w:val="18"/>
            <w:szCs w:val="18"/>
            <w:u w:val="single" w:color="auto"/>
            <w:color w:val="0000FF"/>
          </w:rPr>
          <w:t>Right of First Refusal Agreement entered into as of July 20, 2020 by and</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between Eldorado Resorts, Inc. (to be renamed Caesars Entertainment, Inc.</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and converted to a Delaware corporation on the date thereof) and VICI</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Properties L.P. (Horseshoe Baltimore)</w:t>
        </w:r>
      </w:hyperlink>
    </w:p>
    <w:p>
      <w:pPr>
        <w:spacing w:after="0" w:line="55" w:lineRule="exact"/>
        <w:rPr>
          <w:rFonts w:ascii="Arial" w:cs="Arial" w:eastAsia="Arial" w:hAnsi="Arial"/>
          <w:sz w:val="18"/>
          <w:szCs w:val="18"/>
          <w:u w:val="single" w:color="auto"/>
          <w:color w:val="0000FF"/>
        </w:rPr>
      </w:pPr>
    </w:p>
    <w:p>
      <w:pPr>
        <w:ind w:left="1040" w:right="820" w:hanging="770"/>
        <w:spacing w:after="0" w:line="216" w:lineRule="auto"/>
        <w:tabs>
          <w:tab w:leader="none" w:pos="1020" w:val="left"/>
        </w:tabs>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112">
        <w:r>
          <w:rPr>
            <w:rFonts w:ascii="Arial" w:cs="Arial" w:eastAsia="Arial" w:hAnsi="Arial"/>
            <w:sz w:val="18"/>
            <w:szCs w:val="18"/>
            <w:u w:val="single" w:color="auto"/>
            <w:color w:val="0000FF"/>
          </w:rPr>
          <w:t>Second Amendment, dated as of July 20, 2020 , to Golf Course Use</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Agreement, dated as of October 6, 2017, by and among Rio Secco LLC,</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Cascata LLC, Chariot Run LLC, Grand Bear LLC, Caesars Enterprise</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Services, LLC, CEOC, LLC and, solely for purposes of Section 2.1(c) thereof,</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Caesars License Company, LLC</w:t>
        </w:r>
      </w:hyperlink>
    </w:p>
    <w:p>
      <w:pPr>
        <w:spacing w:after="0" w:line="54" w:lineRule="exact"/>
        <w:rPr>
          <w:rFonts w:ascii="Arial" w:cs="Arial" w:eastAsia="Arial" w:hAnsi="Arial"/>
          <w:sz w:val="18"/>
          <w:szCs w:val="18"/>
          <w:u w:val="single" w:color="auto"/>
          <w:color w:val="0000FF"/>
        </w:rPr>
      </w:pPr>
    </w:p>
    <w:p>
      <w:pPr>
        <w:ind w:left="1040" w:right="1000" w:hanging="773"/>
        <w:spacing w:after="0" w:line="224" w:lineRule="auto"/>
        <w:tabs>
          <w:tab w:leader="none" w:pos="1020" w:val="left"/>
        </w:tabs>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113">
        <w:r>
          <w:rPr>
            <w:rFonts w:ascii="Arial" w:cs="Arial" w:eastAsia="Arial" w:hAnsi="Arial"/>
            <w:sz w:val="18"/>
            <w:szCs w:val="18"/>
            <w:u w:val="single" w:color="auto"/>
            <w:color w:val="0000FF"/>
          </w:rPr>
          <w:t>Second Amended and Restated Put-Call Right Agreement entered into as of</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September 18, 2020 by and among Claudine Propco LLC and Caesars</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Convention Center Owner,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90"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823"/>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716"/>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756"/>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81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81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729"/>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54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635"/>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81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905"/>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4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81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40" w:type="dxa"/>
            <w:vAlign w:val="bottom"/>
          </w:tcPr>
          <w:p>
            <w:pPr>
              <w:jc w:val="right"/>
              <w:spacing w:after="0"/>
              <w:rPr>
                <w:sz w:val="20"/>
                <w:szCs w:val="20"/>
                <w:color w:val="auto"/>
              </w:rPr>
            </w:pPr>
            <w:r>
              <w:rPr>
                <w:rFonts w:ascii="Arial" w:cs="Arial" w:eastAsia="Arial" w:hAnsi="Arial"/>
                <w:sz w:val="18"/>
                <w:szCs w:val="18"/>
                <w:color w:val="auto"/>
              </w:rPr>
              <w:t>9/18/2020</w:t>
            </w:r>
          </w:p>
        </w:tc>
      </w:tr>
    </w:tbl>
    <w:p>
      <w:pPr>
        <w:spacing w:after="0" w:line="373" w:lineRule="exact"/>
        <w:rPr>
          <w:rFonts w:ascii="Arial" w:cs="Arial" w:eastAsia="Arial" w:hAnsi="Arial"/>
          <w:sz w:val="18"/>
          <w:szCs w:val="18"/>
          <w:u w:val="single" w:color="auto"/>
          <w:color w:val="0000FF"/>
        </w:rPr>
      </w:pPr>
    </w:p>
    <w:p>
      <w:pPr>
        <w:sectPr>
          <w:pgSz w:w="11900" w:h="16838" w:orient="portrait"/>
          <w:cols w:equalWidth="0" w:num="2">
            <w:col w:w="7520" w:space="720"/>
            <w:col w:w="2980"/>
          </w:cols>
          <w:pgMar w:left="320" w:top="287" w:right="35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35"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0840"/>
          </w:cols>
          <w:pgMar w:left="320" w:top="28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60" w:right="100" w:hanging="825"/>
        <w:spacing w:after="0" w:line="235" w:lineRule="auto"/>
        <w:tabs>
          <w:tab w:leader="none" w:pos="1040" w:val="left"/>
        </w:tabs>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w:anchor="page80">
        <w:r>
          <w:rPr>
            <w:rFonts w:ascii="Arial" w:cs="Arial" w:eastAsia="Arial" w:hAnsi="Arial"/>
            <w:sz w:val="18"/>
            <w:szCs w:val="18"/>
            <w:u w:val="single" w:color="auto"/>
            <w:color w:val="0000FF"/>
          </w:rPr>
          <w:t>Sixth Amendment to Regional Lease, dated as of September 30, 2020, by and</w:t>
        </w:r>
      </w:hyperlink>
      <w:r>
        <w:rPr>
          <w:rFonts w:ascii="Arial" w:cs="Arial" w:eastAsia="Arial" w:hAnsi="Arial"/>
          <w:sz w:val="18"/>
          <w:szCs w:val="18"/>
          <w:u w:val="single" w:color="auto"/>
          <w:color w:val="0000FF"/>
        </w:rPr>
        <w:t xml:space="preserve"> </w:t>
      </w:r>
      <w:hyperlink w:anchor="page80">
        <w:r>
          <w:rPr>
            <w:rFonts w:ascii="Arial" w:cs="Arial" w:eastAsia="Arial" w:hAnsi="Arial"/>
            <w:sz w:val="18"/>
            <w:szCs w:val="18"/>
            <w:u w:val="single" w:color="auto"/>
            <w:color w:val="0000FF"/>
          </w:rPr>
          <w:t>among the entities listed on Schedules A and B thereto</w:t>
        </w:r>
      </w:hyperlink>
    </w:p>
    <w:p>
      <w:pPr>
        <w:spacing w:after="0" w:line="54" w:lineRule="exact"/>
        <w:rPr>
          <w:rFonts w:ascii="Arial" w:cs="Arial" w:eastAsia="Arial" w:hAnsi="Arial"/>
          <w:sz w:val="18"/>
          <w:szCs w:val="18"/>
          <w:u w:val="single" w:color="auto"/>
          <w:color w:val="0000FF"/>
        </w:rPr>
      </w:pPr>
    </w:p>
    <w:p>
      <w:pPr>
        <w:jc w:val="both"/>
        <w:ind w:left="1060" w:right="200" w:hanging="825"/>
        <w:spacing w:after="0" w:line="224" w:lineRule="auto"/>
        <w:tabs>
          <w:tab w:leader="none" w:pos="1040" w:val="left"/>
        </w:tabs>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w:anchor="page107">
        <w:r>
          <w:rPr>
            <w:rFonts w:ascii="Arial" w:cs="Arial" w:eastAsia="Arial" w:hAnsi="Arial"/>
            <w:sz w:val="18"/>
            <w:szCs w:val="18"/>
            <w:u w:val="single" w:color="auto"/>
            <w:color w:val="0000FF"/>
          </w:rPr>
          <w:t>Third Amendment to Lease (Joliet), dated as of September 30, 2020, by and</w:t>
        </w:r>
      </w:hyperlink>
      <w:r>
        <w:rPr>
          <w:rFonts w:ascii="Arial" w:cs="Arial" w:eastAsia="Arial" w:hAnsi="Arial"/>
          <w:sz w:val="18"/>
          <w:szCs w:val="18"/>
          <w:u w:val="single" w:color="auto"/>
          <w:color w:val="0000FF"/>
        </w:rPr>
        <w:t xml:space="preserve"> </w:t>
      </w:r>
      <w:hyperlink w:anchor="page107">
        <w:r>
          <w:rPr>
            <w:rFonts w:ascii="Arial" w:cs="Arial" w:eastAsia="Arial" w:hAnsi="Arial"/>
            <w:sz w:val="18"/>
            <w:szCs w:val="18"/>
            <w:u w:val="single" w:color="auto"/>
            <w:color w:val="0000FF"/>
          </w:rPr>
          <w:t>between Harrah’s Joliet Landco LLC and Des Plaines Development Limited</w:t>
        </w:r>
      </w:hyperlink>
      <w:r>
        <w:rPr>
          <w:rFonts w:ascii="Arial" w:cs="Arial" w:eastAsia="Arial" w:hAnsi="Arial"/>
          <w:sz w:val="18"/>
          <w:szCs w:val="18"/>
          <w:u w:val="single" w:color="auto"/>
          <w:color w:val="0000FF"/>
        </w:rPr>
        <w:t xml:space="preserve"> </w:t>
      </w:r>
      <w:hyperlink w:anchor="page107">
        <w:r>
          <w:rPr>
            <w:rFonts w:ascii="Arial" w:cs="Arial" w:eastAsia="Arial" w:hAnsi="Arial"/>
            <w:sz w:val="18"/>
            <w:szCs w:val="18"/>
            <w:u w:val="single" w:color="auto"/>
            <w:color w:val="0000FF"/>
          </w:rPr>
          <w:t>Partnership</w:t>
        </w:r>
      </w:hyperlink>
    </w:p>
    <w:p>
      <w:pPr>
        <w:spacing w:after="0" w:line="55" w:lineRule="exact"/>
        <w:rPr>
          <w:rFonts w:ascii="Arial" w:cs="Arial" w:eastAsia="Arial" w:hAnsi="Arial"/>
          <w:sz w:val="18"/>
          <w:szCs w:val="18"/>
          <w:u w:val="single" w:color="auto"/>
          <w:color w:val="0000FF"/>
        </w:rPr>
      </w:pPr>
    </w:p>
    <w:p>
      <w:pPr>
        <w:ind w:left="1060" w:hanging="780"/>
        <w:spacing w:after="0" w:line="259" w:lineRule="auto"/>
        <w:tabs>
          <w:tab w:leader="none" w:pos="1040" w:val="left"/>
        </w:tabs>
        <w:rPr>
          <w:rFonts w:ascii="Arial" w:cs="Arial" w:eastAsia="Arial" w:hAnsi="Arial"/>
          <w:sz w:val="16"/>
          <w:szCs w:val="16"/>
          <w:u w:val="single" w:color="auto"/>
          <w:color w:val="0000FF"/>
        </w:rPr>
      </w:pPr>
      <w:hyperlink w:anchor="page118">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w:anchor="page118">
        <w:r>
          <w:rPr>
            <w:rFonts w:ascii="Arial" w:cs="Arial" w:eastAsia="Arial" w:hAnsi="Arial"/>
            <w:sz w:val="16"/>
            <w:szCs w:val="16"/>
            <w:u w:val="single" w:color="auto"/>
            <w:color w:val="0000FF"/>
          </w:rPr>
          <w:t>Third Amendment to Las Vegas Lease, dated as of September 30, 2020, by and</w:t>
        </w:r>
      </w:hyperlink>
      <w:r>
        <w:rPr>
          <w:rFonts w:ascii="Arial" w:cs="Arial" w:eastAsia="Arial" w:hAnsi="Arial"/>
          <w:sz w:val="16"/>
          <w:szCs w:val="16"/>
          <w:u w:val="single" w:color="auto"/>
          <w:color w:val="0000FF"/>
        </w:rPr>
        <w:t xml:space="preserve"> </w:t>
      </w:r>
      <w:hyperlink w:anchor="page118">
        <w:r>
          <w:rPr>
            <w:rFonts w:ascii="Arial" w:cs="Arial" w:eastAsia="Arial" w:hAnsi="Arial"/>
            <w:sz w:val="16"/>
            <w:szCs w:val="16"/>
            <w:u w:val="single" w:color="auto"/>
            <w:color w:val="0000FF"/>
          </w:rPr>
          <w:t>among CPLV Property Owner LLC and Claudine Propco LLC as Landlord</w:t>
        </w:r>
      </w:hyperlink>
      <w:r>
        <w:rPr>
          <w:rFonts w:ascii="Arial" w:cs="Arial" w:eastAsia="Arial" w:hAnsi="Arial"/>
          <w:sz w:val="16"/>
          <w:szCs w:val="16"/>
          <w:u w:val="single" w:color="auto"/>
          <w:color w:val="0000FF"/>
        </w:rPr>
        <w:t xml:space="preserve"> </w:t>
      </w:r>
      <w:hyperlink w:anchor="page118">
        <w:r>
          <w:rPr>
            <w:rFonts w:ascii="Arial" w:cs="Arial" w:eastAsia="Arial" w:hAnsi="Arial"/>
            <w:sz w:val="16"/>
            <w:szCs w:val="16"/>
            <w:u w:val="single" w:color="auto"/>
            <w:color w:val="0000FF"/>
          </w:rPr>
          <w:t>and, Desert Palace LLC, CEOC, LLC and Harrah’s Las Vegas LLC</w:t>
        </w:r>
      </w:hyperlink>
    </w:p>
    <w:p>
      <w:pPr>
        <w:spacing w:after="0" w:line="23" w:lineRule="exact"/>
        <w:rPr>
          <w:rFonts w:ascii="Arial" w:cs="Arial" w:eastAsia="Arial" w:hAnsi="Arial"/>
          <w:sz w:val="16"/>
          <w:szCs w:val="16"/>
          <w:u w:val="single" w:color="auto"/>
          <w:color w:val="0000FF"/>
        </w:rPr>
      </w:pPr>
    </w:p>
    <w:p>
      <w:pPr>
        <w:ind w:left="280"/>
        <w:spacing w:after="0"/>
        <w:tabs>
          <w:tab w:leader="none" w:pos="1040" w:val="left"/>
        </w:tabs>
        <w:rPr>
          <w:rFonts w:ascii="Arial" w:cs="Arial" w:eastAsia="Arial" w:hAnsi="Arial"/>
          <w:sz w:val="16"/>
          <w:szCs w:val="16"/>
          <w:u w:val="single" w:color="auto"/>
          <w:color w:val="0000FF"/>
        </w:rPr>
      </w:pPr>
      <w:hyperlink w:anchor="page126">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w:anchor="page126">
        <w:r>
          <w:rPr>
            <w:rFonts w:ascii="Arial" w:cs="Arial" w:eastAsia="Arial" w:hAnsi="Arial"/>
            <w:sz w:val="16"/>
            <w:szCs w:val="16"/>
            <w:u w:val="single" w:color="auto"/>
            <w:color w:val="0000FF"/>
          </w:rPr>
          <w:t>Amended and Restated Omnibus Amendment to Leases, dated October 27,</w:t>
        </w:r>
      </w:hyperlink>
    </w:p>
    <w:p>
      <w:pPr>
        <w:ind w:left="1060"/>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2020</w:t>
        </w:r>
      </w:hyperlink>
    </w:p>
    <w:p>
      <w:pPr>
        <w:spacing w:after="0" w:line="61" w:lineRule="exact"/>
        <w:rPr>
          <w:sz w:val="20"/>
          <w:szCs w:val="20"/>
          <w:color w:val="auto"/>
        </w:rPr>
      </w:pPr>
    </w:p>
    <w:p>
      <w:pPr>
        <w:ind w:left="1060" w:right="360" w:hanging="734"/>
        <w:spacing w:after="0" w:line="235" w:lineRule="auto"/>
        <w:tabs>
          <w:tab w:leader="none" w:pos="1040" w:val="left"/>
        </w:tabs>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142">
        <w:r>
          <w:rPr>
            <w:rFonts w:ascii="Arial" w:cs="Arial" w:eastAsia="Arial" w:hAnsi="Arial"/>
            <w:sz w:val="18"/>
            <w:szCs w:val="18"/>
            <w:u w:val="single" w:color="auto"/>
            <w:color w:val="0000FF"/>
          </w:rPr>
          <w:t>Certification of Principal Executive Officer Pursuant to Section 302 of the</w:t>
        </w:r>
      </w:hyperlink>
      <w:r>
        <w:rPr>
          <w:rFonts w:ascii="Arial" w:cs="Arial" w:eastAsia="Arial" w:hAnsi="Arial"/>
          <w:sz w:val="18"/>
          <w:szCs w:val="18"/>
          <w:u w:val="single" w:color="auto"/>
          <w:color w:val="0000FF"/>
        </w:rPr>
        <w:t xml:space="preserve"> </w:t>
      </w:r>
      <w:hyperlink w:anchor="page142">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1060" w:right="400" w:hanging="734"/>
        <w:spacing w:after="0" w:line="235" w:lineRule="auto"/>
        <w:tabs>
          <w:tab w:leader="none" w:pos="1040" w:val="left"/>
        </w:tabs>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143">
        <w:r>
          <w:rPr>
            <w:rFonts w:ascii="Arial" w:cs="Arial" w:eastAsia="Arial" w:hAnsi="Arial"/>
            <w:sz w:val="18"/>
            <w:szCs w:val="18"/>
            <w:u w:val="single" w:color="auto"/>
            <w:color w:val="0000FF"/>
          </w:rPr>
          <w:t>Certification of Principal Financial Officer Pursuant to Section 302 of the</w:t>
        </w:r>
      </w:hyperlink>
      <w:r>
        <w:rPr>
          <w:rFonts w:ascii="Arial" w:cs="Arial" w:eastAsia="Arial" w:hAnsi="Arial"/>
          <w:sz w:val="18"/>
          <w:szCs w:val="18"/>
          <w:u w:val="single" w:color="auto"/>
          <w:color w:val="0000FF"/>
        </w:rPr>
        <w:t xml:space="preserve"> </w:t>
      </w:r>
      <w:hyperlink w:anchor="page143">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1060" w:right="360" w:hanging="734"/>
        <w:spacing w:after="0" w:line="235" w:lineRule="auto"/>
        <w:tabs>
          <w:tab w:leader="none" w:pos="1040" w:val="left"/>
        </w:tabs>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144">
        <w:r>
          <w:rPr>
            <w:rFonts w:ascii="Arial" w:cs="Arial" w:eastAsia="Arial" w:hAnsi="Arial"/>
            <w:sz w:val="18"/>
            <w:szCs w:val="18"/>
            <w:u w:val="single" w:color="auto"/>
            <w:color w:val="0000FF"/>
          </w:rPr>
          <w:t>Certification of Principal Executive Officer Pursuant to Section 906 of the</w:t>
        </w:r>
      </w:hyperlink>
      <w:r>
        <w:rPr>
          <w:rFonts w:ascii="Arial" w:cs="Arial" w:eastAsia="Arial" w:hAnsi="Arial"/>
          <w:sz w:val="18"/>
          <w:szCs w:val="18"/>
          <w:u w:val="single" w:color="auto"/>
          <w:color w:val="0000FF"/>
        </w:rPr>
        <w:t xml:space="preserve"> </w:t>
      </w:r>
      <w:hyperlink w:anchor="page144">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1060" w:right="400" w:hanging="734"/>
        <w:spacing w:after="0" w:line="235" w:lineRule="auto"/>
        <w:tabs>
          <w:tab w:leader="none" w:pos="1040" w:val="left"/>
        </w:tabs>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145">
        <w:r>
          <w:rPr>
            <w:rFonts w:ascii="Arial" w:cs="Arial" w:eastAsia="Arial" w:hAnsi="Arial"/>
            <w:sz w:val="18"/>
            <w:szCs w:val="18"/>
            <w:u w:val="single" w:color="auto"/>
            <w:color w:val="0000FF"/>
          </w:rPr>
          <w:t>Certification of Principal Financial Officer Pursuant to Section 906 of the</w:t>
        </w:r>
      </w:hyperlink>
      <w:r>
        <w:rPr>
          <w:rFonts w:ascii="Arial" w:cs="Arial" w:eastAsia="Arial" w:hAnsi="Arial"/>
          <w:sz w:val="18"/>
          <w:szCs w:val="18"/>
          <w:u w:val="single" w:color="auto"/>
          <w:color w:val="0000FF"/>
        </w:rPr>
        <w:t xml:space="preserve"> </w:t>
      </w:r>
      <w:hyperlink w:anchor="page145">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1060" w:right="260" w:hanging="849"/>
        <w:spacing w:after="0" w:line="224" w:lineRule="auto"/>
        <w:tabs>
          <w:tab w:leader="none" w:pos="104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55" w:lineRule="exact"/>
        <w:rPr>
          <w:rFonts w:ascii="Arial" w:cs="Arial" w:eastAsia="Arial" w:hAnsi="Arial"/>
          <w:sz w:val="18"/>
          <w:szCs w:val="18"/>
          <w:u w:val="single" w:color="auto"/>
          <w:color w:val="0000FF"/>
        </w:rPr>
      </w:pPr>
    </w:p>
    <w:p>
      <w:pPr>
        <w:ind w:left="180"/>
        <w:spacing w:after="0"/>
        <w:tabs>
          <w:tab w:leader="none" w:pos="104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100" w:lineRule="exact"/>
        <w:rPr>
          <w:rFonts w:ascii="Arial" w:cs="Arial" w:eastAsia="Arial" w:hAnsi="Arial"/>
          <w:sz w:val="18"/>
          <w:szCs w:val="18"/>
          <w:u w:val="single" w:color="auto"/>
          <w:color w:val="0000FF"/>
        </w:rPr>
      </w:pPr>
    </w:p>
    <w:p>
      <w:pPr>
        <w:ind w:left="180"/>
        <w:spacing w:after="0"/>
        <w:tabs>
          <w:tab w:leader="none" w:pos="104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100" w:lineRule="exact"/>
        <w:rPr>
          <w:rFonts w:ascii="Arial" w:cs="Arial" w:eastAsia="Arial" w:hAnsi="Arial"/>
          <w:sz w:val="18"/>
          <w:szCs w:val="18"/>
          <w:u w:val="single" w:color="auto"/>
          <w:color w:val="0000FF"/>
        </w:rPr>
      </w:pPr>
    </w:p>
    <w:p>
      <w:pPr>
        <w:ind w:left="180"/>
        <w:spacing w:after="0"/>
        <w:tabs>
          <w:tab w:leader="none" w:pos="104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100" w:lineRule="exact"/>
        <w:rPr>
          <w:rFonts w:ascii="Arial" w:cs="Arial" w:eastAsia="Arial" w:hAnsi="Arial"/>
          <w:sz w:val="18"/>
          <w:szCs w:val="18"/>
          <w:u w:val="single" w:color="auto"/>
          <w:color w:val="0000FF"/>
        </w:rPr>
      </w:pPr>
    </w:p>
    <w:p>
      <w:pPr>
        <w:ind w:left="180"/>
        <w:spacing w:after="0"/>
        <w:tabs>
          <w:tab w:leader="none" w:pos="104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100" w:lineRule="exact"/>
        <w:rPr>
          <w:rFonts w:ascii="Arial" w:cs="Arial" w:eastAsia="Arial" w:hAnsi="Arial"/>
          <w:sz w:val="18"/>
          <w:szCs w:val="18"/>
          <w:u w:val="single" w:color="auto"/>
          <w:color w:val="0000FF"/>
        </w:rPr>
      </w:pPr>
    </w:p>
    <w:p>
      <w:pPr>
        <w:ind w:left="200"/>
        <w:spacing w:after="0"/>
        <w:tabs>
          <w:tab w:leader="none" w:pos="104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00" w:lineRule="exact"/>
        <w:rPr>
          <w:rFonts w:ascii="Arial" w:cs="Arial" w:eastAsia="Arial" w:hAnsi="Arial"/>
          <w:sz w:val="18"/>
          <w:szCs w:val="18"/>
          <w:u w:val="single" w:color="auto"/>
          <w:color w:val="0000FF"/>
        </w:rPr>
      </w:pPr>
    </w:p>
    <w:p>
      <w:pPr>
        <w:ind w:left="1060" w:right="120" w:hanging="701"/>
        <w:spacing w:after="0" w:line="235"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34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2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33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34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575" w:lineRule="exact"/>
        <w:rPr>
          <w:rFonts w:ascii="Arial" w:cs="Arial" w:eastAsia="Arial" w:hAnsi="Arial"/>
          <w:sz w:val="18"/>
          <w:szCs w:val="18"/>
          <w:u w:val="single" w:color="auto"/>
          <w:color w:val="0000FF"/>
        </w:rPr>
      </w:pPr>
    </w:p>
    <w:p>
      <w:pPr>
        <w:sectPr>
          <w:pgSz w:w="11900" w:h="16838" w:orient="portrait"/>
          <w:cols w:equalWidth="0" w:num="2">
            <w:col w:w="6760" w:space="520"/>
            <w:col w:w="3560"/>
          </w:cols>
          <w:pgMar w:left="320" w:top="287" w:right="739" w:bottom="1440" w:gutter="0" w:footer="0" w:header="0"/>
          <w:type w:val="continuous"/>
        </w:sectPr>
      </w:pPr>
    </w:p>
    <w:p>
      <w:pPr>
        <w:spacing w:after="0"/>
        <w:rPr>
          <w:sz w:val="20"/>
          <w:szCs w:val="20"/>
          <w:color w:val="auto"/>
        </w:rPr>
      </w:pPr>
      <w:r>
        <w:rPr>
          <w:rFonts w:ascii="Arial" w:cs="Arial" w:eastAsia="Arial" w:hAnsi="Arial"/>
          <w:sz w:val="18"/>
          <w:szCs w:val="18"/>
          <w:color w:val="auto"/>
        </w:rPr>
        <w:t>* Furnished herewith</w:t>
      </w:r>
    </w:p>
    <w:p>
      <w:pPr>
        <w:spacing w:after="0" w:line="12" w:lineRule="exact"/>
        <w:rPr>
          <w:rFonts w:ascii="Arial" w:cs="Arial" w:eastAsia="Arial" w:hAnsi="Arial"/>
          <w:sz w:val="18"/>
          <w:szCs w:val="18"/>
          <w:u w:val="single" w:color="auto"/>
          <w:color w:val="0000FF"/>
        </w:rPr>
      </w:pPr>
    </w:p>
    <w:p>
      <w:pPr>
        <w:ind w:left="140" w:hanging="132"/>
        <w:spacing w:after="0"/>
        <w:tabs>
          <w:tab w:leader="none" w:pos="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Portions of the exhibits have been redacted because such information is (i) not material and (ii) could be competitively harmful if publicly disclosed.</w:t>
      </w:r>
    </w:p>
    <w:p>
      <w:pPr>
        <w:spacing w:after="0" w:line="200" w:lineRule="exact"/>
        <w:rPr>
          <w:rFonts w:ascii="Arial" w:cs="Arial" w:eastAsia="Arial" w:hAnsi="Arial"/>
          <w:sz w:val="16"/>
          <w:szCs w:val="16"/>
          <w:color w:val="auto"/>
        </w:rPr>
      </w:pPr>
    </w:p>
    <w:p>
      <w:pPr>
        <w:spacing w:after="0" w:line="38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287" w:right="7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VICI PROPERTIES INC.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66"/>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EDWARD B. PITONIAK</w:t>
            </w:r>
          </w:p>
        </w:tc>
        <w:tc>
          <w:tcPr>
            <w:tcW w:w="10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October 28, 2020</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Edward B. Pitoniak</w:t>
            </w:r>
          </w:p>
        </w:tc>
        <w:tc>
          <w:tcPr>
            <w:tcW w:w="10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A. KIESKE</w:t>
            </w:r>
          </w:p>
        </w:tc>
        <w:tc>
          <w:tcPr>
            <w:tcW w:w="10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October 28, 2020</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Kieske</w:t>
            </w:r>
          </w:p>
        </w:tc>
        <w:tc>
          <w:tcPr>
            <w:tcW w:w="10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Financial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0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Chief Accounting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October 28, 2020</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0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287" w:right="339" w:bottom="1440" w:gutter="0" w:footer="0" w:header="0"/>
        </w:sectPr>
      </w:pPr>
    </w:p>
    <w:bookmarkStart w:id="79" w:name="page80"/>
    <w:bookmarkEnd w:id="79"/>
    <w:p>
      <w:pPr>
        <w:ind w:right="460"/>
        <w:spacing w:after="0" w:line="250" w:lineRule="auto"/>
        <w:rPr>
          <w:sz w:val="20"/>
          <w:szCs w:val="20"/>
          <w:color w:val="auto"/>
        </w:rPr>
      </w:pPr>
      <w:r>
        <w:rPr>
          <w:rFonts w:ascii="Arial" w:cs="Arial" w:eastAsia="Arial" w:hAnsi="Arial"/>
          <w:sz w:val="22"/>
          <w:szCs w:val="22"/>
          <w:b w:val="1"/>
          <w:bCs w:val="1"/>
          <w:color w:val="auto"/>
        </w:rPr>
        <w:t>CERTAIN IDENTIFIED INFORMATION HAS BEEN EXCLUDED BECAUSE SUCH INFORMATION (i) IS NOT MATERIAL AND (ii) WOULD BE COMPETITIVELY HARMFUL IF PUBLICLY DISCLOSED. EXCLUDED INFORMATION HAS BEEN MARKED AT THE APPROPRIATE PLACES AS FOLLOWS: [****]</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10.13</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SIXTH AMENDMENT TO LEASE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SIXTH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September 30, 2020, by and among the entities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attached hereto (collectively, 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the entities listed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attached hereto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and, solely for the purposes of the penultimate paragraph of Section 1.1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Tenant and, solely for the purposes of the penultimate paragraph of Section 1.1 of the Lease,</w:t>
      </w:r>
      <w:r>
        <w:rPr>
          <w:rFonts w:ascii="Arial" w:cs="Arial" w:eastAsia="Arial" w:hAnsi="Arial"/>
          <w:sz w:val="22"/>
          <w:szCs w:val="22"/>
          <w:b w:val="1"/>
          <w:bCs w:val="1"/>
          <w:color w:val="auto"/>
        </w:rPr>
        <w:t xml:space="preserve"> </w:t>
      </w:r>
      <w:r>
        <w:rPr>
          <w:rFonts w:ascii="Arial" w:cs="Arial" w:eastAsia="Arial" w:hAnsi="Arial"/>
          <w:sz w:val="22"/>
          <w:szCs w:val="22"/>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and as amended by that certain Fifth Amendment to Lease (Non-CPLV), dated as of July 20, 2020 (collectively, as amended, the “</w:t>
      </w:r>
      <w:r>
        <w:rPr>
          <w:rFonts w:ascii="Arial" w:cs="Arial" w:eastAsia="Arial" w:hAnsi="Arial"/>
          <w:sz w:val="22"/>
          <w:szCs w:val="22"/>
          <w:u w:val="single" w:color="auto"/>
          <w:color w:val="auto"/>
        </w:rPr>
        <w:t>Lease</w:t>
      </w:r>
      <w:r>
        <w:rPr>
          <w:rFonts w:ascii="Arial" w:cs="Arial" w:eastAsia="Arial" w:hAnsi="Arial"/>
          <w:sz w:val="22"/>
          <w:szCs w:val="22"/>
          <w:color w:val="auto"/>
        </w:rPr>
        <w:t>”), pursuant to which Landlord leases to Tenant, and Tenant leases from Landlord, certain real property as more particularly described in the Lease;</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Harrah’s Reno LLC and CEOC, LLC, together as sellers, and Reno City Center, LLC, as</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are closing a purchase and sale transaction under that certain Purchase and Sale Agreement and Joint Escrow Instructions, dated as of December 31, 2019, as amended by that certain First Amendment to Purchase and Sale Agreement and Joint Escrow Instructions, dated as of May 29, 2020, with respect to certain real property and FF&amp;E (as defined therein) associated with the gaming and entertainment facility known as “Harrah’s Reno Hotel &amp; Casino” located in Reno, Nevada (the “</w:t>
      </w:r>
      <w:r>
        <w:rPr>
          <w:rFonts w:ascii="Arial" w:cs="Arial" w:eastAsia="Arial" w:hAnsi="Arial"/>
          <w:sz w:val="22"/>
          <w:szCs w:val="22"/>
          <w:u w:val="single" w:color="auto"/>
          <w:color w:val="auto"/>
        </w:rPr>
        <w:t>Harrah’s Reno Transaction</w:t>
      </w:r>
      <w:r>
        <w:rPr>
          <w:rFonts w:ascii="Arial" w:cs="Arial" w:eastAsia="Arial" w:hAnsi="Arial"/>
          <w:sz w:val="22"/>
          <w:szCs w:val="22"/>
          <w:color w:val="auto"/>
        </w:rPr>
        <w:t>”); 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Harrah’s Reno Transaction, the parties hereto desire to amend the Lease as set forth</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firstLine="656"/>
        <w:spacing w:after="0" w:line="269" w:lineRule="auto"/>
        <w:tabs>
          <w:tab w:leader="none" w:pos="1296"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ectPr>
          <w:pgSz w:w="11900" w:h="16838" w:orient="portrait"/>
          <w:cols w:equalWidth="0" w:num="1">
            <w:col w:w="11240"/>
          </w:cols>
          <w:pgMar w:left="320" w:top="126" w:right="339" w:bottom="1440" w:gutter="0" w:footer="0" w:header="0"/>
        </w:sectPr>
      </w:pPr>
    </w:p>
    <w:bookmarkStart w:id="80" w:name="page81"/>
    <w:bookmarkEnd w:id="80"/>
    <w:p>
      <w:pPr>
        <w:ind w:left="968" w:hanging="644"/>
        <w:spacing w:after="0"/>
        <w:tabs>
          <w:tab w:leader="none" w:pos="968" w:val="left"/>
        </w:tabs>
        <w:numPr>
          <w:ilvl w:val="1"/>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308" w:hanging="308"/>
        <w:spacing w:after="0"/>
        <w:tabs>
          <w:tab w:leader="none" w:pos="30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 of the Lease as to the Harrah’s Reno Facility</w:t>
      </w:r>
      <w:r>
        <w:rPr>
          <w:rFonts w:ascii="Arial" w:cs="Arial" w:eastAsia="Arial" w:hAnsi="Arial"/>
          <w:sz w:val="22"/>
          <w:szCs w:val="22"/>
          <w:color w:val="auto"/>
        </w:rPr>
        <w:t>. Effective as of the date hereof:</w:t>
      </w:r>
    </w:p>
    <w:p>
      <w:pPr>
        <w:spacing w:after="0" w:line="206" w:lineRule="exact"/>
        <w:rPr>
          <w:rFonts w:ascii="Arial" w:cs="Arial" w:eastAsia="Arial" w:hAnsi="Arial"/>
          <w:sz w:val="22"/>
          <w:szCs w:val="22"/>
          <w:color w:val="auto"/>
        </w:rPr>
      </w:pPr>
    </w:p>
    <w:p>
      <w:pPr>
        <w:jc w:val="both"/>
        <w:ind w:left="968" w:hanging="320"/>
        <w:spacing w:after="0" w:line="252" w:lineRule="auto"/>
        <w:tabs>
          <w:tab w:leader="none" w:pos="956" w:val="left"/>
        </w:tabs>
        <w:numPr>
          <w:ilvl w:val="2"/>
          <w:numId w:val="43"/>
        </w:numPr>
        <w:rPr>
          <w:rFonts w:ascii="Arial" w:cs="Arial" w:eastAsia="Arial" w:hAnsi="Arial"/>
          <w:sz w:val="21"/>
          <w:szCs w:val="21"/>
          <w:color w:val="auto"/>
        </w:rPr>
      </w:pPr>
      <w:r>
        <w:rPr>
          <w:rFonts w:ascii="Arial" w:cs="Arial" w:eastAsia="Arial" w:hAnsi="Arial"/>
          <w:sz w:val="21"/>
          <w:szCs w:val="21"/>
          <w:color w:val="auto"/>
        </w:rPr>
        <w:t>the Lease is hereby terminated with respect to the Harrah’s Reno Leased Property (as defined below), the Harrah’s Reno Leased Property no longer constitutes Leased Property under the Lease, and neither Landlord nor Tenant has any further liabilities or obligations, from and after the date of this Amendment, in respect of the Harrah’s Reno Facility (as defined below) and the Harrah’s Reno Leased Property, and</w:t>
      </w:r>
    </w:p>
    <w:p>
      <w:pPr>
        <w:spacing w:after="0" w:line="173" w:lineRule="exact"/>
        <w:rPr>
          <w:rFonts w:ascii="Arial" w:cs="Arial" w:eastAsia="Arial" w:hAnsi="Arial"/>
          <w:sz w:val="21"/>
          <w:szCs w:val="21"/>
          <w:color w:val="auto"/>
        </w:rPr>
      </w:pPr>
    </w:p>
    <w:p>
      <w:pPr>
        <w:jc w:val="both"/>
        <w:ind w:left="968" w:hanging="320"/>
        <w:spacing w:after="0" w:line="287" w:lineRule="auto"/>
        <w:tabs>
          <w:tab w:leader="none" w:pos="968" w:val="left"/>
        </w:tabs>
        <w:numPr>
          <w:ilvl w:val="2"/>
          <w:numId w:val="43"/>
        </w:numPr>
        <w:rPr>
          <w:rFonts w:ascii="Arial" w:cs="Arial" w:eastAsia="Arial" w:hAnsi="Arial"/>
          <w:sz w:val="19"/>
          <w:szCs w:val="19"/>
          <w:color w:val="auto"/>
        </w:rPr>
      </w:pPr>
      <w:r>
        <w:rPr>
          <w:rFonts w:ascii="Arial" w:cs="Arial" w:eastAsia="Arial" w:hAnsi="Arial"/>
          <w:sz w:val="19"/>
          <w:szCs w:val="19"/>
          <w:color w:val="auto"/>
        </w:rPr>
        <w:t>the Guaranty hereby automatically, and without further action by any party, ceases to apply with respect to any Obligations (as defined in the Guaranty) with respect to the Harrah’s Reno Facility or the Harrah’s Reno Leased Property to the extent arising from and after the date of this Amendment (provided that any such Obligations arising prior to such date shall not be terminated, limited or affected by or upon entry into this Amendment).</w:t>
      </w:r>
    </w:p>
    <w:p>
      <w:pPr>
        <w:spacing w:after="0" w:line="142" w:lineRule="exact"/>
        <w:rPr>
          <w:rFonts w:ascii="Arial" w:cs="Arial" w:eastAsia="Arial" w:hAnsi="Arial"/>
          <w:sz w:val="19"/>
          <w:szCs w:val="19"/>
          <w:color w:val="auto"/>
        </w:rPr>
      </w:pPr>
    </w:p>
    <w:p>
      <w:pPr>
        <w:jc w:val="both"/>
        <w:ind w:left="968" w:hanging="320"/>
        <w:spacing w:after="0" w:line="234" w:lineRule="auto"/>
        <w:tabs>
          <w:tab w:leader="none" w:pos="956" w:val="left"/>
        </w:tabs>
        <w:numPr>
          <w:ilvl w:val="2"/>
          <w:numId w:val="43"/>
        </w:numPr>
        <w:rPr>
          <w:rFonts w:ascii="Arial" w:cs="Arial" w:eastAsia="Arial" w:hAnsi="Arial"/>
          <w:sz w:val="22"/>
          <w:szCs w:val="22"/>
          <w:color w:val="auto"/>
        </w:rPr>
      </w:pPr>
      <w:r>
        <w:rPr>
          <w:rFonts w:ascii="Arial" w:cs="Arial" w:eastAsia="Arial" w:hAnsi="Arial"/>
          <w:sz w:val="22"/>
          <w:szCs w:val="22"/>
          <w:color w:val="auto"/>
        </w:rPr>
        <w:t>For the avoidance of doubt, the Lease shall continue in full force and effect with respect to the balance of (x) the Facilities (other than the Harrah’s Reno Facility) and (y) the Leased Property (other than the Harrah’s Reno Leased Property). The term “</w:t>
      </w:r>
      <w:r>
        <w:rPr>
          <w:rFonts w:ascii="Arial" w:cs="Arial" w:eastAsia="Arial" w:hAnsi="Arial"/>
          <w:sz w:val="22"/>
          <w:szCs w:val="22"/>
          <w:u w:val="single" w:color="auto"/>
          <w:color w:val="auto"/>
        </w:rPr>
        <w:t>Harrah’s Reno Facility</w:t>
      </w:r>
      <w:r>
        <w:rPr>
          <w:rFonts w:ascii="Arial" w:cs="Arial" w:eastAsia="Arial" w:hAnsi="Arial"/>
          <w:sz w:val="22"/>
          <w:szCs w:val="22"/>
          <w:color w:val="auto"/>
        </w:rPr>
        <w:t xml:space="preserve">” shall refer to the applicable Facility identified as Facility 16 on the list of the Facilities annexed as Exhibit A to the Lease, other than the portion thereof pertaining to the Leased Property set forth on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Leased Property (Reno Billboard)</w:t>
      </w:r>
      <w:r>
        <w:rPr>
          <w:rFonts w:ascii="Arial" w:cs="Arial" w:eastAsia="Arial" w:hAnsi="Arial"/>
          <w:sz w:val="22"/>
          <w:szCs w:val="22"/>
          <w:color w:val="auto"/>
        </w:rPr>
        <w:t>”). The term “</w:t>
      </w:r>
      <w:r>
        <w:rPr>
          <w:rFonts w:ascii="Arial" w:cs="Arial" w:eastAsia="Arial" w:hAnsi="Arial"/>
          <w:sz w:val="22"/>
          <w:szCs w:val="22"/>
          <w:u w:val="single" w:color="auto"/>
          <w:color w:val="auto"/>
        </w:rPr>
        <w:t>Harrah’s Reno</w:t>
      </w:r>
      <w:r>
        <w:rPr>
          <w:rFonts w:ascii="Arial" w:cs="Arial" w:eastAsia="Arial" w:hAnsi="Arial"/>
          <w:sz w:val="22"/>
          <w:szCs w:val="22"/>
          <w:color w:val="auto"/>
        </w:rPr>
        <w:t xml:space="preserve"> </w:t>
      </w:r>
      <w:r>
        <w:rPr>
          <w:rFonts w:ascii="Arial" w:cs="Arial" w:eastAsia="Arial" w:hAnsi="Arial"/>
          <w:sz w:val="22"/>
          <w:szCs w:val="22"/>
          <w:u w:val="single" w:color="auto"/>
          <w:color w:val="auto"/>
        </w:rPr>
        <w:t>Leased Property</w:t>
      </w:r>
      <w:r>
        <w:rPr>
          <w:rFonts w:ascii="Arial" w:cs="Arial" w:eastAsia="Arial" w:hAnsi="Arial"/>
          <w:sz w:val="22"/>
          <w:szCs w:val="22"/>
          <w:color w:val="auto"/>
        </w:rPr>
        <w:t xml:space="preserve">” shall refer to the Leased Property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any other Leased Property pertaining to the Harrah’s Reno Facility (excluding, for the avoidance of doubt, the Leased Property (Reno Billboard)).</w:t>
      </w:r>
    </w:p>
    <w:p>
      <w:pPr>
        <w:spacing w:after="0" w:line="186" w:lineRule="exact"/>
        <w:rPr>
          <w:rFonts w:ascii="Arial" w:cs="Arial" w:eastAsia="Arial" w:hAnsi="Arial"/>
          <w:sz w:val="22"/>
          <w:szCs w:val="22"/>
          <w:color w:val="auto"/>
        </w:rPr>
      </w:pPr>
    </w:p>
    <w:p>
      <w:pPr>
        <w:jc w:val="both"/>
        <w:ind w:left="328" w:hanging="328"/>
        <w:spacing w:after="0"/>
        <w:tabs>
          <w:tab w:leader="none" w:pos="32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Landlord and Tenant hereby expressly acknowledge and agree that there shall be no reduction in the Rent under the Lease as a result of the removal of the Harrah’s Reno Facility from the Lease or otherwise as a result of the Harrah’s Reno Transaction.</w:t>
      </w:r>
    </w:p>
    <w:p>
      <w:pPr>
        <w:spacing w:after="0" w:line="186" w:lineRule="exact"/>
        <w:rPr>
          <w:rFonts w:ascii="Arial" w:cs="Arial" w:eastAsia="Arial" w:hAnsi="Arial"/>
          <w:sz w:val="22"/>
          <w:szCs w:val="22"/>
          <w:color w:val="auto"/>
        </w:rPr>
      </w:pPr>
    </w:p>
    <w:p>
      <w:pPr>
        <w:ind w:left="328" w:hanging="328"/>
        <w:spacing w:after="0"/>
        <w:tabs>
          <w:tab w:leader="none" w:pos="32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Variable Rent</w:t>
      </w:r>
      <w:r>
        <w:rPr>
          <w:rFonts w:ascii="Arial" w:cs="Arial" w:eastAsia="Arial" w:hAnsi="Arial"/>
          <w:sz w:val="22"/>
          <w:szCs w:val="22"/>
          <w:color w:val="auto"/>
        </w:rPr>
        <w:t>.</w:t>
      </w:r>
    </w:p>
    <w:p>
      <w:pPr>
        <w:spacing w:after="0" w:line="206" w:lineRule="exact"/>
        <w:rPr>
          <w:sz w:val="20"/>
          <w:szCs w:val="20"/>
          <w:color w:val="auto"/>
        </w:rPr>
      </w:pPr>
    </w:p>
    <w:p>
      <w:pPr>
        <w:jc w:val="both"/>
        <w:ind w:left="648" w:hanging="324"/>
        <w:spacing w:after="0"/>
        <w:tabs>
          <w:tab w:leader="none" w:pos="6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From and after the date hereof, for purposes of any calculation of Variable Rent under the Lease, including any adjustments in Variable Rent based on increases or decreases in Net Revenue, such calculations of Net Revenue shall exclude Net Revenue attributable to the Harrah’s Reno Facility.</w:t>
      </w:r>
    </w:p>
    <w:p>
      <w:pPr>
        <w:spacing w:after="0" w:line="199" w:lineRule="exact"/>
        <w:rPr>
          <w:rFonts w:ascii="Arial" w:cs="Arial" w:eastAsia="Arial" w:hAnsi="Arial"/>
          <w:sz w:val="22"/>
          <w:szCs w:val="22"/>
          <w:color w:val="auto"/>
        </w:rPr>
      </w:pPr>
    </w:p>
    <w:p>
      <w:pPr>
        <w:ind w:left="648" w:right="240" w:hanging="324"/>
        <w:spacing w:after="0" w:line="258" w:lineRule="auto"/>
        <w:tabs>
          <w:tab w:leader="none" w:pos="645" w:val="left"/>
        </w:tabs>
        <w:numPr>
          <w:ilvl w:val="0"/>
          <w:numId w:val="44"/>
        </w:numPr>
        <w:rPr>
          <w:rFonts w:ascii="Arial" w:cs="Arial" w:eastAsia="Arial" w:hAnsi="Arial"/>
          <w:sz w:val="20"/>
          <w:szCs w:val="20"/>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“Base Net Revenue Amount” is hereby deleted and replaced with the following:</w:t>
      </w:r>
    </w:p>
    <w:p>
      <w:pPr>
        <w:jc w:val="both"/>
        <w:ind w:left="1548"/>
        <w:spacing w:after="0" w:line="248" w:lineRule="auto"/>
        <w:rPr>
          <w:rFonts w:ascii="Arial" w:cs="Arial" w:eastAsia="Arial" w:hAnsi="Arial"/>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Net Revenue Amount</w:t>
      </w:r>
      <w:r>
        <w:rPr>
          <w:rFonts w:ascii="Arial" w:cs="Arial" w:eastAsia="Arial" w:hAnsi="Arial"/>
          <w:sz w:val="21"/>
          <w:szCs w:val="21"/>
          <w:color w:val="auto"/>
        </w:rPr>
        <w:t>’: An amount equal to the arithmetic average of the following: (i) Three Billion Five Hundred Ninety-One Million One Hundred Fifty-Seven Thousand Six Hundred Twenty-Seven and No/100 Dollars ($3,591,157,627.00), which amount Landlord and Tenant agree</w:t>
      </w:r>
    </w:p>
    <w:p>
      <w:pPr>
        <w:sectPr>
          <w:pgSz w:w="11900" w:h="16838" w:orient="portrait"/>
          <w:cols w:equalWidth="0" w:num="1">
            <w:col w:w="10868"/>
          </w:cols>
          <w:pgMar w:left="652" w:top="1422" w:right="379" w:bottom="1440" w:gutter="0" w:footer="0" w:header="0"/>
        </w:sectPr>
      </w:pPr>
    </w:p>
    <w:bookmarkStart w:id="81" w:name="page82"/>
    <w:bookmarkEnd w:id="81"/>
    <w:p>
      <w:pPr>
        <w:jc w:val="both"/>
        <w:ind w:left="1548" w:right="40"/>
        <w:spacing w:after="0" w:line="244" w:lineRule="auto"/>
        <w:rPr>
          <w:sz w:val="20"/>
          <w:szCs w:val="20"/>
          <w:color w:val="auto"/>
        </w:rPr>
      </w:pPr>
      <w:r>
        <w:rPr>
          <w:rFonts w:ascii="Arial" w:cs="Arial" w:eastAsia="Arial" w:hAnsi="Arial"/>
          <w:sz w:val="21"/>
          <w:szCs w:val="21"/>
          <w:color w:val="auto"/>
        </w:rPr>
        <w:t>represents Net Revenue for the Fiscal Period immediately preceding the first (1st) Lease Year (i.e., the Fiscal Period ending September 30, 2017), (ii) Three Billion Five Hundred Ninety-Seven Million Seven Hundred Ninety-Three Thousand Two Hundred Two and No/100 Dollars ($3,597,793,202.00), which amount Landlord and Tenant agree represents the Net Revenue for the Fiscal Period immediately preceding the end of the first (1st) Lease Year (i.e., the Fiscal Period ending September 30, 2018) and (iii) Three Billion Four Hundred Forty-Three Million Three Hundred Sixty-Four Thousand Two Hundred Four and No/100 Dollars ($3,443,364,204.00), which amount Landlord and Tenant agree represents the Net Revenue for the Fiscal Period immediately preceding the end of the second (2nd) Lease Year (i.e., the Fiscal Period ending September 30, 2019). For the avoidance of doubt, the term “arithmetic average” as used in this definition refers to the quotient obtained by dividing (x) the sum of the amounts set forth in clauses (i), (ii) and (iii) by (y) three (3).”</w:t>
      </w:r>
    </w:p>
    <w:p>
      <w:pPr>
        <w:spacing w:after="0" w:line="188" w:lineRule="exact"/>
        <w:rPr>
          <w:sz w:val="20"/>
          <w:szCs w:val="20"/>
          <w:color w:val="auto"/>
        </w:rPr>
      </w:pPr>
    </w:p>
    <w:p>
      <w:pPr>
        <w:jc w:val="both"/>
        <w:ind w:left="328" w:right="40" w:hanging="323"/>
        <w:spacing w:after="0" w:line="238"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Annual Minimum Cap Ex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“Annual Minimum Cap Ex Amount” is hereby revised and modified to replace the reference therein to “One Hundred Twenty Million Nine Hundred Thousand and No/100 Dollars ($120,900,000.00)” with a reference to “One Hundred Nineteen Million Three Hundred Thousand and No/100 Dollars ($119,300,000.00)”.</w:t>
      </w:r>
    </w:p>
    <w:p>
      <w:pPr>
        <w:spacing w:after="0" w:line="185" w:lineRule="exact"/>
        <w:rPr>
          <w:sz w:val="20"/>
          <w:szCs w:val="20"/>
          <w:color w:val="auto"/>
        </w:rPr>
      </w:pPr>
    </w:p>
    <w:p>
      <w:pPr>
        <w:jc w:val="both"/>
        <w:ind w:left="328" w:right="40" w:hanging="328"/>
        <w:spacing w:after="0" w:line="248" w:lineRule="auto"/>
        <w:tabs>
          <w:tab w:leader="none" w:pos="325"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Annual Minimum Per-Lease B&amp;I Cap Ex Requirement</w:t>
      </w:r>
      <w:r>
        <w:rPr>
          <w:rFonts w:ascii="Arial" w:cs="Arial" w:eastAsia="Arial" w:hAnsi="Arial"/>
          <w:sz w:val="21"/>
          <w:szCs w:val="21"/>
          <w:color w:val="auto"/>
        </w:rPr>
        <w:t>. The Annual Minimum Per-Lease B&amp;I Cap Ex Requirement shall be unchanged by this Amendment. Further, Landlord and Tenant hereby acknowledge, for the avoidance of doubt, that the Net Revenue attributable to the Harrah’s Reno Facility during the period the Harrah’s Reno Facility was included in the Lease (i.e., during the period from the Commencement Date until the date of this Amendment) shall be included for purposes of calculating the Capital Expenditures required under Section 10.5(a)(ii) of the Lease (i.e., the Annual Minimum Per-Lease B&amp;I Cap Ex Requirement).</w:t>
      </w:r>
    </w:p>
    <w:p>
      <w:pPr>
        <w:spacing w:after="0" w:line="176" w:lineRule="exact"/>
        <w:rPr>
          <w:rFonts w:ascii="Arial" w:cs="Arial" w:eastAsia="Arial" w:hAnsi="Arial"/>
          <w:sz w:val="21"/>
          <w:szCs w:val="21"/>
          <w:color w:val="auto"/>
        </w:rPr>
      </w:pPr>
    </w:p>
    <w:p>
      <w:pPr>
        <w:jc w:val="both"/>
        <w:ind w:left="328" w:right="40" w:hanging="328"/>
        <w:spacing w:after="0" w:line="287" w:lineRule="auto"/>
        <w:tabs>
          <w:tab w:leader="none" w:pos="30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Triennial Allocated Minimum Cap Ex Amount B Floor</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Lease is hereby amended such that the definition of “Triennial Allocated Minimum Cap Ex Amount B Floor” is hereby revised and modified to replace the reference therein to “Three Hundred Thirty-Three Million Six Hundred Thousand and No/100 Dollars ($333,600,000.00)” with a reference to “Three Hundred Twenty-Seven Million Eight Hundred Thousand and No/100 Dollars ($327,800,000.00)”.</w:t>
      </w:r>
    </w:p>
    <w:p>
      <w:pPr>
        <w:spacing w:after="0" w:line="156" w:lineRule="exact"/>
        <w:rPr>
          <w:rFonts w:ascii="Arial" w:cs="Arial" w:eastAsia="Arial" w:hAnsi="Arial"/>
          <w:sz w:val="19"/>
          <w:szCs w:val="19"/>
          <w:color w:val="auto"/>
        </w:rPr>
      </w:pPr>
    </w:p>
    <w:p>
      <w:pPr>
        <w:jc w:val="both"/>
        <w:ind w:left="328" w:hanging="328"/>
        <w:spacing w:after="0" w:line="250" w:lineRule="auto"/>
        <w:tabs>
          <w:tab w:leader="none" w:pos="322"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Minimum Cap Ex Amount A” is hereby revised and modified to replace the reference therein to “Five Hundred Ninety-Eight Million Four Hundred Thousand and No/100 Dollars ($598,400,000.00)” with a reference to “Five Hundred Ninety Million Three Hundred Thousand and No/100 Dollars ($590,300,000.00)”.</w:t>
      </w:r>
    </w:p>
    <w:p>
      <w:pPr>
        <w:spacing w:after="0" w:line="187" w:lineRule="exact"/>
        <w:rPr>
          <w:rFonts w:ascii="Arial" w:cs="Arial" w:eastAsia="Arial" w:hAnsi="Arial"/>
          <w:sz w:val="22"/>
          <w:szCs w:val="22"/>
          <w:color w:val="auto"/>
        </w:rPr>
      </w:pPr>
    </w:p>
    <w:p>
      <w:pPr>
        <w:ind w:left="328" w:right="20" w:hanging="328"/>
        <w:spacing w:after="0" w:line="263" w:lineRule="auto"/>
        <w:tabs>
          <w:tab w:leader="none" w:pos="322"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B</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Minimum Cap Ex Amount B” is hereby revised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8"/>
          </w:cols>
          <w:pgMar w:left="652" w:top="1414" w:right="339" w:bottom="1440" w:gutter="0" w:footer="0" w:header="0"/>
        </w:sectPr>
      </w:pPr>
    </w:p>
    <w:bookmarkStart w:id="82" w:name="page83"/>
    <w:bookmarkEnd w:id="82"/>
    <w:p>
      <w:pPr>
        <w:jc w:val="both"/>
        <w:ind w:left="328"/>
        <w:spacing w:after="0" w:line="253" w:lineRule="auto"/>
        <w:rPr>
          <w:sz w:val="20"/>
          <w:szCs w:val="20"/>
          <w:color w:val="auto"/>
        </w:rPr>
      </w:pPr>
      <w:r>
        <w:rPr>
          <w:rFonts w:ascii="Arial" w:cs="Arial" w:eastAsia="Arial" w:hAnsi="Arial"/>
          <w:sz w:val="22"/>
          <w:szCs w:val="22"/>
          <w:color w:val="auto"/>
        </w:rPr>
        <w:t>modified to replace the reference therein to “Four Hundred Twenty-Seven Million Seven Hundred Thousand and No/100 Dollars ($427,700,000.00)” with a reference to “Four Hundred Twenty-One Million Nine Hundred Thousand and No/100 Dollars ($421,900,000.00)”.</w:t>
      </w:r>
    </w:p>
    <w:p>
      <w:pPr>
        <w:spacing w:after="0" w:line="172" w:lineRule="exact"/>
        <w:rPr>
          <w:sz w:val="20"/>
          <w:szCs w:val="20"/>
          <w:color w:val="auto"/>
        </w:rPr>
      </w:pPr>
    </w:p>
    <w:p>
      <w:pPr>
        <w:ind w:left="308" w:hanging="308"/>
        <w:spacing w:after="0"/>
        <w:tabs>
          <w:tab w:leader="none" w:pos="30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right="40" w:hanging="320"/>
        <w:spacing w:after="0" w:line="248" w:lineRule="auto"/>
        <w:tabs>
          <w:tab w:leader="none" w:pos="960" w:val="left"/>
        </w:tabs>
        <w:numPr>
          <w:ilvl w:val="1"/>
          <w:numId w:val="46"/>
        </w:numPr>
        <w:rPr>
          <w:rFonts w:ascii="Arial" w:cs="Arial" w:eastAsia="Arial" w:hAnsi="Arial"/>
          <w:sz w:val="21"/>
          <w:szCs w:val="21"/>
          <w:color w:val="auto"/>
        </w:rPr>
      </w:pPr>
      <w:r>
        <w:rPr>
          <w:rFonts w:ascii="Arial" w:cs="Arial" w:eastAsia="Arial" w:hAnsi="Arial"/>
          <w:sz w:val="21"/>
          <w:szCs w:val="21"/>
          <w:color w:val="auto"/>
        </w:rPr>
        <w:t>Section 10.5(a)(v)(b) of the Lease is hereby amended to (a) replace the reference therein to “Five Hundred Ninety-Eight Million Four Hundred Thousand and No/100 Dollars ($598,400,000.00)” with a reference to “Five Hundred Ninety Million Three Hundred Thousand and No/100 Dollars ($590,300,000.00)” and (b) replace the reference therein to “One Hundred Ninety-Nine Million Four Hundred Sixty-Six Thousand Six Hundred Sixty-Six and 67/100 Dollars ($199,466,666.67)” with a reference to “One Hundred Ninety-Six Million Seven Hundred Sixty-Six Thousand Six Hundred Sixty-Six and 67/100 Dollars ($196,766,666.67)”,</w:t>
      </w:r>
    </w:p>
    <w:p>
      <w:pPr>
        <w:spacing w:after="0" w:line="176" w:lineRule="exact"/>
        <w:rPr>
          <w:rFonts w:ascii="Arial" w:cs="Arial" w:eastAsia="Arial" w:hAnsi="Arial"/>
          <w:sz w:val="21"/>
          <w:szCs w:val="21"/>
          <w:color w:val="auto"/>
        </w:rPr>
      </w:pPr>
    </w:p>
    <w:p>
      <w:pPr>
        <w:jc w:val="both"/>
        <w:ind w:left="968" w:right="40" w:hanging="320"/>
        <w:spacing w:after="0" w:line="279" w:lineRule="auto"/>
        <w:tabs>
          <w:tab w:leader="none" w:pos="965" w:val="left"/>
        </w:tabs>
        <w:numPr>
          <w:ilvl w:val="1"/>
          <w:numId w:val="46"/>
        </w:numPr>
        <w:rPr>
          <w:rFonts w:ascii="Arial" w:cs="Arial" w:eastAsia="Arial" w:hAnsi="Arial"/>
          <w:sz w:val="18"/>
          <w:szCs w:val="18"/>
          <w:color w:val="auto"/>
        </w:rPr>
      </w:pPr>
      <w:r>
        <w:rPr>
          <w:rFonts w:ascii="Arial" w:cs="Arial" w:eastAsia="Arial" w:hAnsi="Arial"/>
          <w:sz w:val="19"/>
          <w:szCs w:val="19"/>
          <w:color w:val="auto"/>
        </w:rPr>
        <w:t>Section 10.5(a)(v)(c) of the Lease is hereby amended to (a) replace the reference therein to “Four Hundred Twenty-Seven Million Seven Hundred Thousand and No/100 Dollars ($427,700,000.00)” with a reference to “Four Hundred Twenty-One Million Nine Hundred Thousand and No/100 Dollars ($421,900,000.00)” and (b) replace the reference therein to “One Hundred Forty-Two Million Five Hundred Sixty-Six Thousand Six Hundred Sixty-Six and 67/100 Dollars ($142,566,666.67)” with a reference to “One Hundred Forty Million Six Hundred Thirty-Three Thousand Three Hundred Thirty-Three and 33/100 Dollars ($140,633,333.33)”, and</w:t>
      </w:r>
    </w:p>
    <w:p>
      <w:pPr>
        <w:spacing w:after="0" w:line="96" w:lineRule="exact"/>
        <w:rPr>
          <w:rFonts w:ascii="Arial" w:cs="Arial" w:eastAsia="Arial" w:hAnsi="Arial"/>
          <w:sz w:val="18"/>
          <w:szCs w:val="18"/>
          <w:color w:val="auto"/>
        </w:rPr>
      </w:pPr>
    </w:p>
    <w:p>
      <w:pPr>
        <w:jc w:val="both"/>
        <w:ind w:left="968" w:right="40" w:hanging="320"/>
        <w:spacing w:after="0" w:line="244" w:lineRule="auto"/>
        <w:tabs>
          <w:tab w:leader="none" w:pos="966" w:val="left"/>
        </w:tabs>
        <w:numPr>
          <w:ilvl w:val="1"/>
          <w:numId w:val="46"/>
        </w:numPr>
        <w:rPr>
          <w:rFonts w:ascii="Arial" w:cs="Arial" w:eastAsia="Arial" w:hAnsi="Arial"/>
          <w:sz w:val="19"/>
          <w:szCs w:val="19"/>
          <w:color w:val="auto"/>
        </w:rPr>
      </w:pPr>
      <w:r>
        <w:rPr>
          <w:rFonts w:ascii="Arial" w:cs="Arial" w:eastAsia="Arial" w:hAnsi="Arial"/>
          <w:sz w:val="21"/>
          <w:szCs w:val="21"/>
          <w:color w:val="auto"/>
        </w:rPr>
        <w:t>The second sentence of Section 10.5(a)(v) of the Lease is hereby amended to (a) replace the reference therein to “Five Hundred Ninety-Eight Million Four Hundred Thousand and No/100 Dollars ($598,400,000.00)” with a reference to “Five Hundred Ninety Million Three Hundred Thousand and No/100 Dollars ($590,300,000.00)”, (b) replace the reference therein to “One Hundred Ninety-Nine Million Four Hundred Sixty-Six Thousand Six Hundred Sixty-Six and 67/100 Dollars ($199,466,666.67)” with a reference to “One Hundred Ninety-Six Million Seven Hundred Sixty-Six Thousand Six Hundred Sixty-Six and 67/100 Dollars ($196,766,666.67)”, (c) replace the reference therein to “Four Hundred Twenty-Seven Million Seven Hundred Thousand and No/100 Dollars ($427,700,000.00)” with a reference to “Four Hundred Twenty-One Million Nine Hundred Thousand and No/100 Dollars ($421,900,000.00)” and (d) replace the reference therein to “One Hundred Forty-Two Million Five Hundred Sixty-Six Thousand Six Hundred Sixty-Six and 67/100 Dollars ($142,566,666.67)” with a reference to “One Hundred Forty Million Six Hundred Thirty-Three Thousand Three Hundred Thirty-Three and 33/100 Dollars ($140,633,333.33)”.</w:t>
      </w:r>
    </w:p>
    <w:p>
      <w:pPr>
        <w:spacing w:after="0" w:line="131" w:lineRule="exact"/>
        <w:rPr>
          <w:rFonts w:ascii="Arial" w:cs="Arial" w:eastAsia="Arial" w:hAnsi="Arial"/>
          <w:sz w:val="19"/>
          <w:szCs w:val="19"/>
          <w:color w:val="auto"/>
        </w:rPr>
      </w:pPr>
    </w:p>
    <w:p>
      <w:pPr>
        <w:ind w:left="308" w:hanging="308"/>
        <w:spacing w:after="0"/>
        <w:tabs>
          <w:tab w:leader="none" w:pos="30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Section 22.2(ix) Transfer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968" w:right="40" w:hanging="320"/>
        <w:spacing w:after="0" w:line="263" w:lineRule="auto"/>
        <w:tabs>
          <w:tab w:leader="none" w:pos="9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Landlord and Tenant hereby acknowledge and agree that the Harrah’s Reno Transaction shall be deemed to be, and treated as, a transfer and sale of the entire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08"/>
          </w:cols>
          <w:pgMar w:left="652" w:top="1428" w:right="339" w:bottom="1440" w:gutter="0" w:footer="0" w:header="0"/>
        </w:sectPr>
      </w:pPr>
    </w:p>
    <w:bookmarkStart w:id="83" w:name="page84"/>
    <w:bookmarkEnd w:id="83"/>
    <w:p>
      <w:pPr>
        <w:spacing w:after="0" w:line="15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Leased Property with respect to a Facility pursuant to Section 22.2(ix) of the Lease.</w:t>
      </w:r>
    </w:p>
    <w:p>
      <w:pPr>
        <w:spacing w:after="0" w:line="220" w:lineRule="exact"/>
        <w:rPr>
          <w:sz w:val="20"/>
          <w:szCs w:val="20"/>
          <w:color w:val="auto"/>
        </w:rPr>
      </w:pPr>
    </w:p>
    <w:p>
      <w:pPr>
        <w:jc w:val="both"/>
        <w:ind w:left="968" w:hanging="320"/>
        <w:spacing w:after="0" w:line="253" w:lineRule="auto"/>
        <w:tabs>
          <w:tab w:leader="none" w:pos="965" w:val="left"/>
        </w:tabs>
        <w:numPr>
          <w:ilvl w:val="2"/>
          <w:numId w:val="47"/>
        </w:numPr>
        <w:rPr>
          <w:rFonts w:ascii="Arial" w:cs="Arial" w:eastAsia="Arial" w:hAnsi="Arial"/>
          <w:sz w:val="20"/>
          <w:szCs w:val="20"/>
          <w:color w:val="auto"/>
        </w:rPr>
      </w:pPr>
      <w:r>
        <w:rPr>
          <w:rFonts w:ascii="Arial" w:cs="Arial" w:eastAsia="Arial" w:hAnsi="Arial"/>
          <w:sz w:val="22"/>
          <w:szCs w:val="22"/>
          <w:color w:val="auto"/>
        </w:rPr>
        <w:t>All of the applicable requirements and conditions set forth in Section 22.2(ix) of the Lease with respect to such transfer and sale are deemed satisfied or waived by the execution of this Amendment and the consummation of the closing of the Harrah’s Reno Transaction.</w:t>
      </w:r>
    </w:p>
    <w:p>
      <w:pPr>
        <w:spacing w:after="0" w:line="131" w:lineRule="exact"/>
        <w:rPr>
          <w:rFonts w:ascii="Arial" w:cs="Arial" w:eastAsia="Arial" w:hAnsi="Arial"/>
          <w:sz w:val="20"/>
          <w:szCs w:val="20"/>
          <w:color w:val="auto"/>
        </w:rPr>
      </w:pPr>
    </w:p>
    <w:p>
      <w:pPr>
        <w:ind w:left="968" w:hanging="320"/>
        <w:spacing w:after="0"/>
        <w:tabs>
          <w:tab w:leader="none" w:pos="968" w:val="left"/>
        </w:tabs>
        <w:numPr>
          <w:ilvl w:val="2"/>
          <w:numId w:val="47"/>
        </w:numPr>
        <w:rPr>
          <w:rFonts w:ascii="Arial" w:cs="Arial" w:eastAsia="Arial" w:hAnsi="Arial"/>
          <w:sz w:val="20"/>
          <w:szCs w:val="20"/>
          <w:color w:val="auto"/>
        </w:rPr>
      </w:pPr>
      <w:r>
        <w:rPr>
          <w:rFonts w:ascii="Arial" w:cs="Arial" w:eastAsia="Arial" w:hAnsi="Arial"/>
          <w:sz w:val="22"/>
          <w:szCs w:val="22"/>
          <w:color w:val="auto"/>
        </w:rPr>
        <w:t>The 2018 Facility EBITDAR of Tenant for the Harrah’s Reno Facility is equal to [****].</w:t>
      </w:r>
    </w:p>
    <w:p>
      <w:pPr>
        <w:spacing w:after="0" w:line="165" w:lineRule="exact"/>
        <w:rPr>
          <w:rFonts w:ascii="Arial" w:cs="Arial" w:eastAsia="Arial" w:hAnsi="Arial"/>
          <w:sz w:val="20"/>
          <w:szCs w:val="20"/>
          <w:color w:val="auto"/>
        </w:rPr>
      </w:pPr>
    </w:p>
    <w:p>
      <w:pPr>
        <w:ind w:left="968" w:hanging="320"/>
        <w:spacing w:after="0" w:line="263" w:lineRule="auto"/>
        <w:tabs>
          <w:tab w:leader="none" w:pos="942" w:val="left"/>
        </w:tabs>
        <w:numPr>
          <w:ilvl w:val="2"/>
          <w:numId w:val="47"/>
        </w:numPr>
        <w:rPr>
          <w:rFonts w:ascii="Arial" w:cs="Arial" w:eastAsia="Arial" w:hAnsi="Arial"/>
          <w:sz w:val="20"/>
          <w:szCs w:val="20"/>
          <w:color w:val="auto"/>
        </w:rPr>
      </w:pPr>
      <w:r>
        <w:rPr>
          <w:rFonts w:ascii="Arial" w:cs="Arial" w:eastAsia="Arial" w:hAnsi="Arial"/>
          <w:sz w:val="22"/>
          <w:szCs w:val="22"/>
          <w:color w:val="auto"/>
        </w:rPr>
        <w:t>The amounts of the 2018 EBITDAR Pool and 2018 EBITDAR Pool Before Fifth Amendment shall not be reduced as a result of the Harrah’s Reno Facility no longer being a Facility under the Lease.</w:t>
      </w:r>
    </w:p>
    <w:p>
      <w:pPr>
        <w:spacing w:after="0" w:line="120" w:lineRule="exact"/>
        <w:rPr>
          <w:rFonts w:ascii="Arial" w:cs="Arial" w:eastAsia="Arial" w:hAnsi="Arial"/>
          <w:sz w:val="20"/>
          <w:szCs w:val="20"/>
          <w:color w:val="auto"/>
        </w:rPr>
      </w:pPr>
    </w:p>
    <w:p>
      <w:pPr>
        <w:ind w:left="968" w:hanging="320"/>
        <w:spacing w:after="0" w:line="263" w:lineRule="auto"/>
        <w:tabs>
          <w:tab w:leader="none" w:pos="955" w:val="left"/>
        </w:tabs>
        <w:numPr>
          <w:ilvl w:val="2"/>
          <w:numId w:val="47"/>
        </w:numPr>
        <w:rPr>
          <w:rFonts w:ascii="Arial" w:cs="Arial" w:eastAsia="Arial" w:hAnsi="Arial"/>
          <w:sz w:val="20"/>
          <w:szCs w:val="20"/>
          <w:color w:val="auto"/>
        </w:rPr>
      </w:pPr>
      <w:r>
        <w:rPr>
          <w:rFonts w:ascii="Arial" w:cs="Arial" w:eastAsia="Arial" w:hAnsi="Arial"/>
          <w:sz w:val="22"/>
          <w:szCs w:val="22"/>
          <w:color w:val="auto"/>
        </w:rPr>
        <w:t>The words, number and symbols “five percent (5%)” contained in Section 22.2(ix) of the Lease are hereby deleted and replaced with the following: “four and six-tenths percent (4.6%)”.</w:t>
      </w:r>
    </w:p>
    <w:p>
      <w:pPr>
        <w:spacing w:after="0" w:line="120" w:lineRule="exact"/>
        <w:rPr>
          <w:rFonts w:ascii="Arial" w:cs="Arial" w:eastAsia="Arial" w:hAnsi="Arial"/>
          <w:sz w:val="20"/>
          <w:szCs w:val="20"/>
          <w:color w:val="auto"/>
        </w:rPr>
      </w:pPr>
    </w:p>
    <w:p>
      <w:pPr>
        <w:ind w:left="968" w:hanging="320"/>
        <w:spacing w:after="0" w:line="263" w:lineRule="auto"/>
        <w:tabs>
          <w:tab w:leader="none" w:pos="955" w:val="left"/>
        </w:tabs>
        <w:numPr>
          <w:ilvl w:val="2"/>
          <w:numId w:val="47"/>
        </w:numPr>
        <w:rPr>
          <w:rFonts w:ascii="Arial" w:cs="Arial" w:eastAsia="Arial" w:hAnsi="Arial"/>
          <w:sz w:val="20"/>
          <w:szCs w:val="20"/>
          <w:color w:val="auto"/>
        </w:rPr>
      </w:pPr>
      <w:r>
        <w:rPr>
          <w:rFonts w:ascii="Arial" w:cs="Arial" w:eastAsia="Arial" w:hAnsi="Arial"/>
          <w:sz w:val="22"/>
          <w:szCs w:val="22"/>
          <w:color w:val="auto"/>
        </w:rPr>
        <w:t>For purposes of subsequent calculations of the L1/L2 EBITDAR to Rent Ratio under the Lease, the EBITDAR of Tenant in respect of the Harrah’s Reno Facility shall be disregarded.</w:t>
      </w:r>
    </w:p>
    <w:p>
      <w:pPr>
        <w:spacing w:after="0" w:line="120" w:lineRule="exact"/>
        <w:rPr>
          <w:rFonts w:ascii="Arial" w:cs="Arial" w:eastAsia="Arial" w:hAnsi="Arial"/>
          <w:sz w:val="20"/>
          <w:szCs w:val="20"/>
          <w:color w:val="auto"/>
        </w:rPr>
      </w:pPr>
    </w:p>
    <w:p>
      <w:pPr>
        <w:ind w:left="968" w:hanging="320"/>
        <w:spacing w:after="0" w:line="343" w:lineRule="auto"/>
        <w:tabs>
          <w:tab w:leader="none" w:pos="956" w:val="left"/>
        </w:tabs>
        <w:numPr>
          <w:ilvl w:val="2"/>
          <w:numId w:val="47"/>
        </w:numPr>
        <w:rPr>
          <w:rFonts w:ascii="Arial" w:cs="Arial" w:eastAsia="Arial" w:hAnsi="Arial"/>
          <w:sz w:val="18"/>
          <w:szCs w:val="18"/>
          <w:color w:val="auto"/>
        </w:rPr>
      </w:pPr>
      <w:r>
        <w:rPr>
          <w:rFonts w:ascii="Arial" w:cs="Arial" w:eastAsia="Arial" w:hAnsi="Arial"/>
          <w:sz w:val="19"/>
          <w:szCs w:val="19"/>
          <w:color w:val="auto"/>
        </w:rPr>
        <w:t>The treatment of the Harrah’s Reno Transaction hereunder is not intended to serve as a precedent for the treatment of future dispositions (if any) which may be effectuated under Section 22.2(ix) of the Lease or otherwise.</w:t>
      </w:r>
    </w:p>
    <w:p>
      <w:pPr>
        <w:spacing w:after="0" w:line="50" w:lineRule="exact"/>
        <w:rPr>
          <w:rFonts w:ascii="Arial" w:cs="Arial" w:eastAsia="Arial" w:hAnsi="Arial"/>
          <w:sz w:val="18"/>
          <w:szCs w:val="18"/>
          <w:color w:val="auto"/>
        </w:rPr>
      </w:pPr>
    </w:p>
    <w:p>
      <w:pPr>
        <w:ind w:left="328" w:hanging="328"/>
        <w:spacing w:after="0" w:line="263" w:lineRule="auto"/>
        <w:tabs>
          <w:tab w:leader="none" w:pos="32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61" w:lineRule="exact"/>
        <w:rPr>
          <w:rFonts w:ascii="Arial" w:cs="Arial" w:eastAsia="Arial" w:hAnsi="Arial"/>
          <w:sz w:val="22"/>
          <w:szCs w:val="22"/>
          <w:color w:val="auto"/>
        </w:rPr>
      </w:pPr>
    </w:p>
    <w:p>
      <w:pPr>
        <w:ind w:left="648" w:hanging="324"/>
        <w:spacing w:after="0" w:line="274" w:lineRule="auto"/>
        <w:tabs>
          <w:tab w:leader="none" w:pos="640"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Facilities</w:t>
      </w:r>
      <w:r>
        <w:rPr>
          <w:rFonts w:ascii="Arial" w:cs="Arial" w:eastAsia="Arial" w:hAnsi="Arial"/>
          <w:sz w:val="21"/>
          <w:szCs w:val="21"/>
          <w:color w:val="auto"/>
        </w:rPr>
        <w:t>. The list of Facilities set forth on Exhibit A annexed to the Lease is hereby amended such that the reference to “Harrah’s Reno” thereon is deleted and replaced with a reference to “Reno Billboard Parcel”.</w:t>
      </w:r>
    </w:p>
    <w:p>
      <w:pPr>
        <w:spacing w:after="0" w:line="150" w:lineRule="exact"/>
        <w:rPr>
          <w:rFonts w:ascii="Arial" w:cs="Arial" w:eastAsia="Arial" w:hAnsi="Arial"/>
          <w:sz w:val="21"/>
          <w:szCs w:val="21"/>
          <w:color w:val="auto"/>
        </w:rPr>
      </w:pPr>
    </w:p>
    <w:p>
      <w:pPr>
        <w:jc w:val="both"/>
        <w:ind w:left="648" w:hanging="324"/>
        <w:spacing w:after="0"/>
        <w:tabs>
          <w:tab w:leader="none" w:pos="647"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Legal Description</w:t>
      </w:r>
      <w:r>
        <w:rPr>
          <w:rFonts w:ascii="Arial" w:cs="Arial" w:eastAsia="Arial" w:hAnsi="Arial"/>
          <w:sz w:val="22"/>
          <w:szCs w:val="22"/>
          <w:color w:val="auto"/>
        </w:rPr>
        <w:t xml:space="preserve">. The legal descriptions with respect to the Leased Property set forth on Exhibit B annexed to the Lease are hereby amended such that the legal description with respect to the Harrah’s Reno Leased Property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is hereby deleted from said Exhibit B.</w:t>
      </w:r>
    </w:p>
    <w:p>
      <w:pPr>
        <w:spacing w:after="0" w:line="186" w:lineRule="exact"/>
        <w:rPr>
          <w:rFonts w:ascii="Arial" w:cs="Arial" w:eastAsia="Arial" w:hAnsi="Arial"/>
          <w:sz w:val="22"/>
          <w:szCs w:val="22"/>
          <w:color w:val="auto"/>
        </w:rPr>
      </w:pPr>
    </w:p>
    <w:p>
      <w:pPr>
        <w:jc w:val="both"/>
        <w:ind w:left="648" w:hanging="324"/>
        <w:spacing w:after="0"/>
        <w:tabs>
          <w:tab w:leader="none" w:pos="639"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Property Specific IP</w:t>
      </w:r>
      <w:r>
        <w:rPr>
          <w:rFonts w:ascii="Arial" w:cs="Arial" w:eastAsia="Arial" w:hAnsi="Arial"/>
          <w:sz w:val="22"/>
          <w:szCs w:val="22"/>
          <w:color w:val="auto"/>
        </w:rPr>
        <w:t>. The list of Property Specific IP set forth on Exhibit H annexed to the Lease is hereby amended such that the following items of Property Specific IP listed thereon (that relate solely to the Reno Facility) are hereby deleted from said Exhibit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868"/>
          </w:cols>
          <w:pgMar w:left="652" w:top="1440" w:right="379" w:bottom="1440" w:gutter="0" w:footer="0" w:header="0"/>
        </w:sectPr>
      </w:pPr>
    </w:p>
    <w:bookmarkStart w:id="84" w:name="page85"/>
    <w:bookmarkEnd w:id="8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1460" w:type="dxa"/>
            <w:vAlign w:val="bottom"/>
            <w:tcBorders>
              <w:top w:val="single" w:sz="8" w:color="auto"/>
              <w:left w:val="single" w:sz="8" w:color="auto"/>
              <w:right w:val="single" w:sz="8" w:color="auto"/>
            </w:tcBorders>
            <w:shd w:val="clear" w:color="auto" w:fill="BFBFBF"/>
          </w:tcPr>
          <w:p>
            <w:pPr>
              <w:spacing w:after="0"/>
              <w:rPr>
                <w:sz w:val="22"/>
                <w:szCs w:val="22"/>
                <w:color w:val="auto"/>
              </w:rPr>
            </w:pPr>
          </w:p>
        </w:tc>
        <w:tc>
          <w:tcPr>
            <w:tcW w:w="1180" w:type="dxa"/>
            <w:vAlign w:val="bottom"/>
            <w:tcBorders>
              <w:top w:val="single" w:sz="8" w:color="auto"/>
              <w:right w:val="single" w:sz="8" w:color="auto"/>
            </w:tcBorders>
            <w:shd w:val="clear" w:color="auto" w:fill="BFBFBF"/>
          </w:tcPr>
          <w:p>
            <w:pPr>
              <w:spacing w:after="0"/>
              <w:rPr>
                <w:sz w:val="22"/>
                <w:szCs w:val="22"/>
                <w:color w:val="auto"/>
              </w:rPr>
            </w:pPr>
          </w:p>
        </w:tc>
        <w:tc>
          <w:tcPr>
            <w:tcW w:w="1000" w:type="dxa"/>
            <w:vAlign w:val="bottom"/>
            <w:tcBorders>
              <w:top w:val="single" w:sz="8" w:color="auto"/>
              <w:right w:val="single" w:sz="8" w:color="auto"/>
            </w:tcBorders>
            <w:shd w:val="clear" w:color="auto" w:fill="BFBFBF"/>
          </w:tcPr>
          <w:p>
            <w:pPr>
              <w:spacing w:after="0"/>
              <w:rPr>
                <w:sz w:val="22"/>
                <w:szCs w:val="22"/>
                <w:color w:val="auto"/>
              </w:rPr>
            </w:pPr>
          </w:p>
        </w:tc>
        <w:tc>
          <w:tcPr>
            <w:tcW w:w="1060" w:type="dxa"/>
            <w:vAlign w:val="bottom"/>
            <w:tcBorders>
              <w:top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color w:val="auto"/>
              </w:rPr>
              <w:t>Specific/</w:t>
            </w:r>
          </w:p>
        </w:tc>
        <w:tc>
          <w:tcPr>
            <w:tcW w:w="1060" w:type="dxa"/>
            <w:vAlign w:val="bottom"/>
            <w:tcBorders>
              <w:top w:val="single" w:sz="8" w:color="auto"/>
              <w:right w:val="single" w:sz="8" w:color="auto"/>
            </w:tcBorders>
            <w:shd w:val="clear" w:color="auto" w:fill="BFBFBF"/>
          </w:tcPr>
          <w:p>
            <w:pPr>
              <w:spacing w:after="0"/>
              <w:rPr>
                <w:sz w:val="22"/>
                <w:szCs w:val="22"/>
                <w:color w:val="auto"/>
              </w:rPr>
            </w:pPr>
          </w:p>
        </w:tc>
        <w:tc>
          <w:tcPr>
            <w:tcW w:w="700" w:type="dxa"/>
            <w:vAlign w:val="bottom"/>
            <w:tcBorders>
              <w:top w:val="single" w:sz="8" w:color="auto"/>
              <w:right w:val="single" w:sz="8" w:color="BFBFBF"/>
            </w:tcBorders>
            <w:shd w:val="clear" w:color="auto" w:fill="BFBFBF"/>
          </w:tcPr>
          <w:p>
            <w:pPr>
              <w:spacing w:after="0"/>
              <w:rPr>
                <w:sz w:val="22"/>
                <w:szCs w:val="22"/>
                <w:color w:val="auto"/>
              </w:rPr>
            </w:pPr>
          </w:p>
        </w:tc>
        <w:tc>
          <w:tcPr>
            <w:tcW w:w="360" w:type="dxa"/>
            <w:vAlign w:val="bottom"/>
            <w:tcBorders>
              <w:top w:val="single" w:sz="8" w:color="auto"/>
              <w:right w:val="single" w:sz="8" w:color="auto"/>
            </w:tcBorders>
            <w:shd w:val="clear" w:color="auto" w:fill="BFBFBF"/>
          </w:tcPr>
          <w:p>
            <w:pPr>
              <w:spacing w:after="0"/>
              <w:rPr>
                <w:sz w:val="22"/>
                <w:szCs w:val="22"/>
                <w:color w:val="auto"/>
              </w:rPr>
            </w:pPr>
          </w:p>
        </w:tc>
        <w:tc>
          <w:tcPr>
            <w:tcW w:w="1040" w:type="dxa"/>
            <w:vAlign w:val="bottom"/>
            <w:tcBorders>
              <w:top w:val="single" w:sz="8" w:color="auto"/>
              <w:right w:val="single" w:sz="8" w:color="auto"/>
            </w:tcBorders>
            <w:shd w:val="clear" w:color="auto" w:fill="BFBFBF"/>
          </w:tcPr>
          <w:p>
            <w:pPr>
              <w:spacing w:after="0"/>
              <w:rPr>
                <w:sz w:val="22"/>
                <w:szCs w:val="22"/>
                <w:color w:val="auto"/>
              </w:rPr>
            </w:pPr>
          </w:p>
        </w:tc>
        <w:tc>
          <w:tcPr>
            <w:tcW w:w="740" w:type="dxa"/>
            <w:vAlign w:val="bottom"/>
            <w:tcBorders>
              <w:top w:val="single" w:sz="8" w:color="auto"/>
              <w:right w:val="single" w:sz="8" w:color="BFBFBF"/>
            </w:tcBorders>
            <w:shd w:val="clear" w:color="auto" w:fill="BFBFBF"/>
          </w:tcPr>
          <w:p>
            <w:pPr>
              <w:spacing w:after="0"/>
              <w:rPr>
                <w:sz w:val="22"/>
                <w:szCs w:val="22"/>
                <w:color w:val="auto"/>
              </w:rPr>
            </w:pPr>
          </w:p>
        </w:tc>
        <w:tc>
          <w:tcPr>
            <w:tcW w:w="120" w:type="dxa"/>
            <w:vAlign w:val="bottom"/>
            <w:tcBorders>
              <w:top w:val="single" w:sz="8" w:color="auto"/>
              <w:right w:val="single" w:sz="8" w:color="auto"/>
            </w:tcBorders>
            <w:shd w:val="clear" w:color="auto" w:fill="BFBFBF"/>
          </w:tcPr>
          <w:p>
            <w:pPr>
              <w:spacing w:after="0"/>
              <w:rPr>
                <w:sz w:val="22"/>
                <w:szCs w:val="22"/>
                <w:color w:val="auto"/>
              </w:rPr>
            </w:pPr>
          </w:p>
        </w:tc>
        <w:tc>
          <w:tcPr>
            <w:tcW w:w="1000" w:type="dxa"/>
            <w:vAlign w:val="bottom"/>
            <w:tcBorders>
              <w:top w:val="single" w:sz="8" w:color="auto"/>
              <w:right w:val="single" w:sz="8" w:color="auto"/>
            </w:tcBorders>
            <w:shd w:val="clear" w:color="auto" w:fill="BFBFBF"/>
          </w:tcPr>
          <w:p>
            <w:pPr>
              <w:spacing w:after="0"/>
              <w:rPr>
                <w:sz w:val="22"/>
                <w:szCs w:val="22"/>
                <w:color w:val="auto"/>
              </w:rPr>
            </w:pPr>
          </w:p>
        </w:tc>
        <w:tc>
          <w:tcPr>
            <w:tcW w:w="1320" w:type="dxa"/>
            <w:vAlign w:val="bottom"/>
            <w:tcBorders>
              <w:top w:val="single" w:sz="8" w:color="auto"/>
              <w:right w:val="single" w:sz="8" w:color="auto"/>
            </w:tcBorders>
            <w:shd w:val="clear" w:color="auto" w:fill="BFBFBF"/>
          </w:tcPr>
          <w:p>
            <w:pPr>
              <w:spacing w:after="0"/>
              <w:rPr>
                <w:sz w:val="22"/>
                <w:szCs w:val="22"/>
                <w:color w:val="auto"/>
              </w:rPr>
            </w:pPr>
          </w:p>
        </w:tc>
      </w:tr>
      <w:tr>
        <w:trPr>
          <w:trHeight w:val="285"/>
        </w:trPr>
        <w:tc>
          <w:tcPr>
            <w:tcW w:w="1460" w:type="dxa"/>
            <w:vAlign w:val="bottom"/>
            <w:tcBorders>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color w:val="auto"/>
              </w:rPr>
              <w:t>Mark</w:t>
            </w:r>
          </w:p>
        </w:tc>
        <w:tc>
          <w:tcPr>
            <w:tcW w:w="118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color w:val="auto"/>
              </w:rPr>
              <w:t>Jurisdiction</w:t>
            </w:r>
          </w:p>
        </w:tc>
        <w:tc>
          <w:tcPr>
            <w:tcW w:w="100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color w:val="auto"/>
              </w:rPr>
              <w:t>Brand</w:t>
            </w:r>
          </w:p>
        </w:tc>
        <w:tc>
          <w:tcPr>
            <w:tcW w:w="1060" w:type="dxa"/>
            <w:vAlign w:val="bottom"/>
            <w:tcBorders>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color w:val="auto"/>
              </w:rPr>
              <w:t>Enterprise</w:t>
            </w:r>
          </w:p>
        </w:tc>
        <w:tc>
          <w:tcPr>
            <w:tcW w:w="106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color w:val="auto"/>
              </w:rPr>
              <w:t>Property</w:t>
            </w:r>
          </w:p>
        </w:tc>
        <w:tc>
          <w:tcPr>
            <w:tcW w:w="1060" w:type="dxa"/>
            <w:vAlign w:val="bottom"/>
            <w:tcBorders>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App. No.</w:t>
            </w:r>
          </w:p>
        </w:tc>
        <w:tc>
          <w:tcPr>
            <w:tcW w:w="104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color w:val="auto"/>
              </w:rPr>
              <w:t>App. Date</w:t>
            </w:r>
          </w:p>
        </w:tc>
        <w:tc>
          <w:tcPr>
            <w:tcW w:w="860" w:type="dxa"/>
            <w:vAlign w:val="bottom"/>
            <w:tcBorders>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w w:val="94"/>
              </w:rPr>
              <w:t>Reg. No.</w:t>
            </w:r>
          </w:p>
        </w:tc>
        <w:tc>
          <w:tcPr>
            <w:tcW w:w="1000" w:type="dxa"/>
            <w:vAlign w:val="bottom"/>
            <w:tcBorders>
              <w:bottom w:val="single" w:sz="8" w:color="auto"/>
              <w:right w:val="single" w:sz="8" w:color="auto"/>
            </w:tcBorders>
            <w:shd w:val="clear" w:color="auto" w:fill="BFBFBF"/>
          </w:tcPr>
          <w:p>
            <w:pPr>
              <w:jc w:val="right"/>
              <w:ind w:right="12"/>
              <w:spacing w:after="0"/>
              <w:rPr>
                <w:sz w:val="20"/>
                <w:szCs w:val="20"/>
                <w:color w:val="auto"/>
              </w:rPr>
            </w:pPr>
            <w:r>
              <w:rPr>
                <w:rFonts w:ascii="Arial" w:cs="Arial" w:eastAsia="Arial" w:hAnsi="Arial"/>
                <w:sz w:val="22"/>
                <w:szCs w:val="22"/>
                <w:color w:val="auto"/>
                <w:w w:val="86"/>
              </w:rPr>
              <w:t>Reg. Date</w:t>
            </w:r>
          </w:p>
        </w:tc>
        <w:tc>
          <w:tcPr>
            <w:tcW w:w="132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color w:val="auto"/>
              </w:rPr>
              <w:t>Status</w:t>
            </w:r>
          </w:p>
        </w:tc>
      </w:tr>
      <w:tr>
        <w:trPr>
          <w:trHeight w:val="249"/>
        </w:trPr>
        <w:tc>
          <w:tcPr>
            <w:tcW w:w="146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Carvings</w:t>
            </w:r>
          </w:p>
        </w:tc>
        <w:tc>
          <w:tcPr>
            <w:tcW w:w="118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United</w:t>
            </w:r>
          </w:p>
        </w:tc>
        <w:tc>
          <w:tcPr>
            <w:tcW w:w="10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Harrah's</w:t>
            </w:r>
          </w:p>
        </w:tc>
        <w:tc>
          <w:tcPr>
            <w:tcW w:w="1060" w:type="dxa"/>
            <w:vAlign w:val="bottom"/>
            <w:tcBorders>
              <w:right w:val="single" w:sz="8" w:color="auto"/>
            </w:tcBorders>
          </w:tcPr>
          <w:p>
            <w:pPr>
              <w:spacing w:after="0" w:line="248" w:lineRule="exact"/>
              <w:rPr>
                <w:sz w:val="20"/>
                <w:szCs w:val="20"/>
                <w:color w:val="auto"/>
              </w:rPr>
            </w:pPr>
            <w:r>
              <w:rPr>
                <w:rFonts w:ascii="Arial" w:cs="Arial" w:eastAsia="Arial" w:hAnsi="Arial"/>
                <w:sz w:val="22"/>
                <w:szCs w:val="22"/>
                <w:color w:val="auto"/>
              </w:rPr>
              <w:t>Specific</w:t>
            </w:r>
          </w:p>
        </w:tc>
        <w:tc>
          <w:tcPr>
            <w:tcW w:w="10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Harrah's</w:t>
            </w:r>
          </w:p>
        </w:tc>
        <w:tc>
          <w:tcPr>
            <w:tcW w:w="1060" w:type="dxa"/>
            <w:vAlign w:val="bottom"/>
            <w:tcBorders>
              <w:right w:val="single" w:sz="8" w:color="auto"/>
            </w:tcBorders>
            <w:gridSpan w:val="2"/>
          </w:tcPr>
          <w:p>
            <w:pPr>
              <w:spacing w:after="0" w:line="248" w:lineRule="exact"/>
              <w:rPr>
                <w:sz w:val="20"/>
                <w:szCs w:val="20"/>
                <w:color w:val="auto"/>
              </w:rPr>
            </w:pPr>
            <w:r>
              <w:rPr>
                <w:rFonts w:ascii="Arial" w:cs="Arial" w:eastAsia="Arial" w:hAnsi="Arial"/>
                <w:sz w:val="22"/>
                <w:szCs w:val="22"/>
                <w:color w:val="auto"/>
                <w:w w:val="98"/>
              </w:rPr>
              <w:t>78/732311</w:t>
            </w:r>
          </w:p>
        </w:tc>
        <w:tc>
          <w:tcPr>
            <w:tcW w:w="10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88"/>
              </w:rPr>
              <w:t>10/13/2005</w:t>
            </w:r>
          </w:p>
        </w:tc>
        <w:tc>
          <w:tcPr>
            <w:tcW w:w="860" w:type="dxa"/>
            <w:vAlign w:val="bottom"/>
            <w:tcBorders>
              <w:right w:val="single" w:sz="8" w:color="auto"/>
            </w:tcBorders>
            <w:gridSpan w:val="2"/>
          </w:tcPr>
          <w:p>
            <w:pPr>
              <w:spacing w:after="0" w:line="248" w:lineRule="exact"/>
              <w:rPr>
                <w:sz w:val="20"/>
                <w:szCs w:val="20"/>
                <w:color w:val="auto"/>
              </w:rPr>
            </w:pPr>
            <w:r>
              <w:rPr>
                <w:rFonts w:ascii="Arial" w:cs="Arial" w:eastAsia="Arial" w:hAnsi="Arial"/>
                <w:sz w:val="22"/>
                <w:szCs w:val="22"/>
                <w:color w:val="auto"/>
                <w:w w:val="95"/>
              </w:rPr>
              <w:t>3141982</w:t>
            </w:r>
          </w:p>
        </w:tc>
        <w:tc>
          <w:tcPr>
            <w:tcW w:w="1000" w:type="dxa"/>
            <w:vAlign w:val="bottom"/>
            <w:tcBorders>
              <w:right w:val="single" w:sz="8" w:color="auto"/>
            </w:tcBorders>
          </w:tcPr>
          <w:p>
            <w:pPr>
              <w:jc w:val="right"/>
              <w:ind w:right="12"/>
              <w:spacing w:after="0" w:line="248" w:lineRule="exact"/>
              <w:rPr>
                <w:sz w:val="20"/>
                <w:szCs w:val="20"/>
                <w:color w:val="auto"/>
              </w:rPr>
            </w:pPr>
            <w:r>
              <w:rPr>
                <w:rFonts w:ascii="Arial" w:cs="Arial" w:eastAsia="Arial" w:hAnsi="Arial"/>
                <w:sz w:val="22"/>
                <w:szCs w:val="22"/>
                <w:color w:val="auto"/>
                <w:w w:val="87"/>
              </w:rPr>
              <w:t>9/12/2006</w:t>
            </w:r>
          </w:p>
        </w:tc>
        <w:tc>
          <w:tcPr>
            <w:tcW w:w="132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Registered</w:t>
            </w: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11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States of</w:t>
            </w:r>
          </w:p>
        </w:tc>
        <w:tc>
          <w:tcPr>
            <w:tcW w:w="100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Reno</w:t>
            </w:r>
          </w:p>
        </w:tc>
        <w:tc>
          <w:tcPr>
            <w:tcW w:w="7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r>
      <w:tr>
        <w:trPr>
          <w:trHeight w:val="285"/>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America</w:t>
            </w:r>
          </w:p>
        </w:tc>
        <w:tc>
          <w:tcPr>
            <w:tcW w:w="10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r>
      <w:tr>
        <w:trPr>
          <w:trHeight w:val="249"/>
        </w:trPr>
        <w:tc>
          <w:tcPr>
            <w:tcW w:w="146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Joy Luck</w:t>
            </w:r>
          </w:p>
        </w:tc>
        <w:tc>
          <w:tcPr>
            <w:tcW w:w="118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United</w:t>
            </w:r>
          </w:p>
        </w:tc>
        <w:tc>
          <w:tcPr>
            <w:tcW w:w="10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Harrah's</w:t>
            </w:r>
          </w:p>
        </w:tc>
        <w:tc>
          <w:tcPr>
            <w:tcW w:w="1060" w:type="dxa"/>
            <w:vAlign w:val="bottom"/>
            <w:tcBorders>
              <w:right w:val="single" w:sz="8" w:color="auto"/>
            </w:tcBorders>
          </w:tcPr>
          <w:p>
            <w:pPr>
              <w:spacing w:after="0" w:line="248" w:lineRule="exact"/>
              <w:rPr>
                <w:sz w:val="20"/>
                <w:szCs w:val="20"/>
                <w:color w:val="auto"/>
              </w:rPr>
            </w:pPr>
            <w:r>
              <w:rPr>
                <w:rFonts w:ascii="Arial" w:cs="Arial" w:eastAsia="Arial" w:hAnsi="Arial"/>
                <w:sz w:val="22"/>
                <w:szCs w:val="22"/>
                <w:color w:val="auto"/>
              </w:rPr>
              <w:t>Specific</w:t>
            </w:r>
          </w:p>
        </w:tc>
        <w:tc>
          <w:tcPr>
            <w:tcW w:w="10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Harrah's</w:t>
            </w:r>
          </w:p>
        </w:tc>
        <w:tc>
          <w:tcPr>
            <w:tcW w:w="1060" w:type="dxa"/>
            <w:vAlign w:val="bottom"/>
            <w:tcBorders>
              <w:right w:val="single" w:sz="8" w:color="auto"/>
            </w:tcBorders>
            <w:gridSpan w:val="2"/>
          </w:tcPr>
          <w:p>
            <w:pPr>
              <w:spacing w:after="0" w:line="248" w:lineRule="exact"/>
              <w:rPr>
                <w:sz w:val="20"/>
                <w:szCs w:val="20"/>
                <w:color w:val="auto"/>
              </w:rPr>
            </w:pPr>
            <w:r>
              <w:rPr>
                <w:rFonts w:ascii="Arial" w:cs="Arial" w:eastAsia="Arial" w:hAnsi="Arial"/>
                <w:sz w:val="22"/>
                <w:szCs w:val="22"/>
                <w:color w:val="auto"/>
                <w:w w:val="98"/>
              </w:rPr>
              <w:t>77/634470</w:t>
            </w:r>
          </w:p>
        </w:tc>
        <w:tc>
          <w:tcPr>
            <w:tcW w:w="10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88"/>
              </w:rPr>
              <w:t>12/16/2008</w:t>
            </w:r>
          </w:p>
        </w:tc>
        <w:tc>
          <w:tcPr>
            <w:tcW w:w="860" w:type="dxa"/>
            <w:vAlign w:val="bottom"/>
            <w:tcBorders>
              <w:right w:val="single" w:sz="8" w:color="auto"/>
            </w:tcBorders>
            <w:gridSpan w:val="2"/>
          </w:tcPr>
          <w:p>
            <w:pPr>
              <w:spacing w:after="0" w:line="248" w:lineRule="exact"/>
              <w:rPr>
                <w:sz w:val="20"/>
                <w:szCs w:val="20"/>
                <w:color w:val="auto"/>
              </w:rPr>
            </w:pPr>
            <w:r>
              <w:rPr>
                <w:rFonts w:ascii="Arial" w:cs="Arial" w:eastAsia="Arial" w:hAnsi="Arial"/>
                <w:sz w:val="22"/>
                <w:szCs w:val="22"/>
                <w:color w:val="auto"/>
                <w:w w:val="95"/>
              </w:rPr>
              <w:t>3647464</w:t>
            </w:r>
          </w:p>
        </w:tc>
        <w:tc>
          <w:tcPr>
            <w:tcW w:w="1000" w:type="dxa"/>
            <w:vAlign w:val="bottom"/>
            <w:tcBorders>
              <w:right w:val="single" w:sz="8" w:color="auto"/>
            </w:tcBorders>
          </w:tcPr>
          <w:p>
            <w:pPr>
              <w:jc w:val="right"/>
              <w:ind w:right="12"/>
              <w:spacing w:after="0" w:line="248" w:lineRule="exact"/>
              <w:rPr>
                <w:sz w:val="20"/>
                <w:szCs w:val="20"/>
                <w:color w:val="auto"/>
              </w:rPr>
            </w:pPr>
            <w:r>
              <w:rPr>
                <w:rFonts w:ascii="Arial" w:cs="Arial" w:eastAsia="Arial" w:hAnsi="Arial"/>
                <w:sz w:val="22"/>
                <w:szCs w:val="22"/>
                <w:color w:val="auto"/>
                <w:w w:val="87"/>
              </w:rPr>
              <w:t>6/30/2009</w:t>
            </w:r>
          </w:p>
        </w:tc>
        <w:tc>
          <w:tcPr>
            <w:tcW w:w="132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Registered</w:t>
            </w:r>
          </w:p>
        </w:tc>
      </w:tr>
      <w:tr>
        <w:trPr>
          <w:trHeight w:val="243"/>
        </w:trPr>
        <w:tc>
          <w:tcPr>
            <w:tcW w:w="146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Noodle Bar</w:t>
            </w:r>
          </w:p>
        </w:tc>
        <w:tc>
          <w:tcPr>
            <w:tcW w:w="11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States of</w:t>
            </w:r>
          </w:p>
        </w:tc>
        <w:tc>
          <w:tcPr>
            <w:tcW w:w="100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Reno</w:t>
            </w:r>
          </w:p>
        </w:tc>
        <w:tc>
          <w:tcPr>
            <w:tcW w:w="7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r>
      <w:tr>
        <w:trPr>
          <w:trHeight w:val="285"/>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America</w:t>
            </w:r>
          </w:p>
        </w:tc>
        <w:tc>
          <w:tcPr>
            <w:tcW w:w="10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r>
      <w:tr>
        <w:trPr>
          <w:trHeight w:val="135"/>
        </w:trPr>
        <w:tc>
          <w:tcPr>
            <w:tcW w:w="1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3"/>
          </w:tcPr>
          <w:p>
            <w:pPr>
              <w:spacing w:after="0"/>
              <w:rPr>
                <w:sz w:val="11"/>
                <w:szCs w:val="11"/>
                <w:color w:val="auto"/>
              </w:rPr>
            </w:pPr>
          </w:p>
        </w:tc>
      </w:tr>
      <w:tr>
        <w:trPr>
          <w:trHeight w:val="284"/>
        </w:trPr>
        <w:tc>
          <w:tcPr>
            <w:tcW w:w="1460" w:type="dxa"/>
            <w:vAlign w:val="bottom"/>
            <w:tcBorders>
              <w:left w:val="single" w:sz="8" w:color="auto"/>
              <w:bottom w:val="single" w:sz="8" w:color="auto"/>
              <w:right w:val="single" w:sz="8" w:color="BFBFBF"/>
            </w:tcBorders>
            <w:shd w:val="clear" w:color="auto" w:fill="BFBFBF"/>
          </w:tcPr>
          <w:p>
            <w:pPr>
              <w:ind w:left="40"/>
              <w:spacing w:after="0"/>
              <w:rPr>
                <w:sz w:val="20"/>
                <w:szCs w:val="20"/>
                <w:color w:val="auto"/>
              </w:rPr>
            </w:pPr>
            <w:r>
              <w:rPr>
                <w:rFonts w:ascii="Arial" w:cs="Arial" w:eastAsia="Arial" w:hAnsi="Arial"/>
                <w:sz w:val="22"/>
                <w:szCs w:val="22"/>
                <w:color w:val="auto"/>
                <w:w w:val="98"/>
              </w:rPr>
              <w:t>Domain Name</w:t>
            </w:r>
          </w:p>
        </w:tc>
        <w:tc>
          <w:tcPr>
            <w:tcW w:w="1180" w:type="dxa"/>
            <w:vAlign w:val="bottom"/>
            <w:tcBorders>
              <w:bottom w:val="single" w:sz="8" w:color="auto"/>
              <w:right w:val="single" w:sz="8" w:color="BFBFBF"/>
            </w:tcBorders>
            <w:shd w:val="clear" w:color="auto" w:fill="BFBFBF"/>
          </w:tcPr>
          <w:p>
            <w:pPr>
              <w:spacing w:after="0"/>
              <w:rPr>
                <w:sz w:val="24"/>
                <w:szCs w:val="24"/>
                <w:color w:val="auto"/>
              </w:rPr>
            </w:pPr>
          </w:p>
        </w:tc>
        <w:tc>
          <w:tcPr>
            <w:tcW w:w="1000" w:type="dxa"/>
            <w:vAlign w:val="bottom"/>
            <w:tcBorders>
              <w:bottom w:val="single" w:sz="8" w:color="auto"/>
              <w:right w:val="single" w:sz="8" w:color="auto"/>
            </w:tcBorders>
            <w:shd w:val="clear" w:color="auto" w:fill="BFBFBF"/>
          </w:tcPr>
          <w:p>
            <w:pPr>
              <w:spacing w:after="0"/>
              <w:rPr>
                <w:sz w:val="24"/>
                <w:szCs w:val="24"/>
                <w:color w:val="auto"/>
              </w:rPr>
            </w:pPr>
          </w:p>
        </w:tc>
        <w:tc>
          <w:tcPr>
            <w:tcW w:w="1060" w:type="dxa"/>
            <w:vAlign w:val="bottom"/>
            <w:tcBorders>
              <w:bottom w:val="single" w:sz="8" w:color="auto"/>
              <w:right w:val="single" w:sz="8" w:color="BFBFBF"/>
            </w:tcBorders>
            <w:shd w:val="clear" w:color="auto" w:fill="BFBFBF"/>
          </w:tcPr>
          <w:p>
            <w:pPr>
              <w:ind w:left="20"/>
              <w:spacing w:after="0"/>
              <w:rPr>
                <w:sz w:val="20"/>
                <w:szCs w:val="20"/>
                <w:color w:val="auto"/>
              </w:rPr>
            </w:pPr>
            <w:r>
              <w:rPr>
                <w:rFonts w:ascii="Arial" w:cs="Arial" w:eastAsia="Arial" w:hAnsi="Arial"/>
                <w:sz w:val="22"/>
                <w:szCs w:val="22"/>
                <w:color w:val="auto"/>
              </w:rPr>
              <w:t>Brand</w:t>
            </w:r>
          </w:p>
        </w:tc>
        <w:tc>
          <w:tcPr>
            <w:tcW w:w="1060" w:type="dxa"/>
            <w:vAlign w:val="bottom"/>
            <w:tcBorders>
              <w:bottom w:val="single" w:sz="8" w:color="auto"/>
              <w:right w:val="single" w:sz="8" w:color="BFBFBF"/>
            </w:tcBorders>
            <w:shd w:val="clear" w:color="auto" w:fill="BFBFBF"/>
          </w:tcPr>
          <w:p>
            <w:pPr>
              <w:spacing w:after="0"/>
              <w:rPr>
                <w:sz w:val="24"/>
                <w:szCs w:val="24"/>
                <w:color w:val="auto"/>
              </w:rPr>
            </w:pPr>
          </w:p>
        </w:tc>
        <w:tc>
          <w:tcPr>
            <w:tcW w:w="700" w:type="dxa"/>
            <w:vAlign w:val="bottom"/>
            <w:tcBorders>
              <w:bottom w:val="single" w:sz="8" w:color="auto"/>
              <w:right w:val="single" w:sz="8" w:color="auto"/>
            </w:tcBorders>
            <w:shd w:val="clear" w:color="auto" w:fill="BFBFBF"/>
          </w:tcPr>
          <w:p>
            <w:pPr>
              <w:spacing w:after="0"/>
              <w:rPr>
                <w:sz w:val="24"/>
                <w:szCs w:val="24"/>
                <w:color w:val="auto"/>
              </w:rPr>
            </w:pPr>
          </w:p>
        </w:tc>
        <w:tc>
          <w:tcPr>
            <w:tcW w:w="1400" w:type="dxa"/>
            <w:vAlign w:val="bottom"/>
            <w:tcBorders>
              <w:bottom w:val="single" w:sz="8" w:color="auto"/>
              <w:right w:val="single" w:sz="8" w:color="BFBFBF"/>
            </w:tcBorders>
            <w:gridSpan w:val="2"/>
            <w:shd w:val="clear" w:color="auto" w:fill="BFBFBF"/>
          </w:tcPr>
          <w:p>
            <w:pPr>
              <w:ind w:left="20"/>
              <w:spacing w:after="0"/>
              <w:rPr>
                <w:sz w:val="20"/>
                <w:szCs w:val="20"/>
                <w:color w:val="auto"/>
              </w:rPr>
            </w:pPr>
            <w:r>
              <w:rPr>
                <w:rFonts w:ascii="Arial" w:cs="Arial" w:eastAsia="Arial" w:hAnsi="Arial"/>
                <w:sz w:val="22"/>
                <w:szCs w:val="22"/>
                <w:color w:val="auto"/>
              </w:rPr>
              <w:t>Reg. Date</w:t>
            </w:r>
          </w:p>
        </w:tc>
        <w:tc>
          <w:tcPr>
            <w:tcW w:w="740" w:type="dxa"/>
            <w:vAlign w:val="bottom"/>
            <w:tcBorders>
              <w:bottom w:val="single" w:sz="8" w:color="auto"/>
              <w:right w:val="single" w:sz="8" w:color="auto"/>
            </w:tcBorders>
            <w:shd w:val="clear" w:color="auto" w:fill="BFBFBF"/>
          </w:tcPr>
          <w:p>
            <w:pPr>
              <w:spacing w:after="0"/>
              <w:rPr>
                <w:sz w:val="24"/>
                <w:szCs w:val="24"/>
                <w:color w:val="auto"/>
              </w:rPr>
            </w:pPr>
          </w:p>
        </w:tc>
        <w:tc>
          <w:tcPr>
            <w:tcW w:w="2440" w:type="dxa"/>
            <w:vAlign w:val="bottom"/>
            <w:tcBorders>
              <w:bottom w:val="single" w:sz="8" w:color="auto"/>
              <w:right w:val="single" w:sz="8" w:color="auto"/>
            </w:tcBorders>
            <w:gridSpan w:val="3"/>
            <w:shd w:val="clear" w:color="auto" w:fill="BFBFBF"/>
          </w:tcPr>
          <w:p>
            <w:pPr>
              <w:ind w:left="20"/>
              <w:spacing w:after="0"/>
              <w:rPr>
                <w:sz w:val="20"/>
                <w:szCs w:val="20"/>
                <w:color w:val="auto"/>
              </w:rPr>
            </w:pPr>
            <w:r>
              <w:rPr>
                <w:rFonts w:ascii="Arial" w:cs="Arial" w:eastAsia="Arial" w:hAnsi="Arial"/>
                <w:sz w:val="22"/>
                <w:szCs w:val="22"/>
                <w:color w:val="auto"/>
              </w:rPr>
              <w:t>Registry Expiry Date</w:t>
            </w:r>
          </w:p>
        </w:tc>
      </w:tr>
      <w:tr>
        <w:trPr>
          <w:trHeight w:val="290"/>
        </w:trPr>
        <w:tc>
          <w:tcPr>
            <w:tcW w:w="26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2"/>
                <w:szCs w:val="22"/>
                <w:color w:val="auto"/>
              </w:rPr>
              <w:t>renonumbers.com</w:t>
            </w:r>
          </w:p>
        </w:tc>
        <w:tc>
          <w:tcPr>
            <w:tcW w:w="100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Harrah's Reno</w:t>
            </w:r>
          </w:p>
        </w:tc>
        <w:tc>
          <w:tcPr>
            <w:tcW w:w="7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2001-05-18</w:t>
            </w:r>
          </w:p>
        </w:tc>
        <w:tc>
          <w:tcPr>
            <w:tcW w:w="7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8"/>
              </w:rPr>
              <w:t>2021-05-18</w:t>
            </w:r>
          </w:p>
        </w:tc>
        <w:tc>
          <w:tcPr>
            <w:tcW w:w="1320" w:type="dxa"/>
            <w:vAlign w:val="bottom"/>
            <w:tcBorders>
              <w:bottom w:val="single" w:sz="8" w:color="auto"/>
              <w:right w:val="single" w:sz="8" w:color="auto"/>
            </w:tcBorders>
          </w:tcPr>
          <w:p>
            <w:pPr>
              <w:spacing w:after="0"/>
              <w:rPr>
                <w:sz w:val="24"/>
                <w:szCs w:val="24"/>
                <w:color w:val="auto"/>
              </w:rPr>
            </w:pPr>
          </w:p>
        </w:tc>
      </w:tr>
      <w:tr>
        <w:trPr>
          <w:trHeight w:val="291"/>
        </w:trPr>
        <w:tc>
          <w:tcPr>
            <w:tcW w:w="26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2"/>
                <w:szCs w:val="22"/>
                <w:color w:val="auto"/>
              </w:rPr>
              <w:t>renoweddingchapel.com</w:t>
            </w:r>
          </w:p>
        </w:tc>
        <w:tc>
          <w:tcPr>
            <w:tcW w:w="100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Harrah's Reno</w:t>
            </w:r>
          </w:p>
        </w:tc>
        <w:tc>
          <w:tcPr>
            <w:tcW w:w="7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2000-01-19</w:t>
            </w:r>
          </w:p>
        </w:tc>
        <w:tc>
          <w:tcPr>
            <w:tcW w:w="7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8"/>
              </w:rPr>
              <w:t>2022-01-19</w:t>
            </w:r>
          </w:p>
        </w:tc>
        <w:tc>
          <w:tcPr>
            <w:tcW w:w="132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jc w:val="both"/>
        <w:ind w:left="980" w:hanging="324"/>
        <w:spacing w:after="0" w:line="297" w:lineRule="auto"/>
        <w:tabs>
          <w:tab w:leader="none" w:pos="95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Description of Title Policies</w:t>
      </w:r>
      <w:r>
        <w:rPr>
          <w:rFonts w:ascii="Arial" w:cs="Arial" w:eastAsia="Arial" w:hAnsi="Arial"/>
          <w:sz w:val="19"/>
          <w:szCs w:val="19"/>
          <w:color w:val="auto"/>
        </w:rPr>
        <w:t>. The list of Title Policies set forth on Exhibit J annexed to the Lease is hereby amended such that the reference thereon to the Title Policy relating solely to the Harrah’s Reno Facility is hereby amended and shall be deemed to refer only to the portions of such Title Policy that pertain to the Leased Property (Reno Billboard).</w:t>
      </w:r>
    </w:p>
    <w:p>
      <w:pPr>
        <w:spacing w:after="0" w:line="133" w:lineRule="exact"/>
        <w:rPr>
          <w:rFonts w:ascii="Arial" w:cs="Arial" w:eastAsia="Arial" w:hAnsi="Arial"/>
          <w:sz w:val="19"/>
          <w:szCs w:val="19"/>
          <w:color w:val="auto"/>
        </w:rPr>
      </w:pPr>
    </w:p>
    <w:p>
      <w:pPr>
        <w:ind w:left="980" w:hanging="324"/>
        <w:spacing w:after="0" w:line="250" w:lineRule="auto"/>
        <w:tabs>
          <w:tab w:leader="none" w:pos="96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Managed Facilities IP Trademarks</w:t>
      </w:r>
      <w:r>
        <w:rPr>
          <w:rFonts w:ascii="Arial" w:cs="Arial" w:eastAsia="Arial" w:hAnsi="Arial"/>
          <w:sz w:val="22"/>
          <w:szCs w:val="22"/>
          <w:color w:val="auto"/>
        </w:rPr>
        <w:t>. The list of Managed Facilities IP set forth on Exhibit P annexed to the Lease is hereby amended such that “Harrah’s Reno” is hereby deleted from said Exhibit P.</w:t>
      </w:r>
    </w:p>
    <w:p>
      <w:pPr>
        <w:spacing w:after="0" w:line="174" w:lineRule="exact"/>
        <w:rPr>
          <w:rFonts w:ascii="Arial" w:cs="Arial" w:eastAsia="Arial" w:hAnsi="Arial"/>
          <w:sz w:val="22"/>
          <w:szCs w:val="22"/>
          <w:color w:val="auto"/>
        </w:rPr>
      </w:pPr>
    </w:p>
    <w:p>
      <w:pPr>
        <w:jc w:val="both"/>
        <w:ind w:left="980" w:hanging="324"/>
        <w:spacing w:after="0"/>
        <w:tabs>
          <w:tab w:leader="none" w:pos="97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Gaming Licenses</w:t>
      </w:r>
      <w:r>
        <w:rPr>
          <w:rFonts w:ascii="Arial" w:cs="Arial" w:eastAsia="Arial" w:hAnsi="Arial"/>
          <w:sz w:val="22"/>
          <w:szCs w:val="22"/>
          <w:color w:val="auto"/>
        </w:rPr>
        <w:t>. The list of Gaming Licenses set forth on Schedule 1 annexed to the Lease is hereby amended such that the Gaming License bearing Unique ID 00718-02 relating to the Harrah’s Reno Facility is hereby deleted from said Schedule 1.</w:t>
      </w:r>
    </w:p>
    <w:p>
      <w:pPr>
        <w:spacing w:after="0" w:line="186" w:lineRule="exact"/>
        <w:rPr>
          <w:rFonts w:ascii="Arial" w:cs="Arial" w:eastAsia="Arial" w:hAnsi="Arial"/>
          <w:sz w:val="22"/>
          <w:szCs w:val="22"/>
          <w:color w:val="auto"/>
        </w:rPr>
      </w:pPr>
    </w:p>
    <w:p>
      <w:pPr>
        <w:jc w:val="both"/>
        <w:ind w:left="980" w:hanging="324"/>
        <w:spacing w:after="0"/>
        <w:tabs>
          <w:tab w:leader="none" w:pos="979"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Maximum Fixed Rent Term</w:t>
      </w:r>
      <w:r>
        <w:rPr>
          <w:rFonts w:ascii="Arial" w:cs="Arial" w:eastAsia="Arial" w:hAnsi="Arial"/>
          <w:sz w:val="22"/>
          <w:szCs w:val="22"/>
          <w:color w:val="auto"/>
        </w:rPr>
        <w:t>. The schedule setting forth the Maximum Fixed Rent Term with respect to each Facility set forth on Schedule 3 annexed to the Lease is hereby amended such that the reference to “Harrah’s Reno” thereon is deleted and replaced with a reference to “Reno Billboard Parcel”.</w:t>
      </w:r>
    </w:p>
    <w:p>
      <w:pPr>
        <w:spacing w:after="0" w:line="200" w:lineRule="exact"/>
        <w:rPr>
          <w:sz w:val="20"/>
          <w:szCs w:val="20"/>
          <w:color w:val="auto"/>
        </w:rPr>
      </w:pPr>
    </w:p>
    <w:p>
      <w:pPr>
        <w:ind w:left="980" w:right="140" w:hanging="323"/>
        <w:spacing w:after="0" w:line="276" w:lineRule="auto"/>
        <w:rPr>
          <w:sz w:val="20"/>
          <w:szCs w:val="20"/>
          <w:color w:val="auto"/>
        </w:rPr>
      </w:pPr>
      <w:r>
        <w:rPr>
          <w:rFonts w:ascii="Arial" w:cs="Arial" w:eastAsia="Arial" w:hAnsi="Arial"/>
          <w:sz w:val="20"/>
          <w:szCs w:val="20"/>
          <w:u w:val="single" w:color="auto"/>
          <w:color w:val="auto"/>
        </w:rPr>
        <w:t>viii.</w:t>
      </w:r>
      <w:r>
        <w:rPr>
          <w:rFonts w:ascii="Arial" w:cs="Arial" w:eastAsia="Arial" w:hAnsi="Arial"/>
          <w:sz w:val="21"/>
          <w:szCs w:val="21"/>
          <w:u w:val="single" w:color="auto"/>
          <w:color w:val="auto"/>
        </w:rPr>
        <w:t>Specified Subleases</w:t>
      </w:r>
      <w:r>
        <w:rPr>
          <w:rFonts w:ascii="Arial" w:cs="Arial" w:eastAsia="Arial" w:hAnsi="Arial"/>
          <w:sz w:val="21"/>
          <w:szCs w:val="21"/>
          <w:color w:val="auto"/>
        </w:rPr>
        <w:t>. The list of Specified Subleases set forth on Schedule 4 annexed to the Lease is hereby amended</w:t>
      </w:r>
      <w:r>
        <w:rPr>
          <w:rFonts w:ascii="Arial" w:cs="Arial" w:eastAsia="Arial" w:hAnsi="Arial"/>
          <w:sz w:val="20"/>
          <w:szCs w:val="20"/>
          <w:color w:val="auto"/>
        </w:rPr>
        <w:t xml:space="preserve"> </w:t>
      </w:r>
      <w:r>
        <w:rPr>
          <w:rFonts w:ascii="Arial" w:cs="Arial" w:eastAsia="Arial" w:hAnsi="Arial"/>
          <w:sz w:val="21"/>
          <w:szCs w:val="21"/>
          <w:color w:val="auto"/>
        </w:rPr>
        <w:t>such that (a) the Specified Subleases bearing Contract ID Nos. 7721, 14991, 14992, 15086, 9761, 7724, 7001, 7142, 7333, 14922, 14923, 14924, 14925, (b) the two (2) additional Specified Subleases pertaining solely to the Harrah’s Reno Facility that do not have a Contract ID No. are hereby deleted from said Schedule 4 and (c) the following Sublease is hereby added to said Schedule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40" w:right="379" w:bottom="1440" w:gutter="0" w:footer="0" w:header="0"/>
        </w:sectPr>
      </w:pPr>
    </w:p>
    <w:bookmarkStart w:id="85" w:name="page86"/>
    <w:bookmarkEnd w:id="8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Contract</w:t>
            </w:r>
          </w:p>
        </w:tc>
        <w:tc>
          <w:tcPr>
            <w:tcW w:w="144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22"/>
                <w:szCs w:val="22"/>
                <w:b w:val="1"/>
                <w:bCs w:val="1"/>
                <w:color w:val="auto"/>
              </w:rPr>
              <w:t>Debtor(s)</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Property</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16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22"/>
                <w:szCs w:val="22"/>
                <w:b w:val="1"/>
                <w:bCs w:val="1"/>
                <w:color w:val="auto"/>
              </w:rPr>
              <w:t>Counterparty</w:t>
            </w:r>
          </w:p>
        </w:tc>
        <w:tc>
          <w:tcPr>
            <w:tcW w:w="186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22"/>
                <w:szCs w:val="22"/>
                <w:b w:val="1"/>
                <w:bCs w:val="1"/>
                <w:color w:val="auto"/>
              </w:rPr>
              <w:t>Description</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Contract</w:t>
            </w:r>
          </w:p>
        </w:tc>
        <w:tc>
          <w:tcPr>
            <w:tcW w:w="150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File Name</w:t>
            </w:r>
          </w:p>
        </w:tc>
      </w:tr>
      <w:tr>
        <w:trPr>
          <w:trHeight w:val="291"/>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rPr>
              <w:t>ID</w:t>
            </w:r>
          </w:p>
        </w:tc>
        <w:tc>
          <w:tcPr>
            <w:tcW w:w="14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Name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Operation</w:t>
            </w:r>
          </w:p>
        </w:tc>
        <w:tc>
          <w:tcPr>
            <w:tcW w:w="160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Date</w:t>
            </w:r>
          </w:p>
        </w:tc>
        <w:tc>
          <w:tcPr>
            <w:tcW w:w="1500" w:type="dxa"/>
            <w:vAlign w:val="bottom"/>
            <w:tcBorders>
              <w:bottom w:val="single" w:sz="8" w:color="auto"/>
              <w:right w:val="single" w:sz="8" w:color="auto"/>
            </w:tcBorders>
          </w:tcPr>
          <w:p>
            <w:pPr>
              <w:spacing w:after="0"/>
              <w:rPr>
                <w:sz w:val="24"/>
                <w:szCs w:val="24"/>
                <w:color w:val="auto"/>
              </w:rPr>
            </w:pPr>
          </w:p>
        </w:tc>
      </w:tr>
      <w:tr>
        <w:trPr>
          <w:trHeight w:val="249"/>
        </w:trPr>
        <w:tc>
          <w:tcPr>
            <w:tcW w:w="102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N/A</w:t>
            </w:r>
          </w:p>
        </w:tc>
        <w:tc>
          <w:tcPr>
            <w:tcW w:w="14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CEOC, LLC,</w:t>
            </w:r>
          </w:p>
        </w:tc>
        <w:tc>
          <w:tcPr>
            <w:tcW w:w="1180" w:type="dxa"/>
            <w:vAlign w:val="bottom"/>
            <w:tcBorders>
              <w:right w:val="single" w:sz="8" w:color="auto"/>
            </w:tcBorders>
          </w:tcPr>
          <w:p>
            <w:pPr>
              <w:spacing w:after="0" w:line="248" w:lineRule="exact"/>
              <w:rPr>
                <w:sz w:val="20"/>
                <w:szCs w:val="20"/>
                <w:color w:val="auto"/>
              </w:rPr>
            </w:pPr>
            <w:r>
              <w:rPr>
                <w:rFonts w:ascii="Arial" w:cs="Arial" w:eastAsia="Arial" w:hAnsi="Arial"/>
                <w:sz w:val="22"/>
                <w:szCs w:val="22"/>
                <w:color w:val="auto"/>
              </w:rPr>
              <w:t>Reno</w:t>
            </w:r>
          </w:p>
        </w:tc>
        <w:tc>
          <w:tcPr>
            <w:tcW w:w="1200" w:type="dxa"/>
            <w:vAlign w:val="bottom"/>
            <w:tcBorders>
              <w:right w:val="single" w:sz="8" w:color="auto"/>
            </w:tcBorders>
          </w:tcPr>
          <w:p>
            <w:pPr>
              <w:spacing w:after="0" w:line="248" w:lineRule="exact"/>
              <w:rPr>
                <w:sz w:val="20"/>
                <w:szCs w:val="20"/>
                <w:color w:val="auto"/>
              </w:rPr>
            </w:pPr>
            <w:r>
              <w:rPr>
                <w:rFonts w:ascii="Arial" w:cs="Arial" w:eastAsia="Arial" w:hAnsi="Arial"/>
                <w:sz w:val="22"/>
                <w:szCs w:val="22"/>
                <w:color w:val="auto"/>
              </w:rPr>
              <w:t>I-80</w:t>
            </w:r>
          </w:p>
        </w:tc>
        <w:tc>
          <w:tcPr>
            <w:tcW w:w="16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8"/>
              </w:rPr>
              <w:t>Donrey Outdoor</w:t>
            </w:r>
          </w:p>
        </w:tc>
        <w:tc>
          <w:tcPr>
            <w:tcW w:w="18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Lease Agreement</w:t>
            </w:r>
          </w:p>
        </w:tc>
        <w:tc>
          <w:tcPr>
            <w:tcW w:w="1220" w:type="dxa"/>
            <w:vAlign w:val="bottom"/>
            <w:tcBorders>
              <w:right w:val="single" w:sz="8" w:color="auto"/>
            </w:tcBorders>
          </w:tcPr>
          <w:p>
            <w:pPr>
              <w:jc w:val="right"/>
              <w:ind w:right="332"/>
              <w:spacing w:after="0" w:line="248" w:lineRule="exact"/>
              <w:rPr>
                <w:sz w:val="20"/>
                <w:szCs w:val="20"/>
                <w:color w:val="auto"/>
              </w:rPr>
            </w:pPr>
            <w:r>
              <w:rPr>
                <w:rFonts w:ascii="Arial" w:cs="Arial" w:eastAsia="Arial" w:hAnsi="Arial"/>
                <w:sz w:val="22"/>
                <w:szCs w:val="22"/>
                <w:color w:val="auto"/>
                <w:w w:val="88"/>
              </w:rPr>
              <w:t>8/8/1985</w:t>
            </w:r>
          </w:p>
        </w:tc>
        <w:tc>
          <w:tcPr>
            <w:tcW w:w="15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I-80 Parcel</w:t>
            </w:r>
          </w:p>
        </w:tc>
      </w:tr>
      <w:tr>
        <w:trPr>
          <w:trHeight w:val="243"/>
        </w:trPr>
        <w:tc>
          <w:tcPr>
            <w:tcW w:w="1020" w:type="dxa"/>
            <w:vAlign w:val="bottom"/>
            <w:tcBorders>
              <w:left w:val="single" w:sz="8" w:color="auto"/>
              <w:right w:val="single" w:sz="8" w:color="auto"/>
            </w:tcBorders>
          </w:tcPr>
          <w:p>
            <w:pPr>
              <w:spacing w:after="0"/>
              <w:rPr>
                <w:sz w:val="21"/>
                <w:szCs w:val="21"/>
                <w:color w:val="auto"/>
              </w:rPr>
            </w:pPr>
          </w:p>
        </w:tc>
        <w:tc>
          <w:tcPr>
            <w:tcW w:w="14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successor in</w:t>
            </w:r>
          </w:p>
        </w:tc>
        <w:tc>
          <w:tcPr>
            <w:tcW w:w="118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Billboard</w:t>
            </w:r>
          </w:p>
        </w:tc>
        <w:tc>
          <w:tcPr>
            <w:tcW w:w="120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Billboard</w:t>
            </w:r>
          </w:p>
        </w:tc>
        <w:tc>
          <w:tcPr>
            <w:tcW w:w="16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Advertising</w:t>
            </w:r>
          </w:p>
        </w:tc>
        <w:tc>
          <w:tcPr>
            <w:tcW w:w="186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4"/>
              </w:rPr>
              <w:t>Billboard Lease</w:t>
            </w:r>
          </w:p>
        </w:tc>
      </w:tr>
      <w:tr>
        <w:trPr>
          <w:trHeight w:val="243"/>
        </w:trPr>
        <w:tc>
          <w:tcPr>
            <w:tcW w:w="1020" w:type="dxa"/>
            <w:vAlign w:val="bottom"/>
            <w:tcBorders>
              <w:left w:val="single" w:sz="8" w:color="auto"/>
              <w:right w:val="single" w:sz="8" w:color="auto"/>
            </w:tcBorders>
          </w:tcPr>
          <w:p>
            <w:pPr>
              <w:spacing w:after="0"/>
              <w:rPr>
                <w:sz w:val="21"/>
                <w:szCs w:val="21"/>
                <w:color w:val="auto"/>
              </w:rPr>
            </w:pPr>
          </w:p>
        </w:tc>
        <w:tc>
          <w:tcPr>
            <w:tcW w:w="14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interest by</w:t>
            </w:r>
          </w:p>
        </w:tc>
        <w:tc>
          <w:tcPr>
            <w:tcW w:w="118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Parcel</w:t>
            </w:r>
          </w:p>
        </w:tc>
        <w:tc>
          <w:tcPr>
            <w:tcW w:w="120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Company</w:t>
            </w:r>
          </w:p>
        </w:tc>
        <w:tc>
          <w:tcPr>
            <w:tcW w:w="186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accounting.pdf</w:t>
            </w:r>
          </w:p>
        </w:tc>
      </w:tr>
      <w:tr>
        <w:trPr>
          <w:trHeight w:val="243"/>
        </w:trPr>
        <w:tc>
          <w:tcPr>
            <w:tcW w:w="1020" w:type="dxa"/>
            <w:vAlign w:val="bottom"/>
            <w:tcBorders>
              <w:left w:val="single" w:sz="8" w:color="auto"/>
              <w:right w:val="single" w:sz="8" w:color="auto"/>
            </w:tcBorders>
          </w:tcPr>
          <w:p>
            <w:pPr>
              <w:spacing w:after="0"/>
              <w:rPr>
                <w:sz w:val="21"/>
                <w:szCs w:val="21"/>
                <w:color w:val="auto"/>
              </w:rPr>
            </w:pPr>
          </w:p>
        </w:tc>
        <w:tc>
          <w:tcPr>
            <w:tcW w:w="14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merger to</w:t>
            </w:r>
          </w:p>
        </w:tc>
        <w:tc>
          <w:tcPr>
            <w:tcW w:w="118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243"/>
        </w:trPr>
        <w:tc>
          <w:tcPr>
            <w:tcW w:w="1020" w:type="dxa"/>
            <w:vAlign w:val="bottom"/>
            <w:tcBorders>
              <w:left w:val="single" w:sz="8" w:color="auto"/>
              <w:right w:val="single" w:sz="8" w:color="auto"/>
            </w:tcBorders>
          </w:tcPr>
          <w:p>
            <w:pPr>
              <w:spacing w:after="0"/>
              <w:rPr>
                <w:sz w:val="21"/>
                <w:szCs w:val="21"/>
                <w:color w:val="auto"/>
              </w:rPr>
            </w:pPr>
          </w:p>
        </w:tc>
        <w:tc>
          <w:tcPr>
            <w:tcW w:w="14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Caesars</w:t>
            </w:r>
          </w:p>
        </w:tc>
        <w:tc>
          <w:tcPr>
            <w:tcW w:w="118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243"/>
        </w:trPr>
        <w:tc>
          <w:tcPr>
            <w:tcW w:w="1020" w:type="dxa"/>
            <w:vAlign w:val="bottom"/>
            <w:tcBorders>
              <w:left w:val="single" w:sz="8" w:color="auto"/>
              <w:right w:val="single" w:sz="8" w:color="auto"/>
            </w:tcBorders>
          </w:tcPr>
          <w:p>
            <w:pPr>
              <w:spacing w:after="0"/>
              <w:rPr>
                <w:sz w:val="21"/>
                <w:szCs w:val="21"/>
                <w:color w:val="auto"/>
              </w:rPr>
            </w:pPr>
          </w:p>
        </w:tc>
        <w:tc>
          <w:tcPr>
            <w:tcW w:w="14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Entertainment</w:t>
            </w:r>
          </w:p>
        </w:tc>
        <w:tc>
          <w:tcPr>
            <w:tcW w:w="118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243"/>
        </w:trPr>
        <w:tc>
          <w:tcPr>
            <w:tcW w:w="1020" w:type="dxa"/>
            <w:vAlign w:val="bottom"/>
            <w:tcBorders>
              <w:left w:val="single" w:sz="8" w:color="auto"/>
              <w:right w:val="single" w:sz="8" w:color="auto"/>
            </w:tcBorders>
          </w:tcPr>
          <w:p>
            <w:pPr>
              <w:spacing w:after="0"/>
              <w:rPr>
                <w:sz w:val="21"/>
                <w:szCs w:val="21"/>
                <w:color w:val="auto"/>
              </w:rPr>
            </w:pPr>
          </w:p>
        </w:tc>
        <w:tc>
          <w:tcPr>
            <w:tcW w:w="14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Operating</w:t>
            </w:r>
          </w:p>
        </w:tc>
        <w:tc>
          <w:tcPr>
            <w:tcW w:w="118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285"/>
        </w:trPr>
        <w:tc>
          <w:tcPr>
            <w:tcW w:w="102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7"/>
              </w:rPr>
              <w:t>Company, Inc.</w:t>
            </w:r>
          </w:p>
        </w:tc>
        <w:tc>
          <w:tcPr>
            <w:tcW w:w="11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56"/>
        <w:spacing w:after="0" w:line="256" w:lineRule="auto"/>
        <w:tabs>
          <w:tab w:leader="none" w:pos="1296"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“Lease” shall be deemed to refer to the Lease as amended by this Amendment.</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296"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79"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76" w:lineRule="exact"/>
        <w:rPr>
          <w:rFonts w:ascii="Arial" w:cs="Arial" w:eastAsia="Arial" w:hAnsi="Arial"/>
          <w:sz w:val="22"/>
          <w:szCs w:val="22"/>
          <w:b w:val="1"/>
          <w:bCs w:val="1"/>
          <w:color w:val="auto"/>
        </w:rPr>
      </w:pPr>
    </w:p>
    <w:p>
      <w:pPr>
        <w:ind w:firstLine="656"/>
        <w:spacing w:after="0" w:line="269" w:lineRule="auto"/>
        <w:tabs>
          <w:tab w:leader="none" w:pos="1296"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1" w:lineRule="exact"/>
        <w:rPr>
          <w:rFonts w:ascii="Arial" w:cs="Arial" w:eastAsia="Arial" w:hAnsi="Arial"/>
          <w:sz w:val="22"/>
          <w:szCs w:val="22"/>
          <w:b w:val="1"/>
          <w:bCs w:val="1"/>
          <w:color w:val="auto"/>
        </w:rPr>
      </w:pPr>
    </w:p>
    <w:p>
      <w:pPr>
        <w:jc w:val="both"/>
        <w:ind w:firstLine="656"/>
        <w:spacing w:after="0" w:line="260" w:lineRule="auto"/>
        <w:tabs>
          <w:tab w:leader="none" w:pos="1296"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8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86" w:name="page87"/>
    <w:bookmarkEnd w:id="86"/>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COUNCIL BLUFFS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METROPOLIS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SOUTHERN INDIANA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HORSESHOE HAMMOND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HARRAH’S NORTH KANSAS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BILOXI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TUNICA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TUNICA ROADHOUSE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BALLY’S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RENO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BLUEGRASS DOWNS PROPERTY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VEGAS DEVELOPMENT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VEGAS OPERATING PROPERTY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 LAND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GULFPORT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PHILADELPHIA PROPCO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LAUGHLIN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NEW ORLEANS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each, 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258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BOSSIER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each, a Louisiana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258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ectPr>
          <w:pgSz w:w="11900" w:h="16838" w:orient="portrait"/>
          <w:cols w:equalWidth="0" w:num="1">
            <w:col w:w="11240"/>
          </w:cols>
          <w:pgMar w:left="320" w:top="1428" w:right="3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t>TENANT: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HBR REALTY COMPANY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ind w:right="5019"/>
        <w:spacing w:after="0" w:line="269" w:lineRule="auto"/>
        <w:rPr>
          <w:sz w:val="20"/>
          <w:szCs w:val="20"/>
          <w:color w:val="auto"/>
        </w:rPr>
      </w:pPr>
      <w:r>
        <w:rPr>
          <w:rFonts w:ascii="Arial" w:cs="Arial" w:eastAsia="Arial" w:hAnsi="Arial"/>
          <w:sz w:val="22"/>
          <w:szCs w:val="22"/>
          <w:b w:val="1"/>
          <w:bCs w:val="1"/>
          <w:color w:val="auto"/>
        </w:rPr>
        <w:t xml:space="preserve">HARVEYS IOWA MANAGEMENT COMPANY LLC, </w:t>
      </w: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ind w:right="4099"/>
        <w:spacing w:after="0" w:line="269" w:lineRule="auto"/>
        <w:rPr>
          <w:sz w:val="20"/>
          <w:szCs w:val="20"/>
          <w:color w:val="auto"/>
        </w:rPr>
      </w:pPr>
      <w:r>
        <w:rPr>
          <w:rFonts w:ascii="Arial" w:cs="Arial" w:eastAsia="Arial" w:hAnsi="Arial"/>
          <w:sz w:val="22"/>
          <w:szCs w:val="22"/>
          <w:b w:val="1"/>
          <w:bCs w:val="1"/>
          <w:color w:val="auto"/>
        </w:rPr>
        <w:t xml:space="preserve">SOUTHERN ILLINOIS RIVERBOAT/CASINO CRUISES LLC, </w:t>
      </w:r>
      <w:r>
        <w:rPr>
          <w:rFonts w:ascii="Arial" w:cs="Arial" w:eastAsia="Arial" w:hAnsi="Arial"/>
          <w:sz w:val="22"/>
          <w:szCs w:val="22"/>
          <w:color w:val="auto"/>
        </w:rPr>
        <w:t>an Illinois limited liability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RIVERBOAT CASINO,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 Indiana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22" w:right="1440" w:bottom="1440" w:gutter="0" w:footer="0" w:header="0"/>
        </w:sectPr>
      </w:pPr>
    </w:p>
    <w:bookmarkStart w:id="88" w:name="page89"/>
    <w:bookmarkEnd w:id="88"/>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ROMAN HOLDING COMPANY OF INDIANA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 Indiana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HAMMOND,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 Indiana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ENTERTAINMENT,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Louisiana limited partnership</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Nevada Limited Partnership,</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22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-17780</wp:posOffset>
            </wp:positionV>
            <wp:extent cx="12725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ind w:right="3979"/>
        <w:spacing w:after="0" w:line="269" w:lineRule="auto"/>
        <w:rPr>
          <w:sz w:val="20"/>
          <w:szCs w:val="20"/>
          <w:color w:val="auto"/>
        </w:rPr>
      </w:pPr>
      <w:r>
        <w:rPr>
          <w:rFonts w:ascii="Arial" w:cs="Arial" w:eastAsia="Arial" w:hAnsi="Arial"/>
          <w:sz w:val="22"/>
          <w:szCs w:val="22"/>
          <w:b w:val="1"/>
          <w:bCs w:val="1"/>
          <w:color w:val="auto"/>
        </w:rPr>
        <w:t xml:space="preserve">HARRAH’S BOSSIER CITY INVESTMENT COMPANY, L.L.C., </w:t>
      </w:r>
      <w:r>
        <w:rPr>
          <w:rFonts w:ascii="Arial" w:cs="Arial" w:eastAsia="Arial" w:hAnsi="Arial"/>
          <w:sz w:val="22"/>
          <w:szCs w:val="22"/>
          <w:color w:val="auto"/>
        </w:rPr>
        <w:t>a Louisiana limited liability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40" w:right="1440" w:bottom="1440" w:gutter="0" w:footer="0" w:header="0"/>
        </w:sectPr>
      </w:pPr>
    </w:p>
    <w:bookmarkStart w:id="89" w:name="page90"/>
    <w:bookmarkEnd w:id="89"/>
    <w:p>
      <w:pPr>
        <w:spacing w:after="0"/>
        <w:rPr>
          <w:sz w:val="20"/>
          <w:szCs w:val="20"/>
          <w:color w:val="auto"/>
        </w:rPr>
      </w:pPr>
      <w:r>
        <w:rPr>
          <w:rFonts w:ascii="Arial" w:cs="Arial" w:eastAsia="Arial" w:hAnsi="Arial"/>
          <w:sz w:val="21"/>
          <w:szCs w:val="21"/>
          <w:b w:val="1"/>
          <w:bCs w:val="1"/>
          <w:color w:val="auto"/>
        </w:rPr>
        <w:t>HARRAH’S NORTH KANSAS CITY LLC,</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a Missouri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CASINOS OF BILOXI,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Minnesota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ROBINSON PROPERTY GROUP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Mississippi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TUNICA ROADHOUSE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New Jersey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725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22" w:right="1440"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CAESARS NEW JERSEY LLC,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BALLY’S PARK PLACE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725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ind w:right="4859"/>
        <w:spacing w:after="0" w:line="269" w:lineRule="auto"/>
        <w:rPr>
          <w:sz w:val="20"/>
          <w:szCs w:val="20"/>
          <w:color w:val="auto"/>
        </w:rPr>
      </w:pPr>
      <w:r>
        <w:rPr>
          <w:rFonts w:ascii="Arial" w:cs="Arial" w:eastAsia="Arial" w:hAnsi="Arial"/>
          <w:sz w:val="22"/>
          <w:szCs w:val="22"/>
          <w:b w:val="1"/>
          <w:bCs w:val="1"/>
          <w:color w:val="auto"/>
        </w:rPr>
        <w:t xml:space="preserve">HARVEYS TAHOE MANAGEMENT COMPANY LLC, </w:t>
      </w: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PLAYERS BLUEGRASS DOWNS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Kentucky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22" w:right="1440" w:bottom="1440" w:gutter="0" w:footer="0" w:header="0"/>
        </w:sectPr>
      </w:pPr>
    </w:p>
    <w:bookmarkStart w:id="91" w:name="page92"/>
    <w:bookmarkEnd w:id="91"/>
    <w:p>
      <w:pPr>
        <w:spacing w:after="0"/>
        <w:rPr>
          <w:sz w:val="20"/>
          <w:szCs w:val="20"/>
          <w:color w:val="auto"/>
        </w:rPr>
      </w:pPr>
      <w:r>
        <w:rPr>
          <w:rFonts w:ascii="Arial" w:cs="Arial" w:eastAsia="Arial" w:hAnsi="Arial"/>
          <w:sz w:val="22"/>
          <w:szCs w:val="22"/>
          <w:b w:val="1"/>
          <w:bCs w:val="1"/>
          <w:color w:val="auto"/>
        </w:rPr>
        <w:t>CASINO COMPUTER PROGRAMMING,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 Indiana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BR MANAGEMENT COMPANY,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as sole member</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725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CHESTER DOWNS AND MARINA,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Pennsylvania limited liability company</w:t>
      </w:r>
    </w:p>
    <w:p>
      <w:pPr>
        <w:spacing w:after="0" w:line="200" w:lineRule="exact"/>
        <w:rPr>
          <w:sz w:val="20"/>
          <w:szCs w:val="20"/>
          <w:color w:val="auto"/>
        </w:rPr>
      </w:pPr>
    </w:p>
    <w:p>
      <w:pPr>
        <w:spacing w:after="0" w:line="245" w:lineRule="exact"/>
        <w:rPr>
          <w:sz w:val="20"/>
          <w:szCs w:val="20"/>
          <w:color w:val="auto"/>
        </w:rPr>
      </w:pPr>
    </w:p>
    <w:p>
      <w:pPr>
        <w:ind w:left="220" w:right="5019" w:hanging="215"/>
        <w:spacing w:after="0" w:line="263"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as sole member</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-17780</wp:posOffset>
            </wp:positionV>
            <wp:extent cx="12725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22" w:right="1440" w:bottom="1440" w:gutter="0" w:footer="0" w:header="0"/>
        </w:sectPr>
      </w:pPr>
    </w:p>
    <w:bookmarkStart w:id="92" w:name="page93"/>
    <w:bookmarkEnd w:id="92"/>
    <w:p>
      <w:pPr>
        <w:ind w:right="4099"/>
        <w:spacing w:after="0" w:line="269"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725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LAUGHLIN,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Louisiana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22" w:right="1440" w:bottom="1440" w:gutter="0" w:footer="0" w:header="0"/>
        </w:sectPr>
      </w:pPr>
    </w:p>
    <w:bookmarkStart w:id="93" w:name="page94"/>
    <w:bookmarkEnd w:id="93"/>
    <w:p>
      <w:pPr>
        <w:spacing w:after="0"/>
        <w:rPr>
          <w:sz w:val="20"/>
          <w:szCs w:val="20"/>
          <w:color w:val="auto"/>
        </w:rPr>
      </w:pPr>
      <w:r>
        <w:rPr>
          <w:rFonts w:ascii="Arial" w:cs="Arial" w:eastAsia="Arial" w:hAnsi="Arial"/>
          <w:sz w:val="19"/>
          <w:szCs w:val="19"/>
          <w:color w:val="auto"/>
        </w:rPr>
        <w:t>Acknowledged and agreed, solely for the purposes of the penultimate paragraph of Section 1.1 of the Lease: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3601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ectPr>
          <w:pgSz w:w="11900" w:h="16838" w:orient="portrait"/>
          <w:cols w:equalWidth="0" w:num="1">
            <w:col w:w="10139"/>
          </w:cols>
          <w:pgMar w:left="320" w:top="1428"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Sixth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capitalized terms used herein with definition having the meanings set forth in the Amendment), dated as of September 30, 2020,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thereto, as Landlord, and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by and between Guarantor and Landlord, and agrees that, except as expressly set forth in Section 2.A.ii of the Amendment,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206" w:lineRule="exact"/>
        <w:rPr>
          <w:sz w:val="20"/>
          <w:szCs w:val="20"/>
          <w:color w:val="auto"/>
        </w:rPr>
      </w:pPr>
    </w:p>
    <w:p>
      <w:pPr>
        <w:jc w:val="both"/>
        <w:ind w:firstLine="219"/>
        <w:spacing w:after="0" w:line="263"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September 30, 2020.</w:t>
      </w:r>
    </w:p>
    <w:p>
      <w:pPr>
        <w:sectPr>
          <w:pgSz w:w="11900" w:h="16838" w:orient="portrait"/>
          <w:cols w:equalWidth="0" w:num="1">
            <w:col w:w="11240"/>
          </w:cols>
          <w:pgMar w:left="320" w:top="1422" w:right="339" w:bottom="1440" w:gutter="0" w:footer="0" w:header="0"/>
        </w:sectPr>
      </w:pPr>
    </w:p>
    <w:bookmarkStart w:id="95" w:name="page96"/>
    <w:bookmarkEnd w:id="95"/>
    <w:p>
      <w:pPr>
        <w:spacing w:after="0"/>
        <w:rPr>
          <w:sz w:val="20"/>
          <w:szCs w:val="20"/>
          <w:color w:val="auto"/>
        </w:rPr>
      </w:pPr>
      <w:r>
        <w:rPr>
          <w:rFonts w:ascii="Arial" w:cs="Arial" w:eastAsia="Arial" w:hAnsi="Arial"/>
          <w:sz w:val="22"/>
          <w:szCs w:val="22"/>
          <w:b w:val="1"/>
          <w:bCs w:val="1"/>
          <w:color w:val="auto"/>
        </w:rPr>
        <w:t>CAESARS ENTERTAINMENT, INC.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2519"/>
        <w:spacing w:after="0"/>
        <w:rPr>
          <w:sz w:val="20"/>
          <w:szCs w:val="20"/>
          <w:color w:val="auto"/>
        </w:rPr>
      </w:pPr>
      <w:r>
        <w:rPr>
          <w:rFonts w:ascii="Arial" w:cs="Arial" w:eastAsia="Arial" w:hAnsi="Arial"/>
          <w:sz w:val="22"/>
          <w:szCs w:val="22"/>
          <w:color w:val="auto"/>
        </w:rPr>
        <w:t>[Signature page to Reaffirmation of Guaranty]</w:t>
      </w:r>
    </w:p>
    <w:p>
      <w:pPr>
        <w:sectPr>
          <w:pgSz w:w="11900" w:h="16838" w:orient="portrait"/>
          <w:cols w:equalWidth="0" w:num="1">
            <w:col w:w="10139"/>
          </w:cols>
          <w:pgMar w:left="320" w:top="1422" w:right="1440" w:bottom="1440" w:gutter="0" w:footer="0" w:header="0"/>
        </w:sectPr>
      </w:pPr>
    </w:p>
    <w:bookmarkStart w:id="96" w:name="page97"/>
    <w:bookmarkEnd w:id="96"/>
    <w:p>
      <w:pPr>
        <w:jc w:val="center"/>
        <w:ind w:right="-1100"/>
        <w:spacing w:after="0"/>
        <w:rPr>
          <w:sz w:val="20"/>
          <w:szCs w:val="20"/>
          <w:color w:val="auto"/>
        </w:rPr>
      </w:pPr>
      <w:r>
        <w:rPr>
          <w:rFonts w:ascii="Arial" w:cs="Arial" w:eastAsia="Arial" w:hAnsi="Arial"/>
          <w:sz w:val="22"/>
          <w:szCs w:val="22"/>
          <w:u w:val="single" w:color="auto"/>
          <w:color w:val="auto"/>
        </w:rPr>
        <w:t>Schedule A</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LANDLORD ENTITIES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Horseshoe Southern Indiana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Bally’s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Harvey’s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Reno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Bluegrass Downs Property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Vegas Development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Vegas Operating Property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Miscellaneous Land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Propco Gulfport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Philadelphia Propco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Laughlin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A</w:t>
      </w:r>
    </w:p>
    <w:p>
      <w:pPr>
        <w:sectPr>
          <w:pgSz w:w="11900" w:h="16838" w:orient="portrait"/>
          <w:cols w:equalWidth="0" w:num="1">
            <w:col w:w="10139"/>
          </w:cols>
          <w:pgMar w:left="320" w:top="1428" w:right="1440" w:bottom="1440" w:gutter="0" w:footer="0" w:header="0"/>
        </w:sectPr>
      </w:pPr>
    </w:p>
    <w:bookmarkStart w:id="97" w:name="page98"/>
    <w:bookmarkEnd w:id="97"/>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220" w:lineRule="exact"/>
        <w:rPr>
          <w:sz w:val="20"/>
          <w:szCs w:val="20"/>
          <w:color w:val="auto"/>
        </w:rPr>
      </w:pPr>
    </w:p>
    <w:p>
      <w:pPr>
        <w:ind w:right="1799"/>
        <w:spacing w:after="0" w:line="251"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Harveys Iowa Management Company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Caesars Riverboat Casino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Roman Holding Company of Indiana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Investment Company,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Bally’s Park Place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Players Bluegrass Downs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B</w:t>
      </w:r>
    </w:p>
    <w:p>
      <w:pPr>
        <w:sectPr>
          <w:pgSz w:w="11900" w:h="16838" w:orient="portrait"/>
          <w:cols w:equalWidth="0" w:num="1">
            <w:col w:w="10139"/>
          </w:cols>
          <w:pgMar w:left="320" w:top="1428" w:right="1440" w:bottom="1440" w:gutter="0" w:footer="0" w:header="0"/>
        </w:sectPr>
      </w:pPr>
    </w:p>
    <w:bookmarkStart w:id="98" w:name="page99"/>
    <w:bookmarkEnd w:id="98"/>
    <w:p>
      <w:pPr>
        <w:ind w:left="5240"/>
        <w:spacing w:after="0"/>
        <w:rPr>
          <w:sz w:val="20"/>
          <w:szCs w:val="20"/>
          <w:color w:val="auto"/>
        </w:rPr>
      </w:pPr>
      <w:r>
        <w:rPr>
          <w:rFonts w:ascii="Arial" w:cs="Arial" w:eastAsia="Arial" w:hAnsi="Arial"/>
          <w:sz w:val="22"/>
          <w:szCs w:val="22"/>
          <w:u w:val="single" w:color="auto"/>
          <w:color w:val="auto"/>
        </w:rPr>
        <w:t>Annex A</w:t>
      </w:r>
    </w:p>
    <w:p>
      <w:pPr>
        <w:spacing w:after="0" w:line="220"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Harrah’s Reno Leased Property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All that certain real property situate in the County of Washoe, State of Nevada, described as follows: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1A:</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Lot 13,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1B: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011-052-37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2A:</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Lots 14 and 15,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2B: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011-052-38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3A:</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Lot 16,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3B: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011-052-39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4A:</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Lot 17, in Block P of ORIGINAL TOWN, NOW CITY OF RENO, according to the map thereof, filed in the office of the County Recorder of Washoe County, State of Nevada, on June 27, 1871.</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Annex A-1</w:t>
      </w:r>
    </w:p>
    <w:p>
      <w:pPr>
        <w:sectPr>
          <w:pgSz w:w="11900" w:h="16838" w:orient="portrait"/>
          <w:cols w:equalWidth="0" w:num="1">
            <w:col w:w="11240"/>
          </w:cols>
          <w:pgMar w:left="320" w:top="1428"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22"/>
          <w:szCs w:val="22"/>
          <w:color w:val="auto"/>
        </w:rPr>
        <w:t>PARCEL 4B: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011-052-40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5A:</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Lot 18 and the West ½ of Lot 19,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5B: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011-052-41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6A:</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East one-half of Lot 19 and the West 4 feet of Lot 20, in Block P of ORIGINAL TOWN, NOW CITY OF RENO, according to the map thereof, filed in the office of the County Recorder of Washoe County, State of Nevada, on June 27, 1871. The East 21 feet of Lot 20, in Block P of ORIGINAL TOWN, NOW CITY OF RENO, according to the map thereof, filed in the office of the County Recorder of Washoe County, State of Nevada, on June 27, 1871.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PARCEL 6B: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011-052-42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7A:</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Lots 21 through 24,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7B: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A-2</w:t>
      </w:r>
    </w:p>
    <w:p>
      <w:pPr>
        <w:sectPr>
          <w:pgSz w:w="11900" w:h="16838" w:orient="portrait"/>
          <w:cols w:equalWidth="0" w:num="1">
            <w:col w:w="11240"/>
          </w:cols>
          <w:pgMar w:left="320" w:top="1428" w:right="3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PARCEL 8A:</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North 15 feet of Lot 3 and the South 32 feet of Lot 4, in Block P of ORIGINAL TOWN, NOW CITY OF RENO, according to the map thereof, filed in the office of the County Recorder of Washoe County, State of Nevada, on June 27, 1871.</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PARCEL 8B:</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that portion of Lincoln Alley granted by Order of Abandonment recorded February 22, 2000, as Document No.2423996, Official Records Washoe County, State of Nevada.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APN: 011-052-45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9A:</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North 18 feet of Lot 4,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9B:</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that portion of Lincoln Alley granted by Order of Abandonment recorded February 22, 2000, as Document No. 2423996, Official Records Washoe County, State of Nevada.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APN: 011-052-46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10A:</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South half of Lot 5 and the North 6 inches (10 inches more or less per Survey) of Lot 4, in Block P of ORIGINAL TOWN, NOW CITY OF RENO, according to the map thereof, filed in the office of the County Recorder of Washoe County, State of Nevada, on June 27, 1871. The North half of Lot 5, in Block P of ORIGINAL TOWN, NOW CITY OF RENO, according to the map thereof, filed in the office of the County Recorder of Washoe County, State of Nevada, on June 27, 1871.</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PARCEL 10B:</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that portion of Lincoln Alley granted by Order of Abandonment recorded February 22, 2000, as Document No. 2423996, Official Records Washoe County, State of Nevada.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APN: 011-052-47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11A:</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Lot 6,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11B: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A-3</w:t>
      </w:r>
    </w:p>
    <w:p>
      <w:pPr>
        <w:sectPr>
          <w:pgSz w:w="11900" w:h="16838" w:orient="portrait"/>
          <w:cols w:equalWidth="0" w:num="1">
            <w:col w:w="11240"/>
          </w:cols>
          <w:pgMar w:left="320" w:top="1428" w:right="339" w:bottom="1440" w:gutter="0" w:footer="0" w:header="0"/>
        </w:sectPr>
      </w:pPr>
    </w:p>
    <w:bookmarkStart w:id="101" w:name="page102"/>
    <w:bookmarkEnd w:id="101"/>
    <w:p>
      <w:pPr>
        <w:jc w:val="both"/>
        <w:ind w:right="20"/>
        <w:spacing w:after="0" w:line="263" w:lineRule="auto"/>
        <w:rPr>
          <w:sz w:val="20"/>
          <w:szCs w:val="20"/>
          <w:color w:val="auto"/>
        </w:rPr>
      </w:pPr>
      <w:r>
        <w:rPr>
          <w:rFonts w:ascii="Arial" w:cs="Arial" w:eastAsia="Arial" w:hAnsi="Arial"/>
          <w:sz w:val="22"/>
          <w:szCs w:val="22"/>
          <w:color w:val="auto"/>
        </w:rPr>
        <w:t>All that portion of East Douglas Alley and Lincoln Alley granted by Order of Abandonment recorded February 22, 2000, as Document No. 2423996, Official Records Washoe County, State of Nevada.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APN: 011-052-48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12:</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Parcel 2 as shown on “Parcel Map 3531 for G and S Investment Company, a Nevada Limited Partnership a portion of Original Reno Townsite Between Blocks H and P-Section 11, T19N, R19E, MDM, Reno, Washoe County, Nevada”, recorded June 18, 1999, Document No. 2352376 in the Office of the County Recorder of Washoe County, Nevada.</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APN: 011-370-50</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PARCEL 13A: The Northerly 36 feet of Lot 2, and the Southerly 35 feet of Lot 3 in Block P of ORIGINAL TOWN, NOW CITY OF RENO, according to the map thereof, filed in the office of the County Recorder of Washoe County, State of Nevada, on June 27, 1871.</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PARCEL 13B: All that portion of Lincoln Alley granted by Order of Abandonment recorded March 19, 1990, as Document No.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1386768, Official Records Washoe County, State of Nevada. APN: 011-052-32</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PARCEL 14A: Lot 1 and the South 14 feet of Lot 2, in Block P of ORIGINAL TOWN, NOW CITY OF RENO, according to the map thereof, filed in the office of the County Recorder of Washoe County, State of Nevada, on June 27, 1871.</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PARCEL 14B: All that portion of Lincoln Alley granted by Order of Abandonment recorded March 19, 1990, as Document No.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1386768, Official Records Washoe County, State of Nevada. APN: 011-052-33</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PARCEL 15A: Lots 7, 8, 9, 10, 11 and 12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PARCEL 15B: All that portion of East Douglas Alley and Lincoln Alley granted by Order of Abandonment recorded February 22, 2000, as Document No. 2423996, and Lincoln Alley granted by Order of Abandonment recorded March 19, 1990, as Document No. 1386768, Official Records Washoe County, State of Nevada APN: 011-052-35, 36 and 44</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PARCEL 16: Portions of public streets within the City of Reno, as shown on the official map of Town of Reno, Washoe County, Nevada, August 1, 1868, being more particularly described as follows: Beginning at the southwesterly corner of Lot 13 of Block P of the Town of Reno and proceeding thence in a southerly direction along the westerly line of said Block to the southwesterly corner of said Block; Thence proceeding along the southerly line of said Block in an easterly direction to the southeasterly corner of said Block; Thence proceeding along the easterly line of said block corner in a northerly direction to the southeasterly of Lot 24 of 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A-4</w:t>
      </w:r>
    </w:p>
    <w:p>
      <w:pPr>
        <w:sectPr>
          <w:pgSz w:w="11900" w:h="16838" w:orient="portrait"/>
          <w:cols w:equalWidth="0" w:num="1">
            <w:col w:w="11240"/>
          </w:cols>
          <w:pgMar w:left="320" w:top="1428" w:right="339" w:bottom="1440" w:gutter="0" w:footer="0" w:header="0"/>
        </w:sectPr>
      </w:pPr>
    </w:p>
    <w:bookmarkStart w:id="102" w:name="page103"/>
    <w:bookmarkEnd w:id="102"/>
    <w:p>
      <w:pPr>
        <w:jc w:val="both"/>
        <w:spacing w:after="0" w:line="297" w:lineRule="auto"/>
        <w:rPr>
          <w:sz w:val="20"/>
          <w:szCs w:val="20"/>
          <w:color w:val="auto"/>
        </w:rPr>
      </w:pPr>
      <w:r>
        <w:rPr>
          <w:rFonts w:ascii="Arial" w:cs="Arial" w:eastAsia="Arial" w:hAnsi="Arial"/>
          <w:sz w:val="19"/>
          <w:szCs w:val="19"/>
          <w:color w:val="auto"/>
        </w:rPr>
        <w:t>Block; Thence proceeding along the easterly prolongation of the southerly line of said Lot 24 to the centerline of North Center Street; Thence along said line in a southerly direction to the centerline of East Second Street; Thence along said line in a westerly direction to the centerline of North Virginia Street; Thence along said line a northerly direction to the westerly prolongation of the southerly line of said Lot 13; Thence along said line in an easterly direction to the TRUE POINT OF BEGINNING. Document Number 2910777 is provided pursuant to the requirements of Section 6.NRS 111.312</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PARCEL 17: Portions of public streets and alleys within the City of Reno as shown on the Official Map of the Town of Reno, Washoe County, Nevada, August 1, 1868, being more particularly described as follows: Beginning at the southwesterly corner of Block Q of the Town of Reno and proceeding thence in an easterly direction along southerly line of said Block to the southeasterly corner of said Block; Thence along the easterly line of said Block in a northerly direction 230 feet; Thence in a westerly direction along a line parallel to the southerly line of said block 160 feet; Thence along a line parallel to the easterly line of said Block in a northerly direction 90 feet, to a point on the southerly line of Lot 16 of said Block; Thence in an easterly direction along the southerly lines of Lots 16, 17, 18, 19, 20, 21 and 22, 160 feet to the southeasterly corner of Lot 22 of said Block; Thence along the easterly line of said Lot in a northerly direction 50 feet; Thence along the line parallel to the southerly line of said Block in an easterly direction to a point on the centerline of Lake Street; Thence along said line in a southerly direction 60 feet; Thence in a westerly direction along the line parallel to the southerly line of said Block 190 feet; Thence along a line parallel to the easterly line of said Block in a southerly direction 70 feet; Thence along a line parallel with the southerly line of said Block in an easterly direction 190 feet, to a point on the centerline of Lake Street; Thence along said line in a southerly direction to the center line of East Second Street; Thence along said line in a westerly direction to the centerline of North Center Street; Thence along said line in a northerly direction 320 feet; Thence easterly along a line parallel to the southerly line of said Block to a point on the westerly of said Block; Thence along said line in a southerly direction 320 feet to the TRUE POINT OF BEGINNING. Document Number 2910777 is provided pursuant to the requirements of Section 6.NRS 111.312</w:t>
      </w:r>
    </w:p>
    <w:p>
      <w:pPr>
        <w:spacing w:after="0" w:line="16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PARCEL 18: Commencing at the Northeast corner of Second Street and Center Street, the same being the Southwest corner of Block Q of ORIGINAL TOWN, NOW CITY OF RENO, according to the map thereof, filed in the office of the County Recorder of Washoe County, State of Nevada, on June 27, 1871; Thence Northerly along the East line of North Center Street, a distance of 51’3”; Thence Easterly a distance of 86 feet to a point 52’6” North of the North side line of Second Street; Thence Easterly parallel with the North side line of Second Street, 54 feet to the West line of an alley running Northerly and Southerly through said Block Q; Thence Southerly along the West line of said alley to the North side line of Second Street; Thence Westerly along the North side line of said Second Street a distance of 140 feet to the point of beginning. APN: 011-071-09</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PARCEL 19A: Lot 3 in Block Q of ORIGINAL TOWN, NOW CITY OF RENO, according to the map thereof, filed in the office of the County Recorder of Washoe County, State of Nevada, on June 27, 1871.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A-5</w:t>
      </w:r>
    </w:p>
    <w:p>
      <w:pPr>
        <w:sectPr>
          <w:pgSz w:w="11900" w:h="16838" w:orient="portrait"/>
          <w:cols w:equalWidth="0" w:num="1">
            <w:col w:w="11240"/>
          </w:cols>
          <w:pgMar w:left="320" w:top="1428" w:right="339" w:bottom="1440" w:gutter="0" w:footer="0" w:header="0"/>
        </w:sectPr>
      </w:pPr>
    </w:p>
    <w:bookmarkStart w:id="103" w:name="page104"/>
    <w:bookmarkEnd w:id="103"/>
    <w:p>
      <w:pPr>
        <w:jc w:val="both"/>
        <w:spacing w:after="0" w:line="297" w:lineRule="auto"/>
        <w:rPr>
          <w:sz w:val="20"/>
          <w:szCs w:val="20"/>
          <w:color w:val="auto"/>
        </w:rPr>
      </w:pPr>
      <w:r>
        <w:rPr>
          <w:rFonts w:ascii="Arial" w:cs="Arial" w:eastAsia="Arial" w:hAnsi="Arial"/>
          <w:sz w:val="19"/>
          <w:szCs w:val="19"/>
          <w:color w:val="auto"/>
        </w:rPr>
        <w:t>PARCEL 19B: The West one-half of that portion of the North-South alley vacated by the City of Reno, by Order of Abandonment recorded October 29, 1979 in Book 1445, Page 215, File No. 638561, Official Records, and re-recorded November 8, 1979 in Book 1448, Page 951, File No. 640621, Official Records which lies Easterly of the Northerly and Southerly extension of the Easterly line of Lot 3 in Block Q of ORIGINAL TOWN, NOW CITY OF RENO, according to the map thereof, filed in the office of the County Recorder of Washoe County, State of Nevada, on June 27, 1871. APN: 011-071-25</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PARCEL 20A: Portion of Block Q of ORIGINAL TOWN, NOW CITY OF RENO, according to the map thereof, filed in the office of the County Recorder of Washoe County, State of Nevada, on June 27, 1871, being more particularly described as follows: Beginning at a point on the Easterly line of Center Street, 1’3” Northerly from the Southwest corner of Lot 2 of said Block Q; Thence Easterly 86 feet to a point 52’6” Northerly from the North line of Second Street; Thence Easterly parallel with the North line of Second Street, 54 feet to the West line of an alley running Northerly and Southerly through said Block Q; Thence Northerly along the West line of said alley 47’6” to the Northeast corner of Lot 2 in said Block Q; Thence Westerly along the North line of said Lot 2 a distance of 140 feet to the East line of Center Street; Thence Southerly along the East line of Center Street, a distance of 48’9” to the point of beginning.</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PARCEL 20B: Lots 4 and 5 in Block Q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PARCEL 20C: Lots 8, 9 and 10 in Block Q of ORIGINAL TOWN, NOW CITY OF RENO, according to the map thereof, filed in the office of the County Recorder of Washoe County, State of Nevada, on June 27, 1871. EXCEPTING THEREFROM that portion of Lot 10 conveyed to the City of Reno and described in Deed of Dedication recorded January 19, 1995 in Book 4231, Page 972 as Document No. 1865294 of Official Records.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PARCEL 20D: Lot 7 in Block Q of ORIGINAL TOWN, NOW CITY OF RENO, according to the map thereof, filed in the office of the County Recorder of Washoe County, State of Nevada, on June 27, 1871. EXCEPTING THEREFROM the North 20 feet of said Lot 7, conveyed to the City of Reno, by Quitclaim Deed recorded September 18, 1979 in Book 1430, page 962, File No. 630152, Official Records.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PARCEL 20E: Lots 11 through 22, inclusive in Block Q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PARCEL 20F: That portion of the North-South alley vacated by the City of Reno, by Order of Abandonment, recorded October 29, 1979 in Book 1445, Page 215, File No. 638561, Official Records, and re-recorded November 8, 1979 in Book 1448, page 951, File No. 640621, Official Records, described as follows: Beginning at the Southeast corner of Lot 1 in Block Q of ORIGINAL TOWN, NOW CITY OF RENO, according to the map thereof, filed in the office of the County Recorder of Washoe County, State of Nevada, on June 27, 1871; Thence along the Easterly ends of the tier of lots to a point in the Easterly end of Lot 4, 180 feet Northerly of 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A-6</w:t>
      </w:r>
    </w:p>
    <w:p>
      <w:pPr>
        <w:sectPr>
          <w:pgSz w:w="11900" w:h="16838" w:orient="portrait"/>
          <w:cols w:equalWidth="0" w:num="1">
            <w:col w:w="11240"/>
          </w:cols>
          <w:pgMar w:left="320" w:top="1428" w:right="339" w:bottom="1440" w:gutter="0" w:footer="0" w:header="0"/>
        </w:sectPr>
      </w:pPr>
    </w:p>
    <w:bookmarkStart w:id="104" w:name="page105"/>
    <w:bookmarkEnd w:id="104"/>
    <w:p>
      <w:pPr>
        <w:jc w:val="both"/>
        <w:spacing w:after="0" w:line="261" w:lineRule="auto"/>
        <w:rPr>
          <w:sz w:val="20"/>
          <w:szCs w:val="20"/>
          <w:color w:val="auto"/>
        </w:rPr>
      </w:pPr>
      <w:r>
        <w:rPr>
          <w:rFonts w:ascii="Arial" w:cs="Arial" w:eastAsia="Arial" w:hAnsi="Arial"/>
          <w:sz w:val="21"/>
          <w:szCs w:val="21"/>
          <w:color w:val="auto"/>
        </w:rPr>
        <w:t>point of beginning; Thence Easterly at a right angle 20 feet to a point in the Westerly end of Lot 7, 20 feet Southerly of the Northwest corner thereof; Thence along the Westerly ends of the tier of lots, 180 feet to the Southwesterly corner of Lot 10 in said block; Thence at a right angle of 20 feet to the point of beginning. EXCEPTING THEREFROM that portion of the West one-half of said vacated alley which lies Easterly of the Northerly and Southerly extension of the Easterly line of Lot 3 in Block Q of ORIGINAL TOWN, NOW CITY OF RENO, according to the map thereof, filed in the office of the County Recorder of Washoe County, State of Nevada, on June 27, 1871.</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PARCEL 20G: That portion of the East-West alley vacated by the City of Reno by Order of Abandonment, recorded October 29, 1979 in Book 1445, page 215, File No. 638561 and re-recorded November 8, 1979 in Book 1448, page 951, File No. 640621, Official Records, described as follows: Beginning at the Southwest corner of Lot 11 in Block Q of ORIGINAL TOWN, NOW CITY OF RENO, according to the map thereof, filed in the office of the County Recorder of Washoe County, State of Nevada, on June 27, 1871; Thence along the Southerly ends of the tier of lots to a point in the Southerly end of Lot 16, 140 feet Easterly of said point of beginning; Thence Southerly at a right angle 20 feet to the Northeasterly corner of Lot 5 of said Block; Thence along the Northerly line of said Lot 5, 140 feet to the Northwesterly corner of said Lot 5; Thence at right angle 20 feet to the point of beginning. APN: 011-071-26 Document Number 3715997 is provided pursuant to the requirements of Section 6.NRS 111.312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All that certain real property situate in the County of Washoe, State of Nevada, described as follows:</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Lot 5, 6, 7 and 8 in Block 5 as shown on the map of Evans North Addition, Tract Map No. 24, according to the map thereof, filed in the office of the County Recorder of Washoe County, State of Nevada on December 16, 1879.</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APN: 007-501-10, 11, 12 and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A-7</w:t>
      </w:r>
    </w:p>
    <w:p>
      <w:pPr>
        <w:sectPr>
          <w:pgSz w:w="11900" w:h="16838" w:orient="portrait"/>
          <w:cols w:equalWidth="0" w:num="1">
            <w:col w:w="11240"/>
          </w:cols>
          <w:pgMar w:left="320" w:top="1428" w:right="339" w:bottom="1440" w:gutter="0" w:footer="0" w:header="0"/>
        </w:sectPr>
      </w:pPr>
    </w:p>
    <w:bookmarkStart w:id="105" w:name="page106"/>
    <w:bookmarkEnd w:id="105"/>
    <w:p>
      <w:pPr>
        <w:ind w:left="5240"/>
        <w:spacing w:after="0"/>
        <w:rPr>
          <w:sz w:val="20"/>
          <w:szCs w:val="20"/>
          <w:color w:val="auto"/>
        </w:rPr>
      </w:pPr>
      <w:r>
        <w:rPr>
          <w:rFonts w:ascii="Arial" w:cs="Arial" w:eastAsia="Arial" w:hAnsi="Arial"/>
          <w:sz w:val="22"/>
          <w:szCs w:val="22"/>
          <w:u w:val="single" w:color="auto"/>
          <w:color w:val="auto"/>
        </w:rPr>
        <w:t>Annex B</w:t>
      </w:r>
    </w:p>
    <w:p>
      <w:pPr>
        <w:spacing w:after="0" w:line="22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Billboard Parcel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All that certain real property situate in the County of Washoe, State of Nevada, described as follows: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PARCEL 21: Parcel B as shown on the Record of Survey Showing a Lot Line Adjustment for Embassy Suites, Inc., Record of Survey Map No. 3197, according to the map thereof, filed in the office of the County Recorder of Washoe County, State of Nevada, on March 5, 1997, as File No. 2077500, Official Records, being more particularly described as follows: A parcel of land situate in Section 8 and 17, Township 19 North, Range 19 East, M.D.B.&amp;M., Reno, Washoe County, Nevada, and more particularly described as follows: Beginning at a point on the Northerly line of the 14.08 acre parcel as shown on Record of Survey Map No. 2064, from which the Southeast corner of said Section 8 bears South 67°24'08" East a distance of 1405.89 feet; Thence South 55°38'00" West a distance of 217.88 feet; Thence along a tangent circular curve to the right with a radius of 7134.00 feet and a central angle of 16°01'58" an arc length of 1996.27 feet; Thence with a non-tangent line South 36°02'00" East a distance of 78.94 feet; Thence North 56°46'58" East a distance of 196.19 feet; Thence North 69°43'20" East a distance of 171.00 feet; Thence South 82°14'25" East a distance of 41.99 feet; Thence North 82°01'20" East a distance of 283.00 feet; Thence North 66°29'50" East a distance of 101.00 feet; Thence North 38°02'00" East a distance of 209.52 feet; Thence North 62°19'19" East a distance of 379.08 feet; Thence South 87°25'20" East a distance of 174.84 feet; Thence North 88°23'00" East a distance of 96.00 feet; Thence North 55°47'10" East a distance of 642.94 feet; Thence North 34°12'50" West a distance of 159.50 feet to the Point of Beginning. APN: 039-170-24 Document No. 2077499 is provided pursuant to the requirements of Section 6.NRS 111.312.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B-1</w:t>
      </w:r>
    </w:p>
    <w:p>
      <w:pPr>
        <w:sectPr>
          <w:pgSz w:w="11900" w:h="16838" w:orient="portrait"/>
          <w:cols w:equalWidth="0" w:num="1">
            <w:col w:w="11240"/>
          </w:cols>
          <w:pgMar w:left="320" w:top="1428" w:right="339" w:bottom="1440" w:gutter="0" w:footer="0" w:header="0"/>
        </w:sectPr>
      </w:pPr>
    </w:p>
    <w:bookmarkStart w:id="106" w:name="page107"/>
    <w:bookmarkEnd w:id="106"/>
    <w:p>
      <w:pPr>
        <w:ind w:right="460"/>
        <w:spacing w:after="0" w:line="250" w:lineRule="auto"/>
        <w:rPr>
          <w:sz w:val="20"/>
          <w:szCs w:val="20"/>
          <w:color w:val="auto"/>
        </w:rPr>
      </w:pPr>
      <w:r>
        <w:rPr>
          <w:rFonts w:ascii="Arial" w:cs="Arial" w:eastAsia="Arial" w:hAnsi="Arial"/>
          <w:sz w:val="22"/>
          <w:szCs w:val="22"/>
          <w:b w:val="1"/>
          <w:bCs w:val="1"/>
          <w:color w:val="auto"/>
        </w:rPr>
        <w:t>CERTAIN IDENTIFIED INFORMATION HAS BEEN EXCLUDED BECAUSE SUCH INFORMATION (i) IS NOT MATERIAL AND (ii) WOULD BE COMPETITIVELY HARMFUL IF PUBLICLY DISCLOSED. EXCLUDED INFORMATION HAS BEEN MARKED AT THE APPROPRIATE PLACES AS FOLLOWS: [****]</w:t>
      </w:r>
    </w:p>
    <w:p>
      <w:pPr>
        <w:spacing w:after="0" w:line="3" w:lineRule="exact"/>
        <w:rPr>
          <w:sz w:val="20"/>
          <w:szCs w:val="20"/>
          <w:color w:val="auto"/>
        </w:rPr>
      </w:pPr>
    </w:p>
    <w:p>
      <w:pPr>
        <w:ind w:left="10020"/>
        <w:spacing w:after="0"/>
        <w:rPr>
          <w:sz w:val="20"/>
          <w:szCs w:val="20"/>
          <w:color w:val="auto"/>
        </w:rPr>
      </w:pPr>
      <w:r>
        <w:rPr>
          <w:rFonts w:ascii="Arial" w:cs="Arial" w:eastAsia="Arial" w:hAnsi="Arial"/>
          <w:sz w:val="19"/>
          <w:szCs w:val="19"/>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AMENDMENT TO LEASE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THIRD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September 30, 2020, by and among </w:t>
      </w:r>
      <w:r>
        <w:rPr>
          <w:rFonts w:ascii="Arial" w:cs="Arial" w:eastAsia="Arial" w:hAnsi="Arial"/>
          <w:sz w:val="22"/>
          <w:szCs w:val="22"/>
          <w:b w:val="1"/>
          <w:bCs w:val="1"/>
          <w:color w:val="auto"/>
        </w:rPr>
        <w:t>HARRAH’S JOLIET LANDCO LLC</w:t>
      </w:r>
      <w:r>
        <w:rPr>
          <w:rFonts w:ascii="Arial" w:cs="Arial" w:eastAsia="Arial" w:hAnsi="Arial"/>
          <w:sz w:val="22"/>
          <w:szCs w:val="22"/>
          <w:color w:val="auto"/>
        </w:rPr>
        <w:t>, a Delaware limited liability company (together with its 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 PLAINES DEVELOPMENT LIMITED PARTNERSHIP</w:t>
      </w:r>
      <w:r>
        <w:rPr>
          <w:rFonts w:ascii="Arial" w:cs="Arial" w:eastAsia="Arial" w:hAnsi="Arial"/>
          <w:sz w:val="22"/>
          <w:szCs w:val="22"/>
          <w:color w:val="auto"/>
        </w:rPr>
        <w:t>, a Delaware limited partnership (together with its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and, solely for the purposes of the last paragraph of Section 1.1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Tenant and, solely for the purposes of the last paragraph of Section 1.1 of the Lease, Propco TRS</w:t>
      </w:r>
      <w:r>
        <w:rPr>
          <w:rFonts w:ascii="Arial" w:cs="Arial" w:eastAsia="Arial" w:hAnsi="Arial"/>
          <w:sz w:val="22"/>
          <w:szCs w:val="22"/>
          <w:b w:val="1"/>
          <w:bCs w:val="1"/>
          <w:color w:val="auto"/>
        </w:rPr>
        <w:t xml:space="preserve"> </w:t>
      </w:r>
      <w:r>
        <w:rPr>
          <w:rFonts w:ascii="Arial" w:cs="Arial" w:eastAsia="Arial" w:hAnsi="Arial"/>
          <w:sz w:val="22"/>
          <w:szCs w:val="22"/>
          <w:color w:val="auto"/>
        </w:rPr>
        <w:t>are parties to that certain Lease (Joliet) dated as of October 6, 2017, as amended by that certain First Amendment to Lease (Joliet), dated as of December 26, 2018, as amended by that certain Omnibus Amendment to Leases, dated as of June 1, 2020, and as amended by that certain Second Amendment to Lease (Joliet), dated as of July 20, 2020 (collectively, as amended, the “</w:t>
      </w:r>
      <w:r>
        <w:rPr>
          <w:rFonts w:ascii="Arial" w:cs="Arial" w:eastAsia="Arial" w:hAnsi="Arial"/>
          <w:sz w:val="22"/>
          <w:szCs w:val="22"/>
          <w:u w:val="single" w:color="auto"/>
          <w:color w:val="auto"/>
        </w:rPr>
        <w:t>Lease</w:t>
      </w:r>
      <w:r>
        <w:rPr>
          <w:rFonts w:ascii="Arial" w:cs="Arial" w:eastAsia="Arial" w:hAnsi="Arial"/>
          <w:sz w:val="22"/>
          <w:szCs w:val="22"/>
          <w:color w:val="auto"/>
        </w:rPr>
        <w:t>”), pursuant to which Landlord leases to Tenant, and Tenant leases from Landlord, certain real property as more particularly described in the Lease;</w:t>
      </w:r>
    </w:p>
    <w:p>
      <w:pPr>
        <w:spacing w:after="0" w:line="18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the date hereof, Harrah’s Reno LLC, being an Affiliate of Landlord, and CEOC, LLC, being an 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of Tenant, together as sellers, and Reno City Center, LLC, as purchaser, are closing a purchase and sale transaction under that certain Purchase and Sale Agreement and Joint Escrow Instructions, dated as of December 31, 2019, as amended by that certain First Amendment to Purchase and Sale Agreement and Joint Escrow Instructions, dated as of May 29, 2020, with respect to certain real property and FF&amp;E (as defined therein) associated with the gaming and entertainment facility known as “Harrah’s Reno Hotel &amp; Casino” located in Reno, Nevada (the “</w:t>
      </w:r>
      <w:r>
        <w:rPr>
          <w:rFonts w:ascii="Arial" w:cs="Arial" w:eastAsia="Arial" w:hAnsi="Arial"/>
          <w:sz w:val="19"/>
          <w:szCs w:val="19"/>
          <w:u w:val="single" w:color="auto"/>
          <w:color w:val="auto"/>
        </w:rPr>
        <w:t>Harrah’s Reno Transaction</w:t>
      </w:r>
      <w:r>
        <w:rPr>
          <w:rFonts w:ascii="Arial" w:cs="Arial" w:eastAsia="Arial" w:hAnsi="Arial"/>
          <w:sz w:val="19"/>
          <w:szCs w:val="19"/>
          <w:color w:val="auto"/>
        </w:rPr>
        <w:t>”); 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Harrah’s Reno Transaction, the parties hereto desire to amend the Lease as set forth</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firstLine="656"/>
        <w:spacing w:after="0" w:line="269" w:lineRule="auto"/>
        <w:tabs>
          <w:tab w:leader="none" w:pos="1296"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ectPr>
          <w:pgSz w:w="11900" w:h="16838" w:orient="portrait"/>
          <w:cols w:equalWidth="0" w:num="1">
            <w:col w:w="11240"/>
          </w:cols>
          <w:pgMar w:left="320" w:top="126" w:right="339" w:bottom="1440" w:gutter="0" w:footer="0" w:header="0"/>
        </w:sectPr>
      </w:pPr>
    </w:p>
    <w:bookmarkStart w:id="107" w:name="page108"/>
    <w:bookmarkEnd w:id="107"/>
    <w:p>
      <w:pPr>
        <w:ind w:left="644" w:hanging="644"/>
        <w:spacing w:after="0"/>
        <w:tabs>
          <w:tab w:leader="none" w:pos="644"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pacing w:after="0" w:line="226" w:lineRule="exact"/>
        <w:rPr>
          <w:sz w:val="20"/>
          <w:szCs w:val="20"/>
          <w:color w:val="auto"/>
        </w:rPr>
      </w:pPr>
    </w:p>
    <w:p>
      <w:pPr>
        <w:jc w:val="both"/>
        <w:ind w:left="324" w:hanging="324"/>
        <w:spacing w:after="0" w:line="265" w:lineRule="auto"/>
        <w:tabs>
          <w:tab w:leader="none" w:pos="312"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Annual Minimum Cap Ex Amount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“Annual Minimum Cap Ex Amount” is hereby revised and modified to replace the reference therein to “One Hundred Twenty Million Nine Hundred Thousand and No/100 Dollars ($120,900,000.00)” with a reference to “One Hundred Nineteen Million Three Hundred Thousand and No/100 Dollars ($119,300,000.00)”.</w:t>
      </w:r>
    </w:p>
    <w:p>
      <w:pPr>
        <w:spacing w:after="0" w:line="175" w:lineRule="exact"/>
        <w:rPr>
          <w:rFonts w:ascii="Arial" w:cs="Arial" w:eastAsia="Arial" w:hAnsi="Arial"/>
          <w:sz w:val="21"/>
          <w:szCs w:val="21"/>
          <w:color w:val="auto"/>
        </w:rPr>
      </w:pPr>
    </w:p>
    <w:p>
      <w:pPr>
        <w:jc w:val="both"/>
        <w:ind w:left="324" w:hanging="324"/>
        <w:spacing w:after="0" w:line="246" w:lineRule="auto"/>
        <w:tabs>
          <w:tab w:leader="none" w:pos="324"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Annual Minimum Per-Lease B&amp;I Cap Ex Requirement</w:t>
      </w:r>
      <w:r>
        <w:rPr>
          <w:rFonts w:ascii="Arial" w:cs="Arial" w:eastAsia="Arial" w:hAnsi="Arial"/>
          <w:sz w:val="22"/>
          <w:szCs w:val="22"/>
          <w:color w:val="auto"/>
        </w:rPr>
        <w:t>. The Annual Minimum Per-Lease B&amp;I Cap Ex Requirement shall be unchanged by this Amendment. Further, Landlord and Tenant hereby acknowledge, for the avoidance of doubt, that the Net Revenue attributable to the Harrah’s Reno Facility (as defined in the Sixth Amendment to the Regional Lease being entered into concurrently with this Amendment) during the period the Harrah’s Reno Facility was included in the Regional Lease (i.e., during the period from the “Commencement Date” (as defined in the Regional Lease) until the date of this Amendment) shall be included for purposes of calculating the Capital Expenditures required under Section 10.5(a)(ii) of the Lease (i.e., the Annual Minimum Per-Lease B&amp;I Cap Ex Requirement).</w:t>
      </w:r>
    </w:p>
    <w:p>
      <w:pPr>
        <w:spacing w:after="0" w:line="193" w:lineRule="exact"/>
        <w:rPr>
          <w:rFonts w:ascii="Arial" w:cs="Arial" w:eastAsia="Arial" w:hAnsi="Arial"/>
          <w:sz w:val="22"/>
          <w:szCs w:val="22"/>
          <w:color w:val="auto"/>
        </w:rPr>
      </w:pPr>
    </w:p>
    <w:p>
      <w:pPr>
        <w:jc w:val="both"/>
        <w:ind w:left="324" w:hanging="324"/>
        <w:spacing w:after="0" w:line="248" w:lineRule="auto"/>
        <w:tabs>
          <w:tab w:leader="none" w:pos="31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Triennial Allocated Minimum Cap Ex Amount B Floor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Allocated Minimum Cap Ex Amount B Floor” is hereby revised and modified to replace the reference therein to “Three Hundred Thirty-Three Million Six Hundred Thousand and No/100 Dollars ($333,600,000.00)” with a reference to “Three Hundred Twenty-Seven Million Eight Hundred Thousand and No/100 Dollars ($327,800,000.00)”.</w:t>
      </w:r>
    </w:p>
    <w:p>
      <w:pPr>
        <w:spacing w:after="0" w:line="191" w:lineRule="exact"/>
        <w:rPr>
          <w:rFonts w:ascii="Arial" w:cs="Arial" w:eastAsia="Arial" w:hAnsi="Arial"/>
          <w:sz w:val="22"/>
          <w:szCs w:val="22"/>
          <w:color w:val="auto"/>
        </w:rPr>
      </w:pPr>
    </w:p>
    <w:p>
      <w:pPr>
        <w:jc w:val="both"/>
        <w:ind w:left="324" w:hanging="324"/>
        <w:spacing w:after="0" w:line="265" w:lineRule="auto"/>
        <w:tabs>
          <w:tab w:leader="none" w:pos="324"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Ninety-Eight Million Four Hundred Thousand and No/100 Dollars ($598,400,000.00)” with a reference to “Five Hundred Ninety Million Three Hundred Thousand and No/100 Dollars ($590,300,000.00)”.</w:t>
      </w:r>
    </w:p>
    <w:p>
      <w:pPr>
        <w:spacing w:after="0" w:line="175" w:lineRule="exact"/>
        <w:rPr>
          <w:rFonts w:ascii="Arial" w:cs="Arial" w:eastAsia="Arial" w:hAnsi="Arial"/>
          <w:sz w:val="21"/>
          <w:szCs w:val="21"/>
          <w:color w:val="auto"/>
        </w:rPr>
      </w:pPr>
    </w:p>
    <w:p>
      <w:pPr>
        <w:jc w:val="both"/>
        <w:ind w:left="324" w:hanging="324"/>
        <w:spacing w:after="0" w:line="302" w:lineRule="auto"/>
        <w:tabs>
          <w:tab w:leader="none" w:pos="31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Triennial Minimum Cap Ex Amount B</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Lease is hereby amended such that the definition of “Triennial Minimum Cap Ex Amount B” is hereby revised and modified to replace the reference therein to “Four Hundred Twenty-Seven Million Seven Hundred Thousand and No/100 Dollars ($427,700,000.00)” with a reference to “Four Hundred Twenty-One Million Nine Hundred Thousand and No/100 Dollars ($421,900,000.00)”.</w:t>
      </w:r>
    </w:p>
    <w:p>
      <w:pPr>
        <w:spacing w:after="0" w:line="142" w:lineRule="exact"/>
        <w:rPr>
          <w:rFonts w:ascii="Arial" w:cs="Arial" w:eastAsia="Arial" w:hAnsi="Arial"/>
          <w:sz w:val="19"/>
          <w:szCs w:val="19"/>
          <w:color w:val="auto"/>
        </w:rPr>
      </w:pPr>
    </w:p>
    <w:p>
      <w:pPr>
        <w:ind w:left="324" w:hanging="324"/>
        <w:spacing w:after="0"/>
        <w:tabs>
          <w:tab w:leader="none" w:pos="324"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jc w:val="both"/>
        <w:ind w:left="964" w:hanging="316"/>
        <w:spacing w:after="0" w:line="245" w:lineRule="auto"/>
        <w:tabs>
          <w:tab w:leader="none" w:pos="956" w:val="left"/>
        </w:tabs>
        <w:numPr>
          <w:ilvl w:val="1"/>
          <w:numId w:val="53"/>
        </w:numPr>
        <w:rPr>
          <w:rFonts w:ascii="Arial" w:cs="Arial" w:eastAsia="Arial" w:hAnsi="Arial"/>
          <w:sz w:val="22"/>
          <w:szCs w:val="22"/>
          <w:color w:val="auto"/>
        </w:rPr>
      </w:pPr>
      <w:r>
        <w:rPr>
          <w:rFonts w:ascii="Arial" w:cs="Arial" w:eastAsia="Arial" w:hAnsi="Arial"/>
          <w:sz w:val="22"/>
          <w:szCs w:val="22"/>
          <w:color w:val="auto"/>
        </w:rPr>
        <w:t>Section 10.5(a)(v)(b) of the Lease is hereby amended to (a) replace the reference therein to “Five Hundred Ninety-Eight Million Four Hundred Thousand and No/100 Dollars ($598,400,000.00)” with a reference to “Five Hundred Ninety Million Three Hundred Thousand and No/100 Dollars</w:t>
      </w:r>
    </w:p>
    <w:p>
      <w:pPr>
        <w:sectPr>
          <w:pgSz w:w="11900" w:h="16838" w:orient="portrait"/>
          <w:cols w:equalWidth="0" w:num="1">
            <w:col w:w="10584"/>
          </w:cols>
          <w:pgMar w:left="976" w:top="1422" w:right="339" w:bottom="1440" w:gutter="0" w:footer="0" w:header="0"/>
        </w:sectPr>
      </w:pPr>
    </w:p>
    <w:bookmarkStart w:id="108" w:name="page109"/>
    <w:bookmarkEnd w:id="108"/>
    <w:p>
      <w:pPr>
        <w:jc w:val="both"/>
        <w:ind w:left="520"/>
        <w:spacing w:after="0" w:line="258" w:lineRule="auto"/>
        <w:rPr>
          <w:sz w:val="20"/>
          <w:szCs w:val="20"/>
          <w:color w:val="auto"/>
        </w:rPr>
      </w:pPr>
      <w:r>
        <w:rPr>
          <w:rFonts w:ascii="Arial" w:cs="Arial" w:eastAsia="Arial" w:hAnsi="Arial"/>
          <w:sz w:val="21"/>
          <w:szCs w:val="21"/>
          <w:color w:val="auto"/>
        </w:rPr>
        <w:t>($590,300,000.00)” and (b) replace the reference therein to “One Hundred Ninety-Nine Million Four Hundred Sixty-Six Thousand Six Hundred Sixty-Six and 67/100 Dollars ($199,466,666.67)” with a reference to “One Hundred Ninety-Six Million Seven Hundred Sixty-Six Thousand Six Hundred Sixty-Six and 67/100 Dollars ($196,766,666.67)”,Section 10.5(a)(v)(c) of the Lease is hereby amended to (a) replace the reference therein to “Four Hundred Twenty-Seven Million Seven Hundred Thousand and No/100 Dollars ($427,700,000.00)” with a reference to “Four Hundred Twenty-One Million Nine Hundred Thousand and No/100 Dollars ($421,900,000.00)” and (b) replace the reference therein to “One Hundred Forty-Two Million Five Hundred Sixty-Six Thousand Six Hundred Sixty-Six and 67/100 Dollars ($142,566,666.67)” with a reference to “One Hundred Forty Million Six Hundred Thirty-Three Thousand Three Hundred Thirty-Three and 33/100 Dollars ($140,633,333.33)”, and</w:t>
      </w:r>
    </w:p>
    <w:p>
      <w:pPr>
        <w:spacing w:after="0" w:line="185" w:lineRule="exact"/>
        <w:rPr>
          <w:sz w:val="20"/>
          <w:szCs w:val="20"/>
          <w:color w:val="auto"/>
        </w:rPr>
      </w:pPr>
    </w:p>
    <w:p>
      <w:pPr>
        <w:jc w:val="both"/>
        <w:ind w:left="520" w:hanging="490"/>
        <w:spacing w:after="0" w:line="287" w:lineRule="auto"/>
        <w:tabs>
          <w:tab w:leader="none" w:pos="5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second sentence of Section 10.5(a)(v) of the Lease is hereby amended to (a) replace the reference therein to “Five Hundred Ninety-Eight Million Four Hundred Thousand and No/100 Dollars ($598,400,000.00)” with a reference to “Five Hundred Ninety Million Three Hundred Thousand and No/100 Dollars ($590,300,000.00)”, (b) replace the reference therein to “One Hundred Ninety-Nine Million Four Hundred Sixty-Six Thousand Six Hundred Sixty-Six and 67/100 Dollars ($199,466,666.67)” with a reference to “One Hundred Ninety-Six Million Seven Hundred Sixty-Six Thousand Six Hundred Sixty-Six and 67/100 Dollars ($196,766,666.67)”, (c) replace the reference therein to “Four Hundred Twenty-Seven Million Seven Hundred Thousand and No/100 Dollars ($427,700,000.00)” with a reference to “Four Hundred Twenty-One Million Nine Hundred Thousand and No/100 Dollars ($421,900,000.00)” and (d) replace the reference therein to “One Hundred Forty-Two Million Five Hundred Sixty-Six Thousand Six Hundred Sixty-Six and 67/100 Dollars ($142,566,666.67)” with a reference to “One Hundred Forty Million Six Hundred Thirty-Three Thousand Three Hundred Thirty-Three and 33/100 Dollars ($140,633,333.33)”.</w:t>
      </w:r>
    </w:p>
    <w:p>
      <w:pPr>
        <w:spacing w:after="0" w:line="145" w:lineRule="exact"/>
        <w:rPr>
          <w:rFonts w:ascii="Arial" w:cs="Arial" w:eastAsia="Arial" w:hAnsi="Arial"/>
          <w:sz w:val="19"/>
          <w:szCs w:val="19"/>
          <w:color w:val="auto"/>
        </w:rPr>
      </w:pPr>
    </w:p>
    <w:p>
      <w:pPr>
        <w:jc w:val="both"/>
        <w:ind w:left="520" w:hanging="520"/>
        <w:spacing w:after="0" w:line="245" w:lineRule="auto"/>
        <w:tabs>
          <w:tab w:leader="none" w:pos="5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second sentence of Section 10.5(a)(v) of the Lease is hereby amended to (a) replace the reference therein to “Five Hundred Ninety-Eight Million Four Hundred Thousand and No/100 Dollars ($598,400,000.00)” with a reference to “Five Hundred Ninety Million Three Hundred Thousand and No/100 Dollars ($590,300,000.00)”, (b) replace the reference therein to “One Hundred Ninety-Nine Million Four Hundred Sixty-Six Thousand Six Hundred Sixty-Six and 67/100 Dollars ($199,466,666.67)” with a reference to “One Hundred Ninety-Six Million Seven Hundred Sixty-Six Thousand Six Hundred Sixty-Six and 67/100 Dollars ($196,766,666.67)”, (c) replace the reference therein to “Four Hundred Twenty-Seven Million Seven Hundred Thousand and No/100 Dollars ($427,700,000.00)” with a reference to “Four Hundred Twenty-One Million Nine Hundred Thousand and No/100 Dollars ($421,900,000.00)” and (d) replace the reference therein to “One 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40"/>
          </w:cols>
          <w:pgMar w:left="1420" w:top="1428" w:right="339" w:bottom="1440" w:gutter="0" w:footer="0" w:header="0"/>
        </w:sectPr>
      </w:pPr>
    </w:p>
    <w:bookmarkStart w:id="109" w:name="page110"/>
    <w:bookmarkEnd w:id="109"/>
    <w:p>
      <w:pPr>
        <w:jc w:val="both"/>
        <w:ind w:left="1620"/>
        <w:spacing w:after="0"/>
        <w:rPr>
          <w:sz w:val="20"/>
          <w:szCs w:val="20"/>
          <w:color w:val="auto"/>
        </w:rPr>
      </w:pPr>
      <w:r>
        <w:rPr>
          <w:rFonts w:ascii="Arial" w:cs="Arial" w:eastAsia="Arial" w:hAnsi="Arial"/>
          <w:sz w:val="22"/>
          <w:szCs w:val="22"/>
          <w:color w:val="auto"/>
        </w:rPr>
        <w:t>Forty-Two Million Five Hundred Sixty-Six Thousand Six Hundred Sixty-Six and 67/100 Dollars ($142,566,666.67)” with a reference to “One Hundred Forty Million Six Hundred Thirty-Three Thousand Three Hundred Thirty-Three and 33/100 Dollars ($140,633,333.33)”.</w:t>
      </w:r>
    </w:p>
    <w:p>
      <w:pPr>
        <w:spacing w:after="0" w:line="227"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Regional Lease Section 22.2(ix) Transfer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620" w:hanging="430"/>
        <w:spacing w:after="0" w:line="312" w:lineRule="auto"/>
        <w:tabs>
          <w:tab w:leader="none" w:pos="16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Landlord and Tenant hereby acknowledge and agree that the Harrah’s Reno Transaction shall be deemed to be, and treated as, a transfer and sale of the entire “Leased Property” (as defined in the Regional Lease) with respect to a “Facility” (as defined in the Regional Lease) pursuant to Section 22.2(ix) of the Regional Lease.</w:t>
      </w:r>
    </w:p>
    <w:p>
      <w:pPr>
        <w:spacing w:after="0" w:line="133" w:lineRule="exact"/>
        <w:rPr>
          <w:rFonts w:ascii="Arial" w:cs="Arial" w:eastAsia="Arial" w:hAnsi="Arial"/>
          <w:sz w:val="19"/>
          <w:szCs w:val="19"/>
          <w:color w:val="auto"/>
        </w:rPr>
      </w:pPr>
    </w:p>
    <w:p>
      <w:pPr>
        <w:ind w:left="1620" w:hanging="490"/>
        <w:spacing w:after="0"/>
        <w:tabs>
          <w:tab w:leader="none" w:pos="162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2018 Facility EBITDAR of Regional Tenant for the Harrah’s Reno Facility is equal to [****].</w:t>
      </w:r>
    </w:p>
    <w:p>
      <w:pPr>
        <w:spacing w:after="0" w:line="206" w:lineRule="exact"/>
        <w:rPr>
          <w:rFonts w:ascii="Arial" w:cs="Arial" w:eastAsia="Arial" w:hAnsi="Arial"/>
          <w:sz w:val="22"/>
          <w:szCs w:val="22"/>
          <w:color w:val="auto"/>
        </w:rPr>
      </w:pPr>
    </w:p>
    <w:p>
      <w:pPr>
        <w:ind w:left="1620" w:right="40" w:hanging="550"/>
        <w:spacing w:after="0" w:line="250" w:lineRule="auto"/>
        <w:tabs>
          <w:tab w:leader="none" w:pos="162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amount of the 2018 EBITDAR Pool shall not be reduced as a result of the Harrah’s Reno Facility no longer being a Regional Facility under the Regional Lease.</w:t>
      </w:r>
    </w:p>
    <w:p>
      <w:pPr>
        <w:spacing w:after="0" w:line="182" w:lineRule="exact"/>
        <w:rPr>
          <w:sz w:val="20"/>
          <w:szCs w:val="20"/>
          <w:color w:val="auto"/>
        </w:rPr>
      </w:pPr>
    </w:p>
    <w:p>
      <w:pPr>
        <w:jc w:val="both"/>
        <w:ind w:firstLine="656"/>
        <w:spacing w:after="0" w:line="256" w:lineRule="auto"/>
        <w:tabs>
          <w:tab w:leader="none" w:pos="12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“Lease” shall be deemed to refer to the Lease as amended by this Amendment.</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2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79"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76" w:lineRule="exact"/>
        <w:rPr>
          <w:rFonts w:ascii="Arial" w:cs="Arial" w:eastAsia="Arial" w:hAnsi="Arial"/>
          <w:sz w:val="22"/>
          <w:szCs w:val="22"/>
          <w:b w:val="1"/>
          <w:bCs w:val="1"/>
          <w:color w:val="auto"/>
        </w:rPr>
      </w:pPr>
    </w:p>
    <w:p>
      <w:pPr>
        <w:ind w:firstLine="656"/>
        <w:spacing w:after="0" w:line="269" w:lineRule="auto"/>
        <w:tabs>
          <w:tab w:leader="none" w:pos="12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1" w:lineRule="exact"/>
        <w:rPr>
          <w:rFonts w:ascii="Arial" w:cs="Arial" w:eastAsia="Arial" w:hAnsi="Arial"/>
          <w:sz w:val="22"/>
          <w:szCs w:val="22"/>
          <w:b w:val="1"/>
          <w:bCs w:val="1"/>
          <w:color w:val="auto"/>
        </w:rPr>
      </w:pPr>
    </w:p>
    <w:p>
      <w:pPr>
        <w:jc w:val="both"/>
        <w:ind w:firstLine="656"/>
        <w:spacing w:after="0" w:line="248" w:lineRule="auto"/>
        <w:tabs>
          <w:tab w:leader="none" w:pos="12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this Amendment is adjudicated to be invalid, illegal or unenforceable, in whole</w:t>
      </w:r>
      <w:r>
        <w:rPr>
          <w:rFonts w:ascii="Arial" w:cs="Arial" w:eastAsia="Arial" w:hAnsi="Arial"/>
          <w:sz w:val="22"/>
          <w:szCs w:val="22"/>
          <w:b w:val="1"/>
          <w:bCs w:val="1"/>
          <w:color w:val="auto"/>
        </w:rPr>
        <w:t xml:space="preserve"> </w:t>
      </w:r>
      <w:r>
        <w:rPr>
          <w:rFonts w:ascii="Arial" w:cs="Arial" w:eastAsia="Arial" w:hAnsi="Arial"/>
          <w:sz w:val="22"/>
          <w:szCs w:val="22"/>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110" w:name="page111"/>
    <w:bookmarkEnd w:id="110"/>
    <w:p>
      <w:pPr>
        <w:jc w:val="both"/>
        <w:spacing w:after="0" w:line="253" w:lineRule="auto"/>
        <w:rPr>
          <w:sz w:val="20"/>
          <w:szCs w:val="20"/>
          <w:color w:val="auto"/>
        </w:rPr>
      </w:pPr>
      <w:r>
        <w:rPr>
          <w:rFonts w:ascii="Arial" w:cs="Arial" w:eastAsia="Arial" w:hAnsi="Arial"/>
          <w:sz w:val="22"/>
          <w:szCs w:val="22"/>
          <w:color w:val="auto"/>
        </w:rPr>
        <w:t>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11" w:name="page112"/>
    <w:bookmarkEnd w:id="111"/>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JOLIET LANDCO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1887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Third Amendment to Joliet Lease]</w:t>
      </w:r>
    </w:p>
    <w:p>
      <w:pPr>
        <w:sectPr>
          <w:pgSz w:w="11900" w:h="16838" w:orient="portrait"/>
          <w:cols w:equalWidth="0" w:num="1">
            <w:col w:w="11240"/>
          </w:cols>
          <w:pgMar w:left="320" w:top="1428" w:right="339" w:bottom="1440" w:gutter="0" w:footer="0" w:header="0"/>
        </w:sectPr>
      </w:pPr>
    </w:p>
    <w:bookmarkStart w:id="112" w:name="page113"/>
    <w:bookmarkEnd w:id="112"/>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 PLAINES DEVELOPMENT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LIMITED PARTNERSHIP,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partnership</w:t>
      </w:r>
    </w:p>
    <w:p>
      <w:pPr>
        <w:spacing w:after="0" w:line="229"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22"/>
          <w:szCs w:val="22"/>
          <w:color w:val="auto"/>
        </w:rPr>
        <w:t>By:</w:t>
        <w:tab/>
        <w:t>Harrah’s Illinois LLC,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-17780</wp:posOffset>
            </wp:positionV>
            <wp:extent cx="1409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599"/>
        <w:spacing w:after="0"/>
        <w:rPr>
          <w:sz w:val="20"/>
          <w:szCs w:val="20"/>
          <w:color w:val="auto"/>
        </w:rPr>
      </w:pPr>
      <w:r>
        <w:rPr>
          <w:rFonts w:ascii="Arial" w:cs="Arial" w:eastAsia="Arial" w:hAnsi="Arial"/>
          <w:sz w:val="18"/>
          <w:szCs w:val="18"/>
          <w:i w:val="1"/>
          <w:iCs w:val="1"/>
          <w:color w:val="auto"/>
        </w:rPr>
        <w:t>[Signature Page to Third Amendment to Joliet Lease]</w:t>
      </w:r>
    </w:p>
    <w:p>
      <w:pPr>
        <w:sectPr>
          <w:pgSz w:w="11900" w:h="16838" w:orient="portrait"/>
          <w:cols w:equalWidth="0" w:num="1">
            <w:col w:w="10139"/>
          </w:cols>
          <w:pgMar w:left="320" w:top="1440" w:right="1440"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Acknowledged and agreed, solely for the purposes of the last paragraph of Section 1.1 of the Lease: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1887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[Signature Page to Third Amendment to Joliet Lease]</w:t>
      </w:r>
    </w:p>
    <w:p>
      <w:pPr>
        <w:sectPr>
          <w:pgSz w:w="11900" w:h="16838" w:orient="portrait"/>
          <w:cols w:equalWidth="0" w:num="1">
            <w:col w:w="10139"/>
          </w:cols>
          <w:pgMar w:left="320" w:top="1428" w:right="1440"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CEOC, LLC hereby acknowledges this Amendment and reaffirms its joinder attached to the Lease.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[Signature Page to Third Amendment to Joliet Lease]</w:t>
      </w:r>
    </w:p>
    <w:p>
      <w:pPr>
        <w:sectPr>
          <w:pgSz w:w="11900" w:h="16838" w:orient="portrait"/>
          <w:cols w:equalWidth="0" w:num="1">
            <w:col w:w="10139"/>
          </w:cols>
          <w:pgMar w:left="320" w:top="1428"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33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Third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 definition having the meanings set forth in the Amendment), dated as of September 30, 2020, by and among Harrah’s Joliet Landco LLC, a Delaware limited liability company, as Landlord, Des Plaines Development Limited Partnership, a Delaware limited partnership,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264" w:lineRule="exact"/>
        <w:rPr>
          <w:sz w:val="20"/>
          <w:szCs w:val="20"/>
          <w:color w:val="auto"/>
        </w:rPr>
      </w:pPr>
    </w:p>
    <w:p>
      <w:pPr>
        <w:jc w:val="both"/>
        <w:ind w:firstLine="219"/>
        <w:spacing w:after="0" w:line="263"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September 30, 2020.</w:t>
      </w:r>
    </w:p>
    <w:p>
      <w:pPr>
        <w:sectPr>
          <w:pgSz w:w="11900" w:h="16838" w:orient="portrait"/>
          <w:cols w:equalWidth="0" w:num="1">
            <w:col w:w="11240"/>
          </w:cols>
          <w:pgMar w:left="320" w:top="1422" w:right="3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b w:val="1"/>
          <w:bCs w:val="1"/>
          <w:color w:val="auto"/>
        </w:rPr>
        <w:t>CAESARS ENTERTAINMENT, INC.</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819"/>
        <w:spacing w:after="0"/>
        <w:rPr>
          <w:sz w:val="20"/>
          <w:szCs w:val="20"/>
          <w:color w:val="auto"/>
        </w:rPr>
      </w:pPr>
      <w:r>
        <w:rPr>
          <w:rFonts w:ascii="Arial" w:cs="Arial" w:eastAsia="Arial" w:hAnsi="Arial"/>
          <w:sz w:val="18"/>
          <w:szCs w:val="18"/>
          <w:i w:val="1"/>
          <w:iCs w:val="1"/>
          <w:color w:val="auto"/>
        </w:rPr>
        <w:t>[Signature Page to Reaffirmation of Guaranty]</w:t>
      </w:r>
    </w:p>
    <w:p>
      <w:pPr>
        <w:sectPr>
          <w:pgSz w:w="11900" w:h="16838" w:orient="portrait"/>
          <w:cols w:equalWidth="0" w:num="1">
            <w:col w:w="10139"/>
          </w:cols>
          <w:pgMar w:left="320" w:top="1422"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AMENDMENT TO LEASE</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THIRD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September 30, 2020, by and among </w:t>
      </w:r>
      <w:r>
        <w:rPr>
          <w:rFonts w:ascii="Arial" w:cs="Arial" w:eastAsia="Arial" w:hAnsi="Arial"/>
          <w:sz w:val="22"/>
          <w:szCs w:val="22"/>
          <w:b w:val="1"/>
          <w:bCs w:val="1"/>
          <w:color w:val="auto"/>
        </w:rPr>
        <w:t xml:space="preserve">CPLV PROPERTY OWNER LLC </w:t>
      </w:r>
      <w:r>
        <w:rPr>
          <w:rFonts w:ascii="Arial" w:cs="Arial" w:eastAsia="Arial" w:hAnsi="Arial"/>
          <w:sz w:val="22"/>
          <w:szCs w:val="22"/>
          <w:color w:val="auto"/>
        </w:rPr>
        <w:t>and</w:t>
      </w:r>
      <w:r>
        <w:rPr>
          <w:rFonts w:ascii="Arial" w:cs="Arial" w:eastAsia="Arial" w:hAnsi="Arial"/>
          <w:sz w:val="22"/>
          <w:szCs w:val="22"/>
          <w:b w:val="1"/>
          <w:bCs w:val="1"/>
          <w:color w:val="auto"/>
        </w:rPr>
        <w:t xml:space="preserve"> CLAUDINE PROPCO LLC</w:t>
      </w:r>
      <w:r>
        <w:rPr>
          <w:rFonts w:ascii="Arial" w:cs="Arial" w:eastAsia="Arial" w:hAnsi="Arial"/>
          <w:sz w:val="22"/>
          <w:szCs w:val="22"/>
          <w:color w:val="auto"/>
        </w:rPr>
        <w:t>, each a Delaware limited liability company (collectively,</w:t>
      </w:r>
      <w:r>
        <w:rPr>
          <w:rFonts w:ascii="Arial" w:cs="Arial" w:eastAsia="Arial" w:hAnsi="Arial"/>
          <w:sz w:val="22"/>
          <w:szCs w:val="22"/>
          <w:b w:val="1"/>
          <w:bCs w:val="1"/>
          <w:color w:val="auto"/>
        </w:rPr>
        <w:t xml:space="preserve"> </w:t>
      </w:r>
      <w:r>
        <w:rPr>
          <w:rFonts w:ascii="Arial" w:cs="Arial" w:eastAsia="Arial" w:hAnsi="Arial"/>
          <w:sz w:val="22"/>
          <w:szCs w:val="22"/>
          <w:color w:val="auto"/>
        </w:rPr>
        <w:t>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DESERT PALACE LLC</w:t>
      </w:r>
      <w:r>
        <w:rPr>
          <w:rFonts w:ascii="Arial" w:cs="Arial" w:eastAsia="Arial" w:hAnsi="Arial"/>
          <w:sz w:val="22"/>
          <w:szCs w:val="22"/>
          <w:color w:val="auto"/>
        </w:rPr>
        <w:t xml:space="preserve">, a Nevada limited liability company, </w:t>
      </w:r>
      <w:r>
        <w:rPr>
          <w:rFonts w:ascii="Arial" w:cs="Arial" w:eastAsia="Arial" w:hAnsi="Arial"/>
          <w:sz w:val="22"/>
          <w:szCs w:val="22"/>
          <w:b w:val="1"/>
          <w:bCs w:val="1"/>
          <w:color w:val="auto"/>
        </w:rPr>
        <w:t>CEOC, LLC</w:t>
      </w:r>
      <w:r>
        <w:rPr>
          <w:rFonts w:ascii="Arial" w:cs="Arial" w:eastAsia="Arial" w:hAnsi="Arial"/>
          <w:sz w:val="22"/>
          <w:szCs w:val="22"/>
          <w:color w:val="auto"/>
        </w:rPr>
        <w:t xml:space="preserve">, a Delaware limited liability company (for itself and as successor by merger to Caesars Entertainment Operating Company, Inc., a Delaware corporation), and </w:t>
      </w:r>
      <w:r>
        <w:rPr>
          <w:rFonts w:ascii="Arial" w:cs="Arial" w:eastAsia="Arial" w:hAnsi="Arial"/>
          <w:sz w:val="22"/>
          <w:szCs w:val="22"/>
          <w:b w:val="1"/>
          <w:bCs w:val="1"/>
          <w:color w:val="auto"/>
        </w:rPr>
        <w:t>HARRAH’S LAS VEGAS, LLC,</w:t>
      </w:r>
      <w:r>
        <w:rPr>
          <w:rFonts w:ascii="Arial" w:cs="Arial" w:eastAsia="Arial" w:hAnsi="Arial"/>
          <w:sz w:val="22"/>
          <w:szCs w:val="22"/>
          <w:color w:val="auto"/>
        </w:rPr>
        <w:t xml:space="preserve"> a Nevada limited liability company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and, solely for the purposes of the last paragraph of Section 1.1 of the Lease (as defined below), Propco TRS LLC, a Delaware limited liability company (“</w:t>
      </w:r>
      <w:r>
        <w:rPr>
          <w:rFonts w:ascii="Arial" w:cs="Arial" w:eastAsia="Arial" w:hAnsi="Arial"/>
          <w:sz w:val="22"/>
          <w:szCs w:val="22"/>
          <w:u w:val="single" w:color="auto"/>
          <w:color w:val="auto"/>
        </w:rPr>
        <w:t>Propco</w:t>
      </w:r>
      <w:r>
        <w:rPr>
          <w:rFonts w:ascii="Arial" w:cs="Arial" w:eastAsia="Arial" w:hAnsi="Arial"/>
          <w:sz w:val="22"/>
          <w:szCs w:val="22"/>
          <w:color w:val="auto"/>
        </w:rPr>
        <w:t xml:space="preserve"> </w:t>
      </w:r>
      <w:r>
        <w:rPr>
          <w:rFonts w:ascii="Arial" w:cs="Arial" w:eastAsia="Arial" w:hAnsi="Arial"/>
          <w:sz w:val="22"/>
          <w:szCs w:val="22"/>
          <w:u w:val="single" w:color="auto"/>
          <w:color w:val="auto"/>
        </w:rPr>
        <w:t>TRS</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Tenant and, solely for the purposes of the last paragraph of Section 1.1 of the Lease, Propco TRS</w:t>
      </w:r>
      <w:r>
        <w:rPr>
          <w:rFonts w:ascii="Arial" w:cs="Arial" w:eastAsia="Arial" w:hAnsi="Arial"/>
          <w:sz w:val="22"/>
          <w:szCs w:val="22"/>
          <w:b w:val="1"/>
          <w:bCs w:val="1"/>
          <w:color w:val="auto"/>
        </w:rPr>
        <w:t xml:space="preserve"> </w:t>
      </w:r>
      <w:r>
        <w:rPr>
          <w:rFonts w:ascii="Arial" w:cs="Arial" w:eastAsia="Arial" w:hAnsi="Arial"/>
          <w:sz w:val="22"/>
          <w:szCs w:val="22"/>
          <w:color w:val="auto"/>
        </w:rPr>
        <w:t>are parties to that certain Lease (CPLV) dated as of October 6, 2017, as amended by that certain First Amendment to Lease (CPLV), dated as of December 26, 2018, as amended by that certain Omnibus Amendment to Leases, dated as of June 1, 2020, and as amended by that certain Second Amendment to Lease (CPLV), dated as of July 20, 2020 (collectively, as amended, the “</w:t>
      </w:r>
      <w:r>
        <w:rPr>
          <w:rFonts w:ascii="Arial" w:cs="Arial" w:eastAsia="Arial" w:hAnsi="Arial"/>
          <w:sz w:val="22"/>
          <w:szCs w:val="22"/>
          <w:u w:val="single" w:color="auto"/>
          <w:color w:val="auto"/>
        </w:rPr>
        <w:t>Lease</w:t>
      </w:r>
      <w:r>
        <w:rPr>
          <w:rFonts w:ascii="Arial" w:cs="Arial" w:eastAsia="Arial" w:hAnsi="Arial"/>
          <w:sz w:val="22"/>
          <w:szCs w:val="22"/>
          <w:color w:val="auto"/>
        </w:rPr>
        <w:t>”), pursuant to which Landlord leases to Tenant, and Tenant leases from Landlord, certain real property as more particularly described in the Lease;</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the date hereof, Harrah’s Reno LLC, being an Affiliate of Landlord, and CEOC, LLC, together as sellers,</w:t>
      </w:r>
      <w:r>
        <w:rPr>
          <w:rFonts w:ascii="Arial" w:cs="Arial" w:eastAsia="Arial" w:hAnsi="Arial"/>
          <w:sz w:val="21"/>
          <w:szCs w:val="21"/>
          <w:b w:val="1"/>
          <w:bCs w:val="1"/>
          <w:color w:val="auto"/>
        </w:rPr>
        <w:t xml:space="preserve"> </w:t>
      </w:r>
      <w:r>
        <w:rPr>
          <w:rFonts w:ascii="Arial" w:cs="Arial" w:eastAsia="Arial" w:hAnsi="Arial"/>
          <w:sz w:val="21"/>
          <w:szCs w:val="21"/>
          <w:color w:val="auto"/>
        </w:rPr>
        <w:t>and Reno City Center, LLC, as purchaser, are closing a purchase and sale transaction under that certain Purchase and Sale Agreement and Joint Escrow Instructions, dated as of December 31, 2019, as amended by that certain First Amendment to Purchase and Sale Agreement and Joint Escrow Instructions, dated as of May 29, 2020, with respect to certain real property and FF&amp;E (as defined therein) associated with the gaming and entertainment facility known as “Harrah’s Reno Hotel &amp; Casino” located in Reno, Nevada (the “</w:t>
      </w:r>
      <w:r>
        <w:rPr>
          <w:rFonts w:ascii="Arial" w:cs="Arial" w:eastAsia="Arial" w:hAnsi="Arial"/>
          <w:sz w:val="21"/>
          <w:szCs w:val="21"/>
          <w:u w:val="single" w:color="auto"/>
          <w:color w:val="auto"/>
        </w:rPr>
        <w:t>Harrah’s Reno Transaction</w:t>
      </w:r>
      <w:r>
        <w:rPr>
          <w:rFonts w:ascii="Arial" w:cs="Arial" w:eastAsia="Arial" w:hAnsi="Arial"/>
          <w:sz w:val="21"/>
          <w:szCs w:val="21"/>
          <w:color w:val="auto"/>
        </w:rPr>
        <w:t>”); and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Harrah’s Reno Transaction, the parties hereto desire to amend the Lease as set forth</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firstLine="656"/>
        <w:spacing w:after="0" w:line="269" w:lineRule="auto"/>
        <w:tabs>
          <w:tab w:leader="none" w:pos="1296"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ectPr>
          <w:pgSz w:w="11900" w:h="16838" w:orient="portrait"/>
          <w:cols w:equalWidth="0" w:num="1">
            <w:col w:w="11240"/>
          </w:cols>
          <w:pgMar w:left="320" w:top="126" w:right="339" w:bottom="1440" w:gutter="0" w:footer="0" w:header="0"/>
        </w:sectPr>
      </w:pPr>
    </w:p>
    <w:bookmarkStart w:id="118" w:name="page119"/>
    <w:bookmarkEnd w:id="118"/>
    <w:p>
      <w:pPr>
        <w:ind w:left="1300" w:hanging="644"/>
        <w:spacing w:after="0"/>
        <w:tabs>
          <w:tab w:leader="none" w:pos="130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p>
    <w:p>
      <w:pPr>
        <w:spacing w:after="0" w:line="226" w:lineRule="exact"/>
        <w:rPr>
          <w:sz w:val="20"/>
          <w:szCs w:val="20"/>
          <w:color w:val="auto"/>
        </w:rPr>
      </w:pPr>
    </w:p>
    <w:p>
      <w:pPr>
        <w:jc w:val="both"/>
        <w:ind w:left="980" w:hanging="324"/>
        <w:spacing w:after="0" w:line="302" w:lineRule="auto"/>
        <w:tabs>
          <w:tab w:leader="none" w:pos="968"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Triennial Minimum Cap Ex Amount B</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Lease is hereby amended such that the definition of “Triennial Minimum Cap Ex Amount B” is hereby revised and modified to replace the reference therein to “Four Hundred Twenty-Seven Million Seven Hundred Thousand and No/100 Dollars ($427,700,000.00)” with a reference to “Four Hundred Twenty-One Million Nine Hundred Thousand and No/100 Dollars ($421,900,000.00)”.</w:t>
      </w:r>
    </w:p>
    <w:p>
      <w:pPr>
        <w:spacing w:after="0" w:line="142" w:lineRule="exact"/>
        <w:rPr>
          <w:rFonts w:ascii="Arial" w:cs="Arial" w:eastAsia="Arial" w:hAnsi="Arial"/>
          <w:sz w:val="19"/>
          <w:szCs w:val="19"/>
          <w:color w:val="auto"/>
        </w:rPr>
      </w:pPr>
    </w:p>
    <w:p>
      <w:pPr>
        <w:ind w:left="980" w:hanging="324"/>
        <w:spacing w:after="0"/>
        <w:tabs>
          <w:tab w:leader="none" w:pos="98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620" w:hanging="430"/>
        <w:spacing w:after="0" w:line="294" w:lineRule="auto"/>
        <w:tabs>
          <w:tab w:leader="none" w:pos="1620" w:val="left"/>
        </w:tabs>
        <w:numPr>
          <w:ilvl w:val="1"/>
          <w:numId w:val="59"/>
        </w:numPr>
        <w:rPr>
          <w:rFonts w:ascii="Arial" w:cs="Arial" w:eastAsia="Arial" w:hAnsi="Arial"/>
          <w:sz w:val="19"/>
          <w:szCs w:val="19"/>
          <w:color w:val="auto"/>
        </w:rPr>
      </w:pPr>
      <w:r>
        <w:rPr>
          <w:rFonts w:ascii="Arial" w:cs="Arial" w:eastAsia="Arial" w:hAnsi="Arial"/>
          <w:sz w:val="19"/>
          <w:szCs w:val="19"/>
          <w:color w:val="auto"/>
        </w:rPr>
        <w:t>Section 10.5(a)(v)(b) of the Lease is hereby amended to (a) replace the reference therein to “Four Hundred Twenty-Seven Million Seven Hundred Thousand and No/100 Dollars ($427,700,000.00)” with a reference to “Four Hundred Twenty-One Million Nine Hundred Thousand and No/100 Dollars ($421,900,000.00)” and (b) replace the reference therein to “One Hundred Forty-Two Million Five Hundred Sixty-Six Thousand Six Hundred Sixty-Six and 67/100 Dollars ($142,566,666.67)” with a reference to “One Hundred Forty Million Six Hundred Thirty-Three Thousand Three Hundred Thirty-Three and 33/100 Dollars ($140,633,333.33)” and</w:t>
      </w:r>
    </w:p>
    <w:p>
      <w:pPr>
        <w:spacing w:after="0" w:line="149" w:lineRule="exact"/>
        <w:rPr>
          <w:rFonts w:ascii="Arial" w:cs="Arial" w:eastAsia="Arial" w:hAnsi="Arial"/>
          <w:sz w:val="19"/>
          <w:szCs w:val="19"/>
          <w:color w:val="auto"/>
        </w:rPr>
      </w:pPr>
    </w:p>
    <w:p>
      <w:pPr>
        <w:jc w:val="both"/>
        <w:ind w:left="1620" w:hanging="490"/>
        <w:spacing w:after="0" w:line="246" w:lineRule="auto"/>
        <w:tabs>
          <w:tab w:leader="none" w:pos="1620"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second sentence of Section 10.5(a)(v) of the Lease is hereby amended to (a) replace the reference therein to “Four Hundred Twenty-Seven Million Seven Hundred Thousand and No/100 Dollars ($427,700,000.00)” with a reference to “Four Hundred Twenty-One Million Nine Hundred Thousand and No/100 Dollars ($421,900,000.00)” and (b) replace the reference therein to “One Hundred Forty-Two Million Five Hundred Sixty-Six Thousand Six Hundred Sixty-Six and 67/100 Dollars ($142,566,666.67)” with a reference to “One Hundred Forty Million Six Hundred Thirty-Three Thousand Three Hundred Thirty-Three and 33/100 Dollars ($140,633,333.33)”.</w:t>
      </w:r>
    </w:p>
    <w:p>
      <w:pPr>
        <w:spacing w:after="0" w:line="190" w:lineRule="exact"/>
        <w:rPr>
          <w:sz w:val="20"/>
          <w:szCs w:val="20"/>
          <w:color w:val="auto"/>
        </w:rPr>
      </w:pPr>
    </w:p>
    <w:p>
      <w:pPr>
        <w:jc w:val="both"/>
        <w:ind w:firstLine="656"/>
        <w:spacing w:after="0" w:line="256" w:lineRule="auto"/>
        <w:tabs>
          <w:tab w:leader="none" w:pos="1296"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“Lease” shall be deemed to refer to the Lease as amended by this Amendment.</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296"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79"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119" w:name="page120"/>
    <w:bookmarkEnd w:id="119"/>
    <w:p>
      <w:pPr>
        <w:ind w:firstLine="656"/>
        <w:spacing w:after="0" w:line="269" w:lineRule="auto"/>
        <w:tabs>
          <w:tab w:leader="none" w:pos="1296"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1" w:lineRule="exact"/>
        <w:rPr>
          <w:rFonts w:ascii="Arial" w:cs="Arial" w:eastAsia="Arial" w:hAnsi="Arial"/>
          <w:sz w:val="22"/>
          <w:szCs w:val="22"/>
          <w:b w:val="1"/>
          <w:bCs w:val="1"/>
          <w:color w:val="auto"/>
        </w:rPr>
      </w:pPr>
    </w:p>
    <w:p>
      <w:pPr>
        <w:jc w:val="both"/>
        <w:ind w:firstLine="656"/>
        <w:spacing w:after="0" w:line="260" w:lineRule="auto"/>
        <w:tabs>
          <w:tab w:leader="none" w:pos="1296"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120" w:name="page121"/>
    <w:bookmarkEnd w:id="120"/>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CPLV PROPERTY OWNER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258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CLAUDINE PROPCO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258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Third Amendment to Las Vegas Lease]</w:t>
      </w:r>
    </w:p>
    <w:p>
      <w:pPr>
        <w:sectPr>
          <w:pgSz w:w="11900" w:h="16838" w:orient="portrait"/>
          <w:cols w:equalWidth="0" w:num="1">
            <w:col w:w="11240"/>
          </w:cols>
          <w:pgMar w:left="320" w:top="1428" w:right="339" w:bottom="1440" w:gutter="0" w:footer="0" w:header="0"/>
        </w:sectPr>
      </w:pPr>
    </w:p>
    <w:bookmarkStart w:id="121" w:name="page122"/>
    <w:bookmarkEnd w:id="121"/>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DESERT PALACE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LAS VEGAS,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20"/>
        <w:spacing w:after="0"/>
        <w:rPr>
          <w:sz w:val="20"/>
          <w:szCs w:val="20"/>
          <w:color w:val="auto"/>
        </w:rPr>
      </w:pPr>
      <w:r>
        <w:rPr>
          <w:rFonts w:ascii="Arial" w:cs="Arial" w:eastAsia="Arial" w:hAnsi="Arial"/>
          <w:sz w:val="19"/>
          <w:szCs w:val="19"/>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2419"/>
        <w:spacing w:after="0"/>
        <w:rPr>
          <w:sz w:val="20"/>
          <w:szCs w:val="20"/>
          <w:color w:val="auto"/>
        </w:rPr>
      </w:pPr>
      <w:r>
        <w:rPr>
          <w:rFonts w:ascii="Arial" w:cs="Arial" w:eastAsia="Arial" w:hAnsi="Arial"/>
          <w:sz w:val="18"/>
          <w:szCs w:val="18"/>
          <w:i w:val="1"/>
          <w:iCs w:val="1"/>
          <w:color w:val="auto"/>
        </w:rPr>
        <w:t>[Signature Page to Third Amendment to Las Vegas Lease]</w:t>
      </w:r>
    </w:p>
    <w:p>
      <w:pPr>
        <w:sectPr>
          <w:pgSz w:w="11900" w:h="16838" w:orient="portrait"/>
          <w:cols w:equalWidth="0" w:num="1">
            <w:col w:w="10139"/>
          </w:cols>
          <w:pgMar w:left="320" w:top="1440" w:right="1440"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Acknowledged and agreed, solely for the purposes of the last paragraph of Section 1.1 of the Lease: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258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[Signature Page to Third Amendment to Las Vegas Lease]</w:t>
      </w:r>
    </w:p>
    <w:p>
      <w:pPr>
        <w:sectPr>
          <w:pgSz w:w="11900" w:h="16838" w:orient="portrait"/>
          <w:cols w:equalWidth="0" w:num="1">
            <w:col w:w="10139"/>
          </w:cols>
          <w:pgMar w:left="320" w:top="1428" w:right="1440" w:bottom="1440" w:gutter="0" w:footer="0" w:header="0"/>
        </w:sectPr>
      </w:pPr>
    </w:p>
    <w:bookmarkStart w:id="123" w:name="page124"/>
    <w:bookmarkEnd w:id="123"/>
    <w:p>
      <w:pPr>
        <w:jc w:val="center"/>
        <w:ind w:right="-7"/>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53" w:lineRule="exact"/>
        <w:rPr>
          <w:sz w:val="20"/>
          <w:szCs w:val="20"/>
          <w:color w:val="auto"/>
        </w:rPr>
      </w:pPr>
    </w:p>
    <w:p>
      <w:pPr>
        <w:jc w:val="both"/>
        <w:ind w:left="8"/>
        <w:spacing w:after="0" w:line="285"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Third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 definition having the meanings set forth in the Amendment), dated as of September 30, 2020, by and among CPLV Property Owner LLC and Claudine Propco LLC, each a Delaware limited liability company, collectively as Landlord, Desert Palace LLC, a Nevada limited liability company, CEOC, LLC, a Delaware limited liability company (for itself and as successor by merger to Caesars Entertainment Operating Company, Inc., a Delaware corporation), and Harrah’s Las Vegas, LLC, a Nevada limited liability company, collectively as Tenant, and the other parties party thereto;</w:t>
      </w:r>
    </w:p>
    <w:p>
      <w:pPr>
        <w:jc w:val="both"/>
        <w:ind w:left="8" w:hanging="8"/>
        <w:spacing w:after="0" w:line="281" w:lineRule="auto"/>
        <w:tabs>
          <w:tab w:leader="none" w:pos="321"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w:t>
      </w:r>
    </w:p>
    <w:p>
      <w:pPr>
        <w:spacing w:after="0" w:line="2" w:lineRule="exact"/>
        <w:rPr>
          <w:rFonts w:ascii="Arial" w:cs="Arial" w:eastAsia="Arial" w:hAnsi="Arial"/>
          <w:sz w:val="19"/>
          <w:szCs w:val="19"/>
          <w:color w:val="auto"/>
        </w:rPr>
      </w:pPr>
    </w:p>
    <w:p>
      <w:pPr>
        <w:ind w:left="8" w:hanging="8"/>
        <w:spacing w:after="0" w:line="246" w:lineRule="auto"/>
        <w:tabs>
          <w:tab w:leader="none" w:pos="323" w:val="left"/>
        </w:tabs>
        <w:numPr>
          <w:ilvl w:val="0"/>
          <w:numId w:val="63"/>
        </w:numPr>
        <w:rPr>
          <w:rFonts w:ascii="Arial" w:cs="Arial" w:eastAsia="Arial" w:hAnsi="Arial"/>
          <w:sz w:val="22"/>
          <w:szCs w:val="22"/>
          <w:color w:val="auto"/>
        </w:rPr>
      </w:pPr>
      <w:r>
        <w:rPr>
          <w:rFonts w:ascii="Arial" w:cs="Arial" w:eastAsia="Arial" w:hAnsi="Arial"/>
          <w:sz w:val="22"/>
          <w:szCs w:val="22"/>
          <w:color w:val="auto"/>
        </w:rPr>
        <w:t>acknowledges and agrees that the Guaranty is in full force and effect and is valid, binding and enforceable in accordance with its terms.</w:t>
      </w:r>
    </w:p>
    <w:p>
      <w:pPr>
        <w:spacing w:after="0" w:line="219" w:lineRule="exact"/>
        <w:rPr>
          <w:sz w:val="20"/>
          <w:szCs w:val="20"/>
          <w:color w:val="auto"/>
        </w:rPr>
      </w:pPr>
    </w:p>
    <w:p>
      <w:pPr>
        <w:ind w:left="8" w:right="20" w:firstLine="321"/>
        <w:spacing w:after="0" w:line="263"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September 30, 2020.</w:t>
      </w:r>
    </w:p>
    <w:p>
      <w:pPr>
        <w:sectPr>
          <w:pgSz w:w="11900" w:h="16838" w:orient="portrait"/>
          <w:cols w:equalWidth="0" w:num="1">
            <w:col w:w="10908"/>
          </w:cols>
          <w:pgMar w:left="652" w:top="1422" w:right="339" w:bottom="1440" w:gutter="0" w:footer="0" w:header="0"/>
        </w:sectPr>
      </w:pPr>
    </w:p>
    <w:bookmarkStart w:id="124" w:name="page125"/>
    <w:bookmarkEnd w:id="124"/>
    <w:p>
      <w:pPr>
        <w:ind w:left="340"/>
        <w:spacing w:after="0"/>
        <w:rPr>
          <w:sz w:val="20"/>
          <w:szCs w:val="20"/>
          <w:color w:val="auto"/>
        </w:rPr>
      </w:pPr>
      <w:r>
        <w:rPr>
          <w:rFonts w:ascii="Arial" w:cs="Arial" w:eastAsia="Arial" w:hAnsi="Arial"/>
          <w:sz w:val="22"/>
          <w:szCs w:val="22"/>
          <w:b w:val="1"/>
          <w:bCs w:val="1"/>
          <w:color w:val="auto"/>
        </w:rPr>
        <w:t>CAESARS ENTERTAINMENT, INC.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819"/>
        <w:spacing w:after="0"/>
        <w:rPr>
          <w:sz w:val="20"/>
          <w:szCs w:val="20"/>
          <w:color w:val="auto"/>
        </w:rPr>
      </w:pPr>
      <w:r>
        <w:rPr>
          <w:rFonts w:ascii="Arial" w:cs="Arial" w:eastAsia="Arial" w:hAnsi="Arial"/>
          <w:sz w:val="18"/>
          <w:szCs w:val="18"/>
          <w:i w:val="1"/>
          <w:iCs w:val="1"/>
          <w:color w:val="auto"/>
        </w:rPr>
        <w:t>[Signature Page to Reaffirmation of Guaranty]</w:t>
      </w:r>
    </w:p>
    <w:p>
      <w:pPr>
        <w:sectPr>
          <w:pgSz w:w="11900" w:h="16838" w:orient="portrait"/>
          <w:cols w:equalWidth="0" w:num="1">
            <w:col w:w="10139"/>
          </w:cols>
          <w:pgMar w:left="320" w:top="1422"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 OMNIBUS AMENDMENT TO LEASES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THIS AMENDED AND RESTATED OMNIBUS AMENDMENT TO LEASES (this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October 27, 2020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among the entities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(collectively, and together with their respective successors and assigns, “</w:t>
      </w:r>
      <w:r>
        <w:rPr>
          <w:rFonts w:ascii="Arial" w:cs="Arial" w:eastAsia="Arial" w:hAnsi="Arial"/>
          <w:sz w:val="18"/>
          <w:szCs w:val="18"/>
          <w:b w:val="1"/>
          <w:bCs w:val="1"/>
          <w:color w:val="auto"/>
        </w:rPr>
        <w:t>Non-CPLV Landlord</w:t>
      </w:r>
      <w:r>
        <w:rPr>
          <w:rFonts w:ascii="Arial" w:cs="Arial" w:eastAsia="Arial" w:hAnsi="Arial"/>
          <w:sz w:val="18"/>
          <w:szCs w:val="18"/>
          <w:color w:val="auto"/>
        </w:rPr>
        <w:t>”), CPLV Property Owner LLC, a Delaware limited liability company (together with its successors and assigns, “</w:t>
      </w:r>
      <w:r>
        <w:rPr>
          <w:rFonts w:ascii="Arial" w:cs="Arial" w:eastAsia="Arial" w:hAnsi="Arial"/>
          <w:sz w:val="18"/>
          <w:szCs w:val="18"/>
          <w:b w:val="1"/>
          <w:bCs w:val="1"/>
          <w:color w:val="auto"/>
        </w:rPr>
        <w:t>CPLV Landlord</w:t>
      </w:r>
      <w:r>
        <w:rPr>
          <w:rFonts w:ascii="Arial" w:cs="Arial" w:eastAsia="Arial" w:hAnsi="Arial"/>
          <w:sz w:val="18"/>
          <w:szCs w:val="18"/>
          <w:color w:val="auto"/>
        </w:rPr>
        <w:t>”), Claudine Propco LLC, a Delaware limited liability company (together with its successors and assigns, “</w:t>
      </w:r>
      <w:r>
        <w:rPr>
          <w:rFonts w:ascii="Arial" w:cs="Arial" w:eastAsia="Arial" w:hAnsi="Arial"/>
          <w:sz w:val="18"/>
          <w:szCs w:val="18"/>
          <w:b w:val="1"/>
          <w:bCs w:val="1"/>
          <w:color w:val="auto"/>
        </w:rPr>
        <w:t>HLV Landlord</w:t>
      </w:r>
      <w:r>
        <w:rPr>
          <w:rFonts w:ascii="Arial" w:cs="Arial" w:eastAsia="Arial" w:hAnsi="Arial"/>
          <w:sz w:val="18"/>
          <w:szCs w:val="18"/>
          <w:color w:val="auto"/>
        </w:rPr>
        <w:t>”), Harrah’s Joliet Landco LLC, a Delaware limited liability company (together with its successors and assigns, “</w:t>
      </w:r>
      <w:r>
        <w:rPr>
          <w:rFonts w:ascii="Arial" w:cs="Arial" w:eastAsia="Arial" w:hAnsi="Arial"/>
          <w:sz w:val="18"/>
          <w:szCs w:val="18"/>
          <w:b w:val="1"/>
          <w:bCs w:val="1"/>
          <w:color w:val="auto"/>
        </w:rPr>
        <w:t>Joliet Landlord</w:t>
      </w:r>
      <w:r>
        <w:rPr>
          <w:rFonts w:ascii="Arial" w:cs="Arial" w:eastAsia="Arial" w:hAnsi="Arial"/>
          <w:sz w:val="18"/>
          <w:szCs w:val="18"/>
          <w:color w:val="auto"/>
        </w:rPr>
        <w:t>” and, together with Non-CPLV Landlord, CPLV Landlord and HLV Landlord, collectively or individually as the context may require, “</w:t>
      </w:r>
      <w:r>
        <w:rPr>
          <w:rFonts w:ascii="Arial" w:cs="Arial" w:eastAsia="Arial" w:hAnsi="Arial"/>
          <w:sz w:val="18"/>
          <w:szCs w:val="18"/>
          <w:b w:val="1"/>
          <w:bCs w:val="1"/>
          <w:color w:val="auto"/>
        </w:rPr>
        <w:t>Landlord</w:t>
      </w:r>
      <w:r>
        <w:rPr>
          <w:rFonts w:ascii="Arial" w:cs="Arial" w:eastAsia="Arial" w:hAnsi="Arial"/>
          <w:sz w:val="18"/>
          <w:szCs w:val="18"/>
          <w:color w:val="auto"/>
        </w:rPr>
        <w:t>”), CEOC, LLC, a Delaware limited liability company (“</w:t>
      </w:r>
      <w:r>
        <w:rPr>
          <w:rFonts w:ascii="Arial" w:cs="Arial" w:eastAsia="Arial" w:hAnsi="Arial"/>
          <w:sz w:val="18"/>
          <w:szCs w:val="18"/>
          <w:b w:val="1"/>
          <w:bCs w:val="1"/>
          <w:color w:val="auto"/>
        </w:rPr>
        <w:t>CEOC</w:t>
      </w:r>
      <w:r>
        <w:rPr>
          <w:rFonts w:ascii="Arial" w:cs="Arial" w:eastAsia="Arial" w:hAnsi="Arial"/>
          <w:sz w:val="18"/>
          <w:szCs w:val="18"/>
          <w:color w:val="auto"/>
        </w:rPr>
        <w:t xml:space="preserve">”), the entities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 (collectively with CEOC, and together with their respective successors and assigns, “</w:t>
      </w:r>
      <w:r>
        <w:rPr>
          <w:rFonts w:ascii="Arial" w:cs="Arial" w:eastAsia="Arial" w:hAnsi="Arial"/>
          <w:sz w:val="18"/>
          <w:szCs w:val="18"/>
          <w:b w:val="1"/>
          <w:bCs w:val="1"/>
          <w:color w:val="auto"/>
        </w:rPr>
        <w:t>Non-CPLV Tenant</w:t>
      </w:r>
      <w:r>
        <w:rPr>
          <w:rFonts w:ascii="Arial" w:cs="Arial" w:eastAsia="Arial" w:hAnsi="Arial"/>
          <w:sz w:val="18"/>
          <w:szCs w:val="18"/>
          <w:color w:val="auto"/>
        </w:rPr>
        <w:t>”), Desert Palace LLC, a Nevada limited liability company (collectively with CEOC (for itself, and as successor by merger to Caesars Entertainment Operating Company, Inc., a Delaware corporation), and together with their respective successors and assigns, “</w:t>
      </w:r>
      <w:r>
        <w:rPr>
          <w:rFonts w:ascii="Arial" w:cs="Arial" w:eastAsia="Arial" w:hAnsi="Arial"/>
          <w:sz w:val="18"/>
          <w:szCs w:val="18"/>
          <w:b w:val="1"/>
          <w:bCs w:val="1"/>
          <w:color w:val="auto"/>
        </w:rPr>
        <w:t>CPLV Tenant</w:t>
      </w:r>
      <w:r>
        <w:rPr>
          <w:rFonts w:ascii="Arial" w:cs="Arial" w:eastAsia="Arial" w:hAnsi="Arial"/>
          <w:sz w:val="18"/>
          <w:szCs w:val="18"/>
          <w:color w:val="auto"/>
        </w:rPr>
        <w:t>”), Harrah’s Las Vegas, LLC, a Nevada limited liability company (together with its successors and assigns, “</w:t>
      </w:r>
      <w:r>
        <w:rPr>
          <w:rFonts w:ascii="Arial" w:cs="Arial" w:eastAsia="Arial" w:hAnsi="Arial"/>
          <w:sz w:val="18"/>
          <w:szCs w:val="18"/>
          <w:b w:val="1"/>
          <w:bCs w:val="1"/>
          <w:color w:val="auto"/>
        </w:rPr>
        <w:t>HLV Tenant</w:t>
      </w:r>
      <w:r>
        <w:rPr>
          <w:rFonts w:ascii="Arial" w:cs="Arial" w:eastAsia="Arial" w:hAnsi="Arial"/>
          <w:sz w:val="18"/>
          <w:szCs w:val="18"/>
          <w:color w:val="auto"/>
        </w:rPr>
        <w:t>”), and Des Plaines Development Limited Partnership, a Delaware limited partnership (together with its successors and assigns, “</w:t>
      </w:r>
      <w:r>
        <w:rPr>
          <w:rFonts w:ascii="Arial" w:cs="Arial" w:eastAsia="Arial" w:hAnsi="Arial"/>
          <w:sz w:val="18"/>
          <w:szCs w:val="18"/>
          <w:b w:val="1"/>
          <w:bCs w:val="1"/>
          <w:color w:val="auto"/>
        </w:rPr>
        <w:t>Joliet Tenant</w:t>
      </w:r>
      <w:r>
        <w:rPr>
          <w:rFonts w:ascii="Arial" w:cs="Arial" w:eastAsia="Arial" w:hAnsi="Arial"/>
          <w:sz w:val="18"/>
          <w:szCs w:val="18"/>
          <w:color w:val="auto"/>
        </w:rPr>
        <w:t>” and, together with Non-CPLV Tenant, CPLV Tenant and HLV Tenant, collectively or individually as the context may require,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43" w:lineRule="exact"/>
        <w:rPr>
          <w:sz w:val="20"/>
          <w:szCs w:val="20"/>
          <w:color w:val="auto"/>
        </w:rPr>
      </w:pPr>
    </w:p>
    <w:p>
      <w:pPr>
        <w:ind w:firstLine="656"/>
        <w:spacing w:after="0" w:line="238" w:lineRule="auto"/>
        <w:tabs>
          <w:tab w:leader="none" w:pos="1290" w:val="left"/>
        </w:tabs>
        <w:numPr>
          <w:ilvl w:val="1"/>
          <w:numId w:val="64"/>
        </w:numPr>
        <w:rPr>
          <w:rFonts w:ascii="Arial" w:cs="Arial" w:eastAsia="Arial" w:hAnsi="Arial"/>
          <w:sz w:val="22"/>
          <w:szCs w:val="22"/>
          <w:color w:val="auto"/>
        </w:rPr>
      </w:pPr>
      <w:r>
        <w:rPr>
          <w:rFonts w:ascii="Arial" w:cs="Arial" w:eastAsia="Arial" w:hAnsi="Arial"/>
          <w:sz w:val="20"/>
          <w:szCs w:val="20"/>
          <w:color w:val="auto"/>
        </w:rPr>
        <w:t>Certain of the parties hereto are party to that certain Omnibus Amendment to Leases, dated as of June 1, 2020 (the “</w:t>
      </w:r>
      <w:r>
        <w:rPr>
          <w:rFonts w:ascii="Arial" w:cs="Arial" w:eastAsia="Arial" w:hAnsi="Arial"/>
          <w:sz w:val="20"/>
          <w:szCs w:val="20"/>
          <w:u w:val="single" w:color="auto"/>
          <w:color w:val="auto"/>
        </w:rPr>
        <w:t>Existing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Omnibus Amendment</w:t>
      </w:r>
      <w:r>
        <w:rPr>
          <w:rFonts w:ascii="Arial" w:cs="Arial" w:eastAsia="Arial" w:hAnsi="Arial"/>
          <w:sz w:val="20"/>
          <w:szCs w:val="20"/>
          <w:color w:val="auto"/>
        </w:rPr>
        <w:t>”).</w:t>
      </w:r>
    </w:p>
    <w:p>
      <w:pPr>
        <w:spacing w:after="0" w:line="223" w:lineRule="exact"/>
        <w:rPr>
          <w:rFonts w:ascii="Arial" w:cs="Arial" w:eastAsia="Arial" w:hAnsi="Arial"/>
          <w:sz w:val="22"/>
          <w:szCs w:val="22"/>
          <w:color w:val="auto"/>
        </w:rPr>
      </w:pPr>
    </w:p>
    <w:p>
      <w:pPr>
        <w:jc w:val="both"/>
        <w:ind w:firstLine="656"/>
        <w:spacing w:after="0" w:line="239" w:lineRule="auto"/>
        <w:tabs>
          <w:tab w:leader="none" w:pos="1292" w:val="left"/>
        </w:tabs>
        <w:numPr>
          <w:ilvl w:val="1"/>
          <w:numId w:val="64"/>
        </w:numPr>
        <w:rPr>
          <w:rFonts w:ascii="Arial" w:cs="Arial" w:eastAsia="Arial" w:hAnsi="Arial"/>
          <w:sz w:val="22"/>
          <w:szCs w:val="22"/>
          <w:color w:val="auto"/>
        </w:rPr>
      </w:pPr>
      <w:r>
        <w:rPr>
          <w:rFonts w:ascii="Arial" w:cs="Arial" w:eastAsia="Arial" w:hAnsi="Arial"/>
          <w:sz w:val="20"/>
          <w:szCs w:val="20"/>
          <w:color w:val="auto"/>
        </w:rPr>
        <w:t>Non-CPLV Landlord and Non-CPLV Tenant are parties to that certain LEASE (NON-CPLV) dated October 6, 2017 (as amended by (i) that certain First Amendment to Lease (Non-CPLV) dated December 22, 2017, (ii) that certain Second Amendment to Lease (Non-CPLV) and Ratification of SNDA dated February 16, 2018, (iii) that certain Third Amendment to Lease (Non-CPLV) dated April 2, 2018, (iv) that certain Fourth Amendment to Lease (Non-CPLV) dated December 26, 2018, (v) the Existing Omnibus Amendment, (vi) that certain Fifth Amendment to Lease (Non-CPLV) dated July 20, 2020 (the “</w:t>
      </w:r>
      <w:r>
        <w:rPr>
          <w:rFonts w:ascii="Arial" w:cs="Arial" w:eastAsia="Arial" w:hAnsi="Arial"/>
          <w:sz w:val="20"/>
          <w:szCs w:val="20"/>
          <w:u w:val="single" w:color="auto"/>
          <w:color w:val="auto"/>
        </w:rPr>
        <w:t>Non-CPLV July 2020 Amendment</w:t>
      </w:r>
      <w:r>
        <w:rPr>
          <w:rFonts w:ascii="Arial" w:cs="Arial" w:eastAsia="Arial" w:hAnsi="Arial"/>
          <w:sz w:val="20"/>
          <w:szCs w:val="20"/>
          <w:color w:val="auto"/>
        </w:rPr>
        <w:t>”), and (vii) that certain Sixth Amendment to Lease, dated as of September 30, 2020, and as further amended, restated, supplemented or otherwise modified from time to time, the “</w:t>
      </w:r>
      <w:r>
        <w:rPr>
          <w:rFonts w:ascii="Arial" w:cs="Arial" w:eastAsia="Arial" w:hAnsi="Arial"/>
          <w:sz w:val="20"/>
          <w:szCs w:val="20"/>
          <w:b w:val="1"/>
          <w:bCs w:val="1"/>
          <w:color w:val="auto"/>
        </w:rPr>
        <w:t>Non-CPLV Lease</w:t>
      </w:r>
      <w:r>
        <w:rPr>
          <w:rFonts w:ascii="Arial" w:cs="Arial" w:eastAsia="Arial" w:hAnsi="Arial"/>
          <w:sz w:val="20"/>
          <w:szCs w:val="20"/>
          <w:color w:val="auto"/>
        </w:rPr>
        <w:t>”);</w:t>
      </w:r>
    </w:p>
    <w:p>
      <w:pPr>
        <w:spacing w:after="0" w:line="223" w:lineRule="exact"/>
        <w:rPr>
          <w:rFonts w:ascii="Arial" w:cs="Arial" w:eastAsia="Arial" w:hAnsi="Arial"/>
          <w:sz w:val="22"/>
          <w:szCs w:val="22"/>
          <w:color w:val="auto"/>
        </w:rPr>
      </w:pPr>
    </w:p>
    <w:p>
      <w:pPr>
        <w:jc w:val="both"/>
        <w:ind w:firstLine="656"/>
        <w:spacing w:after="0" w:line="267" w:lineRule="auto"/>
        <w:tabs>
          <w:tab w:leader="none" w:pos="1292" w:val="left"/>
        </w:tabs>
        <w:numPr>
          <w:ilvl w:val="1"/>
          <w:numId w:val="64"/>
        </w:numPr>
        <w:rPr>
          <w:rFonts w:ascii="Arial" w:cs="Arial" w:eastAsia="Arial" w:hAnsi="Arial"/>
          <w:sz w:val="19"/>
          <w:szCs w:val="19"/>
          <w:color w:val="auto"/>
        </w:rPr>
      </w:pPr>
      <w:r>
        <w:rPr>
          <w:rFonts w:ascii="Arial" w:cs="Arial" w:eastAsia="Arial" w:hAnsi="Arial"/>
          <w:sz w:val="18"/>
          <w:szCs w:val="18"/>
          <w:color w:val="auto"/>
        </w:rPr>
        <w:t>CPLV Landlord, HLV Landlord, CPLV Tenant and HLV Tenant are parties to that certain LEASE (CPLV) dated October 6, 2017 (as amended by (i) that certain First Amendment to Lease (CPLV) dated December 26, 2018, (ii) the Existing Omnibus Amendment,</w:t>
      </w:r>
    </w:p>
    <w:p>
      <w:pPr>
        <w:spacing w:after="0" w:line="1" w:lineRule="exact"/>
        <w:rPr>
          <w:rFonts w:ascii="Arial" w:cs="Arial" w:eastAsia="Arial" w:hAnsi="Arial"/>
          <w:sz w:val="19"/>
          <w:szCs w:val="19"/>
          <w:color w:val="auto"/>
        </w:rPr>
      </w:pPr>
    </w:p>
    <w:p>
      <w:pPr>
        <w:ind w:right="20" w:firstLine="8"/>
        <w:spacing w:after="0" w:line="269" w:lineRule="auto"/>
        <w:tabs>
          <w:tab w:leader="none" w:pos="348"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that certain Second Amendment to Lease (CPLV) dated July 20, 2020, and (iv) that certain Third Amendment to Lease, dated September 30, 2020, and as further amended restated, supplemented or otherwise modified from time to time, the “</w:t>
      </w:r>
      <w:r>
        <w:rPr>
          <w:rFonts w:ascii="Arial" w:cs="Arial" w:eastAsia="Arial" w:hAnsi="Arial"/>
          <w:sz w:val="19"/>
          <w:szCs w:val="19"/>
          <w:b w:val="1"/>
          <w:bCs w:val="1"/>
          <w:color w:val="auto"/>
        </w:rPr>
        <w:t>CPLV Lease</w:t>
      </w:r>
      <w:r>
        <w:rPr>
          <w:rFonts w:ascii="Arial" w:cs="Arial" w:eastAsia="Arial" w:hAnsi="Arial"/>
          <w:sz w:val="19"/>
          <w:szCs w:val="19"/>
          <w:color w:val="auto"/>
        </w:rPr>
        <w:t>”);</w:t>
      </w:r>
    </w:p>
    <w:p>
      <w:pPr>
        <w:spacing w:after="0" w:line="196" w:lineRule="exact"/>
        <w:rPr>
          <w:rFonts w:ascii="Arial" w:cs="Arial" w:eastAsia="Arial" w:hAnsi="Arial"/>
          <w:sz w:val="19"/>
          <w:szCs w:val="19"/>
          <w:color w:val="auto"/>
        </w:rPr>
      </w:pPr>
    </w:p>
    <w:p>
      <w:pPr>
        <w:jc w:val="both"/>
        <w:ind w:firstLine="656"/>
        <w:spacing w:after="0" w:line="238" w:lineRule="auto"/>
        <w:tabs>
          <w:tab w:leader="none" w:pos="1290" w:val="left"/>
        </w:tabs>
        <w:numPr>
          <w:ilvl w:val="1"/>
          <w:numId w:val="65"/>
        </w:numPr>
        <w:rPr>
          <w:rFonts w:ascii="Arial" w:cs="Arial" w:eastAsia="Arial" w:hAnsi="Arial"/>
          <w:sz w:val="22"/>
          <w:szCs w:val="22"/>
          <w:color w:val="auto"/>
        </w:rPr>
      </w:pPr>
      <w:r>
        <w:rPr>
          <w:rFonts w:ascii="Arial" w:cs="Arial" w:eastAsia="Arial" w:hAnsi="Arial"/>
          <w:sz w:val="20"/>
          <w:szCs w:val="20"/>
          <w:color w:val="auto"/>
        </w:rPr>
        <w:t>Joliet Landlord and Joliet Tenant are parties to that certain LEASE (JOLIET) dated October 6, 2017 (as amended by (i) that certain First Amendment to Lease (JOLIET) dated December 26, 2018, (ii) the Existing Omnibus Amendment, (iii) that certain Second Amendment to Lease (Joliet) dated July 20, 2020 (the “</w:t>
      </w:r>
      <w:r>
        <w:rPr>
          <w:rFonts w:ascii="Arial" w:cs="Arial" w:eastAsia="Arial" w:hAnsi="Arial"/>
          <w:sz w:val="20"/>
          <w:szCs w:val="20"/>
          <w:u w:val="single" w:color="auto"/>
          <w:color w:val="auto"/>
        </w:rPr>
        <w:t>Joliet July 2020 Amendment</w:t>
      </w:r>
      <w:r>
        <w:rPr>
          <w:rFonts w:ascii="Arial" w:cs="Arial" w:eastAsia="Arial" w:hAnsi="Arial"/>
          <w:sz w:val="20"/>
          <w:szCs w:val="20"/>
          <w:color w:val="auto"/>
        </w:rPr>
        <w:t>”), and (iv) that certain Third Amendment to Lease, dated</w:t>
      </w:r>
    </w:p>
    <w:p>
      <w:pPr>
        <w:sectPr>
          <w:pgSz w:w="11900" w:h="16838" w:orient="portrait"/>
          <w:cols w:equalWidth="0" w:num="1">
            <w:col w:w="11240"/>
          </w:cols>
          <w:pgMar w:left="320" w:top="115" w:right="339" w:bottom="1440" w:gutter="0" w:footer="0" w:header="0"/>
        </w:sectPr>
      </w:pPr>
    </w:p>
    <w:bookmarkStart w:id="126" w:name="page127"/>
    <w:bookmarkEnd w:id="126"/>
    <w:p>
      <w:pPr>
        <w:spacing w:after="0" w:line="293" w:lineRule="auto"/>
        <w:rPr>
          <w:sz w:val="20"/>
          <w:szCs w:val="20"/>
          <w:color w:val="auto"/>
        </w:rPr>
      </w:pPr>
      <w:r>
        <w:rPr>
          <w:rFonts w:ascii="Arial" w:cs="Arial" w:eastAsia="Arial" w:hAnsi="Arial"/>
          <w:sz w:val="19"/>
          <w:szCs w:val="19"/>
          <w:color w:val="auto"/>
        </w:rPr>
        <w:t>as of September 30, 2020, and as further amended, restated, supplemented or otherwise modified from time to time, the “</w:t>
      </w:r>
      <w:r>
        <w:rPr>
          <w:rFonts w:ascii="Arial" w:cs="Arial" w:eastAsia="Arial" w:hAnsi="Arial"/>
          <w:sz w:val="19"/>
          <w:szCs w:val="19"/>
          <w:b w:val="1"/>
          <w:bCs w:val="1"/>
          <w:color w:val="auto"/>
        </w:rPr>
        <w:t>Joliet Lease</w:t>
      </w:r>
      <w:r>
        <w:rPr>
          <w:rFonts w:ascii="Arial" w:cs="Arial" w:eastAsia="Arial" w:hAnsi="Arial"/>
          <w:sz w:val="19"/>
          <w:szCs w:val="19"/>
          <w:color w:val="auto"/>
        </w:rPr>
        <w:t>” and, together with the Non-CPLV Lease and the CPLV Lease, collectively, the “</w:t>
      </w:r>
      <w:r>
        <w:rPr>
          <w:rFonts w:ascii="Arial" w:cs="Arial" w:eastAsia="Arial" w:hAnsi="Arial"/>
          <w:sz w:val="19"/>
          <w:szCs w:val="19"/>
          <w:b w:val="1"/>
          <w:bCs w:val="1"/>
          <w:color w:val="auto"/>
        </w:rPr>
        <w:t>Leases</w:t>
      </w:r>
      <w:r>
        <w:rPr>
          <w:rFonts w:ascii="Arial" w:cs="Arial" w:eastAsia="Arial" w:hAnsi="Arial"/>
          <w:sz w:val="19"/>
          <w:szCs w:val="19"/>
          <w:color w:val="auto"/>
        </w:rPr>
        <w:t>” and each a “</w:t>
      </w:r>
      <w:r>
        <w:rPr>
          <w:rFonts w:ascii="Arial" w:cs="Arial" w:eastAsia="Arial" w:hAnsi="Arial"/>
          <w:sz w:val="19"/>
          <w:szCs w:val="19"/>
          <w:b w:val="1"/>
          <w:bCs w:val="1"/>
          <w:color w:val="auto"/>
        </w:rPr>
        <w:t>Lease</w:t>
      </w:r>
      <w:r>
        <w:rPr>
          <w:rFonts w:ascii="Arial" w:cs="Arial" w:eastAsia="Arial" w:hAnsi="Arial"/>
          <w:sz w:val="19"/>
          <w:szCs w:val="19"/>
          <w:color w:val="auto"/>
        </w:rPr>
        <w:t>”); and</w:t>
      </w:r>
    </w:p>
    <w:p>
      <w:pPr>
        <w:spacing w:after="0" w:line="175" w:lineRule="exact"/>
        <w:rPr>
          <w:sz w:val="20"/>
          <w:szCs w:val="20"/>
          <w:color w:val="auto"/>
        </w:rPr>
      </w:pPr>
    </w:p>
    <w:p>
      <w:pPr>
        <w:ind w:right="20" w:firstLine="656"/>
        <w:spacing w:after="0" w:line="238" w:lineRule="auto"/>
        <w:tabs>
          <w:tab w:leader="none" w:pos="1293" w:val="left"/>
        </w:tabs>
        <w:numPr>
          <w:ilvl w:val="0"/>
          <w:numId w:val="66"/>
        </w:numPr>
        <w:rPr>
          <w:rFonts w:ascii="Arial" w:cs="Arial" w:eastAsia="Arial" w:hAnsi="Arial"/>
          <w:sz w:val="22"/>
          <w:szCs w:val="22"/>
          <w:color w:val="auto"/>
        </w:rPr>
      </w:pPr>
      <w:r>
        <w:rPr>
          <w:rFonts w:ascii="Arial" w:cs="Arial" w:eastAsia="Arial" w:hAnsi="Arial"/>
          <w:sz w:val="20"/>
          <w:szCs w:val="20"/>
          <w:color w:val="auto"/>
        </w:rPr>
        <w:t>As a result of the addition of the Fifth Amendment Additional Property to the Non-CPLV Lease, the parties hereto desire to amend and restate the Existing Omnibus Amendment.</w:t>
      </w:r>
    </w:p>
    <w:p>
      <w:pPr>
        <w:spacing w:after="0" w:line="223" w:lineRule="exact"/>
        <w:rPr>
          <w:rFonts w:ascii="Arial" w:cs="Arial" w:eastAsia="Arial" w:hAnsi="Arial"/>
          <w:sz w:val="22"/>
          <w:szCs w:val="22"/>
          <w:color w:val="auto"/>
        </w:rPr>
      </w:pPr>
    </w:p>
    <w:p>
      <w:pPr>
        <w:jc w:val="both"/>
        <w:ind w:firstLine="656"/>
        <w:spacing w:after="0" w:line="238" w:lineRule="auto"/>
        <w:tabs>
          <w:tab w:leader="none" w:pos="1277" w:val="left"/>
        </w:tabs>
        <w:numPr>
          <w:ilvl w:val="0"/>
          <w:numId w:val="66"/>
        </w:numPr>
        <w:rPr>
          <w:rFonts w:ascii="Arial" w:cs="Arial" w:eastAsia="Arial" w:hAnsi="Arial"/>
          <w:sz w:val="22"/>
          <w:szCs w:val="22"/>
          <w:color w:val="auto"/>
        </w:rPr>
      </w:pPr>
      <w:r>
        <w:rPr>
          <w:rFonts w:ascii="Arial" w:cs="Arial" w:eastAsia="Arial" w:hAnsi="Arial"/>
          <w:sz w:val="20"/>
          <w:szCs w:val="20"/>
          <w:color w:val="auto"/>
        </w:rPr>
        <w:t>Capitalized terms used in this Amendment and not otherwise defined herein shall have the meanings ascribed to such terms in the applicable Lease, respectively. The term “Minimum Cap Ex Requirements” as used herein shall mean, collectively, the Minimum Cap Ex Requirements (as defined in the Non-CPLV Lease and the Joliet Lease) and the Minimum Cap Ex Requirements (CPLV) (as defined in the CPLV Lease).</w:t>
      </w:r>
    </w:p>
    <w:p>
      <w:pPr>
        <w:spacing w:after="0" w:line="193"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mutual covenants hereinafter contained, the parties hereto do hereby</w:t>
      </w:r>
      <w:r>
        <w:rPr>
          <w:rFonts w:ascii="Arial" w:cs="Arial" w:eastAsia="Arial" w:hAnsi="Arial"/>
          <w:sz w:val="20"/>
          <w:szCs w:val="20"/>
          <w:b w:val="1"/>
          <w:bCs w:val="1"/>
          <w:color w:val="auto"/>
        </w:rPr>
        <w:t xml:space="preserve"> </w:t>
      </w:r>
      <w:r>
        <w:rPr>
          <w:rFonts w:ascii="Arial" w:cs="Arial" w:eastAsia="Arial" w:hAnsi="Arial"/>
          <w:sz w:val="20"/>
          <w:szCs w:val="20"/>
          <w:color w:val="auto"/>
        </w:rPr>
        <w:t>stipulate, covenant and agree as follows:</w:t>
      </w:r>
    </w:p>
    <w:p>
      <w:pPr>
        <w:spacing w:after="0" w:line="163"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Amendments to Leases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58" w:lineRule="auto"/>
        <w:tabs>
          <w:tab w:leader="none" w:pos="1934" w:val="left"/>
        </w:tabs>
        <w:numPr>
          <w:ilvl w:val="1"/>
          <w:numId w:val="67"/>
        </w:numPr>
        <w:rPr>
          <w:rFonts w:ascii="Arial" w:cs="Arial" w:eastAsia="Arial" w:hAnsi="Arial"/>
          <w:sz w:val="19"/>
          <w:szCs w:val="19"/>
          <w:color w:val="auto"/>
        </w:rPr>
      </w:pPr>
      <w:r>
        <w:rPr>
          <w:rFonts w:ascii="Arial" w:cs="Arial" w:eastAsia="Arial" w:hAnsi="Arial"/>
          <w:sz w:val="19"/>
          <w:szCs w:val="19"/>
          <w:b w:val="1"/>
          <w:bCs w:val="1"/>
          <w:u w:val="single" w:color="auto"/>
          <w:color w:val="auto"/>
        </w:rPr>
        <w:t>Deemed Satisfaction of 2020 Minimum Cap Ex Requirements and Deemed 2020 Capital Expenditure Amounts</w:t>
      </w:r>
      <w:r>
        <w:rPr>
          <w:rFonts w:ascii="Arial" w:cs="Arial" w:eastAsia="Arial" w:hAnsi="Arial"/>
          <w:sz w:val="19"/>
          <w:szCs w:val="19"/>
          <w:color w:val="auto"/>
        </w:rPr>
        <w:t>. Notwithstanding the terms of Sections 10.5(a)(iii) and (iv) of the CPLV Lease and Sections 10.5(a)(i) – (iv) of each of the Non-CPLV Lease and the Joliet Lease, if, and for so long as, (x) from the Effective Date until and including January 1, 2024 (the “</w:t>
      </w:r>
      <w:r>
        <w:rPr>
          <w:rFonts w:ascii="Arial" w:cs="Arial" w:eastAsia="Arial" w:hAnsi="Arial"/>
          <w:sz w:val="19"/>
          <w:szCs w:val="19"/>
          <w:b w:val="1"/>
          <w:bCs w:val="1"/>
          <w:color w:val="auto"/>
        </w:rPr>
        <w:t>Compliance</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(a) each Tenant, as applicable, pays each monthly installment of Rent no later than (i) six (6) days following the date such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is due under the CPLV Lease and (ii) ten (10) days following the date such payment is due under the Non-CPLV Lease and the Joliet Lease (“</w:t>
      </w:r>
      <w:r>
        <w:rPr>
          <w:rFonts w:ascii="Arial" w:cs="Arial" w:eastAsia="Arial" w:hAnsi="Arial"/>
          <w:sz w:val="19"/>
          <w:szCs w:val="19"/>
          <w:b w:val="1"/>
          <w:bCs w:val="1"/>
          <w:color w:val="auto"/>
        </w:rPr>
        <w:t>Punctual Payment of Rent Condition</w:t>
      </w:r>
      <w:r>
        <w:rPr>
          <w:rFonts w:ascii="Arial" w:cs="Arial" w:eastAsia="Arial" w:hAnsi="Arial"/>
          <w:sz w:val="19"/>
          <w:szCs w:val="19"/>
          <w:color w:val="auto"/>
        </w:rPr>
        <w:t>”) and (b) no Tenant Event of Default occurs under any of the Leases (“</w:t>
      </w:r>
      <w:r>
        <w:rPr>
          <w:rFonts w:ascii="Arial" w:cs="Arial" w:eastAsia="Arial" w:hAnsi="Arial"/>
          <w:sz w:val="19"/>
          <w:szCs w:val="19"/>
          <w:b w:val="1"/>
          <w:bCs w:val="1"/>
          <w:color w:val="auto"/>
        </w:rPr>
        <w:t>No Default Condition</w:t>
      </w:r>
      <w:r>
        <w:rPr>
          <w:rFonts w:ascii="Arial" w:cs="Arial" w:eastAsia="Arial" w:hAnsi="Arial"/>
          <w:sz w:val="19"/>
          <w:szCs w:val="19"/>
          <w:color w:val="auto"/>
        </w:rPr>
        <w:t>”, and together with the Punctual Payment of Rent Condition, collectively, the “</w:t>
      </w:r>
      <w:r>
        <w:rPr>
          <w:rFonts w:ascii="Arial" w:cs="Arial" w:eastAsia="Arial" w:hAnsi="Arial"/>
          <w:sz w:val="19"/>
          <w:szCs w:val="19"/>
          <w:b w:val="1"/>
          <w:bCs w:val="1"/>
          <w:color w:val="auto"/>
        </w:rPr>
        <w:t>Tenant Compliance Conditions</w:t>
      </w:r>
      <w:r>
        <w:rPr>
          <w:rFonts w:ascii="Arial" w:cs="Arial" w:eastAsia="Arial" w:hAnsi="Arial"/>
          <w:sz w:val="19"/>
          <w:szCs w:val="19"/>
          <w:color w:val="auto"/>
        </w:rPr>
        <w:t>”) and (y) the 2020 Cap Ex Conditions (as defined below) are satisfied, Tenant shall be deemed to have:</w:t>
      </w:r>
    </w:p>
    <w:p>
      <w:pPr>
        <w:spacing w:after="0" w:line="179" w:lineRule="exact"/>
        <w:rPr>
          <w:rFonts w:ascii="Arial" w:cs="Arial" w:eastAsia="Arial" w:hAnsi="Arial"/>
          <w:sz w:val="19"/>
          <w:szCs w:val="19"/>
          <w:color w:val="auto"/>
        </w:rPr>
      </w:pPr>
    </w:p>
    <w:p>
      <w:pPr>
        <w:ind w:left="660" w:right="20" w:firstLine="1292"/>
        <w:spacing w:after="0" w:line="316" w:lineRule="auto"/>
        <w:tabs>
          <w:tab w:leader="none" w:pos="2208" w:val="left"/>
        </w:tabs>
        <w:numPr>
          <w:ilvl w:val="2"/>
          <w:numId w:val="67"/>
        </w:numPr>
        <w:rPr>
          <w:rFonts w:ascii="Arial" w:cs="Arial" w:eastAsia="Arial" w:hAnsi="Arial"/>
          <w:sz w:val="18"/>
          <w:szCs w:val="18"/>
          <w:color w:val="auto"/>
        </w:rPr>
      </w:pPr>
      <w:r>
        <w:rPr>
          <w:rFonts w:ascii="Arial" w:cs="Arial" w:eastAsia="Arial" w:hAnsi="Arial"/>
          <w:sz w:val="18"/>
          <w:szCs w:val="18"/>
          <w:color w:val="auto"/>
        </w:rPr>
        <w:t>expended Capital Expenditures in an amount and of a nature sufficient to satisfy each of the Minimum Cap Ex Requirements under each Lease for the 2020 Fiscal Year and any Triennial Period ending December 31, 2020, as applicable, and</w:t>
      </w:r>
    </w:p>
    <w:p>
      <w:pPr>
        <w:spacing w:after="0" w:line="129" w:lineRule="exact"/>
        <w:rPr>
          <w:rFonts w:ascii="Arial" w:cs="Arial" w:eastAsia="Arial" w:hAnsi="Arial"/>
          <w:sz w:val="18"/>
          <w:szCs w:val="18"/>
          <w:color w:val="auto"/>
        </w:rPr>
      </w:pPr>
    </w:p>
    <w:p>
      <w:pPr>
        <w:jc w:val="both"/>
        <w:ind w:left="660" w:firstLine="1292"/>
        <w:spacing w:after="0" w:line="242" w:lineRule="auto"/>
        <w:tabs>
          <w:tab w:leader="none" w:pos="2285" w:val="left"/>
        </w:tabs>
        <w:numPr>
          <w:ilvl w:val="2"/>
          <w:numId w:val="67"/>
        </w:numPr>
        <w:rPr>
          <w:rFonts w:ascii="Arial" w:cs="Arial" w:eastAsia="Arial" w:hAnsi="Arial"/>
          <w:sz w:val="20"/>
          <w:szCs w:val="20"/>
          <w:color w:val="auto"/>
        </w:rPr>
      </w:pPr>
      <w:r>
        <w:rPr>
          <w:rFonts w:ascii="Arial" w:cs="Arial" w:eastAsia="Arial" w:hAnsi="Arial"/>
          <w:sz w:val="20"/>
          <w:szCs w:val="20"/>
          <w:color w:val="auto"/>
        </w:rPr>
        <w:t>expended Capital Expenditures during the 2020 Fiscal Year in an amount equal to (x) Two Hundred Sixty Million Two Hundred Thousand and No/100 Dollars ($260,200,000.00) to be applied against the Triennial Minimum Cap Ex Requirement A under each of the Non-CPLV Lease and the Joliet Lease in respect of the Triennial Periods ending on December 31, 2020, December 31, 2021 and December 31, 2022, as the case may be and (y) Two Hundred Thirty-Two Million Seven Hundred Thousand and No/100 Dollars $232,700,000.00) to be applied against the Triennial Minimum Cap Ex Requirement B under each of the Leases (and, for purposes of determining compliance with the Triennial Allocated Minimum Cap Ex Amount B Floors, allocated twenty percent (20%) to the Triennial Allocated Minimum Cap Ex Amount B Floor set forth in the CPLV Lease and eighty percent (80%) to the Triennial Allocated Minimum Cap Ex Amount B Floor set forth in the Non-CPLV Lease and Joliet Leases) in respect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127" w:name="page128"/>
    <w:bookmarkEnd w:id="127"/>
    <w:p>
      <w:pPr>
        <w:ind w:left="660"/>
        <w:spacing w:after="0"/>
        <w:rPr>
          <w:sz w:val="20"/>
          <w:szCs w:val="20"/>
          <w:color w:val="auto"/>
        </w:rPr>
      </w:pPr>
      <w:r>
        <w:rPr>
          <w:rFonts w:ascii="Arial" w:cs="Arial" w:eastAsia="Arial" w:hAnsi="Arial"/>
          <w:sz w:val="20"/>
          <w:szCs w:val="20"/>
          <w:color w:val="auto"/>
        </w:rPr>
        <w:t>Triennial Periods ending on December 31, 2020, December 31, 2021 and December 31, 2022, as the case may be.</w:t>
      </w:r>
    </w:p>
    <w:p>
      <w:pPr>
        <w:spacing w:after="0" w:line="210" w:lineRule="exact"/>
        <w:rPr>
          <w:sz w:val="20"/>
          <w:szCs w:val="20"/>
          <w:color w:val="auto"/>
        </w:rPr>
      </w:pPr>
    </w:p>
    <w:p>
      <w:pPr>
        <w:ind w:left="1940" w:hanging="636"/>
        <w:spacing w:after="0"/>
        <w:tabs>
          <w:tab w:leader="none" w:pos="1940" w:val="left"/>
        </w:tabs>
        <w:numPr>
          <w:ilvl w:val="0"/>
          <w:numId w:val="68"/>
        </w:numPr>
        <w:rPr>
          <w:rFonts w:ascii="Arial" w:cs="Arial" w:eastAsia="Arial" w:hAnsi="Arial"/>
          <w:sz w:val="20"/>
          <w:szCs w:val="20"/>
          <w:color w:val="auto"/>
        </w:rPr>
      </w:pPr>
      <w:r>
        <w:rPr>
          <w:rFonts w:ascii="Arial" w:cs="Arial" w:eastAsia="Arial" w:hAnsi="Arial"/>
          <w:sz w:val="20"/>
          <w:szCs w:val="20"/>
          <w:b w:val="1"/>
          <w:bCs w:val="1"/>
          <w:u w:val="single" w:color="auto"/>
          <w:color w:val="auto"/>
        </w:rPr>
        <w:t>2020 Cap Ex Conditions</w:t>
      </w:r>
      <w:r>
        <w:rPr>
          <w:rFonts w:ascii="Arial" w:cs="Arial" w:eastAsia="Arial" w:hAnsi="Arial"/>
          <w:sz w:val="20"/>
          <w:szCs w:val="20"/>
          <w:color w:val="auto"/>
        </w:rPr>
        <w:t>. The following shall collectively constitute the “</w:t>
      </w:r>
      <w:r>
        <w:rPr>
          <w:rFonts w:ascii="Arial" w:cs="Arial" w:eastAsia="Arial" w:hAnsi="Arial"/>
          <w:sz w:val="20"/>
          <w:szCs w:val="20"/>
          <w:b w:val="1"/>
          <w:bCs w:val="1"/>
          <w:color w:val="auto"/>
        </w:rPr>
        <w:t>2020 Cap Ex Conditions</w:t>
      </w:r>
      <w:r>
        <w:rPr>
          <w:rFonts w:ascii="Arial" w:cs="Arial" w:eastAsia="Arial" w:hAnsi="Arial"/>
          <w:sz w:val="20"/>
          <w:szCs w:val="20"/>
          <w:color w:val="auto"/>
        </w:rPr>
        <w:t>”:</w:t>
      </w:r>
    </w:p>
    <w:p>
      <w:pPr>
        <w:spacing w:after="0" w:line="222" w:lineRule="exact"/>
        <w:rPr>
          <w:sz w:val="20"/>
          <w:szCs w:val="20"/>
          <w:color w:val="auto"/>
        </w:rPr>
      </w:pPr>
    </w:p>
    <w:p>
      <w:pPr>
        <w:jc w:val="both"/>
        <w:ind w:left="660" w:firstLine="1109"/>
        <w:spacing w:after="0" w:line="328" w:lineRule="auto"/>
        <w:rPr>
          <w:sz w:val="20"/>
          <w:szCs w:val="20"/>
          <w:color w:val="auto"/>
        </w:rPr>
      </w:pPr>
      <w:r>
        <w:rPr>
          <w:rFonts w:ascii="Arial" w:cs="Arial" w:eastAsia="Arial" w:hAnsi="Arial"/>
          <w:sz w:val="16"/>
          <w:szCs w:val="16"/>
          <w:color w:val="auto"/>
        </w:rPr>
        <w:t>(i)During the 2020 Fiscal Year, Tenant shall collectively expend Capital Expenditures pursuant to Section 10.5(a)(ii) of each of the Non-CPLV Lease and the Joliet Lease and Section 10.5(a)(iii) of the CPLV Lease that, in each case, constitute installation or restoration and repair or other improvements of items with respect to the Leased Property thereunder, in an aggregate amount among the Leases equal to no less than Forty-One Million Five Hundred Thousand and No/100 Dollars ($41,500,000.00); and</w:t>
      </w:r>
    </w:p>
    <w:p>
      <w:pPr>
        <w:spacing w:after="0" w:line="128" w:lineRule="exact"/>
        <w:rPr>
          <w:sz w:val="20"/>
          <w:szCs w:val="20"/>
          <w:color w:val="auto"/>
        </w:rPr>
      </w:pPr>
    </w:p>
    <w:p>
      <w:pPr>
        <w:jc w:val="both"/>
        <w:ind w:left="660" w:firstLine="1054"/>
        <w:spacing w:after="0" w:line="270" w:lineRule="auto"/>
        <w:rPr>
          <w:sz w:val="20"/>
          <w:szCs w:val="20"/>
          <w:color w:val="auto"/>
        </w:rPr>
      </w:pPr>
      <w:r>
        <w:rPr>
          <w:rFonts w:ascii="Arial" w:cs="Arial" w:eastAsia="Arial" w:hAnsi="Arial"/>
          <w:sz w:val="18"/>
          <w:szCs w:val="18"/>
          <w:color w:val="auto"/>
        </w:rPr>
        <w:t>(ii)During the 2020 Fiscal Year, Tenant shall collectively expend Capital Expenditures under the Leases pursuant to Section 10.5(a)(iii) of each of the Non-CPLV Lease and the Joliet Lease in an aggregate amount equal to no less than One Hundred Four Million One Hundred Thousand and No/100 Dollars ($104,100,000.00) (the “</w:t>
      </w:r>
      <w:r>
        <w:rPr>
          <w:rFonts w:ascii="Arial" w:cs="Arial" w:eastAsia="Arial" w:hAnsi="Arial"/>
          <w:sz w:val="18"/>
          <w:szCs w:val="18"/>
          <w:b w:val="1"/>
          <w:bCs w:val="1"/>
          <w:color w:val="auto"/>
        </w:rPr>
        <w:t>2020 Triennial Cap Ex Amount</w:t>
      </w:r>
      <w:r>
        <w:rPr>
          <w:rFonts w:ascii="Arial" w:cs="Arial" w:eastAsia="Arial" w:hAnsi="Arial"/>
          <w:sz w:val="18"/>
          <w:szCs w:val="18"/>
          <w:color w:val="auto"/>
        </w:rPr>
        <w:t>”) (provided, that, notwithstanding anything to the contrary herein or in the Leases, for purposes of calculating the 2020 Triennial Cap Ex Amount pursuant to this Amendment, Capital Expenditures expended during the 2020 Fiscal Year (x) may count and include Services Co Capital Expenditures (as defined in the Non-CPLV Lease and the Joliet Lease prior to giving effect to the Non-CPLV July 2020 Amendment and the Joliet July 2020 Amendment, as applicable) but (y) shall not include Services Co Capital Expenditures or Capital Expenditures in respect of the London Clubs in an aggregate amount in excess of Eleven Million and No/100 Dollars ($11,000,000.00)) comprising at least Ninety-Three Million One Hundred Thousand and No/100 Dollars ($93,100,000.00) in the aggregate collectively expended by Tenant pursuant to Section 10.5(a)(iv) of each of the Leases (provided, that, for purposes of calculating such amount, (1) the proviso in the first sentence in the definition of “Triennial Minimum Cap Ex Amount B” of the applicable Lease shall apply, and (2) Services Co Capital Expenditures shall not be included).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provisions of Section 10.5(a)(viii) of the respective Leases shall apply to the foregoing Capital Expenditures.</w:t>
      </w:r>
    </w:p>
    <w:p>
      <w:pPr>
        <w:spacing w:after="0" w:line="233" w:lineRule="exact"/>
        <w:rPr>
          <w:sz w:val="20"/>
          <w:szCs w:val="20"/>
          <w:color w:val="auto"/>
        </w:rPr>
      </w:pPr>
    </w:p>
    <w:p>
      <w:pPr>
        <w:ind w:left="1940" w:hanging="636"/>
        <w:spacing w:after="0"/>
        <w:tabs>
          <w:tab w:leader="none" w:pos="1940" w:val="left"/>
        </w:tabs>
        <w:numPr>
          <w:ilvl w:val="0"/>
          <w:numId w:val="69"/>
        </w:numPr>
        <w:rPr>
          <w:rFonts w:ascii="Arial" w:cs="Arial" w:eastAsia="Arial" w:hAnsi="Arial"/>
          <w:sz w:val="20"/>
          <w:szCs w:val="20"/>
          <w:color w:val="auto"/>
        </w:rPr>
      </w:pPr>
      <w:r>
        <w:rPr>
          <w:rFonts w:ascii="Arial" w:cs="Arial" w:eastAsia="Arial" w:hAnsi="Arial"/>
          <w:sz w:val="20"/>
          <w:szCs w:val="20"/>
          <w:b w:val="1"/>
          <w:bCs w:val="1"/>
          <w:u w:val="single" w:color="auto"/>
          <w:color w:val="auto"/>
        </w:rPr>
        <w:t>Failure to Satisfy 2020 Cap Ex Conditions and Tenant Compliance Conditions</w:t>
      </w:r>
      <w:r>
        <w:rPr>
          <w:rFonts w:ascii="Arial" w:cs="Arial" w:eastAsia="Arial" w:hAnsi="Arial"/>
          <w:sz w:val="20"/>
          <w:szCs w:val="20"/>
          <w:color w:val="auto"/>
        </w:rPr>
        <w:t>.</w:t>
      </w:r>
    </w:p>
    <w:p>
      <w:pPr>
        <w:spacing w:after="0" w:line="222" w:lineRule="exact"/>
        <w:rPr>
          <w:sz w:val="20"/>
          <w:szCs w:val="20"/>
          <w:color w:val="auto"/>
        </w:rPr>
      </w:pPr>
    </w:p>
    <w:p>
      <w:pPr>
        <w:jc w:val="both"/>
        <w:ind w:left="660" w:firstLine="1109"/>
        <w:spacing w:after="0" w:line="250" w:lineRule="auto"/>
        <w:rPr>
          <w:sz w:val="20"/>
          <w:szCs w:val="20"/>
          <w:color w:val="auto"/>
        </w:rPr>
      </w:pPr>
      <w:r>
        <w:rPr>
          <w:rFonts w:ascii="Arial" w:cs="Arial" w:eastAsia="Arial" w:hAnsi="Arial"/>
          <w:sz w:val="20"/>
          <w:szCs w:val="20"/>
          <w:color w:val="auto"/>
        </w:rPr>
        <w:t>(i)Any failure to satisfy any of the Tenant Compliance Conditions during the Compliance Period is referred to herein as a “</w:t>
      </w:r>
      <w:r>
        <w:rPr>
          <w:rFonts w:ascii="Arial" w:cs="Arial" w:eastAsia="Arial" w:hAnsi="Arial"/>
          <w:sz w:val="20"/>
          <w:szCs w:val="20"/>
          <w:b w:val="1"/>
          <w:bCs w:val="1"/>
          <w:color w:val="auto"/>
        </w:rPr>
        <w:t>Tenant Non Compliance Trigger Event</w:t>
      </w:r>
      <w:r>
        <w:rPr>
          <w:rFonts w:ascii="Arial" w:cs="Arial" w:eastAsia="Arial" w:hAnsi="Arial"/>
          <w:sz w:val="20"/>
          <w:szCs w:val="20"/>
          <w:color w:val="auto"/>
        </w:rPr>
        <w:t>” and any failure to satisfy any of the 2020 Cap Ex Conditions as of January 1, 2021 is referred to herein as a “</w:t>
      </w:r>
      <w:r>
        <w:rPr>
          <w:rFonts w:ascii="Arial" w:cs="Arial" w:eastAsia="Arial" w:hAnsi="Arial"/>
          <w:sz w:val="20"/>
          <w:szCs w:val="20"/>
          <w:b w:val="1"/>
          <w:bCs w:val="1"/>
          <w:color w:val="auto"/>
        </w:rPr>
        <w:t>Cap Ex Trigger Event</w:t>
      </w:r>
      <w:r>
        <w:rPr>
          <w:rFonts w:ascii="Arial" w:cs="Arial" w:eastAsia="Arial" w:hAnsi="Arial"/>
          <w:sz w:val="20"/>
          <w:szCs w:val="20"/>
          <w:color w:val="auto"/>
        </w:rPr>
        <w:t>.”</w:t>
      </w:r>
    </w:p>
    <w:p>
      <w:pPr>
        <w:spacing w:after="0" w:line="186" w:lineRule="exact"/>
        <w:rPr>
          <w:sz w:val="20"/>
          <w:szCs w:val="20"/>
          <w:color w:val="auto"/>
        </w:rPr>
      </w:pPr>
    </w:p>
    <w:p>
      <w:pPr>
        <w:jc w:val="both"/>
        <w:ind w:left="660" w:firstLine="1054"/>
        <w:spacing w:after="0" w:line="250" w:lineRule="auto"/>
        <w:rPr>
          <w:sz w:val="20"/>
          <w:szCs w:val="20"/>
          <w:color w:val="auto"/>
        </w:rPr>
      </w:pPr>
      <w:r>
        <w:rPr>
          <w:rFonts w:ascii="Arial" w:cs="Arial" w:eastAsia="Arial" w:hAnsi="Arial"/>
          <w:sz w:val="20"/>
          <w:szCs w:val="20"/>
          <w:color w:val="auto"/>
        </w:rPr>
        <w:t>(ii)If, during the 2020 Fiscal Year, any Tenant Compliance Condition is not satisfied, then, in any such case, without the need for notice or any other precondition, the terms of this Amendment shall immediately become null and void and of no further force or effect.</w:t>
      </w:r>
    </w:p>
    <w:p>
      <w:pPr>
        <w:spacing w:after="0" w:line="186" w:lineRule="exact"/>
        <w:rPr>
          <w:sz w:val="20"/>
          <w:szCs w:val="20"/>
          <w:color w:val="auto"/>
        </w:rPr>
      </w:pPr>
    </w:p>
    <w:p>
      <w:pPr>
        <w:jc w:val="both"/>
        <w:ind w:left="660" w:firstLine="999"/>
        <w:spacing w:after="0" w:line="291" w:lineRule="auto"/>
        <w:rPr>
          <w:sz w:val="20"/>
          <w:szCs w:val="20"/>
          <w:color w:val="auto"/>
        </w:rPr>
      </w:pPr>
      <w:r>
        <w:rPr>
          <w:rFonts w:ascii="Arial" w:cs="Arial" w:eastAsia="Arial" w:hAnsi="Arial"/>
          <w:sz w:val="18"/>
          <w:szCs w:val="18"/>
          <w:color w:val="auto"/>
        </w:rPr>
        <w:t>(iii)If (a) any Cap Ex Trigger Event occurs as of January 1, 2021, or (b) any Tenant Non Compliance Trigger Event occurs at any time from and including January 1, 2021 until and including December 31, 2021, then (x) Tenant shall be obligated, within five (5) Business Days after such Trigger Event Date (as defined below), to deposit funds into the Cap Ex Reserve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128" w:name="page129"/>
    <w:bookmarkEnd w:id="128"/>
    <w:p>
      <w:pPr>
        <w:jc w:val="both"/>
        <w:spacing w:after="0" w:line="269" w:lineRule="auto"/>
        <w:rPr>
          <w:sz w:val="20"/>
          <w:szCs w:val="20"/>
          <w:color w:val="auto"/>
        </w:rPr>
      </w:pPr>
      <w:r>
        <w:rPr>
          <w:rFonts w:ascii="Arial" w:cs="Arial" w:eastAsia="Arial" w:hAnsi="Arial"/>
          <w:sz w:val="18"/>
          <w:szCs w:val="18"/>
          <w:color w:val="auto"/>
        </w:rPr>
        <w:t>each applicable Lease in an aggregate amount equal to the difference between (A) the amount of Capital Expenditures each Tenant would have been required to expend in the 2020 Fiscal Year (determined pursuant to the terms of the Leases then in effect without giving effect to this Amendment or the Existing Omnibus Amendment) in order to satisfy the respective Minimum Cap Ex Requirements under each Lease (calculated as of December 31, 2020), and (B) the amount of Capital Expenditures each Tenant actually expended in the 2020 Fiscal Year with respect to such Minimum Cap Ex Requirements (the “</w:t>
      </w:r>
      <w:r>
        <w:rPr>
          <w:rFonts w:ascii="Arial" w:cs="Arial" w:eastAsia="Arial" w:hAnsi="Arial"/>
          <w:sz w:val="18"/>
          <w:szCs w:val="18"/>
          <w:b w:val="1"/>
          <w:bCs w:val="1"/>
          <w:color w:val="auto"/>
        </w:rPr>
        <w:t>2020 Cap Ex Shortfall</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(y) Tenant shall be required to expend the 2020 Cap Ex Shortfall Amount on Capital Expenditures within six (6) months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of such Cap Ex Trigger Event or Tenant Non Compliance Trigger Event (“</w:t>
      </w:r>
      <w:r>
        <w:rPr>
          <w:rFonts w:ascii="Arial" w:cs="Arial" w:eastAsia="Arial" w:hAnsi="Arial"/>
          <w:sz w:val="18"/>
          <w:szCs w:val="18"/>
          <w:b w:val="1"/>
          <w:bCs w:val="1"/>
          <w:color w:val="auto"/>
        </w:rPr>
        <w:t>Trigger Event Date</w:t>
      </w:r>
      <w:r>
        <w:rPr>
          <w:rFonts w:ascii="Arial" w:cs="Arial" w:eastAsia="Arial" w:hAnsi="Arial"/>
          <w:sz w:val="18"/>
          <w:szCs w:val="18"/>
          <w:color w:val="auto"/>
        </w:rPr>
        <w:t xml:space="preserve">”), in each case, as necessary to satisfy the respective Minimum Cap Ex Requirements for the 2020 Fiscal Year, as applicable (calculated as of December 31, 2020), and (z) it is understood that compliance with the requirements of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not be deemed to relieve Tenant of compliance with (a) the Triennial Minimum Cap Ex Requirement A and the Triennial Minimum Cap Ex Requirement B, in each case with respect to the Triennial Periods ending December 31, 2021 and December 31, 2022; provided, however, such shortfall deposit shall be applied towards such Minimum Cap Ex Requirements, as applicable, in accordance with the provisions of the respective Leases as if the amount of such shortfall deposit was expended for applicable Capital Expenditures in the year in respect of which such shortfall deposit was made and (b) the Annual Minimum Per-Lease B&amp;I Cap Ex Requirement and, if applicable, the Annual Minimum Cap Ex Requirement, in each case with respect to the 2021 Fiscal Year.</w:t>
      </w:r>
    </w:p>
    <w:p>
      <w:pPr>
        <w:spacing w:after="0" w:line="179" w:lineRule="exact"/>
        <w:rPr>
          <w:sz w:val="20"/>
          <w:szCs w:val="20"/>
          <w:color w:val="auto"/>
        </w:rPr>
      </w:pPr>
    </w:p>
    <w:p>
      <w:pPr>
        <w:jc w:val="both"/>
        <w:ind w:firstLine="1010"/>
        <w:spacing w:after="0" w:line="268" w:lineRule="auto"/>
        <w:rPr>
          <w:sz w:val="20"/>
          <w:szCs w:val="20"/>
          <w:color w:val="auto"/>
        </w:rPr>
      </w:pPr>
      <w:r>
        <w:rPr>
          <w:rFonts w:ascii="Arial" w:cs="Arial" w:eastAsia="Arial" w:hAnsi="Arial"/>
          <w:sz w:val="18"/>
          <w:szCs w:val="18"/>
          <w:color w:val="auto"/>
        </w:rPr>
        <w:t>(iv)If a Tenant Non Compliance Trigger Event occurs at any time from and including January 1, 2022 until and including December 31, 2022, then (x) Tenant shall be obligated, within five (5) Business Days after such Trigger Event Date, to immediately deposit funds into the Cap Ex Reserve under each applicable Lease in an aggregate amount equal to the sum of (I) the 2020 Cap Ex Shortfall Amount, and (II) the difference between (A) the amount of Capital Expenditures each Tenant would have been required to expend in the 2021 Fiscal Year pursuant to the terms of the Leases (determined pursuant to the terms of the Leases then in effect without giving effect to this Amendment or the Existing Omnibus Amendment), in order to satisfy the respective Minimum Cap Ex Requirements under each Lease (calculated as of December 31, 2021, and determined after giving effect to the deposit of the 2020 Cap Ex Shortfall Amount into the Cap Ex Reserve, and as if such deposited 2020 Cap Ex Shortfall Amount had been expended in Fiscal Year 2020), and (B) the amount of Capital Expenditures each Tenant actually expended in the 2021 Fiscal Year with respect to such Minimum Cap Ex Requirements (the “</w:t>
      </w:r>
      <w:r>
        <w:rPr>
          <w:rFonts w:ascii="Arial" w:cs="Arial" w:eastAsia="Arial" w:hAnsi="Arial"/>
          <w:sz w:val="18"/>
          <w:szCs w:val="18"/>
          <w:b w:val="1"/>
          <w:bCs w:val="1"/>
          <w:color w:val="auto"/>
        </w:rPr>
        <w:t>2021 Cap Ex Shortfall Amount</w:t>
      </w:r>
      <w:r>
        <w:rPr>
          <w:rFonts w:ascii="Arial" w:cs="Arial" w:eastAsia="Arial" w:hAnsi="Arial"/>
          <w:sz w:val="18"/>
          <w:szCs w:val="18"/>
          <w:color w:val="auto"/>
        </w:rPr>
        <w:t xml:space="preserve">”), (y) Tenant shall be required to expend at least fifty percent (50%) of each of the 2020 Cap Ex Shortfall Amount and 2021 Cap Ex Shortfall Amount on Capital Expenditures within six (6) months of the Trigger Event Date with the remaining portions of such amounts to be expended within twelve (12) months of the Trigger Event Date, in each case, as necessary to satisfy the respective Minimum Cap Ex Requirements for the 2020 and 2021 Fiscal Years, as applicable (calculated as of December 31, 2020 and December 31, 2021, respectively), and (z) it is understood that compliance with the requirements of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shall not be deemed to relieve Tenant of compliance with (a) the Triennial Minimum Cap Ex Requirement A and the Triennial Minimum Cap Ex Requirement B, in each case with respect to the Triennial Periods ending December 31, 2022 and December 31, 2023; provided, however, such shortfall deposit shall be applied towards such Minimum Cap Ex Requirements, as applicable, in accordance with the provisions of the respective Leases as if the amount of such shortfall deposit was expended for applicable Capital Expenditures in the applicable year(s) in respect of which such shortfall deposit was made and (b) the Annual Minimum Per-Lease B&amp;I Cap Ex Requirement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0"/>
          </w:cols>
          <w:pgMar w:left="980" w:top="1419" w:right="33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applicable, the Annual Minimum Cap Ex Requirement, in each case with respect to the 2021 and 2022 Fiscal Years.</w:t>
      </w:r>
    </w:p>
    <w:p>
      <w:pPr>
        <w:spacing w:after="0" w:line="216" w:lineRule="exact"/>
        <w:rPr>
          <w:sz w:val="20"/>
          <w:szCs w:val="20"/>
          <w:color w:val="auto"/>
        </w:rPr>
      </w:pPr>
    </w:p>
    <w:p>
      <w:pPr>
        <w:jc w:val="both"/>
        <w:ind w:firstLine="1065"/>
        <w:spacing w:after="0" w:line="268" w:lineRule="auto"/>
        <w:rPr>
          <w:sz w:val="20"/>
          <w:szCs w:val="20"/>
          <w:color w:val="auto"/>
        </w:rPr>
      </w:pPr>
      <w:r>
        <w:rPr>
          <w:rFonts w:ascii="Arial" w:cs="Arial" w:eastAsia="Arial" w:hAnsi="Arial"/>
          <w:sz w:val="18"/>
          <w:szCs w:val="18"/>
          <w:color w:val="auto"/>
        </w:rPr>
        <w:t>(v)If a Tenant Non Compliance Trigger Event occurs on or after January 1, 2023 and prior to the expiration of the Compliance Period, then (x) Tenant shall be obligated, within five (5) Business Days after such Trigger Event Date, to immediately deposit funds into the Cap Ex Reserve under each applicable Lease in an aggregate amount equal to the sum of (I) the 2020 Cap Ex Shortfall Amount, (II) the 2021 Cap Ex Shortfall Amount, and (III) the difference between (A) the amount of Capital Expenditures each Tenant would have been required to expend in the 2022 Fiscal Year (determined pursuant to the terms of the Leases then in effect without giving effect to this Amendment or the Existing Omnibus Amendment) in order to satisfy the respective Minimum Cap Ex Requirements under each Lease (calculated as of December 31, 2022, and determined after giving effect to the deposit of the 2020 Cap Ex Shortfall Amount and the 2021 Cap Ex Shortfall Amount into the Cap Ex Reserve, and as if such deposited 2020 Cap Ex Shortfall Amount and 2021 Cap Ex Shortfall Amount had been expended in Fiscal Years 2020 or 2021, as applicable), and (B) the amount of Capital Expenditures each Tenant actually expended in the 2022 Fiscal Year with respect to such Minimum Cap Ex Requirements (the “</w:t>
      </w:r>
      <w:r>
        <w:rPr>
          <w:rFonts w:ascii="Arial" w:cs="Arial" w:eastAsia="Arial" w:hAnsi="Arial"/>
          <w:sz w:val="18"/>
          <w:szCs w:val="18"/>
          <w:b w:val="1"/>
          <w:bCs w:val="1"/>
          <w:color w:val="auto"/>
        </w:rPr>
        <w:t>2022 Cap Ex Shortfall Amount</w:t>
      </w:r>
      <w:r>
        <w:rPr>
          <w:rFonts w:ascii="Arial" w:cs="Arial" w:eastAsia="Arial" w:hAnsi="Arial"/>
          <w:sz w:val="18"/>
          <w:szCs w:val="18"/>
          <w:color w:val="auto"/>
        </w:rPr>
        <w:t>” and together with the 2020 Cap Ex Shortfall Amount and 2021 Cap Ex Shortfall Amount, collectively, the “</w:t>
      </w:r>
      <w:r>
        <w:rPr>
          <w:rFonts w:ascii="Arial" w:cs="Arial" w:eastAsia="Arial" w:hAnsi="Arial"/>
          <w:sz w:val="18"/>
          <w:szCs w:val="18"/>
          <w:b w:val="1"/>
          <w:bCs w:val="1"/>
          <w:color w:val="auto"/>
        </w:rPr>
        <w:t>Cap Ex Shortfall Amount</w:t>
      </w:r>
      <w:r>
        <w:rPr>
          <w:rFonts w:ascii="Arial" w:cs="Arial" w:eastAsia="Arial" w:hAnsi="Arial"/>
          <w:sz w:val="18"/>
          <w:szCs w:val="18"/>
          <w:color w:val="auto"/>
        </w:rPr>
        <w:t xml:space="preserve">”), (y) Tenant shall be required to expend at least fifty percent (50%) of the Cap Ex Shortfall Amount on Capital Expenditures within six (6) months of the Trigger Event Date with the remaining portion of such amount to be expended within twelve (12) months of the Trigger Event Date, in each case, as necessary to satisfy the respective Minimum Cap Ex Requirements for the 2020, 2021 and 2022 Fiscal Years, as applicable (calculated as of December 31, 2020, December 31, 2021 and December 31, 2022, respectively), and (z) it is understood that compliance with the requirements of this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shall not be deemed to relieve Tenant of compliance with (a) the Triennial Minimum Cap Ex Requirement A and the Triennial Minimum Cap Ex Requirement B, in each case with respect to the Triennial Periods ending December 31, 2023 and December 31, 2024; provided, however, such shortfall deposit shall be applied towards such Minimum Cap Ex Requirements, as applicable, in accordance with the provisions of the respective Leases as if the amount of such shortfall deposit was expended for applicable Capital Expenditures in the applicable year(s) in respect of which such deposit was made and (b) the Annual Minimum Per-Lease B&amp;I Cap Ex Requirement and, if applicable, the Annual Minimum Cap Ex Requirement, in each case with respect to (I) the 2021 and 2022 Fiscal Years and (II) the Fiscal Year in which the Tenant Non Compliance Trigger Event occurs.</w:t>
      </w:r>
    </w:p>
    <w:p>
      <w:pPr>
        <w:spacing w:after="0" w:line="178" w:lineRule="exact"/>
        <w:rPr>
          <w:sz w:val="20"/>
          <w:szCs w:val="20"/>
          <w:color w:val="auto"/>
        </w:rPr>
      </w:pPr>
    </w:p>
    <w:p>
      <w:pPr>
        <w:jc w:val="both"/>
        <w:ind w:firstLine="1010"/>
        <w:spacing w:after="0" w:line="260" w:lineRule="auto"/>
        <w:rPr>
          <w:sz w:val="20"/>
          <w:szCs w:val="20"/>
          <w:color w:val="auto"/>
        </w:rPr>
      </w:pPr>
      <w:r>
        <w:rPr>
          <w:rFonts w:ascii="Arial" w:cs="Arial" w:eastAsia="Arial" w:hAnsi="Arial"/>
          <w:sz w:val="19"/>
          <w:szCs w:val="19"/>
          <w:color w:val="auto"/>
        </w:rPr>
        <w:t xml:space="preserve">(vi)Any portion of the Cap Ex Shortfall Amount expended by Tenant shall be credited against (and shall count towards satisfaction of) the applicable Minimum Cap Ex Requirements that include the Fiscal Year for which such funds were deposited. It is further understood that if Tenant is required to deposit and expend a Cap Ex Shortfall Amount pursuant to this </w:t>
      </w:r>
      <w:r>
        <w:rPr>
          <w:rFonts w:ascii="Arial" w:cs="Arial" w:eastAsia="Arial" w:hAnsi="Arial"/>
          <w:sz w:val="19"/>
          <w:szCs w:val="19"/>
          <w:u w:val="single" w:color="auto"/>
          <w:color w:val="auto"/>
        </w:rPr>
        <w:t>Section 1(c)</w:t>
      </w:r>
      <w:r>
        <w:rPr>
          <w:rFonts w:ascii="Arial" w:cs="Arial" w:eastAsia="Arial" w:hAnsi="Arial"/>
          <w:sz w:val="19"/>
          <w:szCs w:val="19"/>
          <w:color w:val="auto"/>
        </w:rPr>
        <w:t xml:space="preserve">, then for so long as Tenant is in compliance with the provisions of this </w:t>
      </w:r>
      <w:r>
        <w:rPr>
          <w:rFonts w:ascii="Arial" w:cs="Arial" w:eastAsia="Arial" w:hAnsi="Arial"/>
          <w:sz w:val="19"/>
          <w:szCs w:val="19"/>
          <w:u w:val="single" w:color="auto"/>
          <w:color w:val="auto"/>
        </w:rPr>
        <w:t>Section 1(c)</w:t>
      </w:r>
      <w:r>
        <w:rPr>
          <w:rFonts w:ascii="Arial" w:cs="Arial" w:eastAsia="Arial" w:hAnsi="Arial"/>
          <w:sz w:val="19"/>
          <w:szCs w:val="19"/>
          <w:color w:val="auto"/>
        </w:rPr>
        <w:t xml:space="preserve">, then any Tenant Event of Default that may otherwise exist as a result of </w:t>
      </w:r>
      <w:r>
        <w:rPr>
          <w:rFonts w:ascii="Arial" w:cs="Arial" w:eastAsia="Arial" w:hAnsi="Arial"/>
          <w:sz w:val="19"/>
          <w:szCs w:val="19"/>
          <w:u w:val="single" w:color="auto"/>
          <w:color w:val="auto"/>
        </w:rPr>
        <w:t>Section 1(a)</w:t>
      </w:r>
      <w:r>
        <w:rPr>
          <w:rFonts w:ascii="Arial" w:cs="Arial" w:eastAsia="Arial" w:hAnsi="Arial"/>
          <w:sz w:val="19"/>
          <w:szCs w:val="19"/>
          <w:color w:val="auto"/>
        </w:rPr>
        <w:t xml:space="preserve"> no longer being in effect shall be deemed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0"/>
          </w:cols>
          <w:pgMar w:left="980" w:top="1419" w:right="339" w:bottom="1440" w:gutter="0" w:footer="0" w:header="0"/>
        </w:sectPr>
      </w:pPr>
    </w:p>
    <w:bookmarkStart w:id="130" w:name="page131"/>
    <w:bookmarkEnd w:id="130"/>
    <w:p>
      <w:pPr>
        <w:ind w:firstLine="1304"/>
        <w:spacing w:after="0" w:line="267" w:lineRule="auto"/>
        <w:tabs>
          <w:tab w:leader="none" w:pos="1932" w:val="left"/>
        </w:tabs>
        <w:numPr>
          <w:ilvl w:val="1"/>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Unavoidable Delay</w:t>
      </w:r>
      <w:r>
        <w:rPr>
          <w:rFonts w:ascii="Arial" w:cs="Arial" w:eastAsia="Arial" w:hAnsi="Arial"/>
          <w:sz w:val="20"/>
          <w:szCs w:val="20"/>
          <w:color w:val="auto"/>
        </w:rPr>
        <w:t>. The provisions of Section 10.5(a)(ix) of the respective Leases shall not apply to any</w:t>
      </w:r>
      <w:r>
        <w:rPr>
          <w:rFonts w:ascii="Arial" w:cs="Arial" w:eastAsia="Arial" w:hAnsi="Arial"/>
          <w:sz w:val="20"/>
          <w:szCs w:val="20"/>
          <w:b w:val="1"/>
          <w:bCs w:val="1"/>
          <w:color w:val="auto"/>
        </w:rPr>
        <w:t xml:space="preserve"> </w:t>
      </w:r>
      <w:r>
        <w:rPr>
          <w:rFonts w:ascii="Arial" w:cs="Arial" w:eastAsia="Arial" w:hAnsi="Arial"/>
          <w:sz w:val="20"/>
          <w:szCs w:val="20"/>
          <w:color w:val="auto"/>
        </w:rPr>
        <w:t>Unavoidable Delay directly or indirectly resulting from the coronavirus (COVID-19) pandemic.</w:t>
      </w:r>
    </w:p>
    <w:p>
      <w:pPr>
        <w:spacing w:after="0" w:line="163" w:lineRule="exact"/>
        <w:rPr>
          <w:rFonts w:ascii="Arial" w:cs="Arial" w:eastAsia="Arial" w:hAnsi="Arial"/>
          <w:sz w:val="20"/>
          <w:szCs w:val="20"/>
          <w:color w:val="auto"/>
        </w:rPr>
      </w:pPr>
    </w:p>
    <w:p>
      <w:pPr>
        <w:jc w:val="both"/>
        <w:ind w:firstLine="656"/>
        <w:spacing w:after="0" w:line="253"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No Waiver</w:t>
      </w:r>
      <w:r>
        <w:rPr>
          <w:rFonts w:ascii="Arial" w:cs="Arial" w:eastAsia="Arial" w:hAnsi="Arial"/>
          <w:sz w:val="20"/>
          <w:szCs w:val="20"/>
          <w:color w:val="auto"/>
        </w:rPr>
        <w:t>. Except to the extent expressly set forth in this Amendment, Landlord is not waiving any obligations of Tenants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their respective Leases or any rights of Landlord under the Leases or at law, nor is Landlord waiving or consenting to any other events that may have occurred under or in relation to any of the Leases.</w:t>
      </w:r>
    </w:p>
    <w:p>
      <w:pPr>
        <w:spacing w:after="0" w:line="177" w:lineRule="exact"/>
        <w:rPr>
          <w:rFonts w:ascii="Arial" w:cs="Arial" w:eastAsia="Arial" w:hAnsi="Arial"/>
          <w:sz w:val="20"/>
          <w:szCs w:val="20"/>
          <w:color w:val="auto"/>
        </w:rPr>
      </w:pPr>
    </w:p>
    <w:p>
      <w:pPr>
        <w:ind w:firstLine="656"/>
        <w:spacing w:after="0" w:line="267"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Incorporation into the Lease</w:t>
      </w:r>
      <w:r>
        <w:rPr>
          <w:rFonts w:ascii="Arial" w:cs="Arial" w:eastAsia="Arial" w:hAnsi="Arial"/>
          <w:sz w:val="20"/>
          <w:szCs w:val="20"/>
          <w:color w:val="auto"/>
        </w:rPr>
        <w:t>. The provisions of this Amendment applicable to each Lease are hereby incorporated into</w:t>
      </w:r>
      <w:r>
        <w:rPr>
          <w:rFonts w:ascii="Arial" w:cs="Arial" w:eastAsia="Arial" w:hAnsi="Arial"/>
          <w:sz w:val="20"/>
          <w:szCs w:val="20"/>
          <w:b w:val="1"/>
          <w:bCs w:val="1"/>
          <w:color w:val="auto"/>
        </w:rPr>
        <w:t xml:space="preserve"> </w:t>
      </w:r>
      <w:r>
        <w:rPr>
          <w:rFonts w:ascii="Arial" w:cs="Arial" w:eastAsia="Arial" w:hAnsi="Arial"/>
          <w:sz w:val="20"/>
          <w:szCs w:val="20"/>
          <w:color w:val="auto"/>
        </w:rPr>
        <w:t>each such Lease and made an integrated, non-severable part thereof.</w:t>
      </w:r>
    </w:p>
    <w:p>
      <w:pPr>
        <w:spacing w:after="0" w:line="163" w:lineRule="exact"/>
        <w:rPr>
          <w:rFonts w:ascii="Arial" w:cs="Arial" w:eastAsia="Arial" w:hAnsi="Arial"/>
          <w:sz w:val="20"/>
          <w:szCs w:val="20"/>
          <w:color w:val="auto"/>
        </w:rPr>
      </w:pPr>
    </w:p>
    <w:p>
      <w:pPr>
        <w:ind w:firstLine="656"/>
        <w:spacing w:after="0" w:line="267"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Any and all agreements entered into in connection with any Lease which make reference therein to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 shall be intended to, and are deemed hereby, to refer to such Lease as amended by this Amendment.</w:t>
      </w:r>
    </w:p>
    <w:p>
      <w:pPr>
        <w:spacing w:after="0" w:line="163" w:lineRule="exact"/>
        <w:rPr>
          <w:rFonts w:ascii="Arial" w:cs="Arial" w:eastAsia="Arial" w:hAnsi="Arial"/>
          <w:sz w:val="20"/>
          <w:szCs w:val="20"/>
          <w:color w:val="auto"/>
        </w:rPr>
      </w:pPr>
    </w:p>
    <w:p>
      <w:pPr>
        <w:ind w:left="1300" w:hanging="644"/>
        <w:spacing w:after="0"/>
        <w:tabs>
          <w:tab w:leader="none" w:pos="1300"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304"/>
        <w:spacing w:after="0" w:line="291" w:lineRule="auto"/>
        <w:tabs>
          <w:tab w:leader="none" w:pos="193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This Amendment shall be construed according to and governed by the laws of the jurisdiction(s) which are specified by the Leases without regard to its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51" w:lineRule="exact"/>
        <w:rPr>
          <w:rFonts w:ascii="Arial" w:cs="Arial" w:eastAsia="Arial" w:hAnsi="Arial"/>
          <w:sz w:val="18"/>
          <w:szCs w:val="18"/>
          <w:color w:val="auto"/>
        </w:rPr>
      </w:pPr>
    </w:p>
    <w:p>
      <w:pPr>
        <w:ind w:right="20" w:firstLine="1304"/>
        <w:spacing w:after="0" w:line="260" w:lineRule="auto"/>
        <w:tabs>
          <w:tab w:leader="none" w:pos="1932" w:val="left"/>
        </w:tabs>
        <w:numPr>
          <w:ilvl w:val="1"/>
          <w:numId w:val="71"/>
        </w:numPr>
        <w:rPr>
          <w:rFonts w:ascii="Arial" w:cs="Arial" w:eastAsia="Arial" w:hAnsi="Arial"/>
          <w:sz w:val="20"/>
          <w:szCs w:val="20"/>
          <w:color w:val="auto"/>
        </w:rPr>
      </w:pPr>
      <w:r>
        <w:rPr>
          <w:rFonts w:ascii="Arial" w:cs="Arial" w:eastAsia="Arial" w:hAnsi="Arial"/>
          <w:sz w:val="20"/>
          <w:szCs w:val="20"/>
          <w:color w:val="auto"/>
        </w:rPr>
        <w:t>If any provision of this Amendment is adjudicated to be invalid, illegal or unenforceable, in whole or in part, it will be deemed omitted to that extent and all other provisions of this Amendment will remain in full force and effect.</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34" w:val="left"/>
        </w:tabs>
        <w:numPr>
          <w:ilvl w:val="1"/>
          <w:numId w:val="71"/>
        </w:numPr>
        <w:rPr>
          <w:rFonts w:ascii="Arial" w:cs="Arial" w:eastAsia="Arial" w:hAnsi="Arial"/>
          <w:sz w:val="20"/>
          <w:szCs w:val="20"/>
          <w:color w:val="auto"/>
        </w:rPr>
      </w:pPr>
      <w:r>
        <w:rPr>
          <w:rFonts w:ascii="Arial" w:cs="Arial" w:eastAsia="Arial" w:hAnsi="Arial"/>
          <w:sz w:val="20"/>
          <w:szCs w:val="20"/>
          <w:color w:val="auto"/>
        </w:rPr>
        <w:t>Neither this Amendment nor any provision hereof may be changed, modified, waived, discharged or terminated orally, but only by an instrument in writing signed by the party against whom enforcement of such change, modification, waiver, waiver, discharge or termination is sought.</w:t>
      </w:r>
    </w:p>
    <w:p>
      <w:pPr>
        <w:spacing w:after="0" w:line="185" w:lineRule="exact"/>
        <w:rPr>
          <w:rFonts w:ascii="Arial" w:cs="Arial" w:eastAsia="Arial" w:hAnsi="Arial"/>
          <w:sz w:val="20"/>
          <w:szCs w:val="20"/>
          <w:color w:val="auto"/>
        </w:rPr>
      </w:pPr>
    </w:p>
    <w:p>
      <w:pPr>
        <w:ind w:right="20" w:firstLine="1304"/>
        <w:spacing w:after="0" w:line="260" w:lineRule="auto"/>
        <w:tabs>
          <w:tab w:leader="none" w:pos="1932"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paragraph headings and captions contained in this Amendment are for convenience of reference only and in no event define, describe or limit the scope or intent of this Amendment or any of the provisions or terms hereof.</w:t>
      </w:r>
    </w:p>
    <w:p>
      <w:pPr>
        <w:spacing w:after="0" w:line="176" w:lineRule="exact"/>
        <w:rPr>
          <w:rFonts w:ascii="Arial" w:cs="Arial" w:eastAsia="Arial" w:hAnsi="Arial"/>
          <w:sz w:val="20"/>
          <w:szCs w:val="20"/>
          <w:color w:val="auto"/>
        </w:rPr>
      </w:pPr>
    </w:p>
    <w:p>
      <w:pPr>
        <w:ind w:firstLine="1304"/>
        <w:spacing w:after="0" w:line="260" w:lineRule="auto"/>
        <w:tabs>
          <w:tab w:leader="none" w:pos="1934"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This Amendment shall be binding upon and inure to the benefit of the parties and their respective heirs, legal representatives, successors and permitted assigns.</w:t>
      </w:r>
    </w:p>
    <w:p>
      <w:pPr>
        <w:spacing w:after="0" w:line="176" w:lineRule="exact"/>
        <w:rPr>
          <w:rFonts w:ascii="Arial" w:cs="Arial" w:eastAsia="Arial" w:hAnsi="Arial"/>
          <w:sz w:val="20"/>
          <w:szCs w:val="20"/>
          <w:color w:val="auto"/>
        </w:rPr>
      </w:pPr>
    </w:p>
    <w:p>
      <w:pPr>
        <w:ind w:firstLine="1304"/>
        <w:spacing w:after="0" w:line="260" w:lineRule="auto"/>
        <w:tabs>
          <w:tab w:leader="none" w:pos="1939"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This Amendment may be executed in any number of counterparts with the same effect as if all parties hereto had signed the same document. All such counterparts shall be construed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3" w:right="33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together and shall constitute one instrument, but in making proof hereof it shall only be necessary to produce one such counterpart.</w:t>
      </w:r>
    </w:p>
    <w:p>
      <w:pPr>
        <w:spacing w:after="0" w:line="227" w:lineRule="exact"/>
        <w:rPr>
          <w:sz w:val="20"/>
          <w:szCs w:val="20"/>
          <w:color w:val="auto"/>
        </w:rPr>
      </w:pPr>
    </w:p>
    <w:p>
      <w:pPr>
        <w:ind w:firstLine="1304"/>
        <w:spacing w:after="0" w:line="260" w:lineRule="auto"/>
        <w:tabs>
          <w:tab w:leader="none" w:pos="1932" w:val="left"/>
        </w:tabs>
        <w:numPr>
          <w:ilvl w:val="1"/>
          <w:numId w:val="72"/>
        </w:numPr>
        <w:rPr>
          <w:rFonts w:ascii="Arial" w:cs="Arial" w:eastAsia="Arial" w:hAnsi="Arial"/>
          <w:sz w:val="20"/>
          <w:szCs w:val="20"/>
          <w:color w:val="auto"/>
        </w:rPr>
      </w:pPr>
      <w:r>
        <w:rPr>
          <w:rFonts w:ascii="Arial" w:cs="Arial" w:eastAsia="Arial" w:hAnsi="Arial"/>
          <w:sz w:val="20"/>
          <w:szCs w:val="20"/>
          <w:color w:val="auto"/>
        </w:rPr>
        <w:t>Except as specifically modified in this Amendment, all of the provisions of the Leases remain unchanged and continue in full force and effect.</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This Amendment amends, restates, replaces and supersedes the Existing Omnibus Amendment.</w:t>
      </w:r>
    </w:p>
    <w:p>
      <w:pPr>
        <w:spacing w:after="0" w:line="215" w:lineRule="exact"/>
        <w:rPr>
          <w:rFonts w:ascii="Arial" w:cs="Arial" w:eastAsia="Arial" w:hAnsi="Arial"/>
          <w:sz w:val="20"/>
          <w:szCs w:val="20"/>
          <w:color w:val="auto"/>
        </w:rPr>
      </w:pPr>
    </w:p>
    <w:p>
      <w:pPr>
        <w:jc w:val="both"/>
        <w:ind w:firstLine="1304"/>
        <w:spacing w:after="0" w:line="275" w:lineRule="auto"/>
        <w:tabs>
          <w:tab w:leader="none" w:pos="1942"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This Amendment shall not be effective unless and until (i) all requisite notices in respect hereof have been filed with all applicable Gaming Authorities, (ii) any advance notice period with respect to Gaming Authorities applicable hereto shall have expired and</w:t>
      </w:r>
    </w:p>
    <w:p>
      <w:pPr>
        <w:jc w:val="both"/>
        <w:ind w:firstLine="8"/>
        <w:spacing w:after="0" w:line="241" w:lineRule="auto"/>
        <w:tabs>
          <w:tab w:leader="none" w:pos="379"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all approvals from all applicable Gaming Authorities required for the parties hereto to consummate the amendments to the Leases hereunder shall have been obtained, whereupon this Amendment shall be effective retroactive as of the Effective Date. Each of Tenant and Landlord hereby agrees to give prompt written notice to the other upon the satisfaction of the foregoing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with respect to such party.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132" w:name="page133"/>
    <w:bookmarkEnd w:id="132"/>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duly authorized representatives, all as of the Effective Date.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COUNCIL BLUFFS LLC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COUNCIL BLUFFS LLC</w:t>
      </w:r>
    </w:p>
    <w:p>
      <w:pPr>
        <w:spacing w:after="0"/>
        <w:rPr>
          <w:sz w:val="20"/>
          <w:szCs w:val="20"/>
          <w:color w:val="auto"/>
        </w:rPr>
      </w:pPr>
      <w:r>
        <w:rPr>
          <w:rFonts w:ascii="Arial" w:cs="Arial" w:eastAsia="Arial" w:hAnsi="Arial"/>
          <w:sz w:val="20"/>
          <w:szCs w:val="20"/>
          <w:b w:val="1"/>
          <w:bCs w:val="1"/>
          <w:color w:val="auto"/>
        </w:rPr>
        <w:t>HARRAH’S METROPOLIS LLC</w:t>
      </w:r>
    </w:p>
    <w:p>
      <w:pPr>
        <w:spacing w:after="0"/>
        <w:rPr>
          <w:sz w:val="20"/>
          <w:szCs w:val="20"/>
          <w:color w:val="auto"/>
        </w:rPr>
      </w:pPr>
      <w:r>
        <w:rPr>
          <w:rFonts w:ascii="Arial" w:cs="Arial" w:eastAsia="Arial" w:hAnsi="Arial"/>
          <w:sz w:val="20"/>
          <w:szCs w:val="20"/>
          <w:b w:val="1"/>
          <w:bCs w:val="1"/>
          <w:color w:val="auto"/>
        </w:rPr>
        <w:t>HORSESHOE SOUTHERN INDIANA LLC</w:t>
      </w:r>
    </w:p>
    <w:p>
      <w:pPr>
        <w:spacing w:after="0"/>
        <w:rPr>
          <w:sz w:val="20"/>
          <w:szCs w:val="20"/>
          <w:color w:val="auto"/>
        </w:rPr>
      </w:pPr>
      <w:r>
        <w:rPr>
          <w:rFonts w:ascii="Arial" w:cs="Arial" w:eastAsia="Arial" w:hAnsi="Arial"/>
          <w:sz w:val="20"/>
          <w:szCs w:val="20"/>
          <w:b w:val="1"/>
          <w:bCs w:val="1"/>
          <w:color w:val="auto"/>
        </w:rPr>
        <w:t>NEW HORSESHOE HAMMOND LLC</w:t>
      </w:r>
    </w:p>
    <w:p>
      <w:pPr>
        <w:spacing w:after="0"/>
        <w:rPr>
          <w:sz w:val="20"/>
          <w:szCs w:val="20"/>
          <w:color w:val="auto"/>
        </w:rPr>
      </w:pPr>
      <w:r>
        <w:rPr>
          <w:rFonts w:ascii="Arial" w:cs="Arial" w:eastAsia="Arial" w:hAnsi="Arial"/>
          <w:sz w:val="20"/>
          <w:szCs w:val="20"/>
          <w:b w:val="1"/>
          <w:bCs w:val="1"/>
          <w:color w:val="auto"/>
        </w:rPr>
        <w:t>NEW HARRAH’S NORTH KANSAS CITY LLC</w:t>
      </w:r>
    </w:p>
    <w:p>
      <w:pPr>
        <w:spacing w:after="0"/>
        <w:rPr>
          <w:sz w:val="20"/>
          <w:szCs w:val="20"/>
          <w:color w:val="auto"/>
        </w:rPr>
      </w:pPr>
      <w:r>
        <w:rPr>
          <w:rFonts w:ascii="Arial" w:cs="Arial" w:eastAsia="Arial" w:hAnsi="Arial"/>
          <w:sz w:val="20"/>
          <w:szCs w:val="20"/>
          <w:b w:val="1"/>
          <w:bCs w:val="1"/>
          <w:color w:val="auto"/>
        </w:rPr>
        <w:t>GRAND BILOXI LLC</w:t>
      </w:r>
    </w:p>
    <w:p>
      <w:pPr>
        <w:spacing w:after="0"/>
        <w:rPr>
          <w:sz w:val="20"/>
          <w:szCs w:val="20"/>
          <w:color w:val="auto"/>
        </w:rPr>
      </w:pPr>
      <w:r>
        <w:rPr>
          <w:rFonts w:ascii="Arial" w:cs="Arial" w:eastAsia="Arial" w:hAnsi="Arial"/>
          <w:sz w:val="20"/>
          <w:szCs w:val="20"/>
          <w:b w:val="1"/>
          <w:bCs w:val="1"/>
          <w:color w:val="auto"/>
        </w:rPr>
        <w:t>HORSESHOE TUNICA LLC</w:t>
      </w:r>
    </w:p>
    <w:p>
      <w:pPr>
        <w:spacing w:after="0"/>
        <w:rPr>
          <w:sz w:val="20"/>
          <w:szCs w:val="20"/>
          <w:color w:val="auto"/>
        </w:rPr>
      </w:pPr>
      <w:r>
        <w:rPr>
          <w:rFonts w:ascii="Arial" w:cs="Arial" w:eastAsia="Arial" w:hAnsi="Arial"/>
          <w:sz w:val="20"/>
          <w:szCs w:val="20"/>
          <w:b w:val="1"/>
          <w:bCs w:val="1"/>
          <w:color w:val="auto"/>
        </w:rPr>
        <w:t>NEW TUNICA ROADHOUSE LLC</w:t>
      </w:r>
    </w:p>
    <w:p>
      <w:pPr>
        <w:spacing w:after="0"/>
        <w:rPr>
          <w:sz w:val="20"/>
          <w:szCs w:val="20"/>
          <w:color w:val="auto"/>
        </w:rPr>
      </w:pPr>
      <w:r>
        <w:rPr>
          <w:rFonts w:ascii="Arial" w:cs="Arial" w:eastAsia="Arial" w:hAnsi="Arial"/>
          <w:sz w:val="20"/>
          <w:szCs w:val="20"/>
          <w:b w:val="1"/>
          <w:bCs w:val="1"/>
          <w:color w:val="auto"/>
        </w:rPr>
        <w:t>CAESARS ATLANTIC CITY LLC</w:t>
      </w:r>
    </w:p>
    <w:p>
      <w:pPr>
        <w:spacing w:after="0"/>
        <w:rPr>
          <w:sz w:val="20"/>
          <w:szCs w:val="20"/>
          <w:color w:val="auto"/>
        </w:rPr>
      </w:pPr>
      <w:r>
        <w:rPr>
          <w:rFonts w:ascii="Arial" w:cs="Arial" w:eastAsia="Arial" w:hAnsi="Arial"/>
          <w:sz w:val="20"/>
          <w:szCs w:val="20"/>
          <w:b w:val="1"/>
          <w:bCs w:val="1"/>
          <w:color w:val="auto"/>
        </w:rPr>
        <w:t>BALLY’S ATLANTIC CITY LLC</w:t>
      </w:r>
    </w:p>
    <w:p>
      <w:pPr>
        <w:spacing w:after="0"/>
        <w:rPr>
          <w:sz w:val="20"/>
          <w:szCs w:val="20"/>
          <w:color w:val="auto"/>
        </w:rPr>
      </w:pPr>
      <w:r>
        <w:rPr>
          <w:rFonts w:ascii="Arial" w:cs="Arial" w:eastAsia="Arial" w:hAnsi="Arial"/>
          <w:sz w:val="20"/>
          <w:szCs w:val="20"/>
          <w:b w:val="1"/>
          <w:bCs w:val="1"/>
          <w:color w:val="auto"/>
        </w:rPr>
        <w:t>HARRAH’S LAKE TAHOE LLC</w:t>
      </w:r>
    </w:p>
    <w:p>
      <w:pPr>
        <w:spacing w:after="0"/>
        <w:rPr>
          <w:sz w:val="20"/>
          <w:szCs w:val="20"/>
          <w:color w:val="auto"/>
        </w:rPr>
      </w:pPr>
      <w:r>
        <w:rPr>
          <w:rFonts w:ascii="Arial" w:cs="Arial" w:eastAsia="Arial" w:hAnsi="Arial"/>
          <w:sz w:val="20"/>
          <w:szCs w:val="20"/>
          <w:b w:val="1"/>
          <w:bCs w:val="1"/>
          <w:color w:val="auto"/>
        </w:rPr>
        <w:t>HARVEY’S LAKE TAHOE LLC</w:t>
      </w:r>
    </w:p>
    <w:p>
      <w:pPr>
        <w:spacing w:after="0"/>
        <w:rPr>
          <w:sz w:val="20"/>
          <w:szCs w:val="20"/>
          <w:color w:val="auto"/>
        </w:rPr>
      </w:pPr>
      <w:r>
        <w:rPr>
          <w:rFonts w:ascii="Arial" w:cs="Arial" w:eastAsia="Arial" w:hAnsi="Arial"/>
          <w:sz w:val="20"/>
          <w:szCs w:val="20"/>
          <w:b w:val="1"/>
          <w:bCs w:val="1"/>
          <w:color w:val="auto"/>
        </w:rPr>
        <w:t>HARRAH’S RENO LLC</w:t>
      </w:r>
    </w:p>
    <w:p>
      <w:pPr>
        <w:spacing w:after="0"/>
        <w:rPr>
          <w:sz w:val="20"/>
          <w:szCs w:val="20"/>
          <w:color w:val="auto"/>
        </w:rPr>
      </w:pPr>
      <w:r>
        <w:rPr>
          <w:rFonts w:ascii="Arial" w:cs="Arial" w:eastAsia="Arial" w:hAnsi="Arial"/>
          <w:sz w:val="20"/>
          <w:szCs w:val="20"/>
          <w:b w:val="1"/>
          <w:bCs w:val="1"/>
          <w:color w:val="auto"/>
        </w:rPr>
        <w:t>BLUEGRASS DOWNS PROPERTY OWNER LLC</w:t>
      </w:r>
    </w:p>
    <w:p>
      <w:pPr>
        <w:spacing w:after="0"/>
        <w:rPr>
          <w:sz w:val="20"/>
          <w:szCs w:val="20"/>
          <w:color w:val="auto"/>
        </w:rPr>
      </w:pPr>
      <w:r>
        <w:rPr>
          <w:rFonts w:ascii="Arial" w:cs="Arial" w:eastAsia="Arial" w:hAnsi="Arial"/>
          <w:sz w:val="20"/>
          <w:szCs w:val="20"/>
          <w:b w:val="1"/>
          <w:bCs w:val="1"/>
          <w:color w:val="auto"/>
        </w:rPr>
        <w:t>VEGAS DEVELOPMENT LLC</w:t>
      </w:r>
    </w:p>
    <w:p>
      <w:pPr>
        <w:spacing w:after="0"/>
        <w:rPr>
          <w:sz w:val="20"/>
          <w:szCs w:val="20"/>
          <w:color w:val="auto"/>
        </w:rPr>
      </w:pPr>
      <w:r>
        <w:rPr>
          <w:rFonts w:ascii="Arial" w:cs="Arial" w:eastAsia="Arial" w:hAnsi="Arial"/>
          <w:sz w:val="20"/>
          <w:szCs w:val="20"/>
          <w:b w:val="1"/>
          <w:bCs w:val="1"/>
          <w:color w:val="auto"/>
        </w:rPr>
        <w:t>VEGAS OPERATING PROPERTY LLC</w:t>
      </w:r>
    </w:p>
    <w:p>
      <w:pPr>
        <w:spacing w:after="0"/>
        <w:rPr>
          <w:sz w:val="20"/>
          <w:szCs w:val="20"/>
          <w:color w:val="auto"/>
        </w:rPr>
      </w:pPr>
      <w:r>
        <w:rPr>
          <w:rFonts w:ascii="Arial" w:cs="Arial" w:eastAsia="Arial" w:hAnsi="Arial"/>
          <w:sz w:val="20"/>
          <w:szCs w:val="20"/>
          <w:b w:val="1"/>
          <w:bCs w:val="1"/>
          <w:color w:val="auto"/>
        </w:rPr>
        <w:t>MISCELLANEOUS LAND LLC</w:t>
      </w:r>
    </w:p>
    <w:p>
      <w:pPr>
        <w:spacing w:after="0"/>
        <w:rPr>
          <w:sz w:val="20"/>
          <w:szCs w:val="20"/>
          <w:color w:val="auto"/>
        </w:rPr>
      </w:pPr>
      <w:r>
        <w:rPr>
          <w:rFonts w:ascii="Arial" w:cs="Arial" w:eastAsia="Arial" w:hAnsi="Arial"/>
          <w:sz w:val="20"/>
          <w:szCs w:val="20"/>
          <w:b w:val="1"/>
          <w:bCs w:val="1"/>
          <w:color w:val="auto"/>
        </w:rPr>
        <w:t>PROPCO GULFPORT LLC</w:t>
      </w:r>
    </w:p>
    <w:p>
      <w:pPr>
        <w:spacing w:after="0"/>
        <w:rPr>
          <w:sz w:val="20"/>
          <w:szCs w:val="20"/>
          <w:color w:val="auto"/>
        </w:rPr>
      </w:pPr>
      <w:r>
        <w:rPr>
          <w:rFonts w:ascii="Arial" w:cs="Arial" w:eastAsia="Arial" w:hAnsi="Arial"/>
          <w:sz w:val="20"/>
          <w:szCs w:val="20"/>
          <w:b w:val="1"/>
          <w:bCs w:val="1"/>
          <w:color w:val="auto"/>
        </w:rPr>
        <w:t>PHILADELPHIA PROPCO LLC</w:t>
      </w:r>
    </w:p>
    <w:p>
      <w:pPr>
        <w:spacing w:after="0"/>
        <w:rPr>
          <w:sz w:val="20"/>
          <w:szCs w:val="20"/>
          <w:color w:val="auto"/>
        </w:rPr>
      </w:pPr>
      <w:r>
        <w:rPr>
          <w:rFonts w:ascii="Arial" w:cs="Arial" w:eastAsia="Arial" w:hAnsi="Arial"/>
          <w:sz w:val="20"/>
          <w:szCs w:val="20"/>
          <w:b w:val="1"/>
          <w:bCs w:val="1"/>
          <w:color w:val="auto"/>
        </w:rPr>
        <w:t>CPLV PROPERTY OWNER LLC</w:t>
      </w:r>
    </w:p>
    <w:p>
      <w:pPr>
        <w:spacing w:after="0"/>
        <w:rPr>
          <w:sz w:val="20"/>
          <w:szCs w:val="20"/>
          <w:color w:val="auto"/>
        </w:rPr>
      </w:pPr>
      <w:r>
        <w:rPr>
          <w:rFonts w:ascii="Arial" w:cs="Arial" w:eastAsia="Arial" w:hAnsi="Arial"/>
          <w:sz w:val="20"/>
          <w:szCs w:val="20"/>
          <w:b w:val="1"/>
          <w:bCs w:val="1"/>
          <w:color w:val="auto"/>
        </w:rPr>
        <w:t>HARRAH’S JOLIET LANDCO LLC</w:t>
      </w:r>
    </w:p>
    <w:p>
      <w:pPr>
        <w:spacing w:after="0"/>
        <w:rPr>
          <w:sz w:val="20"/>
          <w:szCs w:val="20"/>
          <w:color w:val="auto"/>
        </w:rPr>
      </w:pPr>
      <w:r>
        <w:rPr>
          <w:rFonts w:ascii="Arial" w:cs="Arial" w:eastAsia="Arial" w:hAnsi="Arial"/>
          <w:sz w:val="20"/>
          <w:szCs w:val="20"/>
          <w:b w:val="1"/>
          <w:bCs w:val="1"/>
          <w:color w:val="auto"/>
        </w:rPr>
        <w:t>HARRAH’S ATLANTIC CITY LLC</w:t>
      </w:r>
    </w:p>
    <w:p>
      <w:pPr>
        <w:spacing w:after="0"/>
        <w:rPr>
          <w:sz w:val="20"/>
          <w:szCs w:val="20"/>
          <w:color w:val="auto"/>
        </w:rPr>
      </w:pPr>
      <w:r>
        <w:rPr>
          <w:rFonts w:ascii="Arial" w:cs="Arial" w:eastAsia="Arial" w:hAnsi="Arial"/>
          <w:sz w:val="20"/>
          <w:szCs w:val="20"/>
          <w:b w:val="1"/>
          <w:bCs w:val="1"/>
          <w:color w:val="auto"/>
        </w:rPr>
        <w:t>NEW LAUGHLIN OWNER LLC</w:t>
      </w:r>
    </w:p>
    <w:p>
      <w:pPr>
        <w:spacing w:after="0"/>
        <w:rPr>
          <w:sz w:val="20"/>
          <w:szCs w:val="20"/>
          <w:color w:val="auto"/>
        </w:rPr>
      </w:pPr>
      <w:r>
        <w:rPr>
          <w:rFonts w:ascii="Arial" w:cs="Arial" w:eastAsia="Arial" w:hAnsi="Arial"/>
          <w:sz w:val="20"/>
          <w:szCs w:val="20"/>
          <w:b w:val="1"/>
          <w:bCs w:val="1"/>
          <w:color w:val="auto"/>
        </w:rPr>
        <w:t>HARRAH’S NEW ORLEANS LLC</w:t>
      </w:r>
    </w:p>
    <w:p>
      <w:pPr>
        <w:spacing w:after="0"/>
        <w:rPr>
          <w:sz w:val="20"/>
          <w:szCs w:val="20"/>
          <w:color w:val="auto"/>
        </w:rPr>
      </w:pPr>
      <w:r>
        <w:rPr>
          <w:rFonts w:ascii="Arial" w:cs="Arial" w:eastAsia="Arial" w:hAnsi="Arial"/>
          <w:sz w:val="20"/>
          <w:szCs w:val="20"/>
          <w:b w:val="1"/>
          <w:bCs w:val="1"/>
          <w:color w:val="auto"/>
        </w:rPr>
        <w:t>CLAUDINE PROPCO LLC,</w:t>
      </w:r>
    </w:p>
    <w:p>
      <w:pPr>
        <w:spacing w:after="0"/>
        <w:rPr>
          <w:sz w:val="20"/>
          <w:szCs w:val="20"/>
          <w:color w:val="auto"/>
        </w:rPr>
      </w:pPr>
      <w:r>
        <w:rPr>
          <w:rFonts w:ascii="Arial" w:cs="Arial" w:eastAsia="Arial" w:hAnsi="Arial"/>
          <w:sz w:val="20"/>
          <w:szCs w:val="20"/>
          <w:color w:val="auto"/>
        </w:rPr>
        <w:t>each, a Delaware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141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Name: David A. Kieske</w:t>
      </w:r>
    </w:p>
    <w:p>
      <w:pPr>
        <w:ind w:left="340"/>
        <w:spacing w:after="0"/>
        <w:rPr>
          <w:sz w:val="20"/>
          <w:szCs w:val="20"/>
          <w:color w:val="auto"/>
        </w:rPr>
      </w:pPr>
      <w:r>
        <w:rPr>
          <w:rFonts w:ascii="Arial" w:cs="Arial" w:eastAsia="Arial" w:hAnsi="Arial"/>
          <w:sz w:val="20"/>
          <w:szCs w:val="20"/>
          <w:color w:val="auto"/>
        </w:rPr>
        <w:t>Title: Treasurer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BOSSIER CITY PROP LLC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BOSSIER CITY LLC,</w:t>
      </w:r>
    </w:p>
    <w:p>
      <w:pPr>
        <w:spacing w:after="0"/>
        <w:rPr>
          <w:sz w:val="20"/>
          <w:szCs w:val="20"/>
          <w:color w:val="auto"/>
        </w:rPr>
      </w:pPr>
      <w:r>
        <w:rPr>
          <w:rFonts w:ascii="Arial" w:cs="Arial" w:eastAsia="Arial" w:hAnsi="Arial"/>
          <w:sz w:val="20"/>
          <w:szCs w:val="20"/>
          <w:color w:val="auto"/>
        </w:rPr>
        <w:t>each, a Louisiana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141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Name: David A. Kieske</w:t>
      </w:r>
    </w:p>
    <w:p>
      <w:pPr>
        <w:ind w:left="340"/>
        <w:spacing w:after="0"/>
        <w:rPr>
          <w:sz w:val="20"/>
          <w:szCs w:val="20"/>
          <w:color w:val="auto"/>
        </w:rPr>
      </w:pPr>
      <w:r>
        <w:rPr>
          <w:rFonts w:ascii="Arial" w:cs="Arial" w:eastAsia="Arial" w:hAnsi="Arial"/>
          <w:sz w:val="20"/>
          <w:szCs w:val="20"/>
          <w:color w:val="auto"/>
        </w:rPr>
        <w:t>Title: Treasurer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Amended and Restated Omnibus Amendment]</w:t>
      </w:r>
    </w:p>
    <w:p>
      <w:pPr>
        <w:sectPr>
          <w:pgSz w:w="11900" w:h="16838" w:orient="portrait"/>
          <w:cols w:equalWidth="0" w:num="1">
            <w:col w:w="11220"/>
          </w:cols>
          <w:pgMar w:left="320" w:top="1440" w:right="35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TENANT: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rPr>
          <w:sz w:val="20"/>
          <w:szCs w:val="20"/>
          <w:color w:val="auto"/>
        </w:rPr>
      </w:pPr>
      <w:r>
        <w:rPr>
          <w:rFonts w:ascii="Arial" w:cs="Arial" w:eastAsia="Arial" w:hAnsi="Arial"/>
          <w:sz w:val="20"/>
          <w:szCs w:val="20"/>
          <w:b w:val="1"/>
          <w:bCs w:val="1"/>
          <w:color w:val="auto"/>
        </w:rPr>
        <w:t>HARVEYS IOWA MANAGEMENT COMPANY LLC</w:t>
      </w:r>
      <w:r>
        <w:rPr>
          <w:rFonts w:ascii="Arial" w:cs="Arial" w:eastAsia="Arial" w:hAnsi="Arial"/>
          <w:sz w:val="20"/>
          <w:szCs w:val="20"/>
          <w:color w:val="auto"/>
        </w:rPr>
        <w:t>, a Nevada limited liability company,</w:t>
      </w:r>
    </w:p>
    <w:p>
      <w:pPr>
        <w:spacing w:after="0" w:line="4" w:lineRule="exact"/>
        <w:rPr>
          <w:sz w:val="20"/>
          <w:szCs w:val="20"/>
          <w:color w:val="auto"/>
        </w:rPr>
      </w:pPr>
    </w:p>
    <w:p>
      <w:pPr>
        <w:ind w:right="899"/>
        <w:spacing w:after="0" w:line="241" w:lineRule="auto"/>
        <w:rPr>
          <w:sz w:val="20"/>
          <w:szCs w:val="20"/>
          <w:color w:val="auto"/>
        </w:rPr>
      </w:pPr>
      <w:r>
        <w:rPr>
          <w:rFonts w:ascii="Arial" w:cs="Arial" w:eastAsia="Arial" w:hAnsi="Arial"/>
          <w:sz w:val="22"/>
          <w:szCs w:val="22"/>
          <w:b w:val="1"/>
          <w:bCs w:val="1"/>
          <w:color w:val="auto"/>
        </w:rPr>
        <w:t>SOUTHERN ILLINOIS RIVERBOAT/CASINO CRUISES LLC</w:t>
      </w:r>
      <w:r>
        <w:rPr>
          <w:rFonts w:ascii="Arial" w:cs="Arial" w:eastAsia="Arial" w:hAnsi="Arial"/>
          <w:sz w:val="22"/>
          <w:szCs w:val="22"/>
          <w:color w:val="auto"/>
        </w:rPr>
        <w:t>, an Illinois limited liability company,</w:t>
      </w:r>
      <w:r>
        <w:rPr>
          <w:rFonts w:ascii="Arial" w:cs="Arial" w:eastAsia="Arial" w:hAnsi="Arial"/>
          <w:sz w:val="22"/>
          <w:szCs w:val="22"/>
          <w:b w:val="1"/>
          <w:bCs w:val="1"/>
          <w:color w:val="auto"/>
        </w:rPr>
        <w:t xml:space="preserve"> CAESARS RIVERBOAT CASINO, LLC</w:t>
      </w:r>
      <w:r>
        <w:rPr>
          <w:rFonts w:ascii="Arial" w:cs="Arial" w:eastAsia="Arial" w:hAnsi="Arial"/>
          <w:sz w:val="22"/>
          <w:szCs w:val="22"/>
          <w:color w:val="auto"/>
        </w:rPr>
        <w:t>, an Indiana limited liability company,</w:t>
      </w:r>
    </w:p>
    <w:p>
      <w:pPr>
        <w:ind w:right="2579"/>
        <w:spacing w:after="0" w:line="242" w:lineRule="auto"/>
        <w:rPr>
          <w:sz w:val="20"/>
          <w:szCs w:val="20"/>
          <w:color w:val="auto"/>
        </w:rPr>
      </w:pPr>
      <w:r>
        <w:rPr>
          <w:rFonts w:ascii="Arial" w:cs="Arial" w:eastAsia="Arial" w:hAnsi="Arial"/>
          <w:sz w:val="20"/>
          <w:szCs w:val="20"/>
          <w:b w:val="1"/>
          <w:bCs w:val="1"/>
          <w:color w:val="auto"/>
        </w:rPr>
        <w:t>ROMAN HOLDING COMPANY OF INDIANA LLC</w:t>
      </w:r>
      <w:r>
        <w:rPr>
          <w:rFonts w:ascii="Arial" w:cs="Arial" w:eastAsia="Arial" w:hAnsi="Arial"/>
          <w:sz w:val="20"/>
          <w:szCs w:val="20"/>
          <w:color w:val="auto"/>
        </w:rPr>
        <w:t>, an Indiana limited liability company,</w:t>
      </w:r>
      <w:r>
        <w:rPr>
          <w:rFonts w:ascii="Arial" w:cs="Arial" w:eastAsia="Arial" w:hAnsi="Arial"/>
          <w:sz w:val="20"/>
          <w:szCs w:val="20"/>
          <w:b w:val="1"/>
          <w:bCs w:val="1"/>
          <w:color w:val="auto"/>
        </w:rPr>
        <w:t xml:space="preserve"> HORSESHOE HAMMOND, LLC</w:t>
      </w:r>
      <w:r>
        <w:rPr>
          <w:rFonts w:ascii="Arial" w:cs="Arial" w:eastAsia="Arial" w:hAnsi="Arial"/>
          <w:sz w:val="20"/>
          <w:szCs w:val="20"/>
          <w:color w:val="auto"/>
        </w:rPr>
        <w:t>, an Indiana limited liability company,</w:t>
      </w:r>
    </w:p>
    <w:p>
      <w:pPr>
        <w:spacing w:after="0"/>
        <w:rPr>
          <w:sz w:val="20"/>
          <w:szCs w:val="20"/>
          <w:color w:val="auto"/>
        </w:rPr>
      </w:pPr>
      <w:r>
        <w:rPr>
          <w:rFonts w:ascii="Arial" w:cs="Arial" w:eastAsia="Arial" w:hAnsi="Arial"/>
          <w:sz w:val="21"/>
          <w:szCs w:val="21"/>
          <w:b w:val="1"/>
          <w:bCs w:val="1"/>
          <w:color w:val="auto"/>
        </w:rPr>
        <w:t>HARRAH’S BOSSIER CITY INVESTMENT COMPANY, L.L.C.</w:t>
      </w:r>
      <w:r>
        <w:rPr>
          <w:rFonts w:ascii="Arial" w:cs="Arial" w:eastAsia="Arial" w:hAnsi="Arial"/>
          <w:sz w:val="21"/>
          <w:szCs w:val="21"/>
          <w:color w:val="auto"/>
        </w:rPr>
        <w:t>, a Louisiana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236" w:lineRule="auto"/>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spacing w:after="0"/>
        <w:rPr>
          <w:sz w:val="20"/>
          <w:szCs w:val="20"/>
          <w:color w:val="auto"/>
        </w:rPr>
      </w:pPr>
      <w:r>
        <w:rPr>
          <w:rFonts w:ascii="Arial" w:cs="Arial" w:eastAsia="Arial" w:hAnsi="Arial"/>
          <w:sz w:val="20"/>
          <w:szCs w:val="20"/>
          <w:b w:val="1"/>
          <w:bCs w:val="1"/>
          <w:color w:val="auto"/>
        </w:rPr>
        <w:t>HARVEYS TAHOE MANAGEMENT COMPANY LLC</w:t>
      </w:r>
      <w:r>
        <w:rPr>
          <w:rFonts w:ascii="Arial" w:cs="Arial" w:eastAsia="Arial" w:hAnsi="Arial"/>
          <w:sz w:val="20"/>
          <w:szCs w:val="20"/>
          <w:color w:val="auto"/>
        </w:rPr>
        <w:t>, a Nevada limited liability company,</w:t>
      </w:r>
    </w:p>
    <w:p>
      <w:pPr>
        <w:spacing w:after="0" w:line="4" w:lineRule="exact"/>
        <w:rPr>
          <w:sz w:val="20"/>
          <w:szCs w:val="20"/>
          <w:color w:val="auto"/>
        </w:rPr>
      </w:pPr>
    </w:p>
    <w:p>
      <w:pPr>
        <w:ind w:right="3039"/>
        <w:spacing w:after="0" w:line="279" w:lineRule="auto"/>
        <w:rPr>
          <w:sz w:val="20"/>
          <w:szCs w:val="20"/>
          <w:color w:val="auto"/>
        </w:rPr>
      </w:pPr>
      <w:r>
        <w:rPr>
          <w:rFonts w:ascii="Arial" w:cs="Arial" w:eastAsia="Arial" w:hAnsi="Arial"/>
          <w:sz w:val="19"/>
          <w:szCs w:val="19"/>
          <w:b w:val="1"/>
          <w:bCs w:val="1"/>
          <w:color w:val="auto"/>
        </w:rPr>
        <w:t>PLAYERS BLUEGRASS DOWNS LLC</w:t>
      </w:r>
      <w:r>
        <w:rPr>
          <w:rFonts w:ascii="Arial" w:cs="Arial" w:eastAsia="Arial" w:hAnsi="Arial"/>
          <w:sz w:val="19"/>
          <w:szCs w:val="19"/>
          <w:color w:val="auto"/>
        </w:rPr>
        <w:t>, a Kentucky limited liability company,</w:t>
      </w:r>
      <w:r>
        <w:rPr>
          <w:rFonts w:ascii="Arial" w:cs="Arial" w:eastAsia="Arial" w:hAnsi="Arial"/>
          <w:sz w:val="19"/>
          <w:szCs w:val="19"/>
          <w:b w:val="1"/>
          <w:bCs w:val="1"/>
          <w:color w:val="auto"/>
        </w:rPr>
        <w:t xml:space="preserve"> CASINO COMPUTER PROGRAMMING, INC.</w:t>
      </w:r>
      <w:r>
        <w:rPr>
          <w:rFonts w:ascii="Arial" w:cs="Arial" w:eastAsia="Arial" w:hAnsi="Arial"/>
          <w:sz w:val="19"/>
          <w:szCs w:val="19"/>
          <w:color w:val="auto"/>
        </w:rPr>
        <w:t>, an Indiana corporation,</w:t>
      </w:r>
    </w:p>
    <w:p>
      <w:pPr>
        <w:spacing w:after="0"/>
        <w:rPr>
          <w:sz w:val="20"/>
          <w:szCs w:val="20"/>
          <w:color w:val="auto"/>
        </w:rPr>
      </w:pPr>
      <w:r>
        <w:rPr>
          <w:rFonts w:ascii="Arial" w:cs="Arial" w:eastAsia="Arial" w:hAnsi="Arial"/>
          <w:sz w:val="20"/>
          <w:szCs w:val="20"/>
          <w:b w:val="1"/>
          <w:bCs w:val="1"/>
          <w:color w:val="auto"/>
        </w:rPr>
        <w:t>HARVEYS BR MANAGEMENT COMPANY, INC.</w:t>
      </w:r>
      <w:r>
        <w:rPr>
          <w:rFonts w:ascii="Arial" w:cs="Arial" w:eastAsia="Arial" w:hAnsi="Arial"/>
          <w:sz w:val="20"/>
          <w:szCs w:val="20"/>
          <w:color w:val="auto"/>
        </w:rPr>
        <w:t>, a Nevada corporation,</w:t>
      </w:r>
    </w:p>
    <w:p>
      <w:pPr>
        <w:spacing w:after="0"/>
        <w:rPr>
          <w:sz w:val="20"/>
          <w:szCs w:val="20"/>
          <w:color w:val="auto"/>
        </w:rPr>
      </w:pPr>
      <w:r>
        <w:rPr>
          <w:rFonts w:ascii="Arial" w:cs="Arial" w:eastAsia="Arial" w:hAnsi="Arial"/>
          <w:sz w:val="20"/>
          <w:szCs w:val="20"/>
          <w:b w:val="1"/>
          <w:bCs w:val="1"/>
          <w:color w:val="auto"/>
        </w:rPr>
        <w:t>HARRAH’S LAUGHLIN, LLC</w:t>
      </w:r>
      <w:r>
        <w:rPr>
          <w:rFonts w:ascii="Arial" w:cs="Arial" w:eastAsia="Arial" w:hAnsi="Arial"/>
          <w:sz w:val="20"/>
          <w:szCs w:val="20"/>
          <w:color w:val="auto"/>
        </w:rPr>
        <w:t>, a Nevada limited liability company,</w:t>
      </w:r>
    </w:p>
    <w:p>
      <w:pPr>
        <w:spacing w:after="0"/>
        <w:rPr>
          <w:sz w:val="20"/>
          <w:szCs w:val="20"/>
          <w:color w:val="auto"/>
        </w:rPr>
      </w:pPr>
      <w:r>
        <w:rPr>
          <w:rFonts w:ascii="Arial" w:cs="Arial" w:eastAsia="Arial" w:hAnsi="Arial"/>
          <w:sz w:val="20"/>
          <w:szCs w:val="20"/>
          <w:b w:val="1"/>
          <w:bCs w:val="1"/>
          <w:color w:val="auto"/>
        </w:rPr>
        <w:t>JAZZ CASINO COMPANY, L.L.C.</w:t>
      </w:r>
      <w:r>
        <w:rPr>
          <w:rFonts w:ascii="Arial" w:cs="Arial" w:eastAsia="Arial" w:hAnsi="Arial"/>
          <w:sz w:val="20"/>
          <w:szCs w:val="20"/>
          <w:color w:val="auto"/>
        </w:rPr>
        <w:t>, a Louisiana limited liability company,</w:t>
      </w:r>
    </w:p>
    <w:p>
      <w:pPr>
        <w:spacing w:after="0"/>
        <w:rPr>
          <w:sz w:val="20"/>
          <w:szCs w:val="20"/>
          <w:color w:val="auto"/>
        </w:rPr>
      </w:pPr>
      <w:r>
        <w:rPr>
          <w:rFonts w:ascii="Arial" w:cs="Arial" w:eastAsia="Arial" w:hAnsi="Arial"/>
          <w:sz w:val="20"/>
          <w:szCs w:val="20"/>
          <w:b w:val="1"/>
          <w:bCs w:val="1"/>
          <w:color w:val="auto"/>
        </w:rPr>
        <w:t>DESERT PALACE LLC</w:t>
      </w:r>
      <w:r>
        <w:rPr>
          <w:rFonts w:ascii="Arial" w:cs="Arial" w:eastAsia="Arial" w:hAnsi="Arial"/>
          <w:sz w:val="20"/>
          <w:szCs w:val="20"/>
          <w:color w:val="auto"/>
        </w:rPr>
        <w:t>, a Nevada limited liability company,</w:t>
      </w:r>
    </w:p>
    <w:p>
      <w:pPr>
        <w:spacing w:after="0"/>
        <w:rPr>
          <w:sz w:val="20"/>
          <w:szCs w:val="20"/>
          <w:color w:val="auto"/>
        </w:rPr>
      </w:pPr>
      <w:r>
        <w:rPr>
          <w:rFonts w:ascii="Arial" w:cs="Arial" w:eastAsia="Arial" w:hAnsi="Arial"/>
          <w:sz w:val="20"/>
          <w:szCs w:val="20"/>
          <w:b w:val="1"/>
          <w:bCs w:val="1"/>
          <w:color w:val="auto"/>
        </w:rPr>
        <w:t>HARRAH’S LAS VEGAS, LLC</w:t>
      </w:r>
      <w:r>
        <w:rPr>
          <w:rFonts w:ascii="Arial" w:cs="Arial" w:eastAsia="Arial" w:hAnsi="Arial"/>
          <w:sz w:val="20"/>
          <w:szCs w:val="20"/>
          <w:color w:val="auto"/>
        </w:rPr>
        <w:t>, a Nevada limited liability company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855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Edmund L. Quatmann, Jr.</w:t>
      </w:r>
    </w:p>
    <w:p>
      <w:pPr>
        <w:spacing w:after="0"/>
        <w:rPr>
          <w:sz w:val="20"/>
          <w:szCs w:val="20"/>
          <w:color w:val="auto"/>
        </w:rPr>
      </w:pPr>
      <w:r>
        <w:rPr>
          <w:rFonts w:ascii="Arial" w:cs="Arial" w:eastAsia="Arial" w:hAnsi="Arial"/>
          <w:sz w:val="20"/>
          <w:szCs w:val="20"/>
          <w:color w:val="auto"/>
        </w:rPr>
        <w:t>Title: 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-24765</wp:posOffset>
            </wp:positionV>
            <wp:extent cx="311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10139"/>
          </w:cols>
          <w:pgMar w:left="320" w:top="1413" w:right="1440"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HORSESHOE ENTERTAINMENT,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Louisiana limited partnership</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New Gaming Capital Partnership,</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Nevada limited partnership,</w:t>
      </w:r>
    </w:p>
    <w:p>
      <w:pPr>
        <w:ind w:left="200"/>
        <w:spacing w:after="0"/>
        <w:rPr>
          <w:sz w:val="20"/>
          <w:szCs w:val="20"/>
          <w:color w:val="auto"/>
        </w:rPr>
      </w:pPr>
      <w:r>
        <w:rPr>
          <w:rFonts w:ascii="Arial" w:cs="Arial" w:eastAsia="Arial" w:hAnsi="Arial"/>
          <w:sz w:val="20"/>
          <w:szCs w:val="20"/>
          <w:color w:val="auto"/>
        </w:rPr>
        <w:t>its general partner</w:t>
      </w:r>
    </w:p>
    <w:p>
      <w:pPr>
        <w:spacing w:after="0" w:line="227"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Horseshoe GP, LLC,</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Nevada limited liability company,</w:t>
      </w:r>
    </w:p>
    <w:p>
      <w:pPr>
        <w:ind w:left="4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-14605</wp:posOffset>
            </wp:positionV>
            <wp:extent cx="16052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1605280" cy="82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22"/>
          <w:szCs w:val="22"/>
          <w:color w:val="auto"/>
        </w:rPr>
        <w:t>Name: Edmund L. Quatmann, Jr.</w:t>
      </w:r>
    </w:p>
    <w:p>
      <w:pPr>
        <w:ind w:left="400"/>
        <w:spacing w:after="0"/>
        <w:rPr>
          <w:sz w:val="20"/>
          <w:szCs w:val="20"/>
          <w:color w:val="auto"/>
        </w:rPr>
      </w:pPr>
      <w:r>
        <w:rPr>
          <w:rFonts w:ascii="Arial" w:cs="Arial" w:eastAsia="Arial" w:hAnsi="Arial"/>
          <w:sz w:val="20"/>
          <w:szCs w:val="20"/>
          <w:color w:val="auto"/>
        </w:rPr>
        <w:t>Title: Executive Vice President, Chief Legal Officer and Secretary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BOARDWALK REGENCY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New Jersey limited liability company</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Caesars New Jersey LLC,</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New Jersey limited liability company,</w:t>
      </w:r>
    </w:p>
    <w:p>
      <w:pPr>
        <w:ind w:left="2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6370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-24765</wp:posOffset>
            </wp:positionV>
            <wp:extent cx="34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Title: Executive Vice President, Chief Legal Officer and Secretary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BALLY’S PARK PLACE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New Jersey limited liability company</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CEOC, LLC,</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Delaware limited liability company,</w:t>
      </w:r>
    </w:p>
    <w:p>
      <w:pPr>
        <w:ind w:left="2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6052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160528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ind w:left="200"/>
        <w:spacing w:after="0"/>
        <w:rPr>
          <w:sz w:val="20"/>
          <w:szCs w:val="20"/>
          <w:color w:val="auto"/>
        </w:rPr>
      </w:pPr>
      <w:r>
        <w:rPr>
          <w:rFonts w:ascii="Arial" w:cs="Arial" w:eastAsia="Arial" w:hAnsi="Arial"/>
          <w:sz w:val="20"/>
          <w:szCs w:val="20"/>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1899"/>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10139"/>
          </w:cols>
          <w:pgMar w:left="320" w:top="1413" w:right="1440"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b w:val="1"/>
          <w:bCs w:val="1"/>
          <w:color w:val="auto"/>
        </w:rPr>
        <w:t>HOLE IN THE WALL,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6370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Executive Vice President, Chief Legal Officer and Secretary</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CHESTER DOWNS AND MARINA,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Pennsylvania limited liability company</w:t>
      </w:r>
    </w:p>
    <w:p>
      <w:pPr>
        <w:spacing w:after="0" w:line="229" w:lineRule="exact"/>
        <w:rPr>
          <w:sz w:val="20"/>
          <w:szCs w:val="20"/>
          <w:color w:val="auto"/>
        </w:rPr>
      </w:pPr>
    </w:p>
    <w:p>
      <w:pPr>
        <w:ind w:left="220" w:right="5019" w:hanging="215"/>
        <w:spacing w:after="0" w:line="263"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6052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160528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-25400</wp:posOffset>
            </wp:positionV>
            <wp:extent cx="342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Title: Executive Vice President, Chief Legal Officer and Secretary</w:t>
      </w:r>
    </w:p>
    <w:p>
      <w:pPr>
        <w:spacing w:after="0" w:line="200" w:lineRule="exact"/>
        <w:rPr>
          <w:sz w:val="20"/>
          <w:szCs w:val="20"/>
          <w:color w:val="auto"/>
        </w:rPr>
      </w:pPr>
    </w:p>
    <w:p>
      <w:pPr>
        <w:spacing w:after="0" w:line="212" w:lineRule="exact"/>
        <w:rPr>
          <w:sz w:val="20"/>
          <w:szCs w:val="20"/>
          <w:color w:val="auto"/>
        </w:rPr>
      </w:pPr>
    </w:p>
    <w:p>
      <w:pPr>
        <w:ind w:right="4099"/>
        <w:spacing w:after="0" w:line="269"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6052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160528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1899"/>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10139"/>
          </w:cols>
          <w:pgMar w:left="320" w:top="1421" w:right="1440" w:bottom="1440" w:gutter="0" w:footer="0" w:header="0"/>
        </w:sectPr>
      </w:pPr>
    </w:p>
    <w:bookmarkStart w:id="136" w:name="page137"/>
    <w:bookmarkEnd w:id="136"/>
    <w:p>
      <w:pPr>
        <w:spacing w:after="0" w:line="200" w:lineRule="exact"/>
        <w:rPr>
          <w:sz w:val="20"/>
          <w:szCs w:val="20"/>
          <w:color w:val="auto"/>
        </w:rPr>
      </w:pPr>
    </w:p>
    <w:p>
      <w:pPr>
        <w:spacing w:after="0" w:line="214" w:lineRule="exact"/>
        <w:rPr>
          <w:sz w:val="20"/>
          <w:szCs w:val="20"/>
          <w:color w:val="auto"/>
        </w:rPr>
      </w:pPr>
    </w:p>
    <w:p>
      <w:pPr>
        <w:ind w:right="4339"/>
        <w:spacing w:after="0" w:line="269" w:lineRule="auto"/>
        <w:rPr>
          <w:sz w:val="20"/>
          <w:szCs w:val="20"/>
          <w:color w:val="auto"/>
        </w:rPr>
      </w:pPr>
      <w:r>
        <w:rPr>
          <w:rFonts w:ascii="Arial" w:cs="Arial" w:eastAsia="Arial" w:hAnsi="Arial"/>
          <w:sz w:val="22"/>
          <w:szCs w:val="22"/>
          <w:b w:val="1"/>
          <w:bCs w:val="1"/>
          <w:color w:val="auto"/>
        </w:rPr>
        <w:t xml:space="preserve">DES PLAINES DEVELOPMENT LIMITED PARTNERSHIP, </w:t>
      </w:r>
      <w:r>
        <w:rPr>
          <w:rFonts w:ascii="Arial" w:cs="Arial" w:eastAsia="Arial" w:hAnsi="Arial"/>
          <w:sz w:val="22"/>
          <w:szCs w:val="22"/>
          <w:color w:val="auto"/>
        </w:rPr>
        <w:t>a Delaware limited partnership</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Harrah’s Illinois Corporation,</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an Illinois corporation,</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4795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147955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-25400</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1899"/>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10139"/>
          </w:cols>
          <w:pgMar w:left="320" w:top="1440" w:right="1440"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ACKNOWLEDGED AND AGREED:</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PROPCO TRS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1201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Name: David A.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1899"/>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10139"/>
          </w:cols>
          <w:pgMar w:left="320" w:top="1419" w:right="1440" w:bottom="1440" w:gutter="0" w:footer="0" w:header="0"/>
        </w:sectPr>
      </w:pPr>
    </w:p>
    <w:bookmarkStart w:id="138" w:name="page139"/>
    <w:bookmarkEnd w:id="138"/>
    <w:p>
      <w:pPr>
        <w:jc w:val="center"/>
        <w:ind w:right="-279"/>
        <w:spacing w:after="0"/>
        <w:rPr>
          <w:sz w:val="20"/>
          <w:szCs w:val="20"/>
          <w:color w:val="auto"/>
        </w:rPr>
      </w:pPr>
      <w:r>
        <w:rPr>
          <w:rFonts w:ascii="Arial" w:cs="Arial" w:eastAsia="Arial" w:hAnsi="Arial"/>
          <w:sz w:val="20"/>
          <w:szCs w:val="20"/>
          <w:b w:val="1"/>
          <w:bCs w:val="1"/>
          <w:u w:val="single" w:color="auto"/>
          <w:color w:val="auto"/>
        </w:rPr>
        <w:t>CONSENT AND RATIFICATION</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executing this Amendment in the space provided below, Guarantor hereby: (i) consents to each Tenant’s execution and delivery of this Amendment; and (ii) ratifies and confirms that the Guaranty executed by Guarantor is in full force and effect.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CAESARS ENTERTAINMENT, INC.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70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Name: Edmund L. Quatmann, Jr.</w:t>
      </w:r>
    </w:p>
    <w:p>
      <w:pPr>
        <w:ind w:left="340"/>
        <w:spacing w:after="0"/>
        <w:rPr>
          <w:sz w:val="20"/>
          <w:szCs w:val="20"/>
          <w:color w:val="auto"/>
        </w:rPr>
      </w:pPr>
      <w:r>
        <w:rPr>
          <w:rFonts w:ascii="Arial" w:cs="Arial" w:eastAsia="Arial" w:hAnsi="Arial"/>
          <w:sz w:val="20"/>
          <w:szCs w:val="20"/>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10980"/>
          </w:cols>
          <w:pgMar w:left="320" w:top="1413" w:right="599" w:bottom="1440" w:gutter="0" w:footer="0" w:header="0"/>
        </w:sectPr>
      </w:pPr>
    </w:p>
    <w:bookmarkStart w:id="139" w:name="page140"/>
    <w:bookmarkEnd w:id="139"/>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0"/>
          <w:szCs w:val="20"/>
          <w:u w:val="single" w:color="auto"/>
          <w:color w:val="auto"/>
        </w:rPr>
        <w:t>Schedule A</w:t>
      </w:r>
    </w:p>
    <w:p>
      <w:pPr>
        <w:spacing w:after="0" w:line="216" w:lineRule="exact"/>
        <w:rPr>
          <w:sz w:val="20"/>
          <w:szCs w:val="20"/>
          <w:color w:val="auto"/>
        </w:rPr>
      </w:pPr>
    </w:p>
    <w:p>
      <w:pPr>
        <w:jc w:val="right"/>
        <w:ind w:right="2999"/>
        <w:spacing w:after="0"/>
        <w:rPr>
          <w:sz w:val="20"/>
          <w:szCs w:val="20"/>
          <w:color w:val="auto"/>
        </w:rPr>
      </w:pPr>
      <w:r>
        <w:rPr>
          <w:rFonts w:ascii="Arial" w:cs="Arial" w:eastAsia="Arial" w:hAnsi="Arial"/>
          <w:sz w:val="20"/>
          <w:szCs w:val="20"/>
          <w:color w:val="auto"/>
        </w:rPr>
        <w:t>NON-CPLV LANDLORD ENTITIES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Horseshoe Council Bluffs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Harrah’s Council Bluffs LLC</w:t>
      </w:r>
    </w:p>
    <w:p>
      <w:pPr>
        <w:spacing w:after="0"/>
        <w:rPr>
          <w:sz w:val="20"/>
          <w:szCs w:val="20"/>
          <w:color w:val="auto"/>
        </w:rPr>
      </w:pPr>
      <w:r>
        <w:rPr>
          <w:rFonts w:ascii="Arial" w:cs="Arial" w:eastAsia="Arial" w:hAnsi="Arial"/>
          <w:sz w:val="20"/>
          <w:szCs w:val="20"/>
          <w:color w:val="auto"/>
        </w:rPr>
        <w:t>Harrah’s Metropolis LLC</w:t>
      </w:r>
    </w:p>
    <w:p>
      <w:pPr>
        <w:spacing w:after="0"/>
        <w:rPr>
          <w:sz w:val="20"/>
          <w:szCs w:val="20"/>
          <w:color w:val="auto"/>
        </w:rPr>
      </w:pPr>
      <w:r>
        <w:rPr>
          <w:rFonts w:ascii="Arial" w:cs="Arial" w:eastAsia="Arial" w:hAnsi="Arial"/>
          <w:sz w:val="20"/>
          <w:szCs w:val="20"/>
          <w:color w:val="auto"/>
        </w:rPr>
        <w:t>Horseshoe Southern Indiana LLC</w:t>
      </w:r>
    </w:p>
    <w:p>
      <w:pPr>
        <w:spacing w:after="0"/>
        <w:rPr>
          <w:sz w:val="20"/>
          <w:szCs w:val="20"/>
          <w:color w:val="auto"/>
        </w:rPr>
      </w:pPr>
      <w:r>
        <w:rPr>
          <w:rFonts w:ascii="Arial" w:cs="Arial" w:eastAsia="Arial" w:hAnsi="Arial"/>
          <w:sz w:val="20"/>
          <w:szCs w:val="20"/>
          <w:color w:val="auto"/>
        </w:rPr>
        <w:t>New Horseshoe Hammond LLC</w:t>
      </w:r>
    </w:p>
    <w:p>
      <w:pPr>
        <w:spacing w:after="0"/>
        <w:rPr>
          <w:sz w:val="20"/>
          <w:szCs w:val="20"/>
          <w:color w:val="auto"/>
        </w:rPr>
      </w:pPr>
      <w:r>
        <w:rPr>
          <w:rFonts w:ascii="Arial" w:cs="Arial" w:eastAsia="Arial" w:hAnsi="Arial"/>
          <w:sz w:val="20"/>
          <w:szCs w:val="20"/>
          <w:color w:val="auto"/>
        </w:rPr>
        <w:t>Horseshoe Bossier City Prop LLC</w:t>
      </w:r>
    </w:p>
    <w:p>
      <w:pPr>
        <w:spacing w:after="0"/>
        <w:rPr>
          <w:sz w:val="20"/>
          <w:szCs w:val="20"/>
          <w:color w:val="auto"/>
        </w:rPr>
      </w:pPr>
      <w:r>
        <w:rPr>
          <w:rFonts w:ascii="Arial" w:cs="Arial" w:eastAsia="Arial" w:hAnsi="Arial"/>
          <w:sz w:val="20"/>
          <w:szCs w:val="20"/>
          <w:color w:val="auto"/>
        </w:rPr>
        <w:t>Harrah’s Bossier City LLC</w:t>
      </w:r>
    </w:p>
    <w:p>
      <w:pPr>
        <w:spacing w:after="0"/>
        <w:rPr>
          <w:sz w:val="20"/>
          <w:szCs w:val="20"/>
          <w:color w:val="auto"/>
        </w:rPr>
      </w:pPr>
      <w:r>
        <w:rPr>
          <w:rFonts w:ascii="Arial" w:cs="Arial" w:eastAsia="Arial" w:hAnsi="Arial"/>
          <w:sz w:val="20"/>
          <w:szCs w:val="20"/>
          <w:color w:val="auto"/>
        </w:rPr>
        <w:t>New Harrah’s North Kansas City LLC</w:t>
      </w:r>
    </w:p>
    <w:p>
      <w:pPr>
        <w:spacing w:after="0"/>
        <w:rPr>
          <w:sz w:val="20"/>
          <w:szCs w:val="20"/>
          <w:color w:val="auto"/>
        </w:rPr>
      </w:pPr>
      <w:r>
        <w:rPr>
          <w:rFonts w:ascii="Arial" w:cs="Arial" w:eastAsia="Arial" w:hAnsi="Arial"/>
          <w:sz w:val="20"/>
          <w:szCs w:val="20"/>
          <w:color w:val="auto"/>
        </w:rPr>
        <w:t>Grand Biloxi LLC</w:t>
      </w:r>
    </w:p>
    <w:p>
      <w:pPr>
        <w:spacing w:after="0"/>
        <w:rPr>
          <w:sz w:val="20"/>
          <w:szCs w:val="20"/>
          <w:color w:val="auto"/>
        </w:rPr>
      </w:pPr>
      <w:r>
        <w:rPr>
          <w:rFonts w:ascii="Arial" w:cs="Arial" w:eastAsia="Arial" w:hAnsi="Arial"/>
          <w:sz w:val="20"/>
          <w:szCs w:val="20"/>
          <w:color w:val="auto"/>
        </w:rPr>
        <w:t>Horseshoe Tunica LLC</w:t>
      </w:r>
    </w:p>
    <w:p>
      <w:pPr>
        <w:spacing w:after="0"/>
        <w:rPr>
          <w:sz w:val="20"/>
          <w:szCs w:val="20"/>
          <w:color w:val="auto"/>
        </w:rPr>
      </w:pPr>
      <w:r>
        <w:rPr>
          <w:rFonts w:ascii="Arial" w:cs="Arial" w:eastAsia="Arial" w:hAnsi="Arial"/>
          <w:sz w:val="20"/>
          <w:szCs w:val="20"/>
          <w:color w:val="auto"/>
        </w:rPr>
        <w:t>New Tunica Roadhouse LLC</w:t>
      </w:r>
    </w:p>
    <w:p>
      <w:pPr>
        <w:spacing w:after="0"/>
        <w:rPr>
          <w:sz w:val="20"/>
          <w:szCs w:val="20"/>
          <w:color w:val="auto"/>
        </w:rPr>
      </w:pPr>
      <w:r>
        <w:rPr>
          <w:rFonts w:ascii="Arial" w:cs="Arial" w:eastAsia="Arial" w:hAnsi="Arial"/>
          <w:sz w:val="20"/>
          <w:szCs w:val="20"/>
          <w:color w:val="auto"/>
        </w:rPr>
        <w:t>Caesars Atlantic City LLC</w:t>
      </w:r>
    </w:p>
    <w:p>
      <w:pPr>
        <w:spacing w:after="0"/>
        <w:rPr>
          <w:sz w:val="20"/>
          <w:szCs w:val="20"/>
          <w:color w:val="auto"/>
        </w:rPr>
      </w:pPr>
      <w:r>
        <w:rPr>
          <w:rFonts w:ascii="Arial" w:cs="Arial" w:eastAsia="Arial" w:hAnsi="Arial"/>
          <w:sz w:val="20"/>
          <w:szCs w:val="20"/>
          <w:color w:val="auto"/>
        </w:rPr>
        <w:t>Bally’s Atlantic City LLC</w:t>
      </w:r>
    </w:p>
    <w:p>
      <w:pPr>
        <w:spacing w:after="0"/>
        <w:rPr>
          <w:sz w:val="20"/>
          <w:szCs w:val="20"/>
          <w:color w:val="auto"/>
        </w:rPr>
      </w:pPr>
      <w:r>
        <w:rPr>
          <w:rFonts w:ascii="Arial" w:cs="Arial" w:eastAsia="Arial" w:hAnsi="Arial"/>
          <w:sz w:val="20"/>
          <w:szCs w:val="20"/>
          <w:color w:val="auto"/>
        </w:rPr>
        <w:t>Harrah’s Lake Tahoe LLC</w:t>
      </w:r>
    </w:p>
    <w:p>
      <w:pPr>
        <w:spacing w:after="0"/>
        <w:rPr>
          <w:sz w:val="20"/>
          <w:szCs w:val="20"/>
          <w:color w:val="auto"/>
        </w:rPr>
      </w:pPr>
      <w:r>
        <w:rPr>
          <w:rFonts w:ascii="Arial" w:cs="Arial" w:eastAsia="Arial" w:hAnsi="Arial"/>
          <w:sz w:val="20"/>
          <w:szCs w:val="20"/>
          <w:color w:val="auto"/>
        </w:rPr>
        <w:t>Harvey’s Lake Tahoe LLC</w:t>
      </w:r>
    </w:p>
    <w:p>
      <w:pPr>
        <w:spacing w:after="0"/>
        <w:rPr>
          <w:sz w:val="20"/>
          <w:szCs w:val="20"/>
          <w:color w:val="auto"/>
        </w:rPr>
      </w:pPr>
      <w:r>
        <w:rPr>
          <w:rFonts w:ascii="Arial" w:cs="Arial" w:eastAsia="Arial" w:hAnsi="Arial"/>
          <w:sz w:val="20"/>
          <w:szCs w:val="20"/>
          <w:color w:val="auto"/>
        </w:rPr>
        <w:t>Harrah’s Reno LLC</w:t>
      </w:r>
    </w:p>
    <w:p>
      <w:pPr>
        <w:spacing w:after="0"/>
        <w:rPr>
          <w:sz w:val="20"/>
          <w:szCs w:val="20"/>
          <w:color w:val="auto"/>
        </w:rPr>
      </w:pPr>
      <w:r>
        <w:rPr>
          <w:rFonts w:ascii="Arial" w:cs="Arial" w:eastAsia="Arial" w:hAnsi="Arial"/>
          <w:sz w:val="20"/>
          <w:szCs w:val="20"/>
          <w:color w:val="auto"/>
        </w:rPr>
        <w:t>Bluegrass Downs Property Owner LLC</w:t>
      </w:r>
    </w:p>
    <w:p>
      <w:pPr>
        <w:spacing w:after="0"/>
        <w:rPr>
          <w:sz w:val="20"/>
          <w:szCs w:val="20"/>
          <w:color w:val="auto"/>
        </w:rPr>
      </w:pPr>
      <w:r>
        <w:rPr>
          <w:rFonts w:ascii="Arial" w:cs="Arial" w:eastAsia="Arial" w:hAnsi="Arial"/>
          <w:sz w:val="20"/>
          <w:szCs w:val="20"/>
          <w:color w:val="auto"/>
        </w:rPr>
        <w:t>Vegas Development LLC</w:t>
      </w:r>
    </w:p>
    <w:p>
      <w:pPr>
        <w:spacing w:after="0"/>
        <w:rPr>
          <w:sz w:val="20"/>
          <w:szCs w:val="20"/>
          <w:color w:val="auto"/>
        </w:rPr>
      </w:pPr>
      <w:r>
        <w:rPr>
          <w:rFonts w:ascii="Arial" w:cs="Arial" w:eastAsia="Arial" w:hAnsi="Arial"/>
          <w:sz w:val="20"/>
          <w:szCs w:val="20"/>
          <w:color w:val="auto"/>
        </w:rPr>
        <w:t>Vegas Operating Property LLC</w:t>
      </w:r>
    </w:p>
    <w:p>
      <w:pPr>
        <w:spacing w:after="0"/>
        <w:rPr>
          <w:sz w:val="20"/>
          <w:szCs w:val="20"/>
          <w:color w:val="auto"/>
        </w:rPr>
      </w:pPr>
      <w:r>
        <w:rPr>
          <w:rFonts w:ascii="Arial" w:cs="Arial" w:eastAsia="Arial" w:hAnsi="Arial"/>
          <w:sz w:val="20"/>
          <w:szCs w:val="20"/>
          <w:color w:val="auto"/>
        </w:rPr>
        <w:t>Miscellaneous Land LLC</w:t>
      </w:r>
    </w:p>
    <w:p>
      <w:pPr>
        <w:spacing w:after="0"/>
        <w:rPr>
          <w:sz w:val="20"/>
          <w:szCs w:val="20"/>
          <w:color w:val="auto"/>
        </w:rPr>
      </w:pPr>
      <w:r>
        <w:rPr>
          <w:rFonts w:ascii="Arial" w:cs="Arial" w:eastAsia="Arial" w:hAnsi="Arial"/>
          <w:sz w:val="20"/>
          <w:szCs w:val="20"/>
          <w:color w:val="auto"/>
        </w:rPr>
        <w:t>Propco Gulfport LLC</w:t>
      </w:r>
    </w:p>
    <w:p>
      <w:pPr>
        <w:spacing w:after="0"/>
        <w:rPr>
          <w:sz w:val="20"/>
          <w:szCs w:val="20"/>
          <w:color w:val="auto"/>
        </w:rPr>
      </w:pPr>
      <w:r>
        <w:rPr>
          <w:rFonts w:ascii="Arial" w:cs="Arial" w:eastAsia="Arial" w:hAnsi="Arial"/>
          <w:sz w:val="20"/>
          <w:szCs w:val="20"/>
          <w:color w:val="auto"/>
        </w:rPr>
        <w:t>Philadelphia Propco LLC</w:t>
      </w:r>
    </w:p>
    <w:p>
      <w:pPr>
        <w:spacing w:after="0"/>
        <w:rPr>
          <w:sz w:val="20"/>
          <w:szCs w:val="20"/>
          <w:color w:val="auto"/>
        </w:rPr>
      </w:pPr>
      <w:r>
        <w:rPr>
          <w:rFonts w:ascii="Arial" w:cs="Arial" w:eastAsia="Arial" w:hAnsi="Arial"/>
          <w:sz w:val="20"/>
          <w:szCs w:val="20"/>
          <w:color w:val="auto"/>
        </w:rPr>
        <w:t>Harrah’s Atlantic City LLC</w:t>
      </w:r>
    </w:p>
    <w:p>
      <w:pPr>
        <w:spacing w:after="0"/>
        <w:rPr>
          <w:sz w:val="20"/>
          <w:szCs w:val="20"/>
          <w:color w:val="auto"/>
        </w:rPr>
      </w:pPr>
      <w:r>
        <w:rPr>
          <w:rFonts w:ascii="Arial" w:cs="Arial" w:eastAsia="Arial" w:hAnsi="Arial"/>
          <w:sz w:val="20"/>
          <w:szCs w:val="20"/>
          <w:color w:val="auto"/>
        </w:rPr>
        <w:t>New Laughlin Owner LLC</w:t>
      </w:r>
    </w:p>
    <w:p>
      <w:pPr>
        <w:spacing w:after="0"/>
        <w:rPr>
          <w:sz w:val="20"/>
          <w:szCs w:val="20"/>
          <w:color w:val="auto"/>
        </w:rPr>
      </w:pPr>
      <w:r>
        <w:rPr>
          <w:rFonts w:ascii="Arial" w:cs="Arial" w:eastAsia="Arial" w:hAnsi="Arial"/>
          <w:sz w:val="20"/>
          <w:szCs w:val="20"/>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Schedule A</w:t>
      </w:r>
    </w:p>
    <w:p>
      <w:pPr>
        <w:sectPr>
          <w:pgSz w:w="11900" w:h="16838" w:orient="portrait"/>
          <w:cols w:equalWidth="0" w:num="1">
            <w:col w:w="10139"/>
          </w:cols>
          <w:pgMar w:left="320" w:top="1440" w:right="1440" w:bottom="1440" w:gutter="0" w:footer="0" w:header="0"/>
        </w:sectPr>
      </w:pPr>
    </w:p>
    <w:bookmarkStart w:id="140" w:name="page141"/>
    <w:bookmarkEnd w:id="140"/>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0"/>
          <w:szCs w:val="20"/>
          <w:u w:val="single" w:color="auto"/>
          <w:color w:val="auto"/>
        </w:rPr>
        <w:t>Schedule B</w:t>
      </w:r>
    </w:p>
    <w:p>
      <w:pPr>
        <w:spacing w:after="0" w:line="21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NON-CPLV TENANT ENTITIES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CEOC, LLC, successor in interest by merger to Caesars Entertainment Operating Company, Inc.</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HBR Realty Company LLC</w:t>
      </w:r>
    </w:p>
    <w:p>
      <w:pPr>
        <w:spacing w:after="0"/>
        <w:rPr>
          <w:sz w:val="20"/>
          <w:szCs w:val="20"/>
          <w:color w:val="auto"/>
        </w:rPr>
      </w:pPr>
      <w:r>
        <w:rPr>
          <w:rFonts w:ascii="Arial" w:cs="Arial" w:eastAsia="Arial" w:hAnsi="Arial"/>
          <w:sz w:val="20"/>
          <w:szCs w:val="20"/>
          <w:color w:val="auto"/>
        </w:rPr>
        <w:t>Harveys Iowa Management Company LLC</w:t>
      </w:r>
    </w:p>
    <w:p>
      <w:pPr>
        <w:spacing w:after="0"/>
        <w:rPr>
          <w:sz w:val="20"/>
          <w:szCs w:val="20"/>
          <w:color w:val="auto"/>
        </w:rPr>
      </w:pPr>
      <w:r>
        <w:rPr>
          <w:rFonts w:ascii="Arial" w:cs="Arial" w:eastAsia="Arial" w:hAnsi="Arial"/>
          <w:sz w:val="20"/>
          <w:szCs w:val="20"/>
          <w:color w:val="auto"/>
        </w:rPr>
        <w:t>Southern Illinois Riverboat/Casino Cruises LLC</w:t>
      </w:r>
    </w:p>
    <w:p>
      <w:pPr>
        <w:spacing w:after="0"/>
        <w:rPr>
          <w:sz w:val="20"/>
          <w:szCs w:val="20"/>
          <w:color w:val="auto"/>
        </w:rPr>
      </w:pPr>
      <w:r>
        <w:rPr>
          <w:rFonts w:ascii="Arial" w:cs="Arial" w:eastAsia="Arial" w:hAnsi="Arial"/>
          <w:sz w:val="20"/>
          <w:szCs w:val="20"/>
          <w:color w:val="auto"/>
        </w:rPr>
        <w:t>Caesars Riverboat Casino LLC</w:t>
      </w:r>
    </w:p>
    <w:p>
      <w:pPr>
        <w:spacing w:after="0"/>
        <w:rPr>
          <w:sz w:val="20"/>
          <w:szCs w:val="20"/>
          <w:color w:val="auto"/>
        </w:rPr>
      </w:pPr>
      <w:r>
        <w:rPr>
          <w:rFonts w:ascii="Arial" w:cs="Arial" w:eastAsia="Arial" w:hAnsi="Arial"/>
          <w:sz w:val="20"/>
          <w:szCs w:val="20"/>
          <w:color w:val="auto"/>
        </w:rPr>
        <w:t>Roman Holding Company of Indiana LLC</w:t>
      </w:r>
    </w:p>
    <w:p>
      <w:pPr>
        <w:spacing w:after="0"/>
        <w:rPr>
          <w:sz w:val="20"/>
          <w:szCs w:val="20"/>
          <w:color w:val="auto"/>
        </w:rPr>
      </w:pPr>
      <w:r>
        <w:rPr>
          <w:rFonts w:ascii="Arial" w:cs="Arial" w:eastAsia="Arial" w:hAnsi="Arial"/>
          <w:sz w:val="20"/>
          <w:szCs w:val="20"/>
          <w:color w:val="auto"/>
        </w:rPr>
        <w:t>Horseshoe Hammond, LLC</w:t>
      </w:r>
    </w:p>
    <w:p>
      <w:pPr>
        <w:spacing w:after="0"/>
        <w:rPr>
          <w:sz w:val="20"/>
          <w:szCs w:val="20"/>
          <w:color w:val="auto"/>
        </w:rPr>
      </w:pPr>
      <w:r>
        <w:rPr>
          <w:rFonts w:ascii="Arial" w:cs="Arial" w:eastAsia="Arial" w:hAnsi="Arial"/>
          <w:sz w:val="20"/>
          <w:szCs w:val="20"/>
          <w:color w:val="auto"/>
        </w:rPr>
        <w:t>Horseshoe Entertainment</w:t>
      </w:r>
    </w:p>
    <w:p>
      <w:pPr>
        <w:spacing w:after="0"/>
        <w:rPr>
          <w:sz w:val="20"/>
          <w:szCs w:val="20"/>
          <w:color w:val="auto"/>
        </w:rPr>
      </w:pPr>
      <w:r>
        <w:rPr>
          <w:rFonts w:ascii="Arial" w:cs="Arial" w:eastAsia="Arial" w:hAnsi="Arial"/>
          <w:sz w:val="20"/>
          <w:szCs w:val="20"/>
          <w:color w:val="auto"/>
        </w:rPr>
        <w:t>Harrah’s Bossier City Investment Company, LLC</w:t>
      </w:r>
    </w:p>
    <w:p>
      <w:pPr>
        <w:spacing w:after="0"/>
        <w:rPr>
          <w:sz w:val="20"/>
          <w:szCs w:val="20"/>
          <w:color w:val="auto"/>
        </w:rPr>
      </w:pPr>
      <w:r>
        <w:rPr>
          <w:rFonts w:ascii="Arial" w:cs="Arial" w:eastAsia="Arial" w:hAnsi="Arial"/>
          <w:sz w:val="20"/>
          <w:szCs w:val="20"/>
          <w:color w:val="auto"/>
        </w:rPr>
        <w:t>Harrah’s North Kansas City LLC</w:t>
      </w:r>
    </w:p>
    <w:p>
      <w:pPr>
        <w:spacing w:after="0"/>
        <w:rPr>
          <w:sz w:val="20"/>
          <w:szCs w:val="20"/>
          <w:color w:val="auto"/>
        </w:rPr>
      </w:pPr>
      <w:r>
        <w:rPr>
          <w:rFonts w:ascii="Arial" w:cs="Arial" w:eastAsia="Arial" w:hAnsi="Arial"/>
          <w:sz w:val="20"/>
          <w:szCs w:val="20"/>
          <w:color w:val="auto"/>
        </w:rPr>
        <w:t>Grand Casinos of Biloxi, LLC</w:t>
      </w:r>
    </w:p>
    <w:p>
      <w:pPr>
        <w:spacing w:after="0"/>
        <w:rPr>
          <w:sz w:val="20"/>
          <w:szCs w:val="20"/>
          <w:color w:val="auto"/>
        </w:rPr>
      </w:pPr>
      <w:r>
        <w:rPr>
          <w:rFonts w:ascii="Arial" w:cs="Arial" w:eastAsia="Arial" w:hAnsi="Arial"/>
          <w:sz w:val="20"/>
          <w:szCs w:val="20"/>
          <w:color w:val="auto"/>
        </w:rPr>
        <w:t>Robinson Property Group LLC</w:t>
      </w:r>
    </w:p>
    <w:p>
      <w:pPr>
        <w:spacing w:after="0"/>
        <w:rPr>
          <w:sz w:val="20"/>
          <w:szCs w:val="20"/>
          <w:color w:val="auto"/>
        </w:rPr>
      </w:pPr>
      <w:r>
        <w:rPr>
          <w:rFonts w:ascii="Arial" w:cs="Arial" w:eastAsia="Arial" w:hAnsi="Arial"/>
          <w:sz w:val="20"/>
          <w:szCs w:val="20"/>
          <w:color w:val="auto"/>
        </w:rPr>
        <w:t>Tunica Roadhouse LLC</w:t>
      </w:r>
    </w:p>
    <w:p>
      <w:pPr>
        <w:spacing w:after="0"/>
        <w:rPr>
          <w:sz w:val="20"/>
          <w:szCs w:val="20"/>
          <w:color w:val="auto"/>
        </w:rPr>
      </w:pPr>
      <w:r>
        <w:rPr>
          <w:rFonts w:ascii="Arial" w:cs="Arial" w:eastAsia="Arial" w:hAnsi="Arial"/>
          <w:sz w:val="20"/>
          <w:szCs w:val="20"/>
          <w:color w:val="auto"/>
        </w:rPr>
        <w:t>Boardwalk Regency LLC</w:t>
      </w:r>
    </w:p>
    <w:p>
      <w:pPr>
        <w:spacing w:after="0"/>
        <w:rPr>
          <w:sz w:val="20"/>
          <w:szCs w:val="20"/>
          <w:color w:val="auto"/>
        </w:rPr>
      </w:pPr>
      <w:r>
        <w:rPr>
          <w:rFonts w:ascii="Arial" w:cs="Arial" w:eastAsia="Arial" w:hAnsi="Arial"/>
          <w:sz w:val="20"/>
          <w:szCs w:val="20"/>
          <w:color w:val="auto"/>
        </w:rPr>
        <w:t>Caesars New Jersey LLC</w:t>
      </w:r>
    </w:p>
    <w:p>
      <w:pPr>
        <w:spacing w:after="0"/>
        <w:rPr>
          <w:sz w:val="20"/>
          <w:szCs w:val="20"/>
          <w:color w:val="auto"/>
        </w:rPr>
      </w:pPr>
      <w:r>
        <w:rPr>
          <w:rFonts w:ascii="Arial" w:cs="Arial" w:eastAsia="Arial" w:hAnsi="Arial"/>
          <w:sz w:val="20"/>
          <w:szCs w:val="20"/>
          <w:color w:val="auto"/>
        </w:rPr>
        <w:t>Bally’s Park Place LLC</w:t>
      </w:r>
    </w:p>
    <w:p>
      <w:pPr>
        <w:spacing w:after="0"/>
        <w:rPr>
          <w:sz w:val="20"/>
          <w:szCs w:val="20"/>
          <w:color w:val="auto"/>
        </w:rPr>
      </w:pPr>
      <w:r>
        <w:rPr>
          <w:rFonts w:ascii="Arial" w:cs="Arial" w:eastAsia="Arial" w:hAnsi="Arial"/>
          <w:sz w:val="20"/>
          <w:szCs w:val="20"/>
          <w:color w:val="auto"/>
        </w:rPr>
        <w:t>Harveys Tahoe Management Company LLC</w:t>
      </w:r>
    </w:p>
    <w:p>
      <w:pPr>
        <w:spacing w:after="0"/>
        <w:rPr>
          <w:sz w:val="20"/>
          <w:szCs w:val="20"/>
          <w:color w:val="auto"/>
        </w:rPr>
      </w:pPr>
      <w:r>
        <w:rPr>
          <w:rFonts w:ascii="Arial" w:cs="Arial" w:eastAsia="Arial" w:hAnsi="Arial"/>
          <w:sz w:val="20"/>
          <w:szCs w:val="20"/>
          <w:color w:val="auto"/>
        </w:rPr>
        <w:t>Players Bluegrass Downs LLC</w:t>
      </w:r>
    </w:p>
    <w:p>
      <w:pPr>
        <w:spacing w:after="0"/>
        <w:rPr>
          <w:sz w:val="20"/>
          <w:szCs w:val="20"/>
          <w:color w:val="auto"/>
        </w:rPr>
      </w:pPr>
      <w:r>
        <w:rPr>
          <w:rFonts w:ascii="Arial" w:cs="Arial" w:eastAsia="Arial" w:hAnsi="Arial"/>
          <w:sz w:val="20"/>
          <w:szCs w:val="20"/>
          <w:color w:val="auto"/>
        </w:rPr>
        <w:t>Casino Computer Programming, Inc.</w:t>
      </w:r>
    </w:p>
    <w:p>
      <w:pPr>
        <w:spacing w:after="0"/>
        <w:rPr>
          <w:sz w:val="20"/>
          <w:szCs w:val="20"/>
          <w:color w:val="auto"/>
        </w:rPr>
      </w:pPr>
      <w:r>
        <w:rPr>
          <w:rFonts w:ascii="Arial" w:cs="Arial" w:eastAsia="Arial" w:hAnsi="Arial"/>
          <w:sz w:val="20"/>
          <w:szCs w:val="20"/>
          <w:color w:val="auto"/>
        </w:rPr>
        <w:t>Harveys BR Management Company, Inc.</w:t>
      </w:r>
    </w:p>
    <w:p>
      <w:pPr>
        <w:spacing w:after="0"/>
        <w:rPr>
          <w:sz w:val="20"/>
          <w:szCs w:val="20"/>
          <w:color w:val="auto"/>
        </w:rPr>
      </w:pPr>
      <w:r>
        <w:rPr>
          <w:rFonts w:ascii="Arial" w:cs="Arial" w:eastAsia="Arial" w:hAnsi="Arial"/>
          <w:sz w:val="20"/>
          <w:szCs w:val="20"/>
          <w:color w:val="auto"/>
        </w:rPr>
        <w:t>Hole in the Wall, LLC</w:t>
      </w:r>
    </w:p>
    <w:p>
      <w:pPr>
        <w:spacing w:after="0"/>
        <w:rPr>
          <w:sz w:val="20"/>
          <w:szCs w:val="20"/>
          <w:color w:val="auto"/>
        </w:rPr>
      </w:pPr>
      <w:r>
        <w:rPr>
          <w:rFonts w:ascii="Arial" w:cs="Arial" w:eastAsia="Arial" w:hAnsi="Arial"/>
          <w:sz w:val="20"/>
          <w:szCs w:val="20"/>
          <w:color w:val="auto"/>
        </w:rPr>
        <w:t>Chester Downs and Marina, LLC</w:t>
      </w:r>
    </w:p>
    <w:p>
      <w:pPr>
        <w:spacing w:after="0"/>
        <w:rPr>
          <w:sz w:val="20"/>
          <w:szCs w:val="20"/>
          <w:color w:val="auto"/>
        </w:rPr>
      </w:pPr>
      <w:r>
        <w:rPr>
          <w:rFonts w:ascii="Arial" w:cs="Arial" w:eastAsia="Arial" w:hAnsi="Arial"/>
          <w:sz w:val="20"/>
          <w:szCs w:val="20"/>
          <w:color w:val="auto"/>
        </w:rPr>
        <w:t>Harrah’s Atlantic City Operating Company, LLC</w:t>
      </w:r>
    </w:p>
    <w:p>
      <w:pPr>
        <w:spacing w:after="0"/>
        <w:rPr>
          <w:sz w:val="20"/>
          <w:szCs w:val="20"/>
          <w:color w:val="auto"/>
        </w:rPr>
      </w:pPr>
      <w:r>
        <w:rPr>
          <w:rFonts w:ascii="Arial" w:cs="Arial" w:eastAsia="Arial" w:hAnsi="Arial"/>
          <w:sz w:val="20"/>
          <w:szCs w:val="20"/>
          <w:color w:val="auto"/>
        </w:rPr>
        <w:t>Harrah’s Laughlin, LLC</w:t>
      </w:r>
    </w:p>
    <w:p>
      <w:pPr>
        <w:spacing w:after="0"/>
        <w:rPr>
          <w:sz w:val="20"/>
          <w:szCs w:val="20"/>
          <w:color w:val="auto"/>
        </w:rPr>
      </w:pPr>
      <w:r>
        <w:rPr>
          <w:rFonts w:ascii="Arial" w:cs="Arial" w:eastAsia="Arial" w:hAnsi="Arial"/>
          <w:sz w:val="20"/>
          <w:szCs w:val="20"/>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Schedule B</w:t>
      </w:r>
    </w:p>
    <w:p>
      <w:pPr>
        <w:sectPr>
          <w:pgSz w:w="11900" w:h="16838" w:orient="portrait"/>
          <w:cols w:equalWidth="0" w:num="1">
            <w:col w:w="10139"/>
          </w:cols>
          <w:pgMar w:left="320" w:top="1440"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320"/>
        <w:spacing w:after="0" w:line="308" w:lineRule="auto"/>
        <w:tabs>
          <w:tab w:leader="none" w:pos="1291"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28, 2020</w:t>
      </w:r>
    </w:p>
    <w:p>
      <w:pPr>
        <w:spacing w:after="0" w:line="6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31750</wp:posOffset>
            </wp:positionV>
            <wp:extent cx="39344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53"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320"/>
        <w:spacing w:after="0" w:line="308" w:lineRule="auto"/>
        <w:tabs>
          <w:tab w:leader="none" w:pos="1291"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28, 2020</w:t>
      </w:r>
    </w:p>
    <w:p>
      <w:pPr>
        <w:spacing w:after="0" w:line="6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31750</wp:posOffset>
            </wp:positionV>
            <wp:extent cx="39344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53"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firstLine="413"/>
        <w:spacing w:after="0" w:line="308" w:lineRule="auto"/>
        <w:tabs>
          <w:tab w:leader="none" w:pos="642"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2020 (the “Report”) fully complies with the requirements of Section 13(a) or Section 15(d), as applicable, of the Securities Exchange Act of 1934, as amended;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28, 2020</w:t>
      </w:r>
    </w:p>
    <w:p>
      <w:pPr>
        <w:spacing w:after="0" w:line="6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31750</wp:posOffset>
            </wp:positionV>
            <wp:extent cx="39344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53"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firstLine="413"/>
        <w:spacing w:after="0" w:line="308" w:lineRule="auto"/>
        <w:tabs>
          <w:tab w:leader="none" w:pos="642"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2020 (the “Report”) fully complies with the requirements of Section 13(a) or Section 15(d), as applicable, of the Securities Exchange Act of 1934, as amended;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28, 2020</w:t>
      </w:r>
    </w:p>
    <w:p>
      <w:pPr>
        <w:spacing w:after="0" w:line="6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31750</wp:posOffset>
            </wp:positionV>
            <wp:extent cx="39344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53"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lvl w:ilvl="1">
      <w:lvlJc w:val="left"/>
      <w:lvlText w:val="•"/>
      <w:numFmt w:val="bullet"/>
      <w:start w:val="1"/>
    </w:lvl>
  </w:abstractNum>
  <w:abstractNum w:abstractNumId="5">
    <w:nsid w:val="3855585C"/>
    <w:multiLevelType w:val="hybridMultilevel"/>
    <w:lvl w:ilvl="0">
      <w:lvlJc w:val="left"/>
      <w:lvlText w:val="(%1)"/>
      <w:numFmt w:val="lowerRoman"/>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5"/>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15"/>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1)"/>
      <w:numFmt w:val="lowerRoman"/>
      <w:start w:val="1"/>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1)"/>
      <w:numFmt w:val="decimal"/>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lvl w:ilvl="1">
      <w:lvlJc w:val="left"/>
      <w:lvlText w:val="•"/>
      <w:numFmt w:val="bullet"/>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decimal"/>
      <w:start w:val="2"/>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decimal"/>
      <w:start w:val="104"/>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42">
    <w:nsid w:val="741226B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3">
    <w:nsid w:val="D34B6A8"/>
    <w:multiLevelType w:val="hybridMultilevel"/>
    <w:lvl w:ilvl="0">
      <w:lvlJc w:val="left"/>
      <w:lvlText w:val="%1."/>
      <w:numFmt w:val="lowerRoman"/>
      <w:start w:val="1"/>
    </w:lvl>
  </w:abstractNum>
  <w:abstractNum w:abstractNumId="44">
    <w:nsid w:val="10233C99"/>
    <w:multiLevelType w:val="hybridMultilevel"/>
    <w:lvl w:ilvl="0">
      <w:lvlJc w:val="left"/>
      <w:lvlText w:val="%1."/>
      <w:numFmt w:val="upperLetter"/>
      <w:start w:val="5"/>
    </w:lvl>
  </w:abstractNum>
  <w:abstractNum w:abstractNumId="45">
    <w:nsid w:val="3F6AB60F"/>
    <w:multiLevelType w:val="hybridMultilevel"/>
    <w:lvl w:ilvl="0">
      <w:lvlJc w:val="left"/>
      <w:lvlText w:val="%1."/>
      <w:numFmt w:val="upperLetter"/>
      <w:start w:val="9"/>
    </w:lvl>
    <w:lvl w:ilvl="1">
      <w:lvlJc w:val="left"/>
      <w:lvlText w:val="%2."/>
      <w:numFmt w:val="lowerRoman"/>
      <w:start w:val="1"/>
    </w:lvl>
  </w:abstractNum>
  <w:abstractNum w:abstractNumId="46">
    <w:nsid w:val="61574095"/>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47">
    <w:nsid w:val="7E0C57B1"/>
    <w:multiLevelType w:val="hybridMultilevel"/>
    <w:lvl w:ilvl="0">
      <w:lvlJc w:val="left"/>
      <w:lvlText w:val="%1."/>
      <w:numFmt w:val="upperLetter"/>
      <w:start w:val="11"/>
    </w:lvl>
    <w:lvl w:ilvl="1">
      <w:lvlJc w:val="left"/>
      <w:lvlText w:val="%2."/>
      <w:numFmt w:val="lowerRoman"/>
      <w:start w:val="1"/>
    </w:lvl>
    <w:lvl w:ilvl="2">
      <w:lvlJc w:val="left"/>
      <w:lvlText w:val="%3"/>
      <w:numFmt w:val="lowerRoman"/>
      <w:start w:val="1"/>
    </w:lvl>
  </w:abstractNum>
  <w:abstractNum w:abstractNumId="48">
    <w:nsid w:val="77AE35EB"/>
    <w:multiLevelType w:val="hybridMultilevel"/>
    <w:lvl w:ilvl="0">
      <w:lvlJc w:val="left"/>
      <w:lvlText w:val="%1."/>
      <w:numFmt w:val="lowerRoman"/>
      <w:start w:val="4"/>
    </w:lvl>
  </w:abstractNum>
  <w:abstractNum w:abstractNumId="49">
    <w:nsid w:val="579BE4F1"/>
    <w:multiLevelType w:val="hybridMultilevel"/>
    <w:lvl w:ilvl="0">
      <w:lvlJc w:val="left"/>
      <w:lvlText w:val="%1."/>
      <w:numFmt w:val="decimal"/>
      <w:start w:val="3"/>
    </w:lvl>
  </w:abstractNum>
  <w:abstractNum w:abstractNumId="50">
    <w:nsid w:val="310C50B3"/>
    <w:multiLevelType w:val="hybridMultilevel"/>
    <w:lvl w:ilvl="0">
      <w:lvlJc w:val="left"/>
      <w:lvlText w:val="%1."/>
      <w:numFmt w:val="decimal"/>
      <w:start w:val="1"/>
    </w:lvl>
  </w:abstractNum>
  <w:abstractNum w:abstractNumId="51">
    <w:nsid w:val="5FF87E05"/>
    <w:multiLevelType w:val="hybridMultilevel"/>
    <w:lvl w:ilvl="0">
      <w:lvlJc w:val="left"/>
      <w:lvlText w:val="%1."/>
      <w:numFmt w:val="decimal"/>
      <w:start w:val="2"/>
    </w:lvl>
  </w:abstractNum>
  <w:abstractNum w:abstractNumId="52">
    <w:nsid w:val="2F305DEF"/>
    <w:multiLevelType w:val="hybridMultilevel"/>
    <w:lvl w:ilvl="0">
      <w:lvlJc w:val="left"/>
      <w:lvlText w:val="%1."/>
      <w:numFmt w:val="lowerLetter"/>
      <w:start w:val="1"/>
    </w:lvl>
    <w:lvl w:ilvl="1">
      <w:lvlJc w:val="left"/>
      <w:lvlText w:val="%2."/>
      <w:numFmt w:val="lowerLetter"/>
      <w:start w:val="9"/>
    </w:lvl>
  </w:abstractNum>
  <w:abstractNum w:abstractNumId="53">
    <w:nsid w:val="25A70BF7"/>
    <w:multiLevelType w:val="hybridMultilevel"/>
    <w:lvl w:ilvl="0">
      <w:lvlJc w:val="left"/>
      <w:lvlText w:val="%1."/>
      <w:numFmt w:val="lowerRoman"/>
      <w:start w:val="2"/>
    </w:lvl>
  </w:abstractNum>
  <w:abstractNum w:abstractNumId="54">
    <w:nsid w:val="1DBABF00"/>
    <w:multiLevelType w:val="hybridMultilevel"/>
    <w:lvl w:ilvl="0">
      <w:lvlJc w:val="left"/>
      <w:lvlText w:val="%1."/>
      <w:numFmt w:val="lowerLetter"/>
      <w:start w:val="7"/>
    </w:lvl>
    <w:lvl w:ilvl="1">
      <w:lvlJc w:val="left"/>
      <w:lvlText w:val="%2."/>
      <w:numFmt w:val="lowerRoman"/>
      <w:start w:val="1"/>
    </w:lvl>
  </w:abstractNum>
  <w:abstractNum w:abstractNumId="55">
    <w:nsid w:val="4AD084E9"/>
    <w:multiLevelType w:val="hybridMultilevel"/>
    <w:lvl w:ilvl="0">
      <w:lvlJc w:val="left"/>
      <w:lvlText w:val="%1."/>
      <w:numFmt w:val="decimal"/>
      <w:start w:val="3"/>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1."/>
      <w:numFmt w:val="decimal"/>
      <w:start w:val="2"/>
    </w:lvl>
  </w:abstractNum>
  <w:abstractNum w:abstractNumId="58">
    <w:nsid w:val="5DB70AE5"/>
    <w:multiLevelType w:val="hybridMultilevel"/>
    <w:lvl w:ilvl="0">
      <w:lvlJc w:val="left"/>
      <w:lvlText w:val="%1."/>
      <w:numFmt w:val="lowerLetter"/>
      <w:start w:val="1"/>
    </w:lvl>
    <w:lvl w:ilvl="1">
      <w:lvlJc w:val="left"/>
      <w:lvlText w:val="%2."/>
      <w:numFmt w:val="lowerRoman"/>
      <w:start w:val="1"/>
    </w:lvl>
  </w:abstractNum>
  <w:abstractNum w:abstractNumId="59">
    <w:nsid w:val="100F8FCA"/>
    <w:multiLevelType w:val="hybridMultilevel"/>
    <w:lvl w:ilvl="0">
      <w:lvlJc w:val="left"/>
      <w:lvlText w:val="%1."/>
      <w:numFmt w:val="decimal"/>
      <w:start w:val="3"/>
    </w:lvl>
  </w:abstractNum>
  <w:abstractNum w:abstractNumId="60">
    <w:nsid w:val="6590700B"/>
    <w:multiLevelType w:val="hybridMultilevel"/>
    <w:lvl w:ilvl="0">
      <w:lvlJc w:val="left"/>
      <w:lvlText w:val="%1."/>
      <w:numFmt w:val="decimal"/>
      <w:start w:val="6"/>
    </w:lvl>
  </w:abstractNum>
  <w:abstractNum w:abstractNumId="61">
    <w:nsid w:val="15014ACB"/>
    <w:multiLevelType w:val="hybridMultilevel"/>
    <w:lvl w:ilvl="0">
      <w:lvlJc w:val="left"/>
      <w:lvlText w:val="(%1)"/>
      <w:numFmt w:val="lowerLetter"/>
      <w:start w:val="2"/>
    </w:lvl>
  </w:abstractNum>
  <w:abstractNum w:abstractNumId="62">
    <w:nsid w:val="5F5E7FD0"/>
    <w:multiLevelType w:val="hybridMultilevel"/>
    <w:lvl w:ilvl="0">
      <w:lvlJc w:val="left"/>
      <w:lvlText w:val="(%1)"/>
      <w:numFmt w:val="lowerLetter"/>
      <w:start w:val="4"/>
    </w:lvl>
  </w:abstractNum>
  <w:abstractNum w:abstractNumId="63">
    <w:nsid w:val="98A3148"/>
    <w:multiLevelType w:val="hybridMultilevel"/>
    <w:lvl w:ilvl="0">
      <w:lvlJc w:val="left"/>
      <w:lvlText w:val="%1"/>
      <w:numFmt w:val="lowerRoman"/>
      <w:start w:val="1"/>
    </w:lvl>
    <w:lvl w:ilvl="1">
      <w:lvlJc w:val="left"/>
      <w:lvlText w:val="%2."/>
      <w:numFmt w:val="upperLetter"/>
      <w:start w:val="1"/>
    </w:lvl>
  </w:abstractNum>
  <w:abstractNum w:abstractNumId="64">
    <w:nsid w:val="799D0247"/>
    <w:multiLevelType w:val="hybridMultilevel"/>
    <w:lvl w:ilvl="0">
      <w:lvlJc w:val="left"/>
      <w:lvlText w:val="(%1)"/>
      <w:numFmt w:val="lowerRoman"/>
      <w:start w:val="3"/>
    </w:lvl>
    <w:lvl w:ilvl="1">
      <w:lvlJc w:val="left"/>
      <w:lvlText w:val="%2."/>
      <w:numFmt w:val="upperLetter"/>
      <w:start w:val="4"/>
    </w:lvl>
  </w:abstractNum>
  <w:abstractNum w:abstractNumId="65">
    <w:nsid w:val="6B94764"/>
    <w:multiLevelType w:val="hybridMultilevel"/>
    <w:lvl w:ilvl="0">
      <w:lvlJc w:val="left"/>
      <w:lvlText w:val="%1."/>
      <w:numFmt w:val="upperLetter"/>
      <w:start w:val="5"/>
    </w:lvl>
  </w:abstractNum>
  <w:abstractNum w:abstractNumId="66">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168E121F"/>
    <w:multiLevelType w:val="hybridMultilevel"/>
    <w:lvl w:ilvl="0">
      <w:lvlJc w:val="left"/>
      <w:lvlText w:val="(%1)"/>
      <w:numFmt w:val="lowerLetter"/>
      <w:start w:val="2"/>
    </w:lvl>
  </w:abstractNum>
  <w:abstractNum w:abstractNumId="68">
    <w:nsid w:val="1EBA5D23"/>
    <w:multiLevelType w:val="hybridMultilevel"/>
    <w:lvl w:ilvl="0">
      <w:lvlJc w:val="left"/>
      <w:lvlText w:val="(%1)"/>
      <w:numFmt w:val="lowerLetter"/>
      <w:start w:val="3"/>
    </w:lvl>
  </w:abstractNum>
  <w:abstractNum w:abstractNumId="69">
    <w:nsid w:val="661E3F1E"/>
    <w:multiLevelType w:val="hybridMultilevel"/>
    <w:lvl w:ilvl="0">
      <w:lvlJc w:val="left"/>
      <w:lvlText w:val="%1"/>
      <w:numFmt w:val="decimal"/>
      <w:start w:val="1"/>
    </w:lvl>
    <w:lvl w:ilvl="1">
      <w:lvlJc w:val="left"/>
      <w:lvlText w:val="(%2)"/>
      <w:numFmt w:val="lowerLetter"/>
      <w:start w:val="4"/>
    </w:lvl>
  </w:abstractNum>
  <w:abstractNum w:abstractNumId="70">
    <w:nsid w:val="5DC79EA8"/>
    <w:multiLevelType w:val="hybridMultilevel"/>
    <w:lvl w:ilvl="0">
      <w:lvlJc w:val="left"/>
      <w:lvlText w:val="%1."/>
      <w:numFmt w:val="decimal"/>
      <w:start w:val="2"/>
    </w:lvl>
    <w:lvl w:ilvl="1">
      <w:lvlJc w:val="left"/>
      <w:lvlText w:val="(%2)"/>
      <w:numFmt w:val="lowerLetter"/>
      <w:start w:val="1"/>
    </w:lvl>
  </w:abstractNum>
  <w:abstractNum w:abstractNumId="71">
    <w:nsid w:val="540A471C"/>
    <w:multiLevelType w:val="hybridMultilevel"/>
    <w:lvl w:ilvl="0">
      <w:lvlJc w:val="left"/>
      <w:lvlText w:val="%1"/>
      <w:numFmt w:val="lowerLetter"/>
      <w:start w:val="1"/>
    </w:lvl>
    <w:lvl w:ilvl="1">
      <w:lvlJc w:val="left"/>
      <w:lvlText w:val="(%2)"/>
      <w:numFmt w:val="lowerLetter"/>
      <w:start w:val="7"/>
    </w:lvl>
  </w:abstractNum>
  <w:abstractNum w:abstractNumId="72">
    <w:nsid w:val="7BD3EE7B"/>
    <w:multiLevelType w:val="hybridMultilevel"/>
    <w:lvl w:ilvl="0">
      <w:lvlJc w:val="left"/>
      <w:lvlText w:val="(%1)"/>
      <w:numFmt w:val="lowerLetter"/>
      <w:start w:val="61"/>
    </w:lvl>
    <w:lvl w:ilvl="1">
      <w:lvlJc w:val="left"/>
      <w:lvlText w:val="%2"/>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lowerRoman"/>
      <w:start w:val="1"/>
    </w:lvl>
  </w:abstractNum>
  <w:abstractNum w:abstractNumId="76">
    <w:nsid w:val="11447B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21" Type="http://schemas.openxmlformats.org/officeDocument/2006/relationships/hyperlink" Target="http://www.sec.gov/Archives/edgar/data/1705696/000170569620000048/vici2019form10-k.htm" TargetMode="External"/><Relationship Id="rId95" Type="http://schemas.openxmlformats.org/officeDocument/2006/relationships/hyperlink" Target="http://www.sec.gov/Archives/edgar/data/1705696/000170569620000153/vici-20200630.htm" TargetMode="External"/><Relationship Id="rId102" Type="http://schemas.openxmlformats.org/officeDocument/2006/relationships/hyperlink" Target="http://www.sec.gov/Archives/edgar/data/1705696/000170569620000143/exhibit101vegaslease-2.htm" TargetMode="External"/><Relationship Id="rId103" Type="http://schemas.openxmlformats.org/officeDocument/2006/relationships/hyperlink" Target="http://www.sec.gov/Archives/edgar/data/1705696/000170569620000143/exhibit102regionalleas.htm" TargetMode="External"/><Relationship Id="rId104" Type="http://schemas.openxmlformats.org/officeDocument/2006/relationships/hyperlink" Target="http://www.sec.gov/Archives/edgar/data/1705696/000170569620000143/exhibit103jolietlease-.htm" TargetMode="External"/><Relationship Id="rId105" Type="http://schemas.openxmlformats.org/officeDocument/2006/relationships/hyperlink" Target="http://www.sec.gov/Archives/edgar/data/1705696/000170569620000143/exhibit104.htm" TargetMode="External"/><Relationship Id="rId106" Type="http://schemas.openxmlformats.org/officeDocument/2006/relationships/hyperlink" Target="http://www.sec.gov/Archives/edgar/data/1705696/000170569620000143/exhibit105.htm" TargetMode="External"/><Relationship Id="rId107" Type="http://schemas.openxmlformats.org/officeDocument/2006/relationships/hyperlink" Target="http://www.sec.gov/Archives/edgar/data/1705696/000170569620000143/exhibit106.htm" TargetMode="External"/><Relationship Id="rId108" Type="http://schemas.openxmlformats.org/officeDocument/2006/relationships/hyperlink" Target="http://www.sec.gov/Archives/edgar/data/1705696/000170569620000143/exhibit107.htm" TargetMode="External"/><Relationship Id="rId109" Type="http://schemas.openxmlformats.org/officeDocument/2006/relationships/hyperlink" Target="http://www.sec.gov/Archives/edgar/data/1705696/000170569620000143/exhibit108.htm" TargetMode="External"/><Relationship Id="rId110" Type="http://schemas.openxmlformats.org/officeDocument/2006/relationships/hyperlink" Target="http://www.sec.gov/Archives/edgar/data/1705696/000170569620000143/exhibit1010.htm" TargetMode="External"/><Relationship Id="rId111" Type="http://schemas.openxmlformats.org/officeDocument/2006/relationships/hyperlink" Target="http://www.sec.gov/Archives/edgar/data/1705696/000170569620000143/exhibit1011.htm" TargetMode="External"/><Relationship Id="rId112" Type="http://schemas.openxmlformats.org/officeDocument/2006/relationships/hyperlink" Target="http://www.sec.gov/Archives/edgar/data/1705696/000170569620000143/exhibit1012.htm" TargetMode="External"/><Relationship Id="rId113" Type="http://schemas.openxmlformats.org/officeDocument/2006/relationships/hyperlink" Target="http://www.sec.gov/Archives/edgar/data/1705696/000170569620000162/secondarput-callrigh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2020-10-28T15:44:19Z</dcterms:created>
  <dcterms:modified xsi:type="dcterms:W3CDTF">2020-10-28T15:44:19Z</dcterms:modified>
</cp:coreProperties>
</file>