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45"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40"/>
        <w:jc w:val="center"/>
        <w:rPr/>
      </w:pPr>
      <w:r>
        <w:rPr>
          <w:color w:val="000000"/>
        </w:rPr>
        <w:t> </w:t>
      </w: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8-K/A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18,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VICI Properties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VICI Properties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tbl>
      <w:tblPr>
        <w:tblW w:w="6367" w:type="dxa"/>
        <w:jc w:val="center"/>
        <w:tblInd w:w="0" w:type="dxa"/>
        <w:tblLayout w:type="fixed"/>
        <w:tblCellMar>
          <w:top w:w="28" w:type="dxa"/>
          <w:left w:w="28" w:type="dxa"/>
          <w:bottom w:w="28" w:type="dxa"/>
          <w:right w:w="28" w:type="dxa"/>
        </w:tblCellMar>
      </w:tblPr>
      <w:tblGrid>
        <w:gridCol w:w="1031"/>
        <w:gridCol w:w="906"/>
        <w:gridCol w:w="912"/>
        <w:gridCol w:w="109"/>
        <w:gridCol w:w="109"/>
        <w:gridCol w:w="109"/>
        <w:gridCol w:w="459"/>
        <w:gridCol w:w="459"/>
        <w:gridCol w:w="462"/>
        <w:gridCol w:w="109"/>
        <w:gridCol w:w="109"/>
        <w:gridCol w:w="109"/>
        <w:gridCol w:w="433"/>
        <w:gridCol w:w="433"/>
        <w:gridCol w:w="618"/>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Maryland (VICI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81-4177147</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333-264352-01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35-2576503</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535 Madison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New York 10022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(646) 949-4631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18" w:type="dxa"/>
        <w:jc w:val="left"/>
        <w:tblInd w:w="0" w:type="dxa"/>
        <w:tblLayout w:type="fixed"/>
        <w:tblCellMar>
          <w:top w:w="28" w:type="dxa"/>
          <w:left w:w="28" w:type="dxa"/>
          <w:bottom w:w="28" w:type="dxa"/>
          <w:right w:w="28" w:type="dxa"/>
        </w:tblCellMar>
      </w:tblPr>
      <w:tblGrid>
        <w:gridCol w:w="124"/>
        <w:gridCol w:w="109"/>
        <w:gridCol w:w="109"/>
        <w:gridCol w:w="1430"/>
        <w:gridCol w:w="1430"/>
        <w:gridCol w:w="1430"/>
        <w:gridCol w:w="1430"/>
        <w:gridCol w:w="1430"/>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81" w:type="dxa"/>
        <w:jc w:val="center"/>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4406" w:type="dxa"/>
        <w:jc w:val="left"/>
        <w:tblInd w:w="0" w:type="dxa"/>
        <w:tblLayout w:type="fixed"/>
        <w:tblCellMar>
          <w:top w:w="28" w:type="dxa"/>
          <w:left w:w="28" w:type="dxa"/>
          <w:bottom w:w="28" w:type="dxa"/>
          <w:right w:w="28" w:type="dxa"/>
        </w:tblCellMar>
      </w:tblPr>
      <w:tblGrid>
        <w:gridCol w:w="625"/>
        <w:gridCol w:w="548"/>
        <w:gridCol w:w="552"/>
        <w:gridCol w:w="109"/>
        <w:gridCol w:w="109"/>
        <w:gridCol w:w="109"/>
        <w:gridCol w:w="689"/>
        <w:gridCol w:w="689"/>
        <w:gridCol w:w="97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2097" w:type="dxa"/>
        <w:jc w:val="left"/>
        <w:tblInd w:w="0" w:type="dxa"/>
        <w:tblLayout w:type="fixed"/>
        <w:tblCellMar>
          <w:top w:w="28" w:type="dxa"/>
          <w:left w:w="28" w:type="dxa"/>
          <w:bottom w:w="28" w:type="dxa"/>
          <w:right w:w="28" w:type="dxa"/>
        </w:tblCellMar>
      </w:tblPr>
      <w:tblGrid>
        <w:gridCol w:w="625"/>
        <w:gridCol w:w="548"/>
        <w:gridCol w:w="552"/>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jc w:val="both"/>
        <w:rPr/>
      </w:pPr>
      <w:r>
        <w:rPr/>
      </w:r>
    </w:p>
    <w:p>
      <w:pPr>
        <w:pStyle w:val="TextBody"/>
        <w:bidi w:val="0"/>
        <w:spacing w:lineRule="auto" w:line="288" w:before="180" w:after="283"/>
        <w:jc w:val="both"/>
        <w:rPr/>
      </w:pPr>
      <w:r>
        <w:rPr>
          <w:rFonts w:ascii="Times New Roman;serif" w:hAnsi="Times New Roman;serif"/>
          <w:b w:val="false"/>
          <w:color w:val="000000"/>
          <w:sz w:val="20"/>
        </w:rPr>
        <w:t>This Amendment No. 1 to Form 8-K/A (this “</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 amends the Current Report on Form 8-K filed by VICI Properties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on September 8, 2026 (the “</w:t>
      </w:r>
      <w:r>
        <w:rPr>
          <w:rFonts w:ascii="Times New Roman;serif" w:hAnsi="Times New Roman;serif"/>
          <w:b/>
          <w:color w:val="000000"/>
          <w:sz w:val="20"/>
        </w:rPr>
        <w:t>Original Report</w:t>
      </w:r>
      <w:r>
        <w:rPr>
          <w:color w:val="000000"/>
        </w:rPr>
        <w:t>”</w:t>
      </w:r>
      <w:r>
        <w:rPr>
          <w:rFonts w:ascii="Times New Roman;serif" w:hAnsi="Times New Roman;serif"/>
          <w:b w:val="false"/>
          <w:color w:val="000000"/>
          <w:sz w:val="20"/>
        </w:rPr>
        <w:t>). Except as described below, this Amendment does not purport to amend the information in the Original Report or provide an update or a discussion of any developments at the Company subsequent to the filing date of the Original Report.</w:t>
      </w:r>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68" w:before="0" w:after="0"/>
        <w:jc w:val="both"/>
        <w:rPr/>
      </w:pPr>
      <w:r>
        <w:rPr>
          <w:rFonts w:ascii="Times New Roman;serif" w:hAnsi="Times New Roman;serif"/>
          <w:b/>
          <w:i/>
          <w:color w:val="000000"/>
          <w:sz w:val="20"/>
        </w:rPr>
        <w:t>(d)</w:t>
      </w:r>
      <w:r>
        <w:rPr>
          <w:color w:val="000000"/>
        </w:rPr>
        <w:t xml:space="preserve"> </w:t>
      </w:r>
      <w:r>
        <w:rPr>
          <w:rFonts w:ascii="Times New Roman;serif" w:hAnsi="Times New Roman;serif"/>
          <w:b w:val="false"/>
          <w:color w:val="000000"/>
          <w:sz w:val="20"/>
        </w:rPr>
        <w:t>Effective September 18, 2026, John M. Sullivan's prior appointment to the Company's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xml:space="preserve">) as an independent director has become effective, following receipt of applicable regulatory approvals. In connection with the effectiveness of Mr. Sullivan’s appointment, the Board authorized an increase in the size of the Board to eight members. Mr. Sullivan will serve on the Board's Compensation Committee and Nominating and Governance Committee.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Sullivan is being compensated in accordance with the Company’s standard compensation policies and practices for non-employee directors of the Board. In addition, the Company has entered into its standard form indemnification agreement with Mr. Sullivan. There are no transactions between the Company and Mr. Sullivan that would require disclosure under Item 404(a) of Regulation S-K. There are no arrangements or understandings between Mr. Sullivan and any other persons pursuant to which he was selected as director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each registrant has duly caused this report to be signed on its behalf by the undersigned hereunto duly authorized.</w:t>
      </w:r>
    </w:p>
    <w:tbl>
      <w:tblPr>
        <w:tblW w:w="8057" w:type="dxa"/>
        <w:jc w:val="center"/>
        <w:tblInd w:w="0" w:type="dxa"/>
        <w:tblLayout w:type="fixed"/>
        <w:tblCellMar>
          <w:top w:w="28" w:type="dxa"/>
          <w:left w:w="28" w:type="dxa"/>
          <w:bottom w:w="28" w:type="dxa"/>
          <w:right w:w="28" w:type="dxa"/>
        </w:tblCellMar>
      </w:tblPr>
      <w:tblGrid>
        <w:gridCol w:w="802"/>
        <w:gridCol w:w="707"/>
        <w:gridCol w:w="711"/>
        <w:gridCol w:w="356"/>
        <w:gridCol w:w="356"/>
        <w:gridCol w:w="356"/>
        <w:gridCol w:w="1386"/>
        <w:gridCol w:w="1386"/>
        <w:gridCol w:w="1997"/>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VICI PROPERTIES INC.</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22, 2026</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SAMANTHA S. GALLAGHER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Samantha S. Gallagher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VICI PROPERTIES L.P.</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22, 2026</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SAMANTHA S. GALLAGHER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Samantha S. Gallagher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3830</Characters>
  <CharactersWithSpaces>4410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