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846d3_fwp.htm"/>
      <w:bookmarkStart w:id="1" w:name="kstm2621846d3_fwp"/>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Writing Prospectus</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No. 333-286854-01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VICI Properties 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Term Sheet</w:t>
        <w:b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$900,000,000 5.400% Senior Notes due 2031</w:t>
        <w:br/>
        <w:t>$850,000,000 5.750% Senior Notes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free writing prospectus relates only to the securities described below and should be read together with the preliminary prospectus supplement dated August 5, 2026 (the “Preliminary Prospectus Supplement”), the accompanying prospectus dated April 30, 2025 and the documents incorporated and deemed to be incorporated by reference therein.</w:t>
      </w:r>
    </w:p>
    <w:p>
      <w:pPr>
        <w:pStyle w:val="TextBody"/>
        <w:bidi w:val="0"/>
        <w:spacing w:before="0" w:after="0"/>
        <w:ind w:left="0" w:right="0" w:firstLine="72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595"/>
        <w:gridCol w:w="3590"/>
      </w:tblGrid>
      <w:tr>
        <w:trPr/>
        <w:tc>
          <w:tcPr>
            <w:tcW w:w="1595" w:type="dxa"/>
            <w:tcBorders/>
            <w:vAlign w:val="center"/>
          </w:tcPr>
          <w:p>
            <w:pPr>
              <w:pStyle w:val="TableContents"/>
              <w:bidi w:val="0"/>
              <w:spacing w:before="0" w:after="283"/>
              <w:jc w:val="left"/>
              <w:rPr>
                <w:sz w:val="20"/>
              </w:rPr>
            </w:pPr>
            <w:r>
              <w:rPr>
                <w:sz w:val="20"/>
              </w:rPr>
              <w:t>Issuer:</w:t>
            </w:r>
          </w:p>
        </w:tc>
        <w:tc>
          <w:tcPr>
            <w:tcW w:w="3590" w:type="dxa"/>
            <w:tcBorders/>
            <w:vAlign w:val="center"/>
          </w:tcPr>
          <w:p>
            <w:pPr>
              <w:pStyle w:val="TableContents"/>
              <w:bidi w:val="0"/>
              <w:spacing w:before="0" w:after="283"/>
              <w:jc w:val="both"/>
              <w:rPr>
                <w:sz w:val="20"/>
              </w:rPr>
            </w:pPr>
            <w:r>
              <w:rPr>
                <w:sz w:val="20"/>
              </w:rPr>
              <w:t>VICI Properties L.P. (the “Company”)</w:t>
            </w:r>
          </w:p>
        </w:tc>
      </w:tr>
      <w:tr>
        <w:trPr/>
        <w:tc>
          <w:tcPr>
            <w:tcW w:w="159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both"/>
              <w:rPr/>
            </w:pPr>
            <w:r>
              <w:rPr/>
              <w:t> </w:t>
            </w:r>
          </w:p>
        </w:tc>
      </w:tr>
      <w:tr>
        <w:trPr/>
        <w:tc>
          <w:tcPr>
            <w:tcW w:w="1595" w:type="dxa"/>
            <w:tcBorders/>
            <w:vAlign w:val="center"/>
          </w:tcPr>
          <w:p>
            <w:pPr>
              <w:pStyle w:val="TableContents"/>
              <w:bidi w:val="0"/>
              <w:spacing w:before="0" w:after="283"/>
              <w:jc w:val="left"/>
              <w:rPr>
                <w:sz w:val="20"/>
              </w:rPr>
            </w:pPr>
            <w:r>
              <w:rPr>
                <w:sz w:val="20"/>
              </w:rPr>
              <w:t>Ratings*:</w:t>
            </w:r>
          </w:p>
        </w:tc>
        <w:tc>
          <w:tcPr>
            <w:tcW w:w="3590" w:type="dxa"/>
            <w:tcBorders/>
            <w:vAlign w:val="center"/>
          </w:tcPr>
          <w:p>
            <w:pPr>
              <w:pStyle w:val="TableContents"/>
              <w:bidi w:val="0"/>
              <w:spacing w:before="0" w:after="283"/>
              <w:jc w:val="both"/>
              <w:rPr>
                <w:sz w:val="20"/>
              </w:rPr>
            </w:pPr>
            <w:r>
              <w:rPr>
                <w:sz w:val="20"/>
              </w:rPr>
              <w:t>Baa3 (Stable) by Moody’s Investors Service</w:t>
            </w:r>
          </w:p>
        </w:tc>
      </w:tr>
      <w:tr>
        <w:trPr/>
        <w:tc>
          <w:tcPr>
            <w:tcW w:w="159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both"/>
              <w:rPr>
                <w:sz w:val="20"/>
              </w:rPr>
            </w:pPr>
            <w:r>
              <w:rPr>
                <w:sz w:val="20"/>
              </w:rPr>
              <w:t>BBB- (Stable) by S&amp;P Global Ratings</w:t>
            </w:r>
          </w:p>
        </w:tc>
      </w:tr>
      <w:tr>
        <w:trPr/>
        <w:tc>
          <w:tcPr>
            <w:tcW w:w="159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both"/>
              <w:rPr>
                <w:sz w:val="20"/>
              </w:rPr>
            </w:pPr>
            <w:r>
              <w:rPr>
                <w:sz w:val="20"/>
              </w:rPr>
              <w:t>BBB- (Stable) by Fitch Ratings</w:t>
            </w:r>
          </w:p>
        </w:tc>
      </w:tr>
      <w:tr>
        <w:trPr/>
        <w:tc>
          <w:tcPr>
            <w:tcW w:w="159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both"/>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Date:</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Date**:</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 (T+7)</w:t>
            </w:r>
          </w:p>
        </w:tc>
      </w:tr>
    </w:tbl>
    <w:p>
      <w:pPr>
        <w:pStyle w:val="TextBody"/>
        <w:bidi w:val="0"/>
        <w:spacing w:before="0" w:after="0"/>
        <w:ind w:left="3960" w:right="0" w:hanging="3960"/>
        <w:jc w:val="both"/>
        <w:rPr>
          <w:caps w:val="false"/>
          <w:smallCaps w:val="false"/>
        </w:rPr>
      </w:pPr>
      <w:r>
        <w:rPr>
          <w:caps w:val="false"/>
          <w:smallCaps w:val="false"/>
        </w:rPr>
        <w:t> </w:t>
      </w:r>
    </w:p>
    <w:p>
      <w:pPr>
        <w:pStyle w:val="TextBody"/>
        <w:bidi w:val="0"/>
        <w:spacing w:before="0" w:after="0"/>
        <w:ind w:left="3960" w:right="0" w:hanging="396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5.400% Senior Notes due 2031</w:t>
      </w:r>
    </w:p>
    <w:p>
      <w:pPr>
        <w:pStyle w:val="TextBody"/>
        <w:bidi w:val="0"/>
        <w:spacing w:before="0" w:after="0"/>
        <w:ind w:left="3960" w:right="0" w:hanging="396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3065"/>
        <w:gridCol w:w="5030"/>
      </w:tblGrid>
      <w:tr>
        <w:trPr/>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Offered:</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 Senior Notes due 2031</w:t>
            </w:r>
          </w:p>
        </w:tc>
      </w:tr>
      <w:tr>
        <w:trPr/>
        <w:tc>
          <w:tcPr>
            <w:tcW w:w="306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Principal Amount Offered:</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$900,000,000</w:t>
            </w:r>
          </w:p>
        </w:tc>
      </w:tr>
      <w:tr>
        <w:trPr/>
        <w:tc>
          <w:tcPr>
            <w:tcW w:w="306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and October 15, beginning on April 15, 2027</w:t>
            </w:r>
          </w:p>
        </w:tc>
      </w:tr>
      <w:tr>
        <w:trPr/>
        <w:tc>
          <w:tcPr>
            <w:tcW w:w="306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 per annum, accruing from August 14, 2026</w:t>
            </w:r>
          </w:p>
        </w:tc>
      </w:tr>
      <w:tr>
        <w:trPr/>
        <w:tc>
          <w:tcPr>
            <w:tcW w:w="306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Date:</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15, 2031</w:t>
            </w:r>
          </w:p>
        </w:tc>
      </w:tr>
      <w:tr>
        <w:trPr/>
        <w:tc>
          <w:tcPr>
            <w:tcW w:w="306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Benchmark Treasury:</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4.375% due July 31, 2031</w:t>
            </w:r>
          </w:p>
        </w:tc>
      </w:tr>
      <w:tr>
        <w:trPr/>
        <w:tc>
          <w:tcPr>
            <w:tcW w:w="306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Benchmark Treasury Yield:</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4.324%</w:t>
            </w:r>
          </w:p>
        </w:tc>
      </w:tr>
      <w:tr>
        <w:trPr/>
        <w:tc>
          <w:tcPr>
            <w:tcW w:w="306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Spread to Benchmark Treasury:</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basis points</w:t>
            </w:r>
          </w:p>
        </w:tc>
      </w:tr>
      <w:tr>
        <w:trPr/>
        <w:tc>
          <w:tcPr>
            <w:tcW w:w="306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Yield to Maturity:</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5.404%</w:t>
            </w:r>
          </w:p>
        </w:tc>
      </w:tr>
      <w:tr>
        <w:trPr/>
        <w:tc>
          <w:tcPr>
            <w:tcW w:w="306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to Public:</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99.966% of the principal amount, plus accrued interest, if any</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52"/>
        <w:gridCol w:w="8753"/>
      </w:tblGrid>
      <w:tr>
        <w:trPr/>
        <w:tc>
          <w:tcPr>
            <w:tcW w:w="14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Optional Redemption Provision:</w:t>
            </w:r>
          </w:p>
        </w:tc>
        <w:tc>
          <w:tcPr>
            <w:tcW w:w="8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option, prior to September 15, 2031 (the “2031 Notes Par Call Date”), make-whole call at Treasury Rate (as defined in the Preliminary Prospectus Supplement) +20 basis points; on and after the 2031 Notes Par Call Date, at 100% of the principal amount. See the Preliminary Prospectus Supplement for further terms and provisions applicable to optional redemption.</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 </w:t>
            </w:r>
          </w:p>
        </w:tc>
        <w:tc>
          <w:tcPr>
            <w:tcW w:w="8753" w:type="dxa"/>
            <w:tcBorders/>
            <w:vAlign w:val="center"/>
          </w:tcPr>
          <w:p>
            <w:pPr>
              <w:pStyle w:val="TableContents"/>
              <w:bidi w:val="0"/>
              <w:spacing w:before="0" w:after="283"/>
              <w:jc w:val="left"/>
              <w:rPr/>
            </w:pPr>
            <w:r>
              <w:rPr/>
              <w:t> </w:t>
            </w:r>
          </w:p>
        </w:tc>
      </w:tr>
      <w:tr>
        <w:trPr/>
        <w:tc>
          <w:tcPr>
            <w:tcW w:w="14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w:t>
            </w:r>
          </w:p>
        </w:tc>
        <w:tc>
          <w:tcPr>
            <w:tcW w:w="8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925650AL7</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 </w:t>
            </w:r>
          </w:p>
        </w:tc>
        <w:tc>
          <w:tcPr>
            <w:tcW w:w="8753" w:type="dxa"/>
            <w:tcBorders/>
            <w:vAlign w:val="center"/>
          </w:tcPr>
          <w:p>
            <w:pPr>
              <w:pStyle w:val="TableContents"/>
              <w:bidi w:val="0"/>
              <w:spacing w:before="0" w:after="283"/>
              <w:jc w:val="left"/>
              <w:rPr/>
            </w:pPr>
            <w:r>
              <w:rPr/>
              <w:t> </w:t>
            </w:r>
          </w:p>
        </w:tc>
      </w:tr>
      <w:tr>
        <w:trPr/>
        <w:tc>
          <w:tcPr>
            <w:tcW w:w="14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w:t>
            </w:r>
          </w:p>
        </w:tc>
        <w:tc>
          <w:tcPr>
            <w:tcW w:w="8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US925650AL71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960" w:right="0" w:hanging="396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5.750% Senior Notes due 2036</w:t>
      </w:r>
    </w:p>
    <w:p>
      <w:pPr>
        <w:pStyle w:val="TextBody"/>
        <w:bidi w:val="0"/>
        <w:spacing w:before="0" w:after="0"/>
        <w:ind w:left="3960" w:right="0" w:hanging="39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5"/>
        <w:gridCol w:w="8660"/>
      </w:tblGrid>
      <w:tr>
        <w:trPr/>
        <w:tc>
          <w:tcPr>
            <w:tcW w:w="1545" w:type="dxa"/>
            <w:tcBorders/>
            <w:vAlign w:val="center"/>
          </w:tcPr>
          <w:p>
            <w:pPr>
              <w:pStyle w:val="TableContents"/>
              <w:bidi w:val="0"/>
              <w:spacing w:before="0" w:after="283"/>
              <w:ind w:left="0" w:right="0" w:hanging="39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Offered:</w:t>
            </w:r>
          </w:p>
        </w:tc>
        <w:tc>
          <w:tcPr>
            <w:tcW w:w="8660" w:type="dxa"/>
            <w:tcBorders/>
            <w:vAlign w:val="center"/>
          </w:tcPr>
          <w:p>
            <w:pPr>
              <w:pStyle w:val="TableContents"/>
              <w:bidi w:val="0"/>
              <w:spacing w:before="0" w:after="283"/>
              <w:ind w:left="0" w:right="0" w:hanging="39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 Senior Notes due 2036</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ind w:left="0" w:right="0" w:hanging="3960"/>
              <w:jc w:val="left"/>
              <w:rPr/>
            </w:pPr>
            <w:r>
              <w:rPr/>
              <w:t> </w:t>
            </w:r>
          </w:p>
        </w:tc>
      </w:tr>
      <w:tr>
        <w:trPr/>
        <w:tc>
          <w:tcPr>
            <w:tcW w:w="1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Principal Amount Offered:</w:t>
            </w:r>
          </w:p>
        </w:tc>
        <w:tc>
          <w:tcPr>
            <w:tcW w:w="8660" w:type="dxa"/>
            <w:tcBorders/>
            <w:vAlign w:val="center"/>
          </w:tcPr>
          <w:p>
            <w:pPr>
              <w:pStyle w:val="TableContents"/>
              <w:bidi w:val="0"/>
              <w:spacing w:before="0" w:after="283"/>
              <w:ind w:left="0" w:right="0" w:hanging="39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$850,000,000</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ind w:left="0" w:right="0" w:hanging="3960"/>
              <w:jc w:val="left"/>
              <w:rPr/>
            </w:pPr>
            <w:r>
              <w:rPr/>
              <w:t> </w:t>
            </w:r>
          </w:p>
        </w:tc>
      </w:tr>
      <w:tr>
        <w:trPr/>
        <w:tc>
          <w:tcPr>
            <w:tcW w:w="1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w:t>
            </w:r>
          </w:p>
        </w:tc>
        <w:tc>
          <w:tcPr>
            <w:tcW w:w="8660" w:type="dxa"/>
            <w:tcBorders/>
            <w:vAlign w:val="center"/>
          </w:tcPr>
          <w:p>
            <w:pPr>
              <w:pStyle w:val="TableContents"/>
              <w:bidi w:val="0"/>
              <w:spacing w:before="0" w:after="283"/>
              <w:ind w:left="0" w:right="0" w:hanging="39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and October 15, beginning on April 15, 2027</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ind w:left="0" w:right="0" w:hanging="3960"/>
              <w:jc w:val="left"/>
              <w:rPr/>
            </w:pPr>
            <w:r>
              <w:rPr/>
              <w:t> </w:t>
            </w:r>
          </w:p>
        </w:tc>
      </w:tr>
      <w:tr>
        <w:trPr/>
        <w:tc>
          <w:tcPr>
            <w:tcW w:w="1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w:t>
            </w:r>
          </w:p>
        </w:tc>
        <w:tc>
          <w:tcPr>
            <w:tcW w:w="8660" w:type="dxa"/>
            <w:tcBorders/>
            <w:vAlign w:val="center"/>
          </w:tcPr>
          <w:p>
            <w:pPr>
              <w:pStyle w:val="TableContents"/>
              <w:bidi w:val="0"/>
              <w:spacing w:before="0" w:after="283"/>
              <w:ind w:left="0" w:right="0" w:hanging="39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 per annum, accruing from August 14, 2026</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ind w:left="0" w:right="0" w:hanging="3960"/>
              <w:jc w:val="left"/>
              <w:rPr/>
            </w:pPr>
            <w:r>
              <w:rPr/>
              <w:t> </w:t>
            </w:r>
          </w:p>
        </w:tc>
      </w:tr>
      <w:tr>
        <w:trPr/>
        <w:tc>
          <w:tcPr>
            <w:tcW w:w="1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Date:</w:t>
            </w:r>
          </w:p>
        </w:tc>
        <w:tc>
          <w:tcPr>
            <w:tcW w:w="8660" w:type="dxa"/>
            <w:tcBorders/>
            <w:vAlign w:val="center"/>
          </w:tcPr>
          <w:p>
            <w:pPr>
              <w:pStyle w:val="TableContents"/>
              <w:bidi w:val="0"/>
              <w:spacing w:before="0" w:after="283"/>
              <w:ind w:left="0" w:right="0" w:hanging="39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15, 2036</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ind w:left="0" w:right="0" w:hanging="3960"/>
              <w:jc w:val="left"/>
              <w:rPr/>
            </w:pPr>
            <w:r>
              <w:rPr/>
              <w:t> </w:t>
            </w:r>
          </w:p>
        </w:tc>
      </w:tr>
      <w:tr>
        <w:trPr/>
        <w:tc>
          <w:tcPr>
            <w:tcW w:w="1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Benchmark Treasury:</w:t>
            </w:r>
          </w:p>
        </w:tc>
        <w:tc>
          <w:tcPr>
            <w:tcW w:w="8660" w:type="dxa"/>
            <w:tcBorders/>
            <w:vAlign w:val="center"/>
          </w:tcPr>
          <w:p>
            <w:pPr>
              <w:pStyle w:val="TableContents"/>
              <w:bidi w:val="0"/>
              <w:spacing w:before="0" w:after="283"/>
              <w:ind w:left="0" w:right="0" w:hanging="39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4.375% due May 15, 2036</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ind w:left="0" w:right="0" w:hanging="3960"/>
              <w:jc w:val="left"/>
              <w:rPr/>
            </w:pPr>
            <w:r>
              <w:rPr/>
              <w:t> </w:t>
            </w:r>
          </w:p>
        </w:tc>
      </w:tr>
      <w:tr>
        <w:trPr/>
        <w:tc>
          <w:tcPr>
            <w:tcW w:w="1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Benchmark Treasury Yield:</w:t>
            </w:r>
          </w:p>
        </w:tc>
        <w:tc>
          <w:tcPr>
            <w:tcW w:w="8660" w:type="dxa"/>
            <w:tcBorders/>
            <w:vAlign w:val="center"/>
          </w:tcPr>
          <w:p>
            <w:pPr>
              <w:pStyle w:val="TableContents"/>
              <w:bidi w:val="0"/>
              <w:spacing w:before="0" w:after="283"/>
              <w:ind w:left="0" w:right="0" w:hanging="39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4.613%</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ind w:left="0" w:right="0" w:hanging="3960"/>
              <w:jc w:val="left"/>
              <w:rPr/>
            </w:pPr>
            <w:r>
              <w:rPr/>
              <w:t> </w:t>
            </w:r>
          </w:p>
        </w:tc>
      </w:tr>
      <w:tr>
        <w:trPr/>
        <w:tc>
          <w:tcPr>
            <w:tcW w:w="1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Spread to Benchmark Treasury:</w:t>
            </w:r>
          </w:p>
        </w:tc>
        <w:tc>
          <w:tcPr>
            <w:tcW w:w="8660" w:type="dxa"/>
            <w:tcBorders/>
            <w:vAlign w:val="center"/>
          </w:tcPr>
          <w:p>
            <w:pPr>
              <w:pStyle w:val="TableContents"/>
              <w:bidi w:val="0"/>
              <w:spacing w:before="0" w:after="283"/>
              <w:ind w:left="0" w:right="0" w:hanging="39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basis points</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ind w:left="0" w:right="0" w:hanging="3960"/>
              <w:jc w:val="left"/>
              <w:rPr/>
            </w:pPr>
            <w:r>
              <w:rPr/>
              <w:t> </w:t>
            </w:r>
          </w:p>
        </w:tc>
      </w:tr>
      <w:tr>
        <w:trPr/>
        <w:tc>
          <w:tcPr>
            <w:tcW w:w="1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Yield to Maturity:</w:t>
            </w:r>
          </w:p>
        </w:tc>
        <w:tc>
          <w:tcPr>
            <w:tcW w:w="8660" w:type="dxa"/>
            <w:tcBorders/>
            <w:vAlign w:val="center"/>
          </w:tcPr>
          <w:p>
            <w:pPr>
              <w:pStyle w:val="TableContents"/>
              <w:bidi w:val="0"/>
              <w:spacing w:before="0" w:after="283"/>
              <w:ind w:left="0" w:right="0" w:hanging="39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5.963%</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ind w:left="0" w:right="0" w:hanging="3960"/>
              <w:jc w:val="left"/>
              <w:rPr/>
            </w:pPr>
            <w:r>
              <w:rPr/>
              <w:t> </w:t>
            </w:r>
          </w:p>
        </w:tc>
      </w:tr>
      <w:tr>
        <w:trPr/>
        <w:tc>
          <w:tcPr>
            <w:tcW w:w="1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to Public:</w:t>
            </w:r>
          </w:p>
        </w:tc>
        <w:tc>
          <w:tcPr>
            <w:tcW w:w="8660" w:type="dxa"/>
            <w:tcBorders/>
            <w:vAlign w:val="center"/>
          </w:tcPr>
          <w:p>
            <w:pPr>
              <w:pStyle w:val="TableContents"/>
              <w:bidi w:val="0"/>
              <w:spacing w:before="0" w:after="283"/>
              <w:ind w:left="0" w:right="0" w:hanging="39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98.375% of the principal amount, plus accrued interest, if any</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ind w:left="0" w:right="0" w:hanging="3960"/>
              <w:jc w:val="left"/>
              <w:rPr/>
            </w:pPr>
            <w:r>
              <w:rPr/>
              <w:t> </w:t>
            </w:r>
          </w:p>
        </w:tc>
      </w:tr>
      <w:tr>
        <w:trPr/>
        <w:tc>
          <w:tcPr>
            <w:tcW w:w="1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Optional Redemption Provision:</w:t>
            </w:r>
          </w:p>
        </w:tc>
        <w:tc>
          <w:tcPr>
            <w:tcW w:w="8660" w:type="dxa"/>
            <w:tcBorders/>
            <w:vAlign w:val="center"/>
          </w:tcPr>
          <w:p>
            <w:pPr>
              <w:pStyle w:val="TableContents"/>
              <w:bidi w:val="0"/>
              <w:spacing w:before="0" w:after="283"/>
              <w:ind w:left="0" w:right="0" w:hanging="39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option, prior to July 15, 2036 (the “2036 Notes Par Call Date”), make-whole call at Treasury Rate (as defined in the Preliminary Prospectus Supplement) +25 basis points; on and after the 2036 Notes Par Call Date, at 100% of the principal amount. See the Preliminary Prospectus Supplement for further terms and provisions applicable to optional redemption.</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jc w:val="left"/>
              <w:rPr/>
            </w:pPr>
            <w:r>
              <w:rPr/>
              <w:t> </w:t>
            </w:r>
          </w:p>
        </w:tc>
      </w:tr>
      <w:tr>
        <w:trPr/>
        <w:tc>
          <w:tcPr>
            <w:tcW w:w="1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w:t>
            </w:r>
          </w:p>
        </w:tc>
        <w:tc>
          <w:tcPr>
            <w:tcW w:w="8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925650AM5</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jc w:val="left"/>
              <w:rPr/>
            </w:pPr>
            <w:r>
              <w:rPr/>
              <w:t> </w:t>
            </w:r>
          </w:p>
        </w:tc>
      </w:tr>
      <w:tr>
        <w:trPr/>
        <w:tc>
          <w:tcPr>
            <w:tcW w:w="1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w:t>
            </w:r>
          </w:p>
        </w:tc>
        <w:tc>
          <w:tcPr>
            <w:tcW w:w="8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US925650AM54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u w:val="single"/>
        </w:rPr>
      </w:pPr>
      <w:r>
        <w:rPr>
          <w:b/>
          <w:u w:val="single"/>
        </w:rPr>
        <w:t>All Notes Offered Hereby</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69"/>
        <w:gridCol w:w="8136"/>
      </w:tblGrid>
      <w:tr>
        <w:trPr/>
        <w:tc>
          <w:tcPr>
            <w:tcW w:w="20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Proceeds:</w:t>
            </w:r>
          </w:p>
        </w:tc>
        <w:tc>
          <w:tcPr>
            <w:tcW w:w="8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$1,725.0 million, after deducting the underwriting discounts (but before deducting the estimated offering expenses payable by the Company).</w:t>
            </w:r>
          </w:p>
        </w:tc>
      </w:tr>
      <w:tr>
        <w:trPr/>
        <w:tc>
          <w:tcPr>
            <w:tcW w:w="2069" w:type="dxa"/>
            <w:tcBorders/>
            <w:vAlign w:val="center"/>
          </w:tcPr>
          <w:p>
            <w:pPr>
              <w:pStyle w:val="TableContents"/>
              <w:bidi w:val="0"/>
              <w:spacing w:before="0" w:after="283"/>
              <w:jc w:val="left"/>
              <w:rPr>
                <w:caps w:val="false"/>
                <w:smallCaps w:val="false"/>
              </w:rPr>
            </w:pPr>
            <w:r>
              <w:rPr>
                <w:caps w:val="false"/>
                <w:smallCaps w:val="false"/>
              </w:rPr>
              <w:t> </w:t>
            </w:r>
          </w:p>
        </w:tc>
        <w:tc>
          <w:tcPr>
            <w:tcW w:w="8136"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Book-Running Managers:</w:t>
            </w:r>
          </w:p>
        </w:tc>
        <w:tc>
          <w:tcPr>
            <w:tcW w:w="8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br/>
              <w:t>Barclays Capital Inc.</w:t>
              <w:br/>
              <w:t>Mizuho Securities USA LLC</w:t>
            </w:r>
          </w:p>
        </w:tc>
      </w:tr>
      <w:tr>
        <w:trPr/>
        <w:tc>
          <w:tcPr>
            <w:tcW w:w="2069" w:type="dxa"/>
            <w:tcBorders/>
            <w:vAlign w:val="center"/>
          </w:tcPr>
          <w:p>
            <w:pPr>
              <w:pStyle w:val="TableContents"/>
              <w:bidi w:val="0"/>
              <w:spacing w:before="0" w:after="283"/>
              <w:jc w:val="left"/>
              <w:rPr>
                <w:caps w:val="false"/>
                <w:smallCaps w:val="false"/>
              </w:rPr>
            </w:pPr>
            <w:r>
              <w:rPr>
                <w:caps w:val="false"/>
                <w:smallCaps w:val="false"/>
              </w:rPr>
              <w:t> </w:t>
            </w:r>
          </w:p>
        </w:tc>
        <w:tc>
          <w:tcPr>
            <w:tcW w:w="8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br/>
              <w:t>BofA Securities, Inc.</w:t>
              <w:br/>
              <w:t>BNP Paribas Securities Corp.</w:t>
              <w:br/>
              <w:t>Capital One Securities, Inc.</w:t>
              <w:br/>
              <w:t>Citigroup Global Markets Inc.</w:t>
              <w:br/>
              <w:t>Citizens JMP Securities, LLC</w:t>
              <w:br/>
              <w:t>J.P. Morgan Securities LLC</w:t>
              <w:br/>
              <w:t>SMBC Nikko Securities America, Inc.</w:t>
            </w:r>
          </w:p>
        </w:tc>
      </w:tr>
      <w:tr>
        <w:trPr/>
        <w:tc>
          <w:tcPr>
            <w:tcW w:w="2069" w:type="dxa"/>
            <w:tcBorders/>
            <w:vAlign w:val="center"/>
          </w:tcPr>
          <w:p>
            <w:pPr>
              <w:pStyle w:val="TableContents"/>
              <w:bidi w:val="0"/>
              <w:spacing w:before="0" w:after="283"/>
              <w:jc w:val="left"/>
              <w:rPr>
                <w:caps w:val="false"/>
                <w:smallCaps w:val="false"/>
              </w:rPr>
            </w:pPr>
            <w:r>
              <w:rPr>
                <w:caps w:val="false"/>
                <w:smallCaps w:val="false"/>
              </w:rPr>
              <w:t> </w:t>
            </w:r>
          </w:p>
        </w:tc>
        <w:tc>
          <w:tcPr>
            <w:tcW w:w="8136"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Co-Managers:</w:t>
            </w:r>
          </w:p>
        </w:tc>
        <w:tc>
          <w:tcPr>
            <w:tcW w:w="8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br/>
              <w:t>Goldman Sachs &amp; Co. LLC</w:t>
              <w:br/>
              <w:t>Morgan Stanley &amp; Co. LLC</w:t>
            </w:r>
          </w:p>
        </w:tc>
      </w:tr>
      <w:tr>
        <w:trPr/>
        <w:tc>
          <w:tcPr>
            <w:tcW w:w="2069" w:type="dxa"/>
            <w:tcBorders/>
            <w:vAlign w:val="center"/>
          </w:tcPr>
          <w:p>
            <w:pPr>
              <w:pStyle w:val="TableContents"/>
              <w:bidi w:val="0"/>
              <w:spacing w:before="0" w:after="283"/>
              <w:jc w:val="left"/>
              <w:rPr>
                <w:caps w:val="false"/>
                <w:smallCaps w:val="false"/>
              </w:rPr>
            </w:pPr>
            <w:r>
              <w:rPr>
                <w:caps w:val="false"/>
                <w:smallCaps w:val="false"/>
              </w:rPr>
              <w:t> </w:t>
            </w:r>
          </w:p>
        </w:tc>
        <w:tc>
          <w:tcPr>
            <w:tcW w:w="8136"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Co-Manager:</w:t>
            </w:r>
          </w:p>
        </w:tc>
        <w:tc>
          <w:tcPr>
            <w:tcW w:w="8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tc>
      </w:tr>
    </w:tbl>
    <w:p>
      <w:pPr>
        <w:pStyle w:val="TextBody"/>
        <w:bidi w:val="0"/>
        <w:spacing w:before="0" w:after="0"/>
        <w:ind w:left="3960" w:right="0" w:hanging="3960"/>
        <w:jc w:val="both"/>
        <w:rPr>
          <w:caps w:val="false"/>
          <w:smallCaps w:val="false"/>
        </w:rPr>
      </w:pPr>
      <w:r>
        <w:rPr>
          <w:caps w:val="false"/>
          <w:smallCaps w:val="false"/>
        </w:rPr>
        <w:t> </w:t>
      </w:r>
    </w:p>
    <w:p>
      <w:pPr>
        <w:pStyle w:val="TextBody"/>
        <w:bidi w:val="0"/>
        <w:spacing w:before="0" w:after="0"/>
        <w:ind w:left="3960" w:right="0" w:hanging="39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A securities rating is not a recommendation to buy, sell or hold securities and may be subject to revision or withdrawal at any time.</w:t>
      </w:r>
    </w:p>
    <w:p>
      <w:pPr>
        <w:pStyle w:val="TextBody"/>
        <w:bidi w:val="0"/>
        <w:spacing w:before="0" w:after="0"/>
        <w:ind w:left="3960" w:right="0" w:hanging="39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Pursuant to Rule 15c6-1 under the Securities Exchange Act of 1934, trades in the secondary market generally are required to settle in one business day unless the parties to any such trade expressly agree otherwise. Accordingly, purchasers of the notes who wish to trade the notes before the business day prior to the Settlement Date will be required, by virtue of the fact that the notes initially will settle in T+7, to specify an alternative settlement cycle at the time of any such trade to prevent failed settlement, and should consult their own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Company has filed a registration statement (including a prospectus) with the Securities and Exchange Commission (the “SEC”) for the offering to which this communication relates. Before you invest, you should read the prospectus in that registration statement and other documents the Company has filed with the SEC for more complete information about the Company and this offering. You may get these documents for free by visiting EDGAR on the SEC website at </w:t>
      </w:r>
      <w:r>
        <w:rPr>
          <w:rFonts w:ascii="Times New Roman;Times;Serif" w:hAnsi="Times New Roman;Times;Serif"/>
          <w:b/>
          <w:i/>
          <w:caps w:val="false"/>
          <w:smallCaps w:val="false"/>
          <w:sz w:val="20"/>
        </w:rPr>
        <w:t>www.sec.gov</w:t>
      </w:r>
      <w:r>
        <w:rPr>
          <w:rFonts w:ascii="Times New Roman;Times;Serif" w:hAnsi="Times New Roman;Times;Serif"/>
          <w:b/>
          <w:i w:val="false"/>
          <w:caps w:val="false"/>
          <w:smallCaps w:val="false"/>
          <w:sz w:val="20"/>
        </w:rPr>
        <w:t>. Alternatively, the Company, any underwriter or any dealer participating in the offering will arrange to send you the prospectus if you request it by calling Wells Fargo Securities, LLC toll-free at 1-800-645-3751, by calling Barclays Capital Inc. toll-free at 1-888-603-5847, by calling Mizuho Securities USA LLC toll-free at 1-866-271-7403 or by calling Truist Securities, Inc. toll-free at 1-800-685-4786.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legends, disclaimers or other notices that may appear below are not applicable to this communication and should be disregarded. Such legends, disclaimers or other notices have been automatically generated as a result of this communication having been sent via Bloomberg or another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797</Words>
  <Characters>4511</Characters>
  <CharactersWithSpaces>5310</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