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2023</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20th Floor New York, New York 10022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7045" w:type="dxa"/>
        <w:jc w:val="left"/>
        <w:tblInd w:w="0" w:type="dxa"/>
        <w:tblLayout w:type="fixed"/>
        <w:tblCellMar>
          <w:top w:w="28" w:type="dxa"/>
          <w:left w:w="28" w:type="dxa"/>
          <w:bottom w:w="28" w:type="dxa"/>
          <w:right w:w="28" w:type="dxa"/>
        </w:tblCellMar>
      </w:tblPr>
      <w:tblGrid>
        <w:gridCol w:w="1222"/>
        <w:gridCol w:w="1075"/>
        <w:gridCol w:w="1077"/>
        <w:gridCol w:w="109"/>
        <w:gridCol w:w="109"/>
        <w:gridCol w:w="109"/>
        <w:gridCol w:w="978"/>
        <w:gridCol w:w="978"/>
        <w:gridCol w:w="1388"/>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   No  </w:t>
            </w:r>
            <w:r>
              <w:rPr>
                <w:color w:val="000000"/>
              </w:rPr>
              <w:t>☒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July 25, 2023, VICI Properties Inc. had 1,013,428,150 shares of common stock, $0.01 par value per share, outstanding. VICI Properties L.P. has no common stock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and six months ended June 30, 2023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generally the entity that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“General Partner”), the sole general partner of VICI LP. As of June 30, 2023,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MGM Resorts International or its affiliates.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June 30, 2023.</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June 30, 2023,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5"/>
        <w:gridCol w:w="266"/>
        <w:gridCol w:w="266"/>
        <w:gridCol w:w="599"/>
        <w:gridCol w:w="599"/>
        <w:gridCol w:w="599"/>
        <w:gridCol w:w="2376"/>
        <w:gridCol w:w="2082"/>
        <w:gridCol w:w="2006"/>
        <w:gridCol w:w="322"/>
        <w:gridCol w:w="266"/>
        <w:gridCol w:w="409"/>
      </w:tblGrid>
      <w:tr>
        <w:trPr/>
        <w:tc>
          <w:tcPr>
            <w:tcW w:w="4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JUNE 30,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3">
              <w:r>
                <w:rPr>
                  <w:rStyle w:val="InternetLink"/>
                  <w:rFonts w:ascii="Times New Roman;sans-serif" w:hAnsi="Times New Roman;sans-serif"/>
                  <w:b/>
                  <w:color w:val="0000FF"/>
                  <w:sz w:val="20"/>
                  <w:u w:val="single"/>
                </w:rPr>
                <w:t>PART 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3">
              <w:r>
                <w:rPr>
                  <w:rStyle w:val="InternetLink"/>
                  <w:rFonts w:ascii="Times New Roman;sans-serif" w:hAnsi="Times New Roman;sans-serif"/>
                  <w:b/>
                  <w:color w:val="0000FF"/>
                  <w:sz w:val="20"/>
                  <w:u w:val="single"/>
                </w:rPr>
                <w:t>FINANCIAL INFORMATION</w:t>
              </w:r>
            </w:hyperlink>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3">
              <w:r>
                <w:rPr>
                  <w:rStyle w:val="InternetLink"/>
                  <w:rFonts w:ascii="Times New Roman;sans-serif" w:hAnsi="Times New Roman;sans-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3">
              <w:r>
                <w:rPr>
                  <w:rStyle w:val="InternetLink"/>
                  <w:rFonts w:ascii="Times New Roman;sans-serif" w:hAnsi="Times New Roman;sans-serif"/>
                  <w:b w:val="false"/>
                  <w:color w:val="0000FF"/>
                  <w:sz w:val="20"/>
                  <w:u w:val="single"/>
                </w:rPr>
                <w:t>Financial Statements of VICI Properties Inc.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3">
              <w:r>
                <w:rPr>
                  <w:rStyle w:val="InternetLink"/>
                  <w:rFonts w:ascii="Times New Roman;sans-serif" w:hAnsi="Times New Roman;sans-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9">
              <w:r>
                <w:rPr>
                  <w:rStyle w:val="InternetLink"/>
                  <w:rFonts w:ascii="Times New Roman;sans-serif" w:hAnsi="Times New Roman;sans-serif"/>
                  <w:b w:val="false"/>
                  <w:color w:val="0000FF"/>
                  <w:sz w:val="20"/>
                  <w:u w:val="single"/>
                </w:rPr>
                <w:t>Consolidated Balance Sheets as of June 30, 2023 and December 31,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9">
              <w:r>
                <w:rPr>
                  <w:rStyle w:val="InternetLink"/>
                  <w:rFonts w:ascii="Times New Roman;sans-serif" w:hAnsi="Times New Roman;sans-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22">
              <w:r>
                <w:rPr>
                  <w:rStyle w:val="InternetLink"/>
                  <w:rFonts w:ascii="Times New Roman;sans-serif" w:hAnsi="Times New Roman;sans-serif"/>
                  <w:b w:val="false"/>
                  <w:color w:val="0000FF"/>
                  <w:sz w:val="20"/>
                  <w:u w:val="single"/>
                </w:rPr>
                <w:t>Consolidated Statements of Operations and Comprehensive Income for the Three and Six Months Ended June 30, 2023 and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22">
              <w:r>
                <w:rPr>
                  <w:rStyle w:val="InternetLink"/>
                  <w:rFonts w:ascii="Times New Roman;sans-serif" w:hAnsi="Times New Roman;sans-serif"/>
                  <w:b w:val="false"/>
                  <w:color w:val="0000FF"/>
                  <w:sz w:val="20"/>
                  <w:u w:val="single"/>
                </w:rPr>
                <w:t>6</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25">
              <w:r>
                <w:rPr>
                  <w:rStyle w:val="InternetLink"/>
                  <w:rFonts w:ascii="Times New Roman;sans-serif" w:hAnsi="Times New Roman;sans-serif"/>
                  <w:b w:val="false"/>
                  <w:color w:val="0000FF"/>
                  <w:sz w:val="20"/>
                  <w:u w:val="single"/>
                </w:rPr>
                <w:t>Consolidated Statements of Stockholders’ Equity for the Three and Six Months Ended June 30, 2023 and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25">
              <w:r>
                <w:rPr>
                  <w:rStyle w:val="InternetLink"/>
                  <w:rFonts w:ascii="Times New Roman;sans-serif" w:hAnsi="Times New Roman;sans-serif"/>
                  <w:b w:val="false"/>
                  <w:color w:val="0000FF"/>
                  <w:sz w:val="20"/>
                  <w:u w:val="single"/>
                </w:rPr>
                <w:t>7</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28">
              <w:r>
                <w:rPr>
                  <w:rStyle w:val="InternetLink"/>
                  <w:rFonts w:ascii="Times New Roman;sans-serif" w:hAnsi="Times New Roman;sans-serif"/>
                  <w:b w:val="false"/>
                  <w:color w:val="0000FF"/>
                  <w:sz w:val="20"/>
                  <w:u w:val="single"/>
                </w:rPr>
                <w:t>Consolidated Statements of Cash Flows for the Six Months Ended June 30, 2023 and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28">
              <w:r>
                <w:rPr>
                  <w:rStyle w:val="InternetLink"/>
                  <w:rFonts w:ascii="Times New Roman;sans-serif" w:hAnsi="Times New Roman;sans-serif"/>
                  <w:b w:val="false"/>
                  <w:color w:val="0000FF"/>
                  <w:sz w:val="20"/>
                  <w:u w:val="single"/>
                </w:rPr>
                <w:t>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31">
              <w:r>
                <w:rPr>
                  <w:rStyle w:val="InternetLink"/>
                  <w:rFonts w:ascii="Times New Roman;sans-serif" w:hAnsi="Times New Roman;sans-serif"/>
                  <w:b w:val="false"/>
                  <w:color w:val="0000FF"/>
                  <w:sz w:val="20"/>
                  <w:u w:val="single"/>
                </w:rPr>
                <w:t>Financial Statements of VICI Properties L.P.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31">
              <w:r>
                <w:rPr>
                  <w:rStyle w:val="InternetLink"/>
                  <w:rFonts w:ascii="Times New Roman;sans-serif" w:hAnsi="Times New Roman;sans-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34">
              <w:r>
                <w:rPr>
                  <w:rStyle w:val="InternetLink"/>
                  <w:rFonts w:ascii="Times New Roman;sans-serif" w:hAnsi="Times New Roman;sans-serif"/>
                  <w:b w:val="false"/>
                  <w:color w:val="0000FF"/>
                  <w:sz w:val="20"/>
                  <w:u w:val="single"/>
                </w:rPr>
                <w:t>Consolidated Balance Sheets as of June 30, 2023 and December 31,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34">
              <w:r>
                <w:rPr>
                  <w:rStyle w:val="InternetLink"/>
                  <w:rFonts w:ascii="Times New Roman;sans-serif" w:hAnsi="Times New Roman;sans-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37">
              <w:r>
                <w:rPr>
                  <w:rStyle w:val="InternetLink"/>
                  <w:rFonts w:ascii="Times New Roman;sans-serif" w:hAnsi="Times New Roman;sans-serif"/>
                  <w:b w:val="false"/>
                  <w:color w:val="0000FF"/>
                  <w:sz w:val="20"/>
                  <w:u w:val="single"/>
                </w:rPr>
                <w:t>Consolidated Statements of Operations and Comprehensive Income for the Three and Six Months Ended June 30, 2023 and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37">
              <w:r>
                <w:rPr>
                  <w:rStyle w:val="InternetLink"/>
                  <w:rFonts w:ascii="Times New Roman;sans-serif" w:hAnsi="Times New Roman;sans-serif"/>
                  <w:b w:val="false"/>
                  <w:color w:val="0000FF"/>
                  <w:sz w:val="20"/>
                  <w:u w:val="single"/>
                </w:rPr>
                <w:t>12</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40">
              <w:r>
                <w:rPr>
                  <w:rStyle w:val="InternetLink"/>
                  <w:rFonts w:ascii="Times New Roman;sans-serif" w:hAnsi="Times New Roman;sans-serif"/>
                  <w:b w:val="false"/>
                  <w:color w:val="0000FF"/>
                  <w:sz w:val="20"/>
                  <w:u w:val="single"/>
                </w:rPr>
                <w:t>Consolidated Statements of Partners’ Capital for the Three and Six Months Ended June 30, 2023 and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40">
              <w:r>
                <w:rPr>
                  <w:rStyle w:val="InternetLink"/>
                  <w:rFonts w:ascii="Times New Roman;sans-serif" w:hAnsi="Times New Roman;sans-serif"/>
                  <w:b w:val="false"/>
                  <w:color w:val="0000FF"/>
                  <w:sz w:val="20"/>
                  <w:u w:val="single"/>
                </w:rPr>
                <w:t>13</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43">
              <w:r>
                <w:rPr>
                  <w:rStyle w:val="InternetLink"/>
                  <w:rFonts w:ascii="Times New Roman;sans-serif" w:hAnsi="Times New Roman;sans-serif"/>
                  <w:b w:val="false"/>
                  <w:color w:val="0000FF"/>
                  <w:sz w:val="20"/>
                  <w:u w:val="single"/>
                </w:rPr>
                <w:t>Consolidated Statements of Cash Flows for the Six Months Ended June 30, 2023 and 2022</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43">
              <w:r>
                <w:rPr>
                  <w:rStyle w:val="InternetLink"/>
                  <w:rFonts w:ascii="Times New Roman;sans-serif" w:hAnsi="Times New Roman;sans-serif"/>
                  <w:b w:val="false"/>
                  <w:color w:val="0000FF"/>
                  <w:sz w:val="20"/>
                  <w:u w:val="single"/>
                </w:rPr>
                <w:t>15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46">
              <w:r>
                <w:rPr>
                  <w:rStyle w:val="InternetLink"/>
                  <w:rFonts w:ascii="Times New Roman;sans-serif" w:hAnsi="Times New Roman;sans-serif"/>
                  <w:b w:val="false"/>
                  <w:color w:val="0000FF"/>
                  <w:sz w:val="20"/>
                  <w:u w:val="single"/>
                </w:rPr>
                <w:t>Notes to Consolidated Financial Statements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46">
              <w:r>
                <w:rPr>
                  <w:rStyle w:val="InternetLink"/>
                  <w:rFonts w:ascii="Times New Roman;sans-serif" w:hAnsi="Times New Roman;sans-serif"/>
                  <w:b w:val="false"/>
                  <w:color w:val="0000FF"/>
                  <w:sz w:val="20"/>
                  <w:u w:val="single"/>
                </w:rPr>
                <w:t>17</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91">
              <w:r>
                <w:rPr>
                  <w:rStyle w:val="InternetLink"/>
                  <w:rFonts w:ascii="Times New Roman;sans-serif" w:hAnsi="Times New Roman;sans-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91">
              <w:r>
                <w:rPr>
                  <w:rStyle w:val="InternetLink"/>
                  <w:rFonts w:ascii="Times New Roman;sans-serif" w:hAnsi="Times New Roman;sans-serif"/>
                  <w:b w:val="false"/>
                  <w:color w:val="0000FF"/>
                  <w:sz w:val="20"/>
                  <w:u w:val="single"/>
                </w:rPr>
                <w:t>52</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94">
              <w:r>
                <w:rPr>
                  <w:rStyle w:val="InternetLink"/>
                  <w:rFonts w:ascii="Times New Roman;sans-serif" w:hAnsi="Times New Roman;sans-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94">
              <w:r>
                <w:rPr>
                  <w:rStyle w:val="InternetLink"/>
                  <w:rFonts w:ascii="Times New Roman;sans-serif" w:hAnsi="Times New Roman;sans-serif"/>
                  <w:b w:val="false"/>
                  <w:color w:val="0000FF"/>
                  <w:sz w:val="20"/>
                  <w:u w:val="single"/>
                </w:rPr>
                <w:t>Quantitative and Qualitative Disclosures About Market Risk</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94">
              <w:r>
                <w:rPr>
                  <w:rStyle w:val="InternetLink"/>
                  <w:rFonts w:ascii="Times New Roman;sans-serif" w:hAnsi="Times New Roman;sans-serif"/>
                  <w:b w:val="false"/>
                  <w:color w:val="0000FF"/>
                  <w:sz w:val="20"/>
                  <w:u w:val="single"/>
                </w:rPr>
                <w:t>68</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97">
              <w:r>
                <w:rPr>
                  <w:rStyle w:val="InternetLink"/>
                  <w:rFonts w:ascii="Times New Roman;sans-serif" w:hAnsi="Times New Roman;sans-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97">
              <w:r>
                <w:rPr>
                  <w:rStyle w:val="InternetLink"/>
                  <w:rFonts w:ascii="Times New Roman;sans-serif" w:hAnsi="Times New Roman;sans-serif"/>
                  <w:b w:val="false"/>
                  <w:color w:val="0000FF"/>
                  <w:sz w:val="20"/>
                  <w:u w:val="single"/>
                </w:rPr>
                <w:t>Controls and Procedures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97">
              <w:r>
                <w:rPr>
                  <w:rStyle w:val="InternetLink"/>
                  <w:rFonts w:ascii="Times New Roman;sans-serif" w:hAnsi="Times New Roman;sans-serif"/>
                  <w:b w:val="false"/>
                  <w:color w:val="0000FF"/>
                  <w:sz w:val="20"/>
                  <w:u w:val="single"/>
                </w:rPr>
                <w:t>69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0">
              <w:r>
                <w:rPr>
                  <w:rStyle w:val="InternetLink"/>
                  <w:rFonts w:ascii="Times New Roman;sans-serif" w:hAnsi="Times New Roman;sans-serif"/>
                  <w:b/>
                  <w:color w:val="0000FF"/>
                  <w:sz w:val="20"/>
                  <w:u w:val="single"/>
                </w:rPr>
                <w:t>PART II.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0">
              <w:r>
                <w:rPr>
                  <w:rStyle w:val="InternetLink"/>
                  <w:rFonts w:ascii="Times New Roman;sans-serif" w:hAnsi="Times New Roman;sans-serif"/>
                  <w:b/>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3">
              <w:r>
                <w:rPr>
                  <w:rStyle w:val="InternetLink"/>
                  <w:rFonts w:ascii="Times New Roman;sans-serif" w:hAnsi="Times New Roman;sans-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3">
              <w:r>
                <w:rPr>
                  <w:rStyle w:val="InternetLink"/>
                  <w:rFonts w:ascii="Times New Roman;sans-serif" w:hAnsi="Times New Roman;sans-serif"/>
                  <w:b w:val="false"/>
                  <w:color w:val="0000FF"/>
                  <w:sz w:val="20"/>
                  <w:u w:val="single"/>
                </w:rPr>
                <w:t>Legal Proceedings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03">
              <w:r>
                <w:rPr>
                  <w:rStyle w:val="InternetLink"/>
                  <w:rFonts w:ascii="Times New Roman;sans-serif" w:hAnsi="Times New Roman;sans-serif"/>
                  <w:b w:val="false"/>
                  <w:color w:val="0000FF"/>
                  <w:sz w:val="20"/>
                  <w:u w:val="single"/>
                </w:rPr>
                <w:t>70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6">
              <w:r>
                <w:rPr>
                  <w:rStyle w:val="InternetLink"/>
                  <w:rFonts w:ascii="Times New Roman;sans-serif" w:hAnsi="Times New Roman;sans-serif"/>
                  <w:b w:val="false"/>
                  <w:color w:val="0000FF"/>
                  <w:sz w:val="20"/>
                  <w:u w:val="single"/>
                </w:rPr>
                <w:t>Item 1A.</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6">
              <w:r>
                <w:rPr>
                  <w:rStyle w:val="InternetLink"/>
                  <w:rFonts w:ascii="Times New Roman;sans-serif" w:hAnsi="Times New Roman;sans-serif"/>
                  <w:b w:val="false"/>
                  <w:color w:val="0000FF"/>
                  <w:sz w:val="20"/>
                  <w:u w:val="single"/>
                </w:rPr>
                <w:t>Risk Factors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06">
              <w:r>
                <w:rPr>
                  <w:rStyle w:val="InternetLink"/>
                  <w:rFonts w:ascii="Times New Roman;sans-serif" w:hAnsi="Times New Roman;sans-serif"/>
                  <w:b w:val="false"/>
                  <w:color w:val="0000FF"/>
                  <w:sz w:val="20"/>
                  <w:u w:val="single"/>
                </w:rPr>
                <w:t>70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9">
              <w:r>
                <w:rPr>
                  <w:rStyle w:val="InternetLink"/>
                  <w:rFonts w:ascii="Times New Roman;sans-serif" w:hAnsi="Times New Roman;sans-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09">
              <w:r>
                <w:rPr>
                  <w:rStyle w:val="InternetLink"/>
                  <w:rFonts w:ascii="Times New Roman;sans-serif" w:hAnsi="Times New Roman;sans-serif"/>
                  <w:b w:val="false"/>
                  <w:color w:val="0000FF"/>
                  <w:sz w:val="20"/>
                  <w:u w:val="single"/>
                </w:rPr>
                <w:t>Unregistered Sales of Equity Securities and Use of Proceeds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09">
              <w:r>
                <w:rPr>
                  <w:rStyle w:val="InternetLink"/>
                  <w:rFonts w:ascii="Times New Roman;sans-serif" w:hAnsi="Times New Roman;sans-serif"/>
                  <w:b w:val="false"/>
                  <w:color w:val="0000FF"/>
                  <w:sz w:val="20"/>
                  <w:u w:val="single"/>
                </w:rPr>
                <w:t>70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12">
              <w:r>
                <w:rPr>
                  <w:rStyle w:val="InternetLink"/>
                  <w:rFonts w:ascii="Times New Roman;sans-serif" w:hAnsi="Times New Roman;sans-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12">
              <w:r>
                <w:rPr>
                  <w:rStyle w:val="InternetLink"/>
                  <w:rFonts w:ascii="Times New Roman;sans-serif" w:hAnsi="Times New Roman;sans-serif"/>
                  <w:b w:val="false"/>
                  <w:color w:val="0000FF"/>
                  <w:sz w:val="20"/>
                  <w:u w:val="single"/>
                </w:rPr>
                <w:t>Defaults Upon Senior Securities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12">
              <w:r>
                <w:rPr>
                  <w:rStyle w:val="InternetLink"/>
                  <w:rFonts w:ascii="Times New Roman;sans-serif" w:hAnsi="Times New Roman;sans-serif"/>
                  <w:b w:val="false"/>
                  <w:color w:val="0000FF"/>
                  <w:sz w:val="20"/>
                  <w:u w:val="single"/>
                </w:rPr>
                <w:t>70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15">
              <w:r>
                <w:rPr>
                  <w:rStyle w:val="InternetLink"/>
                  <w:rFonts w:ascii="Times New Roman;sans-serif" w:hAnsi="Times New Roman;sans-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15">
              <w:r>
                <w:rPr>
                  <w:rStyle w:val="InternetLink"/>
                  <w:rFonts w:ascii="Times New Roman;sans-serif" w:hAnsi="Times New Roman;sans-serif"/>
                  <w:b w:val="false"/>
                  <w:color w:val="0000FF"/>
                  <w:sz w:val="20"/>
                  <w:u w:val="single"/>
                </w:rPr>
                <w:t>Mine Safety Disclosures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15">
              <w:r>
                <w:rPr>
                  <w:rStyle w:val="InternetLink"/>
                  <w:rFonts w:ascii="Times New Roman;sans-serif" w:hAnsi="Times New Roman;sans-serif"/>
                  <w:b w:val="false"/>
                  <w:color w:val="0000FF"/>
                  <w:sz w:val="20"/>
                  <w:u w:val="single"/>
                </w:rPr>
                <w:t>70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18">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18">
              <w:r>
                <w:rPr>
                  <w:rStyle w:val="InternetLink"/>
                  <w:rFonts w:ascii="Times New Roman;sans-serif" w:hAnsi="Times New Roman;sans-serif"/>
                  <w:b w:val="false"/>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18">
              <w:r>
                <w:rPr>
                  <w:rStyle w:val="InternetLink"/>
                  <w:rFonts w:ascii="Times New Roman;sans-serif" w:hAnsi="Times New Roman;sans-serif"/>
                  <w:b w:val="false"/>
                  <w:color w:val="0000FF"/>
                  <w:sz w:val="20"/>
                  <w:u w:val="single"/>
                </w:rPr>
                <w:t>71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21">
              <w:r>
                <w:rPr>
                  <w:rStyle w:val="InternetLink"/>
                  <w:rFonts w:ascii="Times New Roman;sans-serif" w:hAnsi="Times New Roman;sans-serif"/>
                  <w:b w:val="false"/>
                  <w:color w:val="0000FF"/>
                  <w:sz w:val="20"/>
                  <w:u w:val="single"/>
                </w:rPr>
                <w:t>Item 6.</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21">
              <w:r>
                <w:rPr>
                  <w:rStyle w:val="InternetLink"/>
                  <w:rFonts w:ascii="Times New Roman;sans-serif" w:hAnsi="Times New Roman;sans-serif"/>
                  <w:b w:val="false"/>
                  <w:color w:val="0000FF"/>
                  <w:sz w:val="20"/>
                  <w:u w:val="single"/>
                </w:rPr>
                <w:t>Exhibits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21">
              <w:r>
                <w:rPr>
                  <w:rStyle w:val="InternetLink"/>
                  <w:rFonts w:ascii="Times New Roman;sans-serif" w:hAnsi="Times New Roman;sans-serif"/>
                  <w:b w:val="false"/>
                  <w:color w:val="0000FF"/>
                  <w:sz w:val="20"/>
                  <w:u w:val="single"/>
                </w:rPr>
                <w:t>71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5091383b7b3347698086ad89a18ea40d_124">
              <w:r>
                <w:rPr>
                  <w:rStyle w:val="InternetLink"/>
                  <w:rFonts w:ascii="Times New Roman;sans-serif" w:hAnsi="Times New Roman;sans-serif"/>
                  <w:b/>
                  <w:color w:val="0000FF"/>
                  <w:sz w:val="20"/>
                  <w:u w:val="single"/>
                </w:rPr>
                <w:t>Signatures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091383b7b3347698086ad89a18ea40d_124">
              <w:r>
                <w:rPr>
                  <w:rStyle w:val="InternetLink"/>
                  <w:rFonts w:ascii="Times New Roman;sans-serif" w:hAnsi="Times New Roman;sans-serif"/>
                  <w:b w:val="false"/>
                  <w:color w:val="0000FF"/>
                  <w:sz w:val="20"/>
                  <w:u w:val="single"/>
                </w:rPr>
                <w:t>72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2"/>
        <w:gridCol w:w="2099"/>
        <w:gridCol w:w="2132"/>
        <w:gridCol w:w="211"/>
        <w:gridCol w:w="1081"/>
        <w:gridCol w:w="109"/>
        <w:gridCol w:w="109"/>
        <w:gridCol w:w="109"/>
        <w:gridCol w:w="109"/>
        <w:gridCol w:w="219"/>
        <w:gridCol w:w="1123"/>
        <w:gridCol w:w="162"/>
      </w:tblGrid>
      <w:tr>
        <w:trPr/>
        <w:tc>
          <w:tcPr>
            <w:tcW w:w="2742"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18,166,035 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15,285,713 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1,007,426,510 and 963,096,563 shares issued and outstanding at June 30, 2023 and December 31, 2022, respectively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June 30, 2023 and December 31, 2022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21,645,499 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23,716,716 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21,933,637 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24,084,575 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22,290,113 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42,250,610 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37,575,826 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June 30, 2023 and December 31, 2022, our Investments in leases - sales-type, Investments in leases - financing receivables, Investments in loans and securities, and Other assets (sales-type sub-leases) are net of allowance for credit losses of $711.2 million, $670.0 million, $13.5 million and $16.3 million, respectively, and $570.4 million, $726.7 million, $6.9 million and $19.8 million, respectively. Refer to </w:t>
      </w:r>
      <w:hyperlink w:anchor="i5091383b7b3347698086ad89a18ea40d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83"/>
        <w:gridCol w:w="1102"/>
        <w:gridCol w:w="1113"/>
        <w:gridCol w:w="271"/>
        <w:gridCol w:w="1065"/>
        <w:gridCol w:w="109"/>
        <w:gridCol w:w="109"/>
        <w:gridCol w:w="109"/>
        <w:gridCol w:w="109"/>
        <w:gridCol w:w="241"/>
        <w:gridCol w:w="945"/>
        <w:gridCol w:w="109"/>
        <w:gridCol w:w="109"/>
        <w:gridCol w:w="109"/>
        <w:gridCol w:w="109"/>
        <w:gridCol w:w="237"/>
        <w:gridCol w:w="1099"/>
        <w:gridCol w:w="109"/>
        <w:gridCol w:w="109"/>
        <w:gridCol w:w="109"/>
        <w:gridCol w:w="109"/>
        <w:gridCol w:w="241"/>
        <w:gridCol w:w="945"/>
        <w:gridCol w:w="155"/>
      </w:tblGrid>
      <w:tr>
        <w:trPr/>
        <w:tc>
          <w:tcPr>
            <w:tcW w:w="148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common stockholders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(loss) per common share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791,029,664 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793,224,837 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379,120 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415" w:type="dxa"/>
        <w:jc w:val="center"/>
        <w:tblInd w:w="0" w:type="dxa"/>
        <w:tblLayout w:type="fixed"/>
        <w:tblCellMar>
          <w:top w:w="28" w:type="dxa"/>
          <w:left w:w="28" w:type="dxa"/>
          <w:bottom w:w="28" w:type="dxa"/>
          <w:right w:w="28" w:type="dxa"/>
        </w:tblCellMar>
      </w:tblPr>
      <w:tblGrid>
        <w:gridCol w:w="666"/>
        <w:gridCol w:w="282"/>
        <w:gridCol w:w="283"/>
        <w:gridCol w:w="196"/>
        <w:gridCol w:w="556"/>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12,108,268 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12,187,174 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3,218,097 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($0.3600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15,483,786 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VICI OP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($0.3600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21,644,198 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197,275 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21,762,494 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22,114,887 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180" w:after="283"/>
        <w:jc w:val="both"/>
        <w:rPr/>
      </w:pPr>
      <w:r>
        <w:rPr/>
      </w:r>
    </w:p>
    <w:tbl>
      <w:tblPr>
        <w:tblW w:w="11505"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23,674,535 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23,014,913 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173,670 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23,716,716 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24,084,575 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161" w:type="dxa"/>
        <w:jc w:val="center"/>
        <w:tblInd w:w="0" w:type="dxa"/>
        <w:tblLayout w:type="fixed"/>
        <w:tblCellMar>
          <w:top w:w="28" w:type="dxa"/>
          <w:left w:w="28" w:type="dxa"/>
          <w:bottom w:w="28" w:type="dxa"/>
          <w:right w:w="28" w:type="dxa"/>
        </w:tblCellMar>
      </w:tblPr>
      <w:tblGrid>
        <w:gridCol w:w="2654"/>
        <w:gridCol w:w="2336"/>
        <w:gridCol w:w="2344"/>
        <w:gridCol w:w="211"/>
        <w:gridCol w:w="976"/>
        <w:gridCol w:w="109"/>
        <w:gridCol w:w="109"/>
        <w:gridCol w:w="109"/>
        <w:gridCol w:w="109"/>
        <w:gridCol w:w="213"/>
        <w:gridCol w:w="837"/>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MGP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before="180" w:after="283"/>
        <w:jc w:val="both"/>
        <w:rPr/>
      </w:pPr>
      <w:r>
        <w:rPr/>
      </w:r>
    </w:p>
    <w:tbl>
      <w:tblPr>
        <w:tblW w:w="9098" w:type="dxa"/>
        <w:jc w:val="center"/>
        <w:tblInd w:w="0" w:type="dxa"/>
        <w:tblLayout w:type="fixed"/>
        <w:tblCellMar>
          <w:top w:w="28" w:type="dxa"/>
          <w:left w:w="28" w:type="dxa"/>
          <w:bottom w:w="28" w:type="dxa"/>
          <w:right w:w="28" w:type="dxa"/>
        </w:tblCellMar>
      </w:tblPr>
      <w:tblGrid>
        <w:gridCol w:w="2329"/>
        <w:gridCol w:w="2050"/>
        <w:gridCol w:w="2055"/>
        <w:gridCol w:w="211"/>
        <w:gridCol w:w="826"/>
        <w:gridCol w:w="109"/>
        <w:gridCol w:w="109"/>
        <w:gridCol w:w="109"/>
        <w:gridCol w:w="109"/>
        <w:gridCol w:w="211"/>
        <w:gridCol w:w="826"/>
        <w:gridCol w:w="154"/>
      </w:tblGrid>
      <w:tr>
        <w:trPr/>
        <w:tc>
          <w:tcPr>
            <w:tcW w:w="2329"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April 2022 Notes offering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06"/>
        <w:gridCol w:w="2111"/>
        <w:gridCol w:w="2144"/>
        <w:gridCol w:w="211"/>
        <w:gridCol w:w="1081"/>
        <w:gridCol w:w="109"/>
        <w:gridCol w:w="109"/>
        <w:gridCol w:w="109"/>
        <w:gridCol w:w="109"/>
        <w:gridCol w:w="221"/>
        <w:gridCol w:w="1132"/>
        <w:gridCol w:w="163"/>
      </w:tblGrid>
      <w:tr>
        <w:trPr/>
        <w:tc>
          <w:tcPr>
            <w:tcW w:w="2706"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affiliate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15,264,554 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1,019,657,883 and 975,327,936 operating partnership units issued and outstanding as of June 30, 2023 and December 31, 2022,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21,900,511 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22,085,712 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attributable to partners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22,165,216 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42,122,426 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37,429,770 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June 30, 2023 and December 31, 2022, our Investments in leases - sales-type, Investments in leases - financing receivables, Investments in loans and securities, and Other assets (sales-type sub-leases) are net of allowance for credit losses of $711.2 million, $670.0 million, $13.5 million and $16.3 million, respectively, and $570.4 million, $726.7 million, $6.9 million and $19.8 million, respectively. Refer to </w:t>
      </w:r>
      <w:hyperlink w:anchor="i5091383b7b3347698086ad89a18ea40d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546"/>
        <w:gridCol w:w="1219"/>
        <w:gridCol w:w="1231"/>
        <w:gridCol w:w="271"/>
        <w:gridCol w:w="1065"/>
        <w:gridCol w:w="109"/>
        <w:gridCol w:w="109"/>
        <w:gridCol w:w="109"/>
        <w:gridCol w:w="109"/>
        <w:gridCol w:w="211"/>
        <w:gridCol w:w="826"/>
        <w:gridCol w:w="109"/>
        <w:gridCol w:w="109"/>
        <w:gridCol w:w="109"/>
        <w:gridCol w:w="109"/>
        <w:gridCol w:w="237"/>
        <w:gridCol w:w="1099"/>
        <w:gridCol w:w="109"/>
        <w:gridCol w:w="109"/>
        <w:gridCol w:w="109"/>
        <w:gridCol w:w="109"/>
        <w:gridCol w:w="211"/>
        <w:gridCol w:w="826"/>
        <w:gridCol w:w="155"/>
      </w:tblGrid>
      <w:tr>
        <w:trPr/>
        <w:tc>
          <w:tcPr>
            <w:tcW w:w="154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partners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(loss) per Partnership unit</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905,013,754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795,286,993</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1,020,199,795 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905,013,754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797,482,166</w:t>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partners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371,703 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12,010,698 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12,090,488 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15,198,823 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109,495 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79,108 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15,387,426 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6,949,119 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6,949,119 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21,712,517 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197,275 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21,988,725 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23,566,354 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23,720,576 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173,375 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23,974,225 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161" w:type="dxa"/>
        <w:jc w:val="left"/>
        <w:tblInd w:w="0" w:type="dxa"/>
        <w:tblLayout w:type="fixed"/>
        <w:tblCellMar>
          <w:top w:w="28" w:type="dxa"/>
          <w:left w:w="28" w:type="dxa"/>
          <w:bottom w:w="28" w:type="dxa"/>
          <w:right w:w="28" w:type="dxa"/>
        </w:tblCellMar>
      </w:tblPr>
      <w:tblGrid>
        <w:gridCol w:w="2654"/>
        <w:gridCol w:w="2336"/>
        <w:gridCol w:w="2344"/>
        <w:gridCol w:w="211"/>
        <w:gridCol w:w="976"/>
        <w:gridCol w:w="109"/>
        <w:gridCol w:w="109"/>
        <w:gridCol w:w="109"/>
        <w:gridCol w:w="109"/>
        <w:gridCol w:w="213"/>
        <w:gridCol w:w="837"/>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MGP Transactions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(4,012,828)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(8,641,700)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8994" w:type="dxa"/>
        <w:jc w:val="left"/>
        <w:tblInd w:w="0" w:type="dxa"/>
        <w:tblLayout w:type="fixed"/>
        <w:tblCellMar>
          <w:top w:w="28" w:type="dxa"/>
          <w:left w:w="28" w:type="dxa"/>
          <w:bottom w:w="28" w:type="dxa"/>
          <w:right w:w="28" w:type="dxa"/>
        </w:tblCellMar>
      </w:tblPr>
      <w:tblGrid>
        <w:gridCol w:w="2291"/>
        <w:gridCol w:w="2017"/>
        <w:gridCol w:w="2022"/>
        <w:gridCol w:w="211"/>
        <w:gridCol w:w="826"/>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April 2022 Notes offering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Obtaining right-of-use assets in exchange for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Apollo” refers to Apollo Global Management, Inc., a Delaware corporation, and, as the context requires, certain of its subsidiaries and affiliates.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April 2022 Notes” refer collectively to (i) the $500.0 million aggregate principal amount of 4.375% senior unsecured notes due 2025, (ii) the $1,250.0 million aggregate principal amount of 4.750% senior unsecured notes due 2028, (iii) the $1,000.0 million aggregate principal amount of 4.950% senior unsecured notes due 2030, (iv) the $1,500.0 million aggregate principal amount of 5.125% senior unsecured notes due 2032, and (v) the $750.0 million aggregate principal amount of 5.625% senior unsecured notes due 2052, in each case issued by VICI LP in April 2022.</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refers to Caesars Entertainment, Inc., a Delaware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Las Vegas Master Lease” refers to the lease agreement for Caesars Palace Las Vegas and the Harrah’s Las Vegas facilities,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Leases” refer collectively to the Caesars Las Vegas Master Lease, the Caesars Regional Master Lease and the Joliet Lease, in each case, unless the context otherwise requires.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Caesars Regional Master Lease” refers to the lease agreement for the regional properties (other than the facility in Joliet, Illinois) leased to Caesars,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Century Casinos” refers to Century Casinos, Inc., a Delaware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Century Master Lease” refers to the lease agreement for the (i) Mountaineer Casino, Racetrack &amp; Resort located in New Cumberland, West Virginia, (ii) Century Casino Caruthersville located in Caruthersville, Missouri and (iii) Century Casino Cape Girardeau located in Cape Girardeau, Missouri, as amended from time to time.</w:t>
      </w:r>
    </w:p>
    <w:p>
      <w:pPr>
        <w:pStyle w:val="TextBody"/>
        <w:bidi w:val="0"/>
        <w:spacing w:lineRule="auto" w:line="288" w:before="120" w:after="283"/>
        <w:jc w:val="both"/>
        <w:rPr/>
      </w:pPr>
      <w:r>
        <w:rPr>
          <w:color w:val="000000"/>
        </w:rPr>
        <w:t>“</w:t>
      </w:r>
      <w:r>
        <w:rPr>
          <w:rFonts w:ascii="Times New Roman;sans-serif" w:hAnsi="Times New Roman;sans-serif"/>
          <w:b w:val="false"/>
          <w:i/>
          <w:color w:val="000000"/>
          <w:sz w:val="20"/>
        </w:rPr>
        <w:t>CNB” refers to Cherokee Nation Businesses, L.L.C., and, as the context requires, its subsidiaries.</w:t>
      </w:r>
      <w:r>
        <w:rPr>
          <w:color w:val="000000"/>
        </w:rPr>
        <w:t xml:space="preserve">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Co-Issuer” refers to VICI Note Co. Inc., a Delaware corporation, and co-issuer of the November 2019 Notes, February 2020 Notes and Exchange Notes. </w:t>
      </w:r>
    </w:p>
    <w:p>
      <w:pPr>
        <w:pStyle w:val="TextBody"/>
        <w:bidi w:val="0"/>
        <w:spacing w:lineRule="auto" w:line="288" w:before="120" w:after="283"/>
        <w:jc w:val="both"/>
        <w:rPr>
          <w:color w:val="000000"/>
          <w:shd w:fill="FFFFFF" w:val="clear"/>
        </w:rPr>
      </w:pPr>
      <w:r>
        <w:rPr>
          <w:color w:val="000000"/>
          <w:shd w:fill="FFFFFF" w:val="clear"/>
        </w:rPr>
        <w:t>“</w:t>
      </w:r>
      <w:r>
        <w:rPr>
          <w:rFonts w:ascii="Times New Roman;sans-serif" w:hAnsi="Times New Roman;sans-serif"/>
          <w:b w:val="false"/>
          <w:i/>
          <w:color w:val="000000"/>
          <w:sz w:val="20"/>
          <w:shd w:fill="FFFFFF" w:val="clear"/>
        </w:rPr>
        <w:t>Credit Agreement” refers to the Credit Agreement, dated as of February 8, 2022, by and among VICI LP, the lenders from time to time party thereto, and JPMorgan Chase Bank, N.A., as administrative agent,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Credit Facilities” refer collectively to the Delayed Draw Term Loan and the Revolving Credit Facility.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Delayed Draw Term Loan” refers to the three-year unsecured delayed draw term loan facility of VICI LP provided under the Credit Agreement entered into in February 2022, which expired undrawn in accordance with its terms on February 8, 2023.</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EBCI” refers to the Eastern Band of Cherokee Indians, a federally recognized Tribe located in western North Carolina, and, as the context requires, its subsidiary and affiliate entities.</w:t>
      </w:r>
    </w:p>
    <w:p>
      <w:pPr>
        <w:pStyle w:val="TextBody"/>
        <w:bidi w:val="0"/>
        <w:spacing w:lineRule="auto" w:line="288" w:before="120" w:after="283"/>
        <w:jc w:val="both"/>
        <w:rPr/>
      </w:pPr>
      <w:r>
        <w:rPr>
          <w:color w:val="000000"/>
        </w:rPr>
        <w:t>“</w:t>
      </w:r>
      <w:r>
        <w:rPr>
          <w:rFonts w:ascii="Times New Roman;sans-serif" w:hAnsi="Times New Roman;sans-serif"/>
          <w:b w:val="false"/>
          <w:i/>
          <w:color w:val="000000"/>
          <w:sz w:val="20"/>
        </w:rPr>
        <w:t xml:space="preserve">Exchange Notes” refer collectively to (i) </w:t>
      </w:r>
      <w:r>
        <w:rPr>
          <w:rFonts w:ascii="Times New Roman;sans-serif" w:hAnsi="Times New Roman;sans-serif"/>
          <w:b w:val="false"/>
          <w:i/>
          <w:color w:val="000000"/>
          <w:sz w:val="20"/>
          <w:shd w:fill="FFFFFF" w:val="clear"/>
        </w:rPr>
        <w:t xml:space="preserve">the </w:t>
      </w:r>
      <w:r>
        <w:rPr>
          <w:rFonts w:ascii="Times New Roman;sans-serif" w:hAnsi="Times New Roman;sans-serif"/>
          <w:b w:val="false"/>
          <w:i/>
          <w:color w:val="000000"/>
          <w:sz w:val="20"/>
        </w:rPr>
        <w:t>$1,024.2 million</w:t>
      </w:r>
      <w:r>
        <w:rPr>
          <w:color w:val="000000"/>
          <w:shd w:fill="FFFFFF" w:val="clear"/>
        </w:rPr>
        <w:t xml:space="preserve"> </w:t>
      </w:r>
      <w:r>
        <w:rPr>
          <w:rFonts w:ascii="Times New Roman;sans-serif" w:hAnsi="Times New Roman;sans-serif"/>
          <w:b w:val="false"/>
          <w:i/>
          <w:color w:val="000000"/>
          <w:sz w:val="20"/>
          <w:shd w:fill="FFFFFF" w:val="clear"/>
        </w:rPr>
        <w:t xml:space="preserve">aggregate principal amount of </w:t>
      </w:r>
      <w:r>
        <w:rPr>
          <w:rFonts w:ascii="Times New Roman;sans-serif" w:hAnsi="Times New Roman;sans-serif"/>
          <w:b w:val="false"/>
          <w:i/>
          <w:color w:val="000000"/>
          <w:sz w:val="20"/>
        </w:rPr>
        <w:t>5.625% senior unsecured notes due 2024, (ii) the</w:t>
      </w:r>
      <w:r>
        <w:rPr>
          <w:color w:val="000000"/>
          <w:shd w:fill="FFFFFF" w:val="clear"/>
        </w:rPr>
        <w:t xml:space="preserve"> </w:t>
      </w:r>
      <w:r>
        <w:rPr>
          <w:rFonts w:ascii="Times New Roman;sans-serif" w:hAnsi="Times New Roman;sans-serif"/>
          <w:b w:val="false"/>
          <w:i/>
          <w:color w:val="000000"/>
          <w:sz w:val="20"/>
        </w:rPr>
        <w:t>$799.4 million</w:t>
      </w:r>
      <w:r>
        <w:rPr>
          <w:color w:val="000000"/>
          <w:shd w:fill="FFFFFF" w:val="clear"/>
        </w:rPr>
        <w:t xml:space="preserve"> </w:t>
      </w:r>
      <w:r>
        <w:rPr>
          <w:rFonts w:ascii="Times New Roman;sans-serif" w:hAnsi="Times New Roman;sans-serif"/>
          <w:b w:val="false"/>
          <w:i/>
          <w:color w:val="000000"/>
          <w:sz w:val="20"/>
          <w:shd w:fill="FFFFFF" w:val="clear"/>
        </w:rPr>
        <w:t xml:space="preserve">aggregate principal amount of </w:t>
      </w:r>
      <w:r>
        <w:rPr>
          <w:rFonts w:ascii="Times New Roman;sans-serif" w:hAnsi="Times New Roman;sans-serif"/>
          <w:b w:val="false"/>
          <w:i/>
          <w:color w:val="000000"/>
          <w:sz w:val="20"/>
        </w:rPr>
        <w:t>4.625% senior unsecured notes due 2025, (iii) the</w:t>
      </w:r>
      <w:r>
        <w:rPr>
          <w:color w:val="000000"/>
          <w:shd w:fill="FFFFFF" w:val="clear"/>
        </w:rPr>
        <w:t xml:space="preserve"> </w:t>
      </w:r>
      <w:r>
        <w:rPr>
          <w:rFonts w:ascii="Times New Roman;sans-serif" w:hAnsi="Times New Roman;sans-serif"/>
          <w:b w:val="false"/>
          <w:i/>
          <w:color w:val="000000"/>
          <w:sz w:val="20"/>
        </w:rPr>
        <w:t>$480.5 million</w:t>
      </w:r>
      <w:r>
        <w:rPr>
          <w:color w:val="000000"/>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4.500% senior unsecured notes due 2026, (iv) the</w:t>
      </w:r>
      <w:r>
        <w:rPr>
          <w:color w:val="000000"/>
          <w:shd w:fill="FFFFFF" w:val="clear"/>
        </w:rPr>
        <w:t xml:space="preserve"> </w:t>
      </w:r>
      <w:r>
        <w:rPr>
          <w:rFonts w:ascii="Times New Roman;sans-serif" w:hAnsi="Times New Roman;sans-serif"/>
          <w:b w:val="false"/>
          <w:i/>
          <w:color w:val="000000"/>
          <w:sz w:val="20"/>
        </w:rPr>
        <w:t>$729.5 million</w:t>
      </w:r>
      <w:r>
        <w:rPr>
          <w:color w:val="000000"/>
          <w:shd w:fill="FFFFFF" w:val="clear"/>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5.750% senior unsecured notes due 2027, (v) the</w:t>
      </w:r>
      <w:r>
        <w:rPr>
          <w:color w:val="000000"/>
          <w:shd w:fill="FFFFFF" w:val="clear"/>
        </w:rPr>
        <w:t xml:space="preserve"> </w:t>
      </w:r>
      <w:r>
        <w:rPr>
          <w:rFonts w:ascii="Times New Roman;sans-serif" w:hAnsi="Times New Roman;sans-serif"/>
          <w:b w:val="false"/>
          <w:i/>
          <w:color w:val="000000"/>
          <w:sz w:val="20"/>
        </w:rPr>
        <w:t>$349.3 million</w:t>
      </w:r>
      <w:r>
        <w:rPr>
          <w:color w:val="000000"/>
          <w:shd w:fill="FFFFFF" w:val="clear"/>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4.500% senior unsecured notes due 2028, and (vi) the</w:t>
      </w:r>
      <w:r>
        <w:rPr>
          <w:color w:val="000000"/>
          <w:shd w:fill="FFFFFF" w:val="clear"/>
        </w:rPr>
        <w:t xml:space="preserve"> </w:t>
      </w:r>
      <w:r>
        <w:rPr>
          <w:rFonts w:ascii="Times New Roman;sans-serif" w:hAnsi="Times New Roman;sans-serif"/>
          <w:b w:val="false"/>
          <w:i/>
          <w:color w:val="000000"/>
          <w:sz w:val="20"/>
        </w:rPr>
        <w:t>$727.1 million</w:t>
      </w:r>
      <w:r>
        <w:rPr>
          <w:color w:val="000000"/>
          <w:shd w:fill="FFFFFF" w:val="clear"/>
        </w:rPr>
        <w:t xml:space="preserve"> </w:t>
      </w:r>
      <w:r>
        <w:rPr>
          <w:rFonts w:ascii="Times New Roman;sans-serif" w:hAnsi="Times New Roman;sans-serif"/>
          <w:b w:val="false"/>
          <w:i/>
          <w:color w:val="000000"/>
          <w:sz w:val="20"/>
          <w:shd w:fill="FFFFFF" w:val="clear"/>
        </w:rPr>
        <w:t>aggregate principal amount of</w:t>
      </w:r>
      <w:r>
        <w:rPr>
          <w:color w:val="000000"/>
        </w:rPr>
        <w:t xml:space="preserve"> </w:t>
      </w:r>
      <w:r>
        <w:rPr>
          <w:rFonts w:ascii="Times New Roman;sans-serif" w:hAnsi="Times New Roman;sans-serif"/>
          <w:b w:val="false"/>
          <w:i/>
          <w:color w:val="000000"/>
          <w:sz w:val="20"/>
        </w:rPr>
        <w:t xml:space="preserve">3.875% senior unsecured notes due 2029, in each case issued by VICI LP and Co-Issuer, in April 2022 pursuant to the Exchange Offers and Consent Solicitations (as defined herein).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February 2020 Notes” refer collectively to (i) the $750.0 million aggregate principal amount of 3.500% senior unsecured notes due 2025, (ii) the $750.0 million aggregate principal amount of 3.750% senior unsecured notes due 2027, and (iii) the $1.0 billion aggregate principal amount of 4.125% senior unsecured notes due 2030, in each case issued by VICI LP and 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in February 2020.</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Forum Convention Center Mortgage Loan” refers to a $400.0 million mortgage loan agreement entered into on September 18, 2020 with Caesars for a term of five years and secured by, among other things, the Caesars Forum Convention Center in Las Vegas, which was repaid in full on May 1, 2023. In connection therewith, the Company’s call right under the put-call agreement relating to the Caesars Forum Convention Center was extended from December 31, 2026 to December 31, 2028.</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Foundation Gaming” refers to Foundation Gaming &amp; Entertainment, LLC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Foundation Master Lease” refers to the lease agreement for the Fitz Casino &amp; Hotel, located in Tunica, Mississippi, and the WaterView Casino &amp; Hotel, located in Vicksburg, Mississippi,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Gold Strike Lease” refers to the lease agreement with CNB for the Gold Strike Casino Resort, located in Tunica, Mississippi (“Gold Strike”),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Greektown Lease” refers to the lease agreement for the Greektown Casino-Hotel, located in Detroit, Michigan,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Hard Rock” means Hard Rock International, and, as the context requires, its subsidiary and affiliate entities.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Hard Rock Cincinnati Lease” refers to the lease agreement for the Hard Rock Cincinnati Casino, located in Cincinnati, Ohio,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JACK Entertainment” refers to JACK Ohio LLC, and, as the context requires, its subsidiary and affiliate entities.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JACK Master Lease” refers to the lease agreement for the JACK Cleveland Casino located in Cleveland, Ohio, and the JACK Thistledown Racino facility located in North Randall, Ohio,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Joliet Lease” refers to the lease agreement for the facility in Joliet, Illinois, as amended from time to time.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Lease Agreements” refer collectively to our leases with our respective tenants, unless the context otherwise requires.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Margaritaville Lease” refers to the lease agreement for Margaritaville Resort Casino, located in Bossier City, Louisiana,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MGM” refers to MGM Resorts International, a Delaware corporation, and, as the context requires, its subsidiaries.</w:t>
      </w:r>
    </w:p>
    <w:p>
      <w:pPr>
        <w:pStyle w:val="TextBody"/>
        <w:bidi w:val="0"/>
        <w:spacing w:lineRule="auto" w:line="288" w:before="120" w:after="283"/>
        <w:jc w:val="both"/>
        <w:rPr>
          <w:color w:val="000000"/>
          <w:shd w:fill="FFFFFF" w:val="clear"/>
        </w:rPr>
      </w:pPr>
      <w:r>
        <w:rPr>
          <w:color w:val="000000"/>
          <w:shd w:fill="FFFFFF" w:val="clear"/>
        </w:rPr>
        <w:t>“</w:t>
      </w:r>
      <w:r>
        <w:rPr>
          <w:rFonts w:ascii="Times New Roman;sans-serif" w:hAnsi="Times New Roman;sans-serif"/>
          <w:b w:val="false"/>
          <w:i/>
          <w:color w:val="000000"/>
          <w:sz w:val="20"/>
          <w:shd w:fill="FFFFFF" w:val="clear"/>
        </w:rPr>
        <w:t>MGM Grand/Mandalay Bay JV” refers to a joint venture that holds the real estate assets of MGM Grand Las Vegas and Mandalay Bay, in which we hold a 100% ownership stake following our acquisition of the remaining 49.9% ownership stake from our former joint venture partner on January 9, 2023, as further described herein.</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MGM Grand/Mandalay Bay Lease” refers to the lease agreement for MGM Grand Las Vegas and Mandalay Bay,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MGM Leases” refer collectively to the MGM Master Lease and the MGM Grand/Mandalay Bay Lease, in each case, unless the context otherwise requires.</w:t>
      </w:r>
    </w:p>
    <w:p>
      <w:pPr>
        <w:pStyle w:val="TextBody"/>
        <w:bidi w:val="0"/>
        <w:spacing w:lineRule="auto" w:line="288" w:before="120" w:after="283"/>
        <w:jc w:val="both"/>
        <w:rPr/>
      </w:pPr>
      <w:r>
        <w:rPr>
          <w:color w:val="000000"/>
          <w:shd w:fill="FFFFFF" w:val="clear"/>
        </w:rPr>
        <w:t>“</w:t>
      </w:r>
      <w:r>
        <w:rPr>
          <w:rFonts w:ascii="Times New Roman;sans-serif" w:hAnsi="Times New Roman;sans-serif"/>
          <w:b w:val="false"/>
          <w:i/>
          <w:color w:val="000000"/>
          <w:sz w:val="20"/>
          <w:shd w:fill="FFFFFF" w:val="clear"/>
        </w:rPr>
        <w:t xml:space="preserve">MGM Master Lease” refers to the lease agreement for the properties leased to MGM, excluding those leased under the </w:t>
      </w:r>
      <w:r>
        <w:rPr>
          <w:rFonts w:ascii="Times New Roman;sans-serif" w:hAnsi="Times New Roman;sans-serif"/>
          <w:b w:val="false"/>
          <w:i/>
          <w:color w:val="000000"/>
          <w:sz w:val="20"/>
        </w:rPr>
        <w:t>MGM Grand/Mandalay Bay Lease,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MGP” refers to MGM Growth Properties LLC, a Delaware limited liability company, which was acquired by the Company on April 29, 2022,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MGP Master Transaction Agreement” refers to that certain Master Transaction Agreement between the Company, MGP, MGP OP, VICI LP, REIT Merger Sub, VICI OP, and MGM entered into on August 4, 2021.</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MGP OP” refers to MGM Growth Properties Operating Partnership LP, a Delaware limited partnership, which was acquired by the Company on April 29, 2022, and, as the context requires, its subsidiaries.</w:t>
      </w:r>
    </w:p>
    <w:p>
      <w:pPr>
        <w:pStyle w:val="TextBody"/>
        <w:bidi w:val="0"/>
        <w:spacing w:lineRule="auto" w:line="288" w:before="120" w:after="283"/>
        <w:jc w:val="both"/>
        <w:rPr/>
      </w:pPr>
      <w:r>
        <w:rPr>
          <w:color w:val="000000"/>
          <w:shd w:fill="FFFFFF" w:val="clear"/>
        </w:rPr>
        <w:t>“</w:t>
      </w:r>
      <w:r>
        <w:rPr>
          <w:rFonts w:ascii="Times New Roman;sans-serif" w:hAnsi="Times New Roman;sans-serif"/>
          <w:b w:val="false"/>
          <w:i/>
          <w:color w:val="000000"/>
          <w:sz w:val="20"/>
          <w:shd w:fill="FFFFFF" w:val="clear"/>
        </w:rPr>
        <w:t xml:space="preserve">MGP OP Notes” refer collectively to the notes </w:t>
      </w:r>
      <w:r>
        <w:rPr>
          <w:rFonts w:ascii="Times New Roman;sans-serif" w:hAnsi="Times New Roman;sans-serif"/>
          <w:b w:val="false"/>
          <w:i/>
          <w:color w:val="000000"/>
          <w:sz w:val="20"/>
        </w:rPr>
        <w:t>issued by MGP OP and MGP Finance Co-Issuer, Inc. (“MGP Co-Issuer” and, together with MGP OP, the “MGP Issuers”), consisting of</w:t>
      </w:r>
      <w:r>
        <w:rPr>
          <w:color w:val="000000"/>
          <w:shd w:fill="FFFFFF" w:val="clear"/>
        </w:rPr>
        <w:t xml:space="preserve"> </w:t>
      </w:r>
      <w:r>
        <w:rPr>
          <w:rFonts w:ascii="Times New Roman;sans-serif" w:hAnsi="Times New Roman;sans-serif"/>
          <w:b w:val="false"/>
          <w:i/>
          <w:color w:val="000000"/>
          <w:sz w:val="20"/>
          <w:shd w:fill="FFFFFF" w:val="clear"/>
        </w:rPr>
        <w:t xml:space="preserve">(i) the </w:t>
      </w:r>
      <w:r>
        <w:rPr>
          <w:rFonts w:ascii="Times New Roman;sans-serif" w:hAnsi="Times New Roman;sans-serif"/>
          <w:b w:val="false"/>
          <w:i/>
          <w:color w:val="000000"/>
          <w:sz w:val="20"/>
        </w:rPr>
        <w:t xml:space="preserve">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indenture, dated as of November 19, 2020, in each case, as amended or supplemented as of the date hereof, among the MGP Issuers and U.S. Bank National Association, as trustee (the “MGP Trustee”). </w:t>
      </w:r>
    </w:p>
    <w:p>
      <w:pPr>
        <w:pStyle w:val="TextBody"/>
        <w:bidi w:val="0"/>
        <w:spacing w:lineRule="auto" w:line="288" w:before="120" w:after="283"/>
        <w:jc w:val="both"/>
        <w:rPr>
          <w:color w:val="000000"/>
          <w:shd w:fill="FFFFFF" w:val="clear"/>
        </w:rPr>
      </w:pPr>
      <w:r>
        <w:rPr>
          <w:color w:val="000000"/>
          <w:shd w:fill="FFFFFF" w:val="clear"/>
        </w:rPr>
        <w:t>“</w:t>
      </w:r>
      <w:r>
        <w:rPr>
          <w:rFonts w:ascii="Times New Roman;sans-serif" w:hAnsi="Times New Roman;sans-serif"/>
          <w:b w:val="false"/>
          <w:i/>
          <w:color w:val="000000"/>
          <w:sz w:val="20"/>
          <w:shd w:fill="FFFFFF" w:val="clear"/>
        </w:rPr>
        <w:t>MGP Transactions” refer collectively to a series of transactions pursuant to the MGP Master Transaction Agreement in connection with our acquisition of MGP on April 29, 2022, as contemplated by the MGP Master Transaction Agreement, including the tax protection agreement with MGM and the MGM Master Lease.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Mirage Lease” refers to the lease agreement with Hard Rock for the Mirage, located in Las Vegas, Nevada,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November 2019 Notes” refer collectively to (i) the $1.25 billion aggregate principal amount of 4.250% senior unsecured notes due 2026, and (ii) the $1.0 billion aggregate principal amount of 4.625% senior unsecured notes due 2029, in each case issued by the VICI Issuers in November 2019.</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Partner Property Growth Fund” refers to certain arrangements with certain tenants relating to our funding of “same-store” capital improvements, including redevelopment, new construction projects and other property improvements, in exchange for increased rent pursuant to the terms of our existing Lease Agreements with such tenants.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PENN Entertainment” refers to PENN Entertainment, Inc., a Pennsylvania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PENN Entertainment Leases” refer collectively to the Margaritaville Lease and the Greektown Lease, unless the context otherwise requires.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PURE Canadian Gaming” refers to PURE Canadian Gaming, Corp., an Alberta corporation, and, as the context requires, its subsidiaries.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PURE Master Lease” refers to the lease agreement for the (i) PURE Casino Edmonton located in Edmonton, Alberta, (ii) PURE Casino Yellowhead located in Edmonton, Alberta, (iii) PURE Casino Calgary located in Calgary, Alberta and (iv) PURE Casino Lethbridge located in Lethbridge, Alberta (collectively, the “PURE Portfolio”),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Revolving Credit Facility” refers to the four-year unsecured revolving credit facility of VICI LP provided under the Credit Agreement entered into in February 2022, as amended from time to time.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Seminole Hard Rock” refers to Seminole Hard Rock Entertainment, Inc.</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Senior Unsecured Notes” refer collectively to the November 2019 Notes, the February 2020 Notes, the April 2022 Notes, the Exchange Notes and the MGP OP Notes.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Southern Indiana Lease” refers to the lease agreement with EBCI for the Caesars Southern Indiana Casino and Hotel, located in Elizabeth, Indiana (“Caesars Southern Indiana”),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Venetian Acquisition” refers to our acquisition of the Venetian Resort, with Apollo, which closed on February 23, 2022.</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Venetian Lease” refers to the lease agreement for the Venetian Resort Las Vegas and Venetian Convention &amp; Expo Center, located in Las Vegas, Nevada (the “Venetian Resort”), as amended from time to time.</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Venetian Tenant” refers to an affiliate of certain funds managed by affiliates of Apollo.</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Golf” refers to VICI Golf LLC, a Delaware limited liability company that is the owner of our golf business.</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Issuers” refer to VICI LP and VICI Note Co. Inc., a Delaware corporation.</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LP” refers to VICI Properties L.P., a Delaware limited partnership and a wholly owned subsidiary of VICI OP.</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VICI OP” refers to VICI Properties OP LLC, a Delaware limited liability company and a consolidated subsidiary of VICI, which serves as our operating partnership.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 xml:space="preserve">VICI OP Units” refer to limited liability company interests in VICI OP. </w:t>
      </w:r>
    </w:p>
    <w:p>
      <w:pPr>
        <w:pStyle w:val="TextBody"/>
        <w:bidi w:val="0"/>
        <w:spacing w:lineRule="auto" w:line="288" w:before="120" w:after="283"/>
        <w:jc w:val="both"/>
        <w:rPr>
          <w:color w:val="000000"/>
        </w:rPr>
      </w:pPr>
      <w:r>
        <w:rPr>
          <w:color w:val="000000"/>
        </w:rPr>
        <w:t>“</w:t>
      </w:r>
      <w:r>
        <w:rPr>
          <w:rFonts w:ascii="Times New Roman;sans-serif" w:hAnsi="Times New Roman;sans-serif"/>
          <w:b w:val="false"/>
          <w:i/>
          <w:color w:val="000000"/>
          <w:sz w:val="20"/>
        </w:rPr>
        <w:t>VICI PropCo” refers to VICI Properties 1 LLC, a Delaware limited liability company and an indirect wholly owned subsidiary of VICI.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primarily engaged in the business of owning and acquiring gaming, hospitality and entertainment destinations, subject to long-term triple-net leases. As of June 30, 2023, our geographically diverse real estate portfolio consisted of 49 gaming facilities in the United States and Canada, including Caesars Palace Las Vegas, MGM Grand and the Venetian Resort. Our properties are leased to, and our tenants are, subsidiaries of, or entities managed by, Apollo, Caesars, Century Casinos, CNB, EBCI, Foundation Gaming, JACK Entertainment, MGM, PENN Entertainment, PURE Canadian Gaming and Seminole Hard Rock, with Caesars and MGM being our largest tenants. VICI also owns four championship golf courses which are managed by CDN Golf Management Inc., and are located near certain of our properties.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real estate investment trust (“REIT”) for U.S. federal income tax purposes. Our real property business, which represents the substantial majority of our assets, is conducted through VICI OP and indirectly through VICI LP and our golf course business, VICI Golf, is conducted through a direct wholly owned taxable REIT subsidiary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(consisting of normal recurring accruals) considered necessary for a fair statement of results for the interim period have been included.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six months ended June 30, 2023 are not necessarily indicative of the results that may be expected for the year ending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non-controlling interests and classify such interests as a component of consolidated stockholders’ equity or partners’ capital, separate from VICI stockholders’ equity and VICI LP partners’ capital. As of June 30, 2023, VICI’s non-controlling interests represent an approximate 1.2% third-party ownership of VICI OP in the form of VICI OP Units and a 20% third-party ownership of Harrah’s Joliet LandCo LLC, the entity that owns the Harrah’s Joliet facility and is the lessor under the related Joliet Lease. As VICI OP is a parent entity of VICI LP, VICI LP’s only non-controlling interest is that of third-party ownership of Harrah’s Joliet LandCo LLC.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Any investments with an original maturity of three months or less from the date of purchase are considered cash equivalents and are carried at cost, which approximates fair value. As of June 30, 2023 and December 31, 2022,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$217.3 million of short-term investments as of December 31, 2022. We did not have any short-term investments as of June 30,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Price Accounting</w:t>
      </w:r>
    </w:p>
    <w:p>
      <w:pPr>
        <w:pStyle w:val="TextBody"/>
        <w:bidi w:val="0"/>
        <w:spacing w:lineRule="auto" w:line="288" w:before="180" w:after="283"/>
        <w:jc w:val="both"/>
        <w:rPr/>
      </w:pPr>
      <w:r>
        <w:rPr>
          <w:rFonts w:ascii="Times New Roman;sans-serif" w:hAnsi="Times New Roman;sans-serif"/>
          <w:b w:val="false"/>
          <w:color w:val="000000"/>
          <w:sz w:val="20"/>
        </w:rPr>
        <w:t xml:space="preserve">We assess all of our property acquisitions under ASC 805 -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pPr>
      <w:r>
        <w:rPr>
          <w:rFonts w:ascii="Times New Roman;sans-serif" w:hAnsi="Times New Roman;sans-serif"/>
          <w:b w:val="false"/>
          <w:color w:val="000000"/>
          <w:sz w:val="20"/>
        </w:rPr>
        <w:t xml:space="preserve">We allocate the purchase price to the identifiable assets acquired and liabilities assumed, as applicable, using their relative fair value. Generally, with the exception of the MGP Transactions and the MGM Grand/Mandalay Bay JV Interest Acquisition (each as further described in </w:t>
      </w:r>
      <w:hyperlink w:anchor="i5091383b7b3347698086ad89a18ea40d_58">
        <w:r>
          <w:rPr>
            <w:rStyle w:val="InternetLink"/>
            <w:rFonts w:ascii="Times New Roman;sans-serif" w:hAnsi="Times New Roman;sans-serif"/>
            <w:b w:val="false"/>
            <w:color w:val="0000FF"/>
            <w:sz w:val="20"/>
            <w:u w:val="single"/>
          </w:rPr>
          <w:t>Note 3 - Real Estate Transactions</w:t>
        </w:r>
      </w:hyperlink>
      <w:r>
        <w:rPr>
          <w:rFonts w:ascii="Times New Roman;sans-serif" w:hAnsi="Times New Roman;sans-serif"/>
          <w:b w:val="false"/>
          <w:color w:val="000000"/>
          <w:sz w:val="20"/>
        </w:rPr>
        <w:t xml:space="preserve">), our acquisitions consist of properties without existing leases or debt and, accordingly, the assets acquired are comprised of land, building and site improvements. Further, since all the components of our leases are classified as sales-type leases or financing receivables, as further described below, the assets acquired are transferred into the net investment in lease or financing receivable, as applicable.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the land and building components of all of the Caesars Leases (excluding the Harrah’s New Orleans, Harrah’s Laughlin and Harrah’s Atlantic City components (the “Harrah’s Call Properties”) of the Caesars Regional Master Lease), Century Master Lease, Hard Rock Cincinnati Lease, MGM Grand/Mandalay Bay Lease, PENN Entertainment Leases, Southern Indiana Lease and Venetian Lease meet the definition of a sales-type lease under ASC 842.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88" w:before="180" w:after="283"/>
        <w:jc w:val="both"/>
        <w:rPr/>
      </w:pPr>
      <w:r>
        <w:rPr>
          <w:rFonts w:ascii="Times New Roman;sans-serif" w:hAnsi="Times New Roman;sans-serif"/>
          <w:b w:val="false"/>
          <w:color w:val="000000"/>
          <w:sz w:val="20"/>
        </w:rPr>
        <w:t xml:space="preserve">We determined that the land and building components of the Foundation Master Lease, Harrah’s Call Properties components of the Caesars Regional Master Lease, Gold Strike Lease, JACK Master Lease, MGM Master Lease, Mirage Lease and PURE Master Lease meet the definition of a sales-type lease </w:t>
      </w:r>
      <w:r>
        <w:rPr>
          <w:rFonts w:ascii="Times New Roman;sans-serif" w:hAnsi="Times New Roman;sans-serif"/>
          <w:b w:val="false"/>
          <w:color w:val="000000"/>
          <w:sz w:val="20"/>
          <w:shd w:fill="FFFFFF" w:val="clear"/>
        </w:rPr>
        <w:t xml:space="preserve">and, since we purchased and leased the assets back to the sellers under sale leaseback transactions, control is not considered to have transferred to us under GAAP. Accordingly, such leases are accounted for as Investments in leases - financing receivables on our Balance Sheet, net of allowance for credit losses, in accordance with ASC 310.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allowances for credit losses. Income is recognized on an effective interest basis at a constant rate of return over the life of the related loan.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use a discounted cash flow model to estimate the allowance for credit losses, or CECL allowance for our Investments in leases - sales-type, Investments in leases - financing receivables and certain of our loans and securities, which comprise the substantial majority of our CECL allowance. This model requires us to develop cash flows which project estimated credit losses over the life of the lease, loan or security and discount these cash flows at the asset’s effective interest rate. We then 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borrowers and their parent guarantors, as applicable, over the life of each individual lease or financial asset. We have engaged a nationally recognized data analytics firm to assist us with estimating both the PD and LGD of our tenants and borrowers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borrowers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CECL allowance is recorded as a reduction to our net Investments in leases - sales-type, Investments in leases - financing receivables, Investments in loans and securities and Sales-type sub-leases (included in Other assets)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through the Partner Property Growth Fund.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Charge-offs are deducted from the allowance in the period in which they are deemed uncollectible. Recoveries previously written off are recorded when received. There were no charge-offs or recoveries for the three and six months ended June 30, 2023 and 2022.</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5091383b7b3347698086ad89a18ea40d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the PURE Portfolio is denominated in Canadian Dollars (“CAD” or “C$”), and accordingly, we translate the financial statements of the subsidiaries that own the PURE Portfolio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CAD, which is not our and our consolidated subsidiaries functional currency of USD. When the debt and related operating receivables and/or payables are remeasured to the functional currency of the entity, a gain or loss can result. The resulting adjustment is reflected in Other gains (losses), net in the Statement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5091383b7b3347698086ad89a18ea40d_76">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in our Balance Sheet with a corresponding change in Unrealized gain (loss) in cash flows hedges within Other comprehensive income on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and MGM are the guarantors of all the lease payment obligations of the tenants under the applicable leases of the properties that they each respectively lease from us. Revenue from the Caesars Leases represented 37% and 38% of our lease revenues for the three and six months ended June 30, 2023, respectively, and 45% and 57% of our lease revenues for the three and six months ended June 30, 2022, respectively. Revenue from the MGM Leases represented 40% and 39% of our lease revenues for the three and six months ended June 30, 2023, respectively, and 34% and 21% of our lease revenues for the three and six months ended June 30, 2022, respectively. Additionally, our properties on the Las Vegas Strip generated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49% of our lease revenues for the three and six months ended June 30, 2023, and 46% and 43% of our lease revenues for the three and six months ended June 30, 2022, respectively. Other than having two tenants from which we derive and will continue to derive a substantial portion of our revenue and our concentration in the Las Vegas market, we do not believe there are any other significant concentrations of credit risk.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2023 Activity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Property Acquisitions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Rocky Gap Casino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quarter-end, on July 25, 2023, we closed on the previously announced acquisition of the Rocky Gap Casino Resort, located in Flintstone, Maryland (“Rocky Gap Casino”) with Century Casinos, from Golden Entertainment, Inc. for an aggregate purchase price of $260.0 million. Pursuant to the transaction agreements, we acquired the leasehold interest in the land and buildings associated with the Rocky Gap Casino for approximately $203.9 million and Century Casinos acquired the operating assets of the property for approximately $56.1 million. Simultaneous with the closing of the transaction, the Century Master Lease was amended to include Rocky Gap Casino, and annual rent under the Century Master Lease increased by $15.5 million. Additionally, the term of the Century Master Lease was extended such that, upon closing of the transaction, the lease has a full 15-year initial base lease term remaining. Century Casinos previously exercised one 5-year tenant renewal option and three additional 5-year tenant renewal options are remaining. The tenants’ obligations under the Century Master Lease continue to be guaranteed by Century Casinos.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Century Canadian Portfolio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2023, we entered into definitive agreements to acquire the real estate assets of Century Casino &amp; Hotel Edmonton, Century Casino St. Albert and Century Mile Racetrack and Casino, each in Edmonton, Alberta, and Century Downs Racetrack and Casino in Calgary, Alberta, (collectively the “Century Canadian Portfolio”) from Century Casinos for an aggregate purchase price in cash of C$221.7 million (approximately US$164.7 million based on the exchange rate at the time of the announcement) in cash. Simultaneous with the closing of the transaction, the Century Canadian Portfolio will be added to the Century Master Lease and annual rent will increase by C$17.3 million (approximately US$12.8 million based on the exchange rate at the time of the announcement). Additionally, the term of the Century Master Lease will be extended such that, upon closing of the transaction, the lease will have a full 15-year initial base lease term, with three 5-year tenant renewal options. Century Casinos previously exercised one 5-year tenant renewal option. The tenants’ obligations under the Century Master Lease will continue to be guaranteed by Century Casinos. The transaction is subject to customary regulatory approvals and closing conditions and is expected to close in the second half of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MGM Grand/Mandalay Bay JV Interest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we closed on the previously announced acquisition of the remaining 49.9% interest in the MGM Grand/Mandalay Bay JV (previously referred to as the “BREIT JV”) from Blackstone Real Estate Income Trust, Inc. (“BREIT”) for cash consideration of $1,261.9 million (the “MGM Grand/Mandalay Bay JV Interest Acquisition”). We also assumed BREIT’s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certain forward sale agreements. The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ten-year tenant renewal options. Rent under the MGM Grand/Mandalay Bay Lease escalates annually at 2.0% through 2035 (year 15 of the initial lease term) and thereafter at the greater of 2.0% or the Consumer Price Index (“CPI”) (subject to a 3.0% ceiling). As of December 31, 2022, the MGM Grand/Mandalay Bay JV was accounted for as an equity method investment under the voting interest model within Investment in unconsolidated affiliate on our Balance Sheets.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closing of the MGM Grand/Mandalay Bay JV Interest Acquisition, as a result of acquiring full ownership, we consolidated the joint venture and determined that the consolidation should be accounted for as an asset acquisition under ASC 805-50. In application of the asset acquisition guidance, we retained the prior cost basis of our 50.1% interest,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previously acquired in connection with the MGP Transaction, and combined such basis to the purchase price of the MGM Grand/Mandalay Bay JV Interest Acquisition.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net assets acquired upon consolidation of the MGM Grand/Mandalay Bay JV:</w:t>
      </w:r>
    </w:p>
    <w:tbl>
      <w:tblPr>
        <w:tblW w:w="9032" w:type="dxa"/>
        <w:jc w:val="left"/>
        <w:tblInd w:w="0" w:type="dxa"/>
        <w:tblLayout w:type="fixed"/>
        <w:tblCellMar>
          <w:top w:w="28" w:type="dxa"/>
          <w:left w:w="28" w:type="dxa"/>
          <w:bottom w:w="28" w:type="dxa"/>
          <w:right w:w="28" w:type="dxa"/>
        </w:tblCellMar>
      </w:tblPr>
      <w:tblGrid>
        <w:gridCol w:w="2663"/>
        <w:gridCol w:w="2344"/>
        <w:gridCol w:w="2357"/>
        <w:gridCol w:w="109"/>
        <w:gridCol w:w="109"/>
        <w:gridCol w:w="109"/>
        <w:gridCol w:w="211"/>
        <w:gridCol w:w="976"/>
        <w:gridCol w:w="154"/>
      </w:tblGrid>
      <w:tr>
        <w:trPr/>
        <w:tc>
          <w:tcPr>
            <w:tcW w:w="2663"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prior 50.1% interest acquired in connection with the MGP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 for MGM Grand/Mandalay Bay JV Interest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net assets acquired by major categories of assets acquired and liabilities assumed using relative fair value. The following is a summary of the allocated relative fair values of the assets acquired and liabilities assumed in the consolidation of the MGM Grand/Mandalay Bay JV:</w:t>
      </w:r>
    </w:p>
    <w:tbl>
      <w:tblPr>
        <w:tblW w:w="5193" w:type="dxa"/>
        <w:jc w:val="left"/>
        <w:tblInd w:w="0" w:type="dxa"/>
        <w:tblLayout w:type="fixed"/>
        <w:tblCellMar>
          <w:top w:w="28" w:type="dxa"/>
          <w:left w:w="28" w:type="dxa"/>
          <w:bottom w:w="28" w:type="dxa"/>
          <w:right w:w="28" w:type="dxa"/>
        </w:tblCellMar>
      </w:tblPr>
      <w:tblGrid>
        <w:gridCol w:w="1277"/>
        <w:gridCol w:w="1122"/>
        <w:gridCol w:w="1126"/>
        <w:gridCol w:w="109"/>
        <w:gridCol w:w="109"/>
        <w:gridCol w:w="109"/>
        <w:gridCol w:w="211"/>
        <w:gridCol w:w="97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their current carrying value, which is equal to fair value.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the fair value of the $3.0 billion principal amount of CMBS debt as of January 9, 2023, which was estimated as a $252.1 million discount to principal value. The fair value of the debt was estimated by modeling the contractual cash flows and discounting them back to the present value using an estimated market yield. Additionally, we considered current market rates and conditions by evaluating similar borrowing agreements with comparable loan-to-value ratios and credit profiles. The inputs used in determining the fair value measurement are considered Level 3 of the fair value hierarchy.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closing of the MGM Grand/Mandalay Bay JV Interest Acquisition and consolidation of the MGM Grand/Mandalay Bay Lease, we assessed the lease classification of the MGM Grand/Mandalay Bay Lease and determined that it met the definition of a sales-type lease. Accordingly, the relative fair value of the MGM Grand/Mandalay Bay Lease of $5.5 billion was recorded as an Investment in leases - sales-type on our Balance Sheet, net of an initial allowance for estimated credit losses in the amount of $210.0 million.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PURE Canadian Gaming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2023, we acquired the real estate assets of PURE Casino Edmonton, PURE Casino Yellowhead, PURE Casino Calgary, and PURE Casino Lethbridge, all of which are located in Alberta, Canada, from PURE Canadian Gaming for an aggregate purchase price in cash of approximately C$271.9 million (approximately US$200.8 million based on the exchange rate at the time of the acquisition) (the “PURE Canadian Gaming Transaction”). We financed the PURE Canadian Gaming Transaction with a combination of cash on hand and a C$140.0 million (approximately US$103.4 million based on the exchange rate at the time of the acquisition) draw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four 5-year tenant renewal options, escalation of 1.25% per annum in lease years two and three (and thereafter at the greater of 1.5% and the Canadian Consumer Price Index, capped at 2.5%) and minimum capital expenditure requirements of 1.0% of annual net revenue (excluding gaming equipment). The tenant’s obligations under the PURE Master Lease are guaranteed by the parent entity of PURE Canadian Gaming. We determined that the PURE Canadian Gaming Transaction should be accounted for as an asset acquisition under ASC 805-50 and further, that the land and building components of the PURE Master Lease meet the definition of a sales-type lease. Since we purchased and leased the assets back to the seller under a sale leaseback transaction, control is not considered to have transferred to us under GAAP. Accordingly, the PURE Master Lease is accounted for as Investments in leases - financing receivables on our Balance Sheet, net of an initial allowance for estimated credit losses in the amount of $19.6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Leasing</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Gold Strike Severance Lease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2023, in connection with the closing of MGM’s sale of the operations of Gold Strike, we entered into the Gold Strike Lease with CNB related to the land and real estate assets of Gold Strike, and entered into an amendment to the MGM Master Lease in order to account for MGM’s divestiture of the operations of Gold Strike and to reduce the annual base rent by $40.0 million.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tenant’s obligations under the Gold Strike Lease are guaranteed by CNB.</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Loan, Security and Preferred Equity Investments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Canyon Ranch Transactions</w:t>
      </w:r>
    </w:p>
    <w:p>
      <w:pPr>
        <w:pStyle w:val="TextBody"/>
        <w:bidi w:val="0"/>
        <w:spacing w:lineRule="auto" w:line="288" w:before="180" w:after="283"/>
        <w:jc w:val="both"/>
        <w:rPr/>
      </w:pPr>
      <w:r>
        <w:rPr>
          <w:rFonts w:ascii="Times New Roman;sans-serif" w:hAnsi="Times New Roman;sans-serif"/>
          <w:b w:val="false"/>
          <w:color w:val="000000"/>
          <w:sz w:val="20"/>
        </w:rPr>
        <w:t xml:space="preserve">Subsequent to quarter-end, on July 26, 2023, we committed to an up to $150.0 million preferred equity investment into the controlling entity of Canyon Ranch, a leading provider of holistic, integrative health and wellness guest experiences (“Canyon Ranch”). The preferred equity has a term of 10 years and may be redeemed by Canyon Ranch at any time, subject to a redemption premium in the first three years. In connection with this investment, we entered into (i) a call right agreement whereby we will have the option to call the real estate assets of each of the Canyon Ranch facility in Tucson, Arizona (“Canyon Ranch Tucson”) and the Canyon Ranch facility in Lenox, Massachusetts (“Canyon Ranch Lenox”) subject to certain conditions, and (ii) a right of first financing agreement pursuant to which we will have the right, but not the obligation, to serve as the real estate capital financing partner for Canyon Ranch with respect to the acquisition, build-out and redevelopment of future wellness resorts. </w:t>
      </w:r>
      <w:r>
        <w:rPr>
          <w:rFonts w:ascii="Times New Roman;sans-serif" w:hAnsi="Times New Roman;sans-serif"/>
          <w:b w:val="false"/>
          <w:color w:val="231F20"/>
          <w:sz w:val="20"/>
        </w:rPr>
        <w:t>If the call right(s) are exercised, Canyon Ranch would continue to operate the applicable wellness resort(s) subject to a long-term triple net master lease with the Company.</w:t>
      </w:r>
    </w:p>
    <w:p>
      <w:pPr>
        <w:pStyle w:val="TextBody"/>
        <w:bidi w:val="0"/>
        <w:spacing w:lineRule="auto" w:line="288" w:before="180" w:after="283"/>
        <w:jc w:val="both"/>
        <w:rPr/>
      </w:pPr>
      <w:r>
        <w:rPr>
          <w:rFonts w:ascii="Times New Roman;sans-serif" w:hAnsi="Times New Roman;sans-serif"/>
          <w:b w:val="false"/>
          <w:color w:val="000000"/>
          <w:sz w:val="20"/>
        </w:rPr>
        <w:t xml:space="preserve">In addition, we intend to provide approximately $150.0 million of mortgage financing to a subsidiary of Canyon Ranch secured by Canyon Ranch Tucson and Canyon Ranch Lenox. Proceeds of the mortgage financing would be used to refinance Canyon Ranch’s existing CMBS debt secured by these two assets. The mortgage financing will have an initial term of two years with three one-year extensions, exercisable at Canyon Ranch’s option, subject to satisfying certain customary extension conditions. </w:t>
      </w:r>
      <w:r>
        <w:rPr>
          <w:rFonts w:ascii="Times New Roman;sans-serif" w:hAnsi="Times New Roman;sans-serif"/>
          <w:b w:val="false"/>
          <w:color w:val="231F20"/>
          <w:sz w:val="20"/>
        </w:rPr>
        <w:t>The Company expects the mortgage financing to close in the third quarter of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Hard Rock Ottawa 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2023, we purchased $85.0 million of senior secured notes issued by H.R. Ottawa, L.P. (“Hard Rock Ottawa Notes”), which owns and operates the Hard Rock Ottawa Casino. H.R. Ottawa, L.P. intends to use the proceeds of the Hard Rock Ottawa Notes to fund a portion of (i) the redevelopment and rebrand of the existing Rideau Carleton Raceway Casino, located in Ottawa, Canada, (ii) the development of an integrated “Hard Rock” branded hotel with approximately 150 rooms, and (iii) the repayment of existing debt. The Hard Rock Ottawa Notes are denominated and issued in USD.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Significant 2022 Transactions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MGP Transactions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closed on the previously announced MGP Transactions governed by the MGP Master Transaction Agreement, pursuant to which we acquired MGP for total consideration of $11.6 billion, plus the assumption of approximately $5.7 billion principal amount of debt, inclusive of a 50.1% share of the MGM Grand/Mandalay Bay JV CMBS debt, at the time. Upon closing, the MGP Transactions added $1,012.2 million of annualized rent to our portfolio from 15 Class A entertainment casino resort properties spread across nine regions and comprising 36,000 hotel rooms, 3.6 million square feet of meeting and convention space and hundreds of food, beverage and entertainment venues. Under the terms of the MGP Master Transaction Agreement, each outstanding MGP Class A common share was converted into 1.366 (the “Exchange Ratio”) shares of VICI common stock. The fixed Exchange Ratio represented an agreed upon price of $43.00 per share of MGP Class A common shares based on VICI’s trailing 5-day volume weighted average price of $31.47 as of July 30, 2021. MGM received $43.00 per unit in cash for the redemption of the majority of its MGP OP units that it held for total cash consideration of approximately $4.404 billion and also acquired approximately 12.2 million units in VICI OP. The MGP Class B share that was held by MGM was cancelled and ceased to exist simultaneous with closing.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MGP Class A common shares converted to shares of VICI common stock was determined as follows:</w:t>
      </w:r>
    </w:p>
    <w:tbl>
      <w:tblPr>
        <w:tblW w:w="7160" w:type="dxa"/>
        <w:jc w:val="left"/>
        <w:tblInd w:w="0" w:type="dxa"/>
        <w:tblLayout w:type="fixed"/>
        <w:tblCellMar>
          <w:top w:w="28" w:type="dxa"/>
          <w:left w:w="28" w:type="dxa"/>
          <w:bottom w:w="28" w:type="dxa"/>
          <w:right w:w="28" w:type="dxa"/>
        </w:tblCellMar>
      </w:tblPr>
      <w:tblGrid>
        <w:gridCol w:w="2108"/>
        <w:gridCol w:w="1853"/>
        <w:gridCol w:w="1859"/>
        <w:gridCol w:w="593"/>
        <w:gridCol w:w="593"/>
        <w:gridCol w:w="154"/>
      </w:tblGrid>
      <w:tr>
        <w:trPr/>
        <w:tc>
          <w:tcPr>
            <w:tcW w:w="210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Class A common shares outstanding as of April 29, 2022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156,757,773 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Ratio</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VICI common stock issued </w:t>
            </w:r>
            <w:r>
              <w:rPr>
                <w:rFonts w:ascii="Times New Roman;sans-serif" w:hAnsi="Times New Roman;sans-serif"/>
                <w:b w:val="false"/>
                <w:i/>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214,131,064 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common stock issued for MGP stock-based compensation awards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common stock issued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7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(1) Amount excludes the cash paid in lieu of approximately 54 fractional MGP Class A common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 with the closing of the MGP Transactions on April 29, 2022, we entered into the MGM Master Lease. The MGM Master Lease has an initial term of 25 years, with three 10-year tenant renewal options and had an initial total annual rent of $860.0 million. Rent under the MGM Master Lease escalates at a rate of 2.0% per annum for the first 10 years and thereafter at the greater of 2.0% per annum or the increase in CPI, subject to a 3.0% cap. The total annual rent under the MGM Master Lease was reduced by $90.0 million upon the close of MGM’s sale of the operations of the Mirage to Hard Rock and entrance into the Mirage Lease on December 19, 2022, and further reduced by $40.0 million upon the close of MGM’s sale of the operations of Gold Strike on February 15, 2023. Additionally, we retained a 50.1% ownership stake in the MGM Grand/Mandalay Bay JV, which owns the real estate assets of MGM Grand Las Vegas and Mandalay Bay. At the time of acquisition, the MGM Grand/Mandalay Bay Lease provided for total annual base rent of approximately $303.8 million, and had an initial term of thirty years with two 10-year tenant renewal options. Rent under the MGM Grand/Mandalay Bay Lease escalates at a rate of 2.0% per annum for the first 15 years and thereafter at the greater of 2.0% per annum or CPI, subject to a 3.0% cap. On January 9, 2023, we closed on the MGM Grand/Mandalay Bay JV Interest Acquisition and accordingly own 100% of the interest in the MGM Grand/Mandalay Bay JV, including the full $3.0 billion of CMBS debt held by the joint venture.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assessed the MGP Transactions in accordance with ASC 805, and determined that the acquisition of MGP did not meet the definition of a business as substantially all the assets were concentrated in a group of similarly identifiable acquired assets, and did not include a substantive process in the form of an acquired workforce. Accordingly, the MGP Transactions were accounted for as an asset acquisition under ASC 805-50 and we determined the consideration transferred under the MGP Transactions was $11.6 billion, comprised of the following:</w:t>
      </w:r>
    </w:p>
    <w:tbl>
      <w:tblPr>
        <w:tblW w:w="10205" w:type="dxa"/>
        <w:jc w:val="left"/>
        <w:tblInd w:w="0" w:type="dxa"/>
        <w:tblLayout w:type="fixed"/>
        <w:tblCellMar>
          <w:top w:w="28" w:type="dxa"/>
          <w:left w:w="28" w:type="dxa"/>
          <w:bottom w:w="28" w:type="dxa"/>
          <w:right w:w="28" w:type="dxa"/>
        </w:tblCellMar>
      </w:tblPr>
      <w:tblGrid>
        <w:gridCol w:w="3044"/>
        <w:gridCol w:w="2684"/>
        <w:gridCol w:w="2703"/>
        <w:gridCol w:w="109"/>
        <w:gridCol w:w="109"/>
        <w:gridCol w:w="109"/>
        <w:gridCol w:w="211"/>
        <w:gridCol w:w="1081"/>
        <w:gridCol w:w="155"/>
      </w:tblGrid>
      <w:tr>
        <w:trPr/>
        <w:tc>
          <w:tcPr>
            <w:tcW w:w="304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REIT Merger Consideration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6,568,480 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payment to MGM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VICI OP Units retained by MGM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Repayment of MGP revolving credit facility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Transactions costs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MGP OP Notes and Exchange Notes, at principal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 of our proportionate share of the MGM Grand/Mandalay Bay JV CMBS debt, at principal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17,259,990 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Amount represents the dollar value of 214,375,990 shares of VICI common stock, multiplied by the VICI stock price at the time of closing of $30.64 per share, which were issued in exchange for the MGP Class A common shares outstanding immediately prior to the REIT Merger and certain of the MGP stock-based compensation awards, converted to shares of VICI common stock.</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Amount represents 12,231,373 VICI OP Units retained by MGM as non-controlling interest in VICI OP, multiplied by the VICI stock price at the time of closing of $30.64 per share.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Represents the total amount outstanding under MGP’s revolving credit facility as of April 29, 2022. In connection with the MGP Transactions, such amount was repaid in full and the related credit agreement was terminated.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In accordance with ASC 805-50, all direct and incremental costs related to the MGP Transactions, primarily related to success-based fees and third-party advisory fees, were included in the consideration transferred.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805-50, we allocated the purchase price by major categories of assets acquired and liabilities assumed using relative fair value. The following is a summary of the allocated relative fair values of the assets acquired and liabilities assumed in the MGP Transactions valued as of April 29, 2022:</w:t>
      </w:r>
    </w:p>
    <w:tbl>
      <w:tblPr>
        <w:tblW w:w="5897" w:type="dxa"/>
        <w:jc w:val="left"/>
        <w:tblInd w:w="0" w:type="dxa"/>
        <w:tblLayout w:type="fixed"/>
        <w:tblCellMar>
          <w:top w:w="28" w:type="dxa"/>
          <w:left w:w="28" w:type="dxa"/>
          <w:bottom w:w="28" w:type="dxa"/>
          <w:right w:w="28" w:type="dxa"/>
        </w:tblCellMar>
      </w:tblPr>
      <w:tblGrid>
        <w:gridCol w:w="1494"/>
        <w:gridCol w:w="1313"/>
        <w:gridCol w:w="1317"/>
        <w:gridCol w:w="109"/>
        <w:gridCol w:w="109"/>
        <w:gridCol w:w="109"/>
        <w:gridCol w:w="211"/>
        <w:gridCol w:w="1081"/>
        <w:gridCol w:w="154"/>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Debt, net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Accrued expenses and deferred revenue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liabilities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We valued the real estate portfolio at relative fair value using rent multiples taking into consideration a variety of factors, including (i) asset quality and location, (ii) property and lease-level operating performance and (iii) supply and demand dynamics of each property’s respective market. The multiples used ranged from 15.0x - 18.5x with a weighted average rent multiple of 16.7x, as determined using relative fair value.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fair value of these assets is based on significant “unobservable” market inputs and, as such, these fair value measurements are considered Level 3 of the fair value hierarchy.</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We value the Investment in unconsolidated affiliate at relative fair based on our percentage ownership of the net assets of the MGM Grand/Mandalay Bay JV.</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Amounts represent their current carrying value which is equal to fair value. The Other assets and Other liabilities amounts include the gross presentation of certain MGP ground leases which we assumed in connection with the MGP Transactions.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(5) Amount represents the fair value of debt as of April 29, 2022, which was estimated as a $93.9 million discount to the notional value. The fair value of our debt instruments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closing of the MGP Transactions and entry into the MGM Master Lease, we assessed the lease classification of the MGM Master Lease and determined that it met the definition of a sales-type lease. Further, since MGM controlled and consolidated MGP prior to the MGP Transactions, the lease was assessed under the sale-leaseback guidance and determined to be a failed sale-leaseback under which the lease is accounted for as a financing receivable under ASC 310.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the MGM Grand/Mandalay Bay JV, we determined that such investment should be accounted for as an equity method investment and, accordingly, recorded the relative fair value as an Investment in unconsolidated affiliate on our Balance Sheet. The requirement to record our investment in the MGM Grand/Mandalay Bay JV at relative fair value under ASC 805 resulted in a difference in our acquired basis from that of the underlying records, or historical cost basis, of the MGM Grand/Mandalay Bay JV. Accordingly, we compared our proportionate share of the historical cost basis of the MGM Grand/Mandalay Bay JV as of April 29, 2022 to our proportionate share of the relative fair value, the difference of which was amortized through Income from unconsolidated affiliate over the life of the related asset or liability. On January 9, 2023, we acquired the remaining 49.9% interest in the MGM Grand/Mandalay Bay JV from BREIT and consolidated the operations of the joint venture. Refer to “MGM Grand/Mandalay Bay JV Interest Acquisition” above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25 casino assets leased on a triple-net basis to our tenants, Apollo, Caesars, Century Casinos, EBCI, Hard Rock, MGM and PENN Entertainment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24 casino assets leased on a triple-net basis to our tenants, Caesars, CNB, Foundation Gaming, Hard Rock, JACK Entertainment, MGM and PURE Canadian Gaming under seven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investments in eleven senior secured and mezzanine loans and the Hard Rock Ottawa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June 30, 2023 and December 31, 2022:</w:t>
      </w:r>
    </w:p>
    <w:tbl>
      <w:tblPr>
        <w:tblW w:w="7593" w:type="dxa"/>
        <w:jc w:val="left"/>
        <w:tblInd w:w="0" w:type="dxa"/>
        <w:tblLayout w:type="fixed"/>
        <w:tblCellMar>
          <w:top w:w="28" w:type="dxa"/>
          <w:left w:w="28" w:type="dxa"/>
          <w:bottom w:w="28" w:type="dxa"/>
          <w:right w:w="28" w:type="dxa"/>
        </w:tblCellMar>
      </w:tblPr>
      <w:tblGrid>
        <w:gridCol w:w="1549"/>
        <w:gridCol w:w="1361"/>
        <w:gridCol w:w="1365"/>
        <w:gridCol w:w="211"/>
        <w:gridCol w:w="1081"/>
        <w:gridCol w:w="109"/>
        <w:gridCol w:w="109"/>
        <w:gridCol w:w="109"/>
        <w:gridCol w:w="109"/>
        <w:gridCol w:w="232"/>
        <w:gridCol w:w="1189"/>
        <w:gridCol w:w="169"/>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33,913,095 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in unconsolidated affiliate </w:t>
            </w:r>
            <w:r>
              <w:rPr>
                <w:rFonts w:ascii="Times New Roman;sans-serif" w:hAnsi="Times New Roman;sans-serif"/>
                <w:b w:val="false"/>
                <w:i/>
                <w:color w:val="000000"/>
                <w:sz w:val="13"/>
              </w:rPr>
              <w:t>(2)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40,577,678 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36,213,223 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June 30, 2023 and December 31, 2022, the estimated residual values of the leased properties under our Lease Agreements were $15.6 billion and $11.5 billion, respectively.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Represents our 50.1% investment in the MGM Grand/Mandalay Bay JV prior to the MGM Grand/Mandalay Bay JV Interest Acquisition on January 9, 2023, which was accounted for as an equity method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10205" w:type="dxa"/>
        <w:jc w:val="left"/>
        <w:tblInd w:w="0" w:type="dxa"/>
        <w:tblLayout w:type="fixed"/>
        <w:tblCellMar>
          <w:top w:w="28" w:type="dxa"/>
          <w:left w:w="28" w:type="dxa"/>
          <w:bottom w:w="28" w:type="dxa"/>
          <w:right w:w="28" w:type="dxa"/>
        </w:tblCellMar>
      </w:tblPr>
      <w:tblGrid>
        <w:gridCol w:w="1644"/>
        <w:gridCol w:w="1398"/>
        <w:gridCol w:w="140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164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 fixed rent </w:t>
            </w:r>
            <w:r>
              <w:rPr>
                <w:rFonts w:ascii="Times New Roman;sans-serif" w:hAnsi="Times New Roman;sans-serif"/>
                <w:b w:val="false"/>
                <w:i/>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894,307 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June 30, 2023, we have recognized contingent rent from our Margaritaville Lease and Greektown Lease in relation to the variable rent portion of the respective leases and from the Caesars Las Vegas Master Lease, Caesars Regional Master Lease, Joliet Lease, Century Master Lease, and Venetian Lease in relation to the CPI portion of the annual escalator.</w:t>
      </w:r>
    </w:p>
    <w:p>
      <w:pPr>
        <w:pStyle w:val="TextBody"/>
        <w:bidi w:val="0"/>
        <w:spacing w:lineRule="auto" w:line="288" w:before="0" w:after="0"/>
        <w:jc w:val="both"/>
        <w:rPr/>
      </w:pPr>
      <w:r>
        <w:rPr>
          <w:rFonts w:ascii="Times New Roman;sans-serif" w:hAnsi="Times New Roman;sans-serif"/>
          <w:b w:val="false"/>
          <w:i/>
          <w:color w:val="000000"/>
          <w:sz w:val="16"/>
        </w:rPr>
        <w:t>(2) Represents the MGM Master Lease, Harrah’s Call Properties, JACK Master Lease, Mirage Lease, Foundation Master Lease, PURE Master Lease and Gold Strike Lease. In accordance with ASC 842,</w:t>
      </w:r>
      <w:r>
        <w:rPr>
          <w:color w:val="000000"/>
          <w:shd w:fill="FFFFFF" w:val="clear"/>
        </w:rPr>
        <w:t xml:space="preserve"> </w:t>
      </w:r>
      <w:r>
        <w:rPr>
          <w:rFonts w:ascii="Times New Roman;sans-serif" w:hAnsi="Times New Roman;sans-serif"/>
          <w:b w:val="false"/>
          <w:i/>
          <w:color w:val="000000"/>
          <w:sz w:val="16"/>
          <w:shd w:fill="FFFFFF" w:val="clear"/>
        </w:rPr>
        <w:t>since the lease agreements were determined to meet the definition of a sales-type lease and control of the asset is not considered to have been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Amounts represent the non-cash adjustment to the minimum lease payments from sales-type leases and lease financing receivables in order to recognize income on an effective interest basis at a constant rate of return over the term of the leases.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minimum lease payments owed to us for each of the five succeeding years under sales-type leases and our leases accounted for as financing receivables, are as follows:</w:t>
      </w:r>
    </w:p>
    <w:tbl>
      <w:tblPr>
        <w:tblW w:w="8620"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574,111 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1,208,151 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87,214,137 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164,412,897 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86,712,087 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93,831,747 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180,543,834 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Weighted Average Lease Term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assumes the exercise of all tenant renewal options, consistent with our conclusions under ASC 842 and ASC 310.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owned 49 properties leased under 16 separate Lease Agreements, certain of which are master lease agreements governing multiple properties and certain of which are for single assets. Our Lease Agreements are generally long-term in nature with initial terms ranging from 15 to 30 years and are structured with several tenant renewal options extending the term of the lease for another 5 to 30 years. All of our Lease Agreements provide for annual base rent escalations, which range from 1% in the earlier years to the greater of 2% or CPI in later years, with certain of our leases providing for a cap with respect to the maximum CPI-based increase. Additionally, certain of our Lease Agreements provide for a variable rent component in which a portion of the annual rent, generally 20%, is subject to adjustment based on the revenues of the underlying asset in specified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Caesars Leases and MGM Leases, our two most significant tenants:</w:t>
      </w:r>
    </w:p>
    <w:tbl>
      <w:tblPr>
        <w:tblW w:w="10205" w:type="dxa"/>
        <w:jc w:val="left"/>
        <w:tblInd w:w="0" w:type="dxa"/>
        <w:tblLayout w:type="fixed"/>
        <w:tblCellMar>
          <w:top w:w="28" w:type="dxa"/>
          <w:left w:w="28" w:type="dxa"/>
          <w:bottom w:w="28" w:type="dxa"/>
          <w:right w:w="28" w:type="dxa"/>
        </w:tblCellMar>
      </w:tblPr>
      <w:tblGrid>
        <w:gridCol w:w="638"/>
        <w:gridCol w:w="416"/>
        <w:gridCol w:w="417"/>
        <w:gridCol w:w="109"/>
        <w:gridCol w:w="109"/>
        <w:gridCol w:w="109"/>
        <w:gridCol w:w="741"/>
        <w:gridCol w:w="552"/>
        <w:gridCol w:w="555"/>
        <w:gridCol w:w="109"/>
        <w:gridCol w:w="109"/>
        <w:gridCol w:w="109"/>
        <w:gridCol w:w="596"/>
        <w:gridCol w:w="514"/>
        <w:gridCol w:w="516"/>
        <w:gridCol w:w="109"/>
        <w:gridCol w:w="109"/>
        <w:gridCol w:w="109"/>
        <w:gridCol w:w="628"/>
        <w:gridCol w:w="498"/>
        <w:gridCol w:w="500"/>
        <w:gridCol w:w="109"/>
        <w:gridCol w:w="109"/>
        <w:gridCol w:w="109"/>
        <w:gridCol w:w="109"/>
        <w:gridCol w:w="109"/>
        <w:gridCol w:w="109"/>
        <w:gridCol w:w="109"/>
        <w:gridCol w:w="550"/>
        <w:gridCol w:w="550"/>
        <w:gridCol w:w="790"/>
      </w:tblGrid>
      <w:tr>
        <w:trPr/>
        <w:tc>
          <w:tcPr>
            <w:tcW w:w="6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MGM Grand/</w:t>
            </w:r>
          </w:p>
          <w:p>
            <w:pPr>
              <w:pStyle w:val="TableContents"/>
              <w:bidi w:val="0"/>
              <w:spacing w:lineRule="auto" w:line="240" w:before="0" w:after="0"/>
              <w:jc w:val="center"/>
              <w:rPr/>
            </w:pPr>
            <w:r>
              <w:rPr>
                <w:rFonts w:ascii="Times New Roman;sans-serif" w:hAnsi="Times New Roman;sans-serif"/>
                <w:b/>
                <w:color w:val="000000"/>
                <w:sz w:val="18"/>
              </w:rPr>
              <w:t xml:space="preserve">Mandalay Bay Lease </w:t>
            </w:r>
            <w:r>
              <w:rPr>
                <w:rFonts w:ascii="Times New Roman;sans-serif" w:hAnsi="Times New Roman;sans-serif"/>
                <w:b/>
                <w:i/>
                <w:color w:val="000000"/>
                <w:sz w:val="12"/>
              </w:rPr>
              <w:t>(1)</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5/1/23-4/30/24 (Lease Year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11/1/22 - 10/31/23 </w:t>
              <w:br/>
              <w:t>(Lease Year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11/1/22 - 10/31/23 </w:t>
              <w:br/>
              <w:t>(Lease Year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3/1/23 - 2/29/24 (Lease Year 4)</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$744,600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$703,678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$454,478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$309,873 </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2-10 - 2%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CPI subject to 2.0% floor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On January 9, 2023, we closed on the MGM Grand/Mandalay Bay JV Interest Acquisition and acquired the remaining 49.9% interest in the MGM Grand/Mandalay Bay JV and accordingly, the amounts set forth above reflect our consolidated interest.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$694.6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Any amounts representing rents in excess of the CPI floors specified above are considered contingent rent in accordance with GAAP.</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Variable rent is not subject to the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508"/>
        <w:gridCol w:w="446"/>
        <w:gridCol w:w="451"/>
        <w:gridCol w:w="109"/>
        <w:gridCol w:w="109"/>
        <w:gridCol w:w="109"/>
        <w:gridCol w:w="511"/>
        <w:gridCol w:w="511"/>
        <w:gridCol w:w="512"/>
        <w:gridCol w:w="109"/>
        <w:gridCol w:w="109"/>
        <w:gridCol w:w="109"/>
        <w:gridCol w:w="435"/>
        <w:gridCol w:w="399"/>
        <w:gridCol w:w="400"/>
        <w:gridCol w:w="109"/>
        <w:gridCol w:w="109"/>
        <w:gridCol w:w="109"/>
        <w:gridCol w:w="673"/>
        <w:gridCol w:w="589"/>
        <w:gridCol w:w="592"/>
        <w:gridCol w:w="109"/>
        <w:gridCol w:w="109"/>
        <w:gridCol w:w="109"/>
        <w:gridCol w:w="109"/>
        <w:gridCol w:w="109"/>
        <w:gridCol w:w="563"/>
        <w:gridCol w:w="515"/>
        <w:gridCol w:w="517"/>
        <w:gridCol w:w="392"/>
        <w:gridCol w:w="272"/>
        <w:gridCol w:w="393"/>
      </w:tblGrid>
      <w:tr>
        <w:trPr/>
        <w:tc>
          <w:tcPr>
            <w:tcW w:w="5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All Other Leases </w:t>
            </w:r>
            <w:r>
              <w:rPr>
                <w:rFonts w:ascii="Times New Roman;sans-serif" w:hAnsi="Times New Roman;sans-serif"/>
                <w:b/>
                <w:i/>
                <w:color w:val="000000"/>
                <w:sz w:val="13"/>
              </w:rPr>
              <w:t>(1)</w:t>
            </w:r>
          </w:p>
        </w:tc>
      </w:tr>
      <w:tr>
        <w:trPr/>
        <w:tc>
          <w:tcPr>
            <w:tcW w:w="1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Rolling three-year minimum</w:t>
            </w:r>
            <w:r>
              <w:rPr>
                <w:color w:val="000000"/>
              </w:rPr>
              <w:t xml:space="preserve">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Lease Agreements not specifically outlined in the table, as specified in the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Caesars Leases require a $107.5 million floor on annual capital expenditures for Caesars Palace Las Vegas, Joliet and the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the Caesars Leases,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Regional Master Lease and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June 30, 2023 and December 31, 2022:</w:t>
      </w:r>
    </w:p>
    <w:tbl>
      <w:tblPr>
        <w:tblW w:w="10205" w:type="dxa"/>
        <w:jc w:val="left"/>
        <w:tblInd w:w="0" w:type="dxa"/>
        <w:tblLayout w:type="fixed"/>
        <w:tblCellMar>
          <w:top w:w="28" w:type="dxa"/>
          <w:left w:w="28" w:type="dxa"/>
          <w:bottom w:w="28" w:type="dxa"/>
          <w:right w:w="28" w:type="dxa"/>
        </w:tblCellMar>
      </w:tblPr>
      <w:tblGrid>
        <w:gridCol w:w="124"/>
        <w:gridCol w:w="109"/>
        <w:gridCol w:w="459"/>
        <w:gridCol w:w="439"/>
        <w:gridCol w:w="440"/>
        <w:gridCol w:w="109"/>
        <w:gridCol w:w="109"/>
        <w:gridCol w:w="109"/>
        <w:gridCol w:w="227"/>
        <w:gridCol w:w="892"/>
        <w:gridCol w:w="117"/>
        <w:gridCol w:w="109"/>
        <w:gridCol w:w="109"/>
        <w:gridCol w:w="109"/>
        <w:gridCol w:w="231"/>
        <w:gridCol w:w="905"/>
        <w:gridCol w:w="119"/>
        <w:gridCol w:w="109"/>
        <w:gridCol w:w="109"/>
        <w:gridCol w:w="109"/>
        <w:gridCol w:w="305"/>
        <w:gridCol w:w="1196"/>
        <w:gridCol w:w="158"/>
        <w:gridCol w:w="109"/>
        <w:gridCol w:w="109"/>
        <w:gridCol w:w="109"/>
        <w:gridCol w:w="414"/>
        <w:gridCol w:w="320"/>
        <w:gridCol w:w="801"/>
        <w:gridCol w:w="109"/>
        <w:gridCol w:w="109"/>
        <w:gridCol w:w="109"/>
        <w:gridCol w:w="381"/>
        <w:gridCol w:w="381"/>
        <w:gridCol w:w="5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Loans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643,115 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833,314 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440"/>
        <w:gridCol w:w="420"/>
        <w:gridCol w:w="422"/>
        <w:gridCol w:w="109"/>
        <w:gridCol w:w="109"/>
        <w:gridCol w:w="109"/>
        <w:gridCol w:w="228"/>
        <w:gridCol w:w="895"/>
        <w:gridCol w:w="118"/>
        <w:gridCol w:w="109"/>
        <w:gridCol w:w="109"/>
        <w:gridCol w:w="109"/>
        <w:gridCol w:w="232"/>
        <w:gridCol w:w="909"/>
        <w:gridCol w:w="119"/>
        <w:gridCol w:w="109"/>
        <w:gridCol w:w="109"/>
        <w:gridCol w:w="109"/>
        <w:gridCol w:w="283"/>
        <w:gridCol w:w="1312"/>
        <w:gridCol w:w="146"/>
        <w:gridCol w:w="109"/>
        <w:gridCol w:w="109"/>
        <w:gridCol w:w="109"/>
        <w:gridCol w:w="347"/>
        <w:gridCol w:w="325"/>
        <w:gridCol w:w="814"/>
        <w:gridCol w:w="109"/>
        <w:gridCol w:w="109"/>
        <w:gridCol w:w="109"/>
        <w:gridCol w:w="385"/>
        <w:gridCol w:w="385"/>
        <w:gridCol w:w="5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1,098,931 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June 30, 2023.</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(6) On May 1, 2023, the Forum Convention Center Mortgage Loan, representing $400.0 million in principal balance of our senior secured loans, was repaid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non-cash credit losses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we recognized a $41.4 million decrease in our allowance for credit losses primarily driven by (i) a decrease in the reasonable and supportable period, or R&amp;S Period, probability of default, or PD, of our tenants and their parent guarantors as a result of their market performance during the current quarter and (ii) changes in the macroeconomic forecast used to scenario condition our R&amp;S Period PD.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recognized a $70.1 million increase in our allowance for credit losses primarily driven by (i) initial CECL allowances in relation to (a) the consolidation of the MGM Grand/Mandalay Bay JV in connection with the MGM Grand/Mandalay Bay JV Interest Acquisition and related classification of the MGM Grand/Mandalay Bay Lease as a sales-type lease, (b) the PURE Canadian Gaming Transaction and related classification of the PURE Master Lease as a lease financing receivable and (c) the purchase of the Hard Rock Ottawa Notes, and (ii) an increase in the Long-Term Period PD as a result of a standard annual update made to the Long-Term PD default study we utilize to estimate our CECL allowance. This increase was partially offset by (i) a decrease in the R&amp;S Period PD of our tenants and their parent guarantors as a result of their market performance during the six-month period and (ii) changes in the macroeconomic forecast used to scenario condition our R&amp;S Period PD.</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 xml:space="preserve">During the three and six months ended June 30, 2022, we recognized a $551.9 million and $632.7 million increase, respectively, in our allowance for credit losses primarily driven by initial CECL allowances on our acquisition activity during such periods, in the amount of $439.7 million and $515.7 million, </w:t>
      </w:r>
      <w:r>
        <w:rPr>
          <w:rFonts w:ascii="Times New Roman;sans-serif" w:hAnsi="Times New Roman;sans-serif"/>
          <w:b w:val="false"/>
          <w:color w:val="000000"/>
          <w:sz w:val="20"/>
        </w:rPr>
        <w:t xml:space="preserve">respectively, representing 79.9% and 81.5% of the total allowance for </w:t>
      </w:r>
      <w:r>
        <w:rPr>
          <w:rFonts w:ascii="Times New Roman;sans-serif" w:hAnsi="Times New Roman;sans-serif"/>
          <w:b w:val="false"/>
          <w:color w:val="000000"/>
          <w:sz w:val="20"/>
          <w:shd w:fill="FFFFFF" w:val="clear"/>
        </w:rPr>
        <w:t xml:space="preserve">three and six months ended June 30, 2022, </w:t>
      </w:r>
      <w:r>
        <w:rPr>
          <w:rFonts w:ascii="Times New Roman;sans-serif" w:hAnsi="Times New Roman;sans-serif"/>
          <w:b w:val="false"/>
          <w:color w:val="000000"/>
          <w:sz w:val="20"/>
        </w:rPr>
        <w:t>respectively.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and are required to present gross, (ii) the closing of the Venetian Acquisition on February 23, 2022, which included (a) the classification of the Venetian Lease as a sales-type lease, (b) the estimated future funding commitments under our Partner Property Growth Fund Agreement with the Venetian Tenant and (c) the sales-type sub-lease agreements we assumed in connection with the closing of the Venetian Acquisition and are required to present gross, and (iii) the future funding commitments related to certain development loans executed during the six months ended June 30, 2022. Additional increases were attributable to the increase in the R&amp;S Period PD of our tenants and their parent guarantors as a result of market volatility during the first and second quarters of 2022. This was partially offset by a decrease in the Long-Term Period PD as a result of standard annual updates that were made to the Long-Term PD default study we utilize to estimate our CECL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and since our formation on October 6, 2017, all of our Lease Agreements and loan and security investments are current in payment of their obligations to us and no investments are on non-accrual status.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June 30, 2023 and December 31, 2022:</w:t>
      </w:r>
    </w:p>
    <w:tbl>
      <w:tblPr>
        <w:tblW w:w="10205" w:type="dxa"/>
        <w:jc w:val="left"/>
        <w:tblInd w:w="0" w:type="dxa"/>
        <w:tblLayout w:type="fixed"/>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23,366,404 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(1,411,023)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41,195,240 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029"/>
        <w:gridCol w:w="894"/>
        <w:gridCol w:w="857"/>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501"/>
        <w:gridCol w:w="458"/>
        <w:gridCol w:w="1334"/>
      </w:tblGrid>
      <w:tr>
        <w:trPr/>
        <w:tc>
          <w:tcPr>
            <w:tcW w:w="102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2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1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36,687,106 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35,363,397 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senior secured and mezzanine loans and for unfunded commitments of our Partner Property Growth Fund. As of June 30, 2023 and December 31, 2022, such allowance is $28.1 million and $45.1 million, respectively, and is recorded in Other liabilities.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six months ended June 30, 2023 and 2022:</w:t>
      </w:r>
    </w:p>
    <w:tbl>
      <w:tblPr>
        <w:tblW w:w="7401" w:type="dxa"/>
        <w:jc w:val="left"/>
        <w:tblInd w:w="0" w:type="dxa"/>
        <w:tblLayout w:type="fixed"/>
        <w:tblCellMar>
          <w:top w:w="28" w:type="dxa"/>
          <w:left w:w="28" w:type="dxa"/>
          <w:bottom w:w="28" w:type="dxa"/>
          <w:right w:w="28" w:type="dxa"/>
        </w:tblCellMar>
      </w:tblPr>
      <w:tblGrid>
        <w:gridCol w:w="1489"/>
        <w:gridCol w:w="1309"/>
        <w:gridCol w:w="1312"/>
        <w:gridCol w:w="109"/>
        <w:gridCol w:w="109"/>
        <w:gridCol w:w="109"/>
        <w:gridCol w:w="211"/>
        <w:gridCol w:w="976"/>
        <w:gridCol w:w="109"/>
        <w:gridCol w:w="109"/>
        <w:gridCol w:w="109"/>
        <w:gridCol w:w="109"/>
        <w:gridCol w:w="211"/>
        <w:gridCol w:w="97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detail the amortized cost basis of our investments by the credit quality indicator we assigned to each lease or loan guarantor as of June 30, 2023 and 2022:</w:t>
      </w:r>
    </w:p>
    <w:tbl>
      <w:tblPr>
        <w:tblW w:w="1215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258"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108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36,027,428 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(2)We estimate the CECL allowance for our senior secured and mezzanine loans using a traditional commercial real estate model based on standardized credit metrics to estimate potential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June 30, 2023 and December 31, 2022:</w:t>
      </w:r>
    </w:p>
    <w:tbl>
      <w:tblPr>
        <w:tblW w:w="7300" w:type="dxa"/>
        <w:jc w:val="left"/>
        <w:tblInd w:w="0" w:type="dxa"/>
        <w:tblLayout w:type="fixed"/>
        <w:tblCellMar>
          <w:top w:w="28" w:type="dxa"/>
          <w:left w:w="28" w:type="dxa"/>
          <w:bottom w:w="28" w:type="dxa"/>
          <w:right w:w="28" w:type="dxa"/>
        </w:tblCellMar>
      </w:tblPr>
      <w:tblGrid>
        <w:gridCol w:w="1533"/>
        <w:gridCol w:w="1347"/>
        <w:gridCol w:w="1350"/>
        <w:gridCol w:w="212"/>
        <w:gridCol w:w="833"/>
        <w:gridCol w:w="109"/>
        <w:gridCol w:w="109"/>
        <w:gridCol w:w="109"/>
        <w:gridCol w:w="109"/>
        <w:gridCol w:w="281"/>
        <w:gridCol w:w="1103"/>
        <w:gridCol w:w="205"/>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receivables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936,328 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June 30, 2023 and December 31, 2022, sales-type sub-leases are net of $16.3 million and $19.8 million of allowance for credit losses, respectively. Refer to </w:t>
      </w:r>
      <w:hyperlink w:anchor="i5091383b7b3347698086ad89a18ea40d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used in operations, included within other assets, is primarily attributable to the land, building and improvements of our golf operations and consists of the following as of June 30, 2023 and December 31, 2022: </w:t>
      </w:r>
    </w:p>
    <w:tbl>
      <w:tblPr>
        <w:tblW w:w="7497" w:type="dxa"/>
        <w:jc w:val="left"/>
        <w:tblInd w:w="0" w:type="dxa"/>
        <w:tblLayout w:type="fixed"/>
        <w:tblCellMar>
          <w:top w:w="28" w:type="dxa"/>
          <w:left w:w="28" w:type="dxa"/>
          <w:bottom w:w="28" w:type="dxa"/>
          <w:right w:w="28" w:type="dxa"/>
        </w:tblCellMar>
      </w:tblPr>
      <w:tblGrid>
        <w:gridCol w:w="1599"/>
        <w:gridCol w:w="1408"/>
        <w:gridCol w:w="1418"/>
        <w:gridCol w:w="234"/>
        <w:gridCol w:w="800"/>
        <w:gridCol w:w="121"/>
        <w:gridCol w:w="109"/>
        <w:gridCol w:w="109"/>
        <w:gridCol w:w="109"/>
        <w:gridCol w:w="309"/>
        <w:gridCol w:w="1056"/>
        <w:gridCol w:w="225"/>
      </w:tblGrid>
      <w:tr>
        <w:trPr/>
        <w:tc>
          <w:tcPr>
            <w:tcW w:w="15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and equipment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used in operations,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19" w:type="dxa"/>
        <w:jc w:val="center"/>
        <w:tblInd w:w="0" w:type="dxa"/>
        <w:tblLayout w:type="fixed"/>
        <w:tblCellMar>
          <w:top w:w="28" w:type="dxa"/>
          <w:left w:w="28" w:type="dxa"/>
          <w:bottom w:w="28" w:type="dxa"/>
          <w:right w:w="28" w:type="dxa"/>
        </w:tblCellMar>
      </w:tblPr>
      <w:tblGrid>
        <w:gridCol w:w="677"/>
        <w:gridCol w:w="595"/>
        <w:gridCol w:w="602"/>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June 30, 2023 and December 31, 2022:</w:t>
      </w:r>
    </w:p>
    <w:tbl>
      <w:tblPr>
        <w:tblW w:w="6805" w:type="dxa"/>
        <w:jc w:val="left"/>
        <w:tblInd w:w="0" w:type="dxa"/>
        <w:tblLayout w:type="fixed"/>
        <w:tblCellMar>
          <w:top w:w="28" w:type="dxa"/>
          <w:left w:w="28" w:type="dxa"/>
          <w:bottom w:w="28" w:type="dxa"/>
          <w:right w:w="28" w:type="dxa"/>
        </w:tblCellMar>
      </w:tblPr>
      <w:tblGrid>
        <w:gridCol w:w="1354"/>
        <w:gridCol w:w="1189"/>
        <w:gridCol w:w="1192"/>
        <w:gridCol w:w="212"/>
        <w:gridCol w:w="833"/>
        <w:gridCol w:w="109"/>
        <w:gridCol w:w="109"/>
        <w:gridCol w:w="109"/>
        <w:gridCol w:w="109"/>
        <w:gridCol w:w="281"/>
        <w:gridCol w:w="1103"/>
        <w:gridCol w:w="205"/>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952,472 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June 30, 2023 and December 31, 2022:</w:t>
      </w:r>
    </w:p>
    <w:tbl>
      <w:tblPr>
        <w:tblW w:w="10170" w:type="dxa"/>
        <w:jc w:val="left"/>
        <w:tblInd w:w="0" w:type="dxa"/>
        <w:tblLayout w:type="fixed"/>
        <w:tblCellMar>
          <w:top w:w="28" w:type="dxa"/>
          <w:left w:w="28" w:type="dxa"/>
          <w:bottom w:w="28" w:type="dxa"/>
          <w:right w:w="28" w:type="dxa"/>
        </w:tblCellMar>
      </w:tblPr>
      <w:tblGrid>
        <w:gridCol w:w="1324"/>
        <w:gridCol w:w="1166"/>
        <w:gridCol w:w="1169"/>
        <w:gridCol w:w="109"/>
        <w:gridCol w:w="109"/>
        <w:gridCol w:w="109"/>
        <w:gridCol w:w="265"/>
        <w:gridCol w:w="265"/>
        <w:gridCol w:w="266"/>
        <w:gridCol w:w="109"/>
        <w:gridCol w:w="109"/>
        <w:gridCol w:w="109"/>
        <w:gridCol w:w="454"/>
        <w:gridCol w:w="454"/>
        <w:gridCol w:w="456"/>
        <w:gridCol w:w="109"/>
        <w:gridCol w:w="109"/>
        <w:gridCol w:w="109"/>
        <w:gridCol w:w="223"/>
        <w:gridCol w:w="1146"/>
        <w:gridCol w:w="115"/>
        <w:gridCol w:w="109"/>
        <w:gridCol w:w="109"/>
        <w:gridCol w:w="109"/>
        <w:gridCol w:w="227"/>
        <w:gridCol w:w="1166"/>
        <w:gridCol w:w="166"/>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MGM Grand/Mandalay Bay CMBS Debt </w:t>
            </w:r>
            <w:r>
              <w:rPr>
                <w:rFonts w:ascii="Times New Roman;sans-serif" w:hAnsi="Times New Roman;sans-serif"/>
                <w:b w:val="false"/>
                <w:i/>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2,760,388 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November 2019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February 2020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April 2022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1,238,337 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988,482 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Exchange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1,027,327 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737,387 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665,693 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MGP OP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4.342%</w:t>
            </w:r>
            <w:r>
              <w:rPr>
                <w:color w:val="000000"/>
              </w:rPr>
              <w:t xml:space="preserve"> </w:t>
            </w:r>
            <w:r>
              <w:rPr>
                <w:rFonts w:ascii="Times New Roman;sans-serif" w:hAnsi="Times New Roman;sans-serif"/>
                <w:b w:val="false"/>
                <w:i/>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17,055,728 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16,624,197 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8880"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65"/>
        <w:gridCol w:w="265"/>
        <w:gridCol w:w="266"/>
        <w:gridCol w:w="109"/>
        <w:gridCol w:w="109"/>
        <w:gridCol w:w="109"/>
        <w:gridCol w:w="434"/>
        <w:gridCol w:w="434"/>
        <w:gridCol w:w="436"/>
        <w:gridCol w:w="109"/>
        <w:gridCol w:w="109"/>
        <w:gridCol w:w="109"/>
        <w:gridCol w:w="223"/>
        <w:gridCol w:w="1146"/>
        <w:gridCol w:w="115"/>
        <w:gridCol w:w="109"/>
        <w:gridCol w:w="109"/>
        <w:gridCol w:w="109"/>
        <w:gridCol w:w="227"/>
        <w:gridCol w:w="1166"/>
        <w:gridCol w:w="166"/>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Revolving Credit Facility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Delayed Draw Term Loan </w:t>
            </w:r>
            <w:r>
              <w:rPr>
                <w:rFonts w:ascii="Times New Roman;sans-serif" w:hAnsi="Times New Roman;sans-serif"/>
                <w:b w:val="false"/>
                <w:i/>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November 2019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February 2020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April 2022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1,237,082 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987,618 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1,480,799 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735,360 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Exchange Notes </w:t>
            </w:r>
            <w:r>
              <w:rPr>
                <w:rFonts w:ascii="Times New Roman;sans-serif" w:hAnsi="Times New Roman;sans-serif"/>
                <w:b w:val="false"/>
                <w:i/>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1,024,169 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1,029,226 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799,368 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MGP OP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4.496%</w:t>
            </w:r>
            <w:r>
              <w:rPr>
                <w:color w:val="000000"/>
              </w:rPr>
              <w:t xml:space="preserve"> </w:t>
            </w:r>
            <w:r>
              <w:rPr>
                <w:rFonts w:ascii="Times New Roman;sans-serif" w:hAnsi="Times New Roman;sans-serif"/>
                <w:b w:val="false"/>
                <w:i/>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(2)Interest on any outstanding balance is payable monthly. Borrowings under the Revolving Credit Facility bear interest at a rate based on a credit rating-based pricing grid with a range of 0.775% to 1.325% margin plus SOFR (or CDOR, as applicable) with an additional 0.10% adjustment for SOFR loans, as applicable. Additionally, the commitment fees under the Revolving Credit Facility are calculated on a credit rating-based pricing grid with a range of 0.15% to 0.375%, depending on our credit ratings. For the three and six months ended June 30, 2023, the commitment fee for the Revolving Credit Facility was 0.250%.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(3)On January 3, 2023, we drew on the Revolving Credit Facility in the amount of C$140.0 million to fund a portion of the purchase price of the PURE Canadian Gaming Transaction. The balance above is inclusive of foreign currency remeasurement.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(4)Interest is payable monthly.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(5)Interest is payable semi-annually.</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(6)Interest rates represent the contractual interest rates adjusted to account for the impact of the forward-starting interest rate swaps and treasury locks (as further described in </w:t>
      </w:r>
      <w:hyperlink w:anchor="i5091383b7b3347698086ad89a18ea40d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xml:space="preserve">). The contractual interest rates on the April 2022 Notes maturing 2028, 2030 and 2032 are 4.750%, 4.950% and 5.125%,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(7)The interest rate represents the weighted average interest rates of the Senior Unsecured Notes adjusted to account for the impact of the forward-starting interest rate swaps and treasury locks (as further described in </w:t>
      </w:r>
      <w:hyperlink w:anchor="i5091383b7b3347698086ad89a18ea40d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June 30, 2023, which excludes the impact of the forward-starting interest rate swaps and treasury locks, is 4.48%.</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(8)The Delayed Draw Term Loan was available to be drawn up to 12 months following the effective date of February 8, 2022. On February 8, 2023, the Delayed Draw Term Loan facility expired undrawn in accordance with its terms.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June 30, 2023:</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1,855,728 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17,055,728 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13, 2021, we announced that the VICI Issuers commenced (i) private exchange offers 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eliminated or modified certain of the covenants, restrictions, provisions and events of default in each of the MGP OP Notes Indentures. Upon settlement of the Exchange Offers and Consent Solicitations on April 29, 2022, supplemental indentures to each of the MGP OP Notes Indentures that effected the proposed amendments became operative.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VICI Issuers issued $1,024.2 million in aggregate principal amount of 5.625% Senior Notes due May 1, 2024, $799.4 million in aggregate principal amount of 4.625% Senior Notes due June 15, 2025, $480.5 million in aggregate principal amount of 4.500% Senior Notes due September 1, 2026, $729.5 million in aggregate principal amount of 5.750% Senior Notes due February 1, 2027, $349.3 million in aggregate principal amount of 4.500% Senior Notes due January 15, 2028 and $727.1 million in aggregate principal amount of 3.875% Senior Notes due February 15, 2029 in exchange for the validly tendered and not validly withdrawn MGP OP Notes, originally issued by the MGP Issuers, pursuant to the settlement of the Exchange Offers and Consent Solicitations in connection with the closing of the MGP Transactions. The Exchange Notes were issued with the same interest rate, maturity date and redemption terms as the corresponding series of MGP OP Notes, in each case under a supplemental indenture dated as of April 29, 2022, between the VICI Issuers and UMB Bank, National Association, as trustee (the “Trustee”).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Exchange Notes due 2025, 2026, 2027, 2028, and 2029 are redeemable at our option, in whole or in part, at any time on or after February 1, 2024, March 15, 2025, June 1, 2026, November 1, 2026, October 15, 2027 and November 15, 2028, respectively, at the redemption prices set forth in the respective indenture governing such Exchange Notes. We may redeem some or all of such notes prior to such respective dates at a price equal to 100% of the principal amount thereof plus a “make-whole” premium.</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MGP OP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issuance of the Exchange Notes pursuant to the settlement of the Exchange Offers and Consent Solicitations, $25.8 million in aggregate principal amount of MGP OP Notes due 2024, $0.6 million in aggregate principal amount of MGP OP Notes due 2025, $19.5 million in aggregate principal amount of MGP OP Notes due 2026, $20.5 million in aggregate principal amount of MGP OP Notes due 2027, $0.7 million in aggregate principal amount of MGP OP Notes due 2028 and $22.9 million in aggregate principal amount of MGP OP Notes due 2029 remain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series of the MGP OP Notes is redeemable at our option, in whole or in part, at any time on or after the same dates as set forth above with respect to the corresponding maturity series of the Exchange Notes. We may redeem some or all of such notes prior to such respective dates at a price equal to 100% of the principal amount thereof plus a “make-whole” premium.</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April 2022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VICI LP, our wholly owned subsidiary, issued (i) $500.0 million in aggregate principal amount of 4.375% Senior Notes due 2025, which mature on May 15, 2025, (ii) $1,250.0 million in aggregate principal amount of 4.750% Senior Notes due 2028, which mature on February 15, 2028, (iii) $1,000.0 million in aggregate principal amount of 4.950% Senior Notes due 2030, which mature on February 15, 2030, (iv) $1,500.0 million in aggregate principal amount of 5.125% Senior Notes due 2032, which mature on May 15, 2032, and (v) $750.0 million in aggregate principal amount of 5.625% Senior Notes due 2052, which mature on May 15, 2052, (collectively, the “April 2022 Notes”) in each case under a supplemental indenture dated as of April 29, 2022, between VICI LP and the Trustee. We used the net proceeds of the offering to (i) fund the consideration for the redemption of a majority of the VICI OP Units received by MGM in the Partnership Merger for $4,404.0 million in cash in connection with the closing of the MGP Transactions on April 29, 2022, and (ii) pay down the outstanding $600.0 million balance on our Revolving Credit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their maturity date, in the case of the April 2022 Notes due 2025, and January 15, 2028 (one month prior to the maturity date of the April 2022 Notes due 2028), December 15, 2029 (two months prior to the maturity date of the April 2022 Notes due 2030), February 15, 2032 (three months prior to the maturity date of the April 2022 Notes due 2032) and November 15, 2051 (six months prior to the maturity date of the April 2022 Notes due 2052), respectively, in the case of the April 2022 Notes due 2028, 2030, 2032 and 2052, we may redeem the April 2022 Notes at our option, in whole or in part, at any time and from time to time, at a price equal to 100% of the principal amount thereof plus a “make-whole” premium. On or after January 15, 2028, December 15, 2029, February 15, 2032 and November 15, 2051, respectively, we may redeem the April 2022 Notes due 2028, 2030, 2032 and 2052 at a redemption price equal to 100% of the principal amount of such Notes to be redeemed, plus accrued and unpaid interest thereon to the redemption date.</w:t>
      </w:r>
    </w:p>
    <w:p>
      <w:pPr>
        <w:pStyle w:val="TextBody"/>
        <w:bidi w:val="0"/>
        <w:spacing w:lineRule="auto" w:line="28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5, 2020, the VICI Issuers issued (i) $750.0 million in aggregate principal amount of 3.500% Senior Notes due 2025, which mature on February 15, 2025, (ii) $750.0 million in aggregate principal amount of 3.750% Senior Notes due 2027, which mature on February 15, 2027, and (iii) $1,000.0 million in aggregate principal amount of 4.125% Senior Notes due 2030, which mature on August 15, 2030 (collectively, the “February 2020 Notes”), under separate indentures, each dated as of February 5, 2020, among the VICI Issuers, the subsidiary guarantors party thereto and the Trustee.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February 2020 Notes due 2025, 2027 and 2030 are redeemable at our option, in whole or in part, at any time on or after February 15, 2022, February 15, 2023, and February 15, 2025, respectively, at the redemption prices set forth in the respective indenture. We may redeem some or all of the February 2020 Notes due 2025, 2027 and 2030 prior to such respective dates at a price equal to 100% of the principal amount thereof plus a “make-whole” premium. Prior to February 15, 2022, with respect to the February 2020 Notes due 2025, and February 15, 2023, with respect to the February 2020 Notes due 2027 and 2030, we may redeem up to 40% of the aggregate principal amount of the February 2020 Notes due 2025, 2027 and 2030 using the proceeds of certain equity offerings at the redemption price set forth in the respective indenture.</w:t>
      </w:r>
    </w:p>
    <w:p>
      <w:pPr>
        <w:pStyle w:val="TextBody"/>
        <w:bidi w:val="0"/>
        <w:spacing w:lineRule="auto" w:line="28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November 2019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26, 2019, the VICI Issuers issued (i) $1,250.0 million in aggregate principal amount of 4.250% Senior Notes due 2026, which mature on December 1, 2026, and (ii) $1,000.0 million in aggregate principal amount of 4.625% Senior Notes due 2029, which mature on December 1, 2029 (collectively, the “November 2019 Notes”), under separate indentures, each dated as of November 26, 2019, among the VICI Issuers, the subsidiary guarantors party thereto and the Trustee.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November 2019 Notes due 2026 and 2029 are redeemable at our option, in whole or in part, at any time on or after December 1, 2022 and December 1, 2024, respectively, at the redemption prices set forth in the respective indenture. We may redeem some or all of the November 2019 Notes due 2026 or 2029 prior to such respective dates at a price equal to 100% of the principal amount thereof plus a “make-whole” premium. Prior to December 1, 2022, we may redeem up to 40% of the aggregate principal amount of the November 2019 Notes due 2026 or 2029 using the proceeds of certain equity offerings at the redemption price set forth in the respective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and the April 2022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2022, VICI LP entered into the Credit Agreement providing for (i) the Revolving Credit Facility in the amount of $2.5 billion scheduled to mature on March 31, 2026 and (ii) the Delayed Draw Term Loan in the amount of $1.0 billion scheduled to mature on March 31, 2025. The Delayed Draw Term Loan was available to be drawn for up to 12 months following the effective date and, accordingly, expired undrawn in accordance with its terms on February 8,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to the Credit Agreement, in order to permit borrowings under the Revolving Credit Facility in certain foreign currencies in an aggregate principal amount of up to the equivalent of $1.25 billion.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bear interest, at VICI LP’s option, at a rate based on SOFR (or CDOR for Canadian dollars) (including a credit spread adjustment for SOFR) plus a margin ranging from 0.775% to 1.325% or a base rate (or Canadian prime rate for Canadian dollars) plus a margin ranging from 0.00% to 0.325%, in each case, with the actual margin determined according to VICI LP’s debt ratings. The base rate for USD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 day Canadian Dollar bankers’ acceptance quoted by Reuters plus 1.0%, subject in each case to a floor of 1.0%. In addition, the Revolving Credit Facility requires the payment of a facility fee ranging from 0.15% to 0.375% (depending on VICI LP’s debt rating) of total revolving commitments.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2023, we drew on the Revolving Credit Facility in the amount of C$140.0 million to fund a portion of the purchase price of the PURE Canadian Gaming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as a result of the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Bridge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 2021 and August 4, 2021, in connection with the completion of the Venetian Acquisition and MGP Transactions, respectively, VICI PropCo entered into Commitment Letters with certain lenders pursuant to which they provided commitments in an amount up to $4.0 billion and $9.3 billion, respectively, in the aggregate, each consisting of a 364-day first lien secured bridge facility (the “Venetian Acquisition Bridge Facility” and the “MGP Transactions Bridge Facility,” respectively), for the purpose of providing a portion of the financing necessary in connection with the closing of the Venetian Acquisition and MGP Transactions, as applicable. In each case the commitments were subject to a tiered commitment fee based on the period the respective commitment was outstanding and a structuring fee. During the three and six months ended June 30, 2022, we recognized $3.8 million and $16.3 million, respectively, in such fees, which were recorded in Interest expense in our Statement of Operations. We did not recognize any such fees during the three and six months ended June 30, 2023, since the Venetian Acquisition Bridge Facility and MGP Transactions Bridge Facility were fully terminated on February 23, 2022 and April 29, 2022, respectively, in connection with such closings.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June 30, 2023,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Forward-Starting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entered into two forward-starting interest rate swap agreements with an aggregate notional amount of $250.0 million to hedge against changes in future cash flows resulting from changes in interest rates from the trade date through the forecasted issuance of $250.0 million of senior unsecured notes. Subsequent to quarter-end, we entered into one forward-starting interest rate swap agreement for an additional aggregate notional amount of $50.0 million. We hedged our exposure to the variability in future cash flows for a forecasted issuance of long-term debt over a maximum period ending December 2024. The forward-starting interest rate swaps are designated as cash-flow hedges.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outstanding interest rate derivatives that were designated as cash flow hedges of interest rate risk as of June 30, 2023. As of December 31, 2022, there were no derivative instruments outstanding.</w:t>
      </w:r>
    </w:p>
    <w:tbl>
      <w:tblPr>
        <w:tblW w:w="10205" w:type="dxa"/>
        <w:jc w:val="center"/>
        <w:tblInd w:w="0" w:type="dxa"/>
        <w:tblLayout w:type="fixed"/>
        <w:tblCellMar>
          <w:top w:w="28" w:type="dxa"/>
          <w:left w:w="28" w:type="dxa"/>
          <w:bottom w:w="28" w:type="dxa"/>
          <w:right w:w="28" w:type="dxa"/>
        </w:tblCellMar>
      </w:tblPr>
      <w:tblGrid>
        <w:gridCol w:w="918"/>
        <w:gridCol w:w="558"/>
        <w:gridCol w:w="545"/>
        <w:gridCol w:w="109"/>
        <w:gridCol w:w="109"/>
        <w:gridCol w:w="109"/>
        <w:gridCol w:w="470"/>
        <w:gridCol w:w="470"/>
        <w:gridCol w:w="472"/>
        <w:gridCol w:w="109"/>
        <w:gridCol w:w="109"/>
        <w:gridCol w:w="109"/>
        <w:gridCol w:w="309"/>
        <w:gridCol w:w="237"/>
        <w:gridCol w:w="229"/>
        <w:gridCol w:w="109"/>
        <w:gridCol w:w="109"/>
        <w:gridCol w:w="109"/>
        <w:gridCol w:w="211"/>
        <w:gridCol w:w="826"/>
        <w:gridCol w:w="109"/>
        <w:gridCol w:w="109"/>
        <w:gridCol w:w="109"/>
        <w:gridCol w:w="109"/>
        <w:gridCol w:w="724"/>
        <w:gridCol w:w="724"/>
        <w:gridCol w:w="728"/>
        <w:gridCol w:w="109"/>
        <w:gridCol w:w="109"/>
        <w:gridCol w:w="109"/>
        <w:gridCol w:w="302"/>
        <w:gridCol w:w="302"/>
        <w:gridCol w:w="436"/>
      </w:tblGrid>
      <w:tr>
        <w:trPr/>
        <w:tc>
          <w:tcPr>
            <w:tcW w:w="9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USD-SOFR-COMPOUND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2021 through April 2022, we entered into five forward-starting interest rate swap agreements with an aggregate notional amount of $2.5 billion and two U.S. Treasury Rate Lock agreements with an aggregate notional amount of $500.0 million to hedge against changes in future cash flows resulting from changes in interest rates from the trade date through the forecasted issuance date of $3.0 billion of long-term debt. The forward-starting interest rate swaps and treasury locks were designated as cash-flow hedges. In April 2022 in connection with the April 2022 Notes offering, we settled the outstanding forward-starting interest rate swaps for total net proceeds of $202.3 million and the treasury locks for total net proceeds of $4.5 million. Since the forward-starting swaps and treasury locks were hedging the interest rate risk on the April 2022 Notes, the unrealized gain in Accumulated other comprehensive income will be amortized over the term of the respective derivative instruments, which matches that of the underlying note, as a reduction in 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1875"/>
        <w:gridCol w:w="1619"/>
        <w:gridCol w:w="1627"/>
        <w:gridCol w:w="216"/>
        <w:gridCol w:w="632"/>
        <w:gridCol w:w="111"/>
        <w:gridCol w:w="111"/>
        <w:gridCol w:w="111"/>
        <w:gridCol w:w="111"/>
        <w:gridCol w:w="216"/>
        <w:gridCol w:w="740"/>
        <w:gridCol w:w="111"/>
        <w:gridCol w:w="109"/>
        <w:gridCol w:w="109"/>
        <w:gridCol w:w="109"/>
        <w:gridCol w:w="237"/>
        <w:gridCol w:w="525"/>
        <w:gridCol w:w="109"/>
        <w:gridCol w:w="109"/>
        <w:gridCol w:w="109"/>
        <w:gridCol w:w="109"/>
        <w:gridCol w:w="211"/>
        <w:gridCol w:w="826"/>
        <w:gridCol w:w="163"/>
      </w:tblGrid>
      <w:tr>
        <w:trPr/>
        <w:tc>
          <w:tcPr>
            <w:tcW w:w="187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recorded in other comprehensive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C$140.0 million draw on the Revolving Credit Facility in connection with the PURE Canadian Gaming Transaction reduces the impact of exchange rate variations associated with our investment in the PURE Canadian Gaming entities and, accordingly, has been designated as a hedge of the net investment in the PURE Canadian Gaming entities. As a non-derivative net investment hedge, the impact of changes in foreign currency exchange rates on the principal balance are recognized as a cumulative translation adjustment within accumulated other comprehensive income. For the three and six months ended June 30, 2023, we recognized $2.2 million and $4.6 million, respectively, in unrealized losses related to such net investment hedge,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measured at fair value on a recurring basis as of June 30, 2023 and December 31, 2022:</w:t>
      </w:r>
    </w:p>
    <w:tbl>
      <w:tblPr>
        <w:tblW w:w="10059" w:type="dxa"/>
        <w:jc w:val="left"/>
        <w:tblInd w:w="0" w:type="dxa"/>
        <w:tblLayout w:type="fixed"/>
        <w:tblCellMar>
          <w:top w:w="28" w:type="dxa"/>
          <w:left w:w="28" w:type="dxa"/>
          <w:bottom w:w="28" w:type="dxa"/>
          <w:right w:w="28" w:type="dxa"/>
        </w:tblCellMar>
      </w:tblPr>
      <w:tblGrid>
        <w:gridCol w:w="1859"/>
        <w:gridCol w:w="1634"/>
        <w:gridCol w:w="1637"/>
        <w:gridCol w:w="338"/>
        <w:gridCol w:w="987"/>
        <w:gridCol w:w="174"/>
        <w:gridCol w:w="109"/>
        <w:gridCol w:w="109"/>
        <w:gridCol w:w="109"/>
        <w:gridCol w:w="213"/>
        <w:gridCol w:w="411"/>
        <w:gridCol w:w="110"/>
        <w:gridCol w:w="109"/>
        <w:gridCol w:w="109"/>
        <w:gridCol w:w="109"/>
        <w:gridCol w:w="211"/>
        <w:gridCol w:w="616"/>
        <w:gridCol w:w="109"/>
        <w:gridCol w:w="109"/>
        <w:gridCol w:w="109"/>
        <w:gridCol w:w="109"/>
        <w:gridCol w:w="213"/>
        <w:gridCol w:w="411"/>
        <w:gridCol w:w="155"/>
      </w:tblGrid>
      <w:tr>
        <w:trPr/>
        <w:tc>
          <w:tcPr>
            <w:tcW w:w="1859"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7344" w:type="dxa"/>
        <w:jc w:val="left"/>
        <w:tblInd w:w="0" w:type="dxa"/>
        <w:tblLayout w:type="fixed"/>
        <w:tblCellMar>
          <w:top w:w="28" w:type="dxa"/>
          <w:left w:w="28" w:type="dxa"/>
          <w:bottom w:w="28" w:type="dxa"/>
          <w:right w:w="28" w:type="dxa"/>
        </w:tblCellMar>
      </w:tblPr>
      <w:tblGrid>
        <w:gridCol w:w="799"/>
        <w:gridCol w:w="702"/>
        <w:gridCol w:w="704"/>
        <w:gridCol w:w="276"/>
        <w:gridCol w:w="1081"/>
        <w:gridCol w:w="142"/>
        <w:gridCol w:w="109"/>
        <w:gridCol w:w="109"/>
        <w:gridCol w:w="109"/>
        <w:gridCol w:w="213"/>
        <w:gridCol w:w="411"/>
        <w:gridCol w:w="110"/>
        <w:gridCol w:w="109"/>
        <w:gridCol w:w="109"/>
        <w:gridCol w:w="109"/>
        <w:gridCol w:w="211"/>
        <w:gridCol w:w="826"/>
        <w:gridCol w:w="109"/>
        <w:gridCol w:w="109"/>
        <w:gridCol w:w="109"/>
        <w:gridCol w:w="109"/>
        <w:gridCol w:w="213"/>
        <w:gridCol w:w="411"/>
        <w:gridCol w:w="155"/>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investments </w:t>
            </w:r>
            <w:r>
              <w:rPr>
                <w:rFonts w:ascii="Times New Roman;sans-serif" w:hAnsi="Times New Roman;sans-serif"/>
                <w:b w:val="false"/>
                <w:i/>
                <w:color w:val="000000"/>
                <w:sz w:val="13"/>
              </w:rPr>
              <w:t>(2)</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(2) The carrying value of these investments is equal to their fair value due to the short-term nature of the investments as well as their credit quality.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June 30, 2023 and December 31, 2022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5"/>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9"/>
      </w:tblGrid>
      <w:tr>
        <w:trPr/>
        <w:tc>
          <w:tcPr>
            <w:tcW w:w="126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17,144,528 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17,871,771 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2,760,388 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13,758,081 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13,739,675 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13,020,636 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(1)These investments represent the JACK Master Lease, the Harrah’s Call Properties, the MGM Master Lease, the Foundation Master Lease, Mirage Lease, Gold Strike Lease and the PURE Master Lease. In relation to the Harrah’s Call Properties, JACK Master Lease, Mirage Lease, Gold Strike Lease and MGM Master Lease the fair value of these assets is based on significant “unobservable” market inputs and, as such, these fair value measurements are considered Level 3 of the fair value hierarchy. In relation to the Foundation Master Lease and PURE Master Lease, given the proximity of the date of our investment to the date of the financial statements, we determined that the fair value materially approximates the purchase price of the acquisition of these financial assets.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(2)These investments represent our investments in eleven senior secured and mezzanine loans and one series of senior secured notes. 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June 30, 2023,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 xml:space="preserve">We are liable under various operating leases for: (i) land at the Cascata golf course, which expires in 2038 and has three 10-year extension options and (ii) certain corporate offices, the most material of which is our corporate headquarters in New York, NY, which expires in 2030 and has one five-year renewal option.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the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June 30, 2023 and December 31, 2022:</w:t>
      </w:r>
    </w:p>
    <w:tbl>
      <w:tblPr>
        <w:tblW w:w="7827" w:type="dxa"/>
        <w:jc w:val="left"/>
        <w:tblInd w:w="0" w:type="dxa"/>
        <w:tblLayout w:type="fixed"/>
        <w:tblCellMar>
          <w:top w:w="28" w:type="dxa"/>
          <w:left w:w="28" w:type="dxa"/>
          <w:bottom w:w="28" w:type="dxa"/>
          <w:right w:w="28" w:type="dxa"/>
        </w:tblCellMar>
      </w:tblPr>
      <w:tblGrid>
        <w:gridCol w:w="1723"/>
        <w:gridCol w:w="1514"/>
        <w:gridCol w:w="1518"/>
        <w:gridCol w:w="234"/>
        <w:gridCol w:w="800"/>
        <w:gridCol w:w="121"/>
        <w:gridCol w:w="109"/>
        <w:gridCol w:w="109"/>
        <w:gridCol w:w="109"/>
        <w:gridCol w:w="309"/>
        <w:gridCol w:w="1056"/>
        <w:gridCol w:w="225"/>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lease and sub-leases)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Others assets (sales-type sub-leases, net) </w:t>
            </w:r>
            <w:r>
              <w:rPr>
                <w:rFonts w:ascii="Times New Roman;sans-serif" w:hAnsi="Times New Roman;sans-serif"/>
                <w:b w:val="false"/>
                <w:i/>
                <w:color w:val="000000"/>
                <w:sz w:val="13"/>
              </w:rPr>
              <w:t>(1)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784,259 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June 30, 2023 and December 31, 2022, sales-type sub-leases are net of $16.3 million and $19.8 million of allowance for credit losses, respectively. Refer to </w:t>
      </w:r>
      <w:hyperlink w:anchor="i5091383b7b3347698086ad89a18ea40d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7565" w:type="dxa"/>
        <w:jc w:val="left"/>
        <w:tblInd w:w="0" w:type="dxa"/>
        <w:tblLayout w:type="fixed"/>
        <w:tblCellMar>
          <w:top w:w="28" w:type="dxa"/>
          <w:left w:w="28" w:type="dxa"/>
          <w:bottom w:w="28" w:type="dxa"/>
          <w:right w:w="28" w:type="dxa"/>
        </w:tblCellMar>
      </w:tblPr>
      <w:tblGrid>
        <w:gridCol w:w="913"/>
        <w:gridCol w:w="803"/>
        <w:gridCol w:w="804"/>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 expense</w:t>
            </w:r>
            <w:r>
              <w:rPr>
                <w:rFonts w:ascii="Times New Roman;sans-serif" w:hAnsi="Times New Roman;sans-serif"/>
                <w:b w:val="false"/>
                <w:color w:val="000000"/>
                <w:sz w:val="13"/>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Rental income and expense</w:t>
            </w:r>
            <w:r>
              <w:rPr>
                <w:rFonts w:ascii="Times New Roman;sans-serif" w:hAnsi="Times New Roman;sans-serif"/>
                <w:b w:val="false"/>
                <w:color w:val="000000"/>
                <w:sz w:val="13"/>
              </w:rPr>
              <w:t>(2)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Rental income and expense</w:t>
            </w:r>
            <w:r>
              <w:rPr>
                <w:rFonts w:ascii="Times New Roman;sans-serif" w:hAnsi="Times New Roman;sans-serif"/>
                <w:b w:val="false"/>
                <w:color w:val="000000"/>
                <w:sz w:val="13"/>
              </w:rPr>
              <w:t>(2)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and ground and use sub-leases at June 30, 2023 are as follows: </w:t>
      </w:r>
    </w:p>
    <w:tbl>
      <w:tblPr>
        <w:tblW w:w="10205" w:type="dxa"/>
        <w:jc w:val="left"/>
        <w:tblInd w:w="0" w:type="dxa"/>
        <w:tblLayout w:type="fixed"/>
        <w:tblCellMar>
          <w:top w:w="28" w:type="dxa"/>
          <w:left w:w="28" w:type="dxa"/>
          <w:bottom w:w="28" w:type="dxa"/>
          <w:right w:w="28" w:type="dxa"/>
        </w:tblCellMar>
      </w:tblPr>
      <w:tblGrid>
        <w:gridCol w:w="969"/>
        <w:gridCol w:w="820"/>
        <w:gridCol w:w="773"/>
        <w:gridCol w:w="109"/>
        <w:gridCol w:w="109"/>
        <w:gridCol w:w="109"/>
        <w:gridCol w:w="412"/>
        <w:gridCol w:w="1409"/>
        <w:gridCol w:w="214"/>
        <w:gridCol w:w="109"/>
        <w:gridCol w:w="109"/>
        <w:gridCol w:w="109"/>
        <w:gridCol w:w="460"/>
        <w:gridCol w:w="1576"/>
        <w:gridCol w:w="240"/>
        <w:gridCol w:w="109"/>
        <w:gridCol w:w="109"/>
        <w:gridCol w:w="109"/>
        <w:gridCol w:w="369"/>
        <w:gridCol w:w="1708"/>
        <w:gridCol w:w="274"/>
      </w:tblGrid>
      <w:tr>
        <w:trPr/>
        <w:tc>
          <w:tcPr>
            <w:tcW w:w="9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2,496,361 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2,822,302 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2,037,746 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784,556 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 - 8.0%</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years</w:t>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Public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terms of the forward sale agreements outstanding as of June 30, 2023: </w:t>
      </w:r>
    </w:p>
    <w:tbl>
      <w:tblPr>
        <w:tblW w:w="10205" w:type="dxa"/>
        <w:jc w:val="left"/>
        <w:tblInd w:w="0" w:type="dxa"/>
        <w:tblLayout w:type="fixed"/>
        <w:tblCellMar>
          <w:top w:w="28" w:type="dxa"/>
          <w:left w:w="28" w:type="dxa"/>
          <w:bottom w:w="28" w:type="dxa"/>
          <w:right w:w="28" w:type="dxa"/>
        </w:tblCellMar>
      </w:tblPr>
      <w:tblGrid>
        <w:gridCol w:w="663"/>
        <w:gridCol w:w="430"/>
        <w:gridCol w:w="434"/>
        <w:gridCol w:w="296"/>
        <w:gridCol w:w="296"/>
        <w:gridCol w:w="298"/>
        <w:gridCol w:w="109"/>
        <w:gridCol w:w="109"/>
        <w:gridCol w:w="109"/>
        <w:gridCol w:w="554"/>
        <w:gridCol w:w="319"/>
        <w:gridCol w:w="270"/>
        <w:gridCol w:w="109"/>
        <w:gridCol w:w="109"/>
        <w:gridCol w:w="109"/>
        <w:gridCol w:w="271"/>
        <w:gridCol w:w="791"/>
        <w:gridCol w:w="140"/>
        <w:gridCol w:w="109"/>
        <w:gridCol w:w="109"/>
        <w:gridCol w:w="109"/>
        <w:gridCol w:w="240"/>
        <w:gridCol w:w="940"/>
        <w:gridCol w:w="123"/>
        <w:gridCol w:w="109"/>
        <w:gridCol w:w="109"/>
        <w:gridCol w:w="109"/>
        <w:gridCol w:w="285"/>
        <w:gridCol w:w="834"/>
        <w:gridCol w:w="147"/>
        <w:gridCol w:w="109"/>
        <w:gridCol w:w="109"/>
        <w:gridCol w:w="109"/>
        <w:gridCol w:w="218"/>
        <w:gridCol w:w="853"/>
        <w:gridCol w:w="168"/>
      </w:tblGrid>
      <w:tr>
        <w:trPr/>
        <w:tc>
          <w:tcPr>
            <w:tcW w:w="66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8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Shares Sold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January 2023 Forward Sale Agreements </w:t>
            </w:r>
            <w:r>
              <w:rPr>
                <w:rFonts w:ascii="Times New Roman;sans-serif" w:hAnsi="Times New Roman;sans-serif"/>
                <w:b w:val="false"/>
                <w:i/>
                <w:color w:val="000000"/>
                <w:sz w:val="13"/>
              </w:rPr>
              <w:t>(3)(4)</w:t>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(1)The forward sale agreements generally require settlement within twelve months of the trade date, which is January 16, 2024 with respect to the January 2023 Forward Sale Agreements.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amount is inclusive of 3,952,500 shares sold pursuant to the exercise in full of the underwriters’ option to purchase additional common stock.</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(3)As of June 30, 2023, the net forward sales price per share under the January 2023 Forward Sale Agreements was $31.64 and would result in us receiving approximately $857.5 million in net cash proceeds if we were to physically settle the shares. Alternatively, if we were to cash settle the shares under the January 2023 Forward Sale Agreements, it would result in a cash inflow of $5.7 million, or, if we were to net share settle the shares under the January 2023 Forward Sale Agreements, it would result in us receiving approximately 181,000 shares.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(4)Subsequent to quarter-end, on July 20, 2023, we physically settled 6,000,000 shares under the January 2023 Forward Sale Agreements at a forward share price of $31.71 per share, in exchange for total net proceeds of approximately $190.3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each of the respective forward sale agreements. We determined that the forward sale agreements meet the criteria for equity classification and, therefore, are exempt from derivative accounting. We recorded the forward sale agreements at fair value at inception, which we determined to be zero. Subsequent changes to fair value are not required under equity classification.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settlement activity of the outstanding forward sale agreements during the six months ended June 30, 2023: </w:t>
      </w:r>
    </w:p>
    <w:tbl>
      <w:tblPr>
        <w:tblW w:w="10205" w:type="dxa"/>
        <w:jc w:val="left"/>
        <w:tblInd w:w="0" w:type="dxa"/>
        <w:tblLayout w:type="fixed"/>
        <w:tblCellMar>
          <w:top w:w="28" w:type="dxa"/>
          <w:left w:w="28" w:type="dxa"/>
          <w:bottom w:w="28" w:type="dxa"/>
          <w:right w:w="28" w:type="dxa"/>
        </w:tblCellMar>
      </w:tblPr>
      <w:tblGrid>
        <w:gridCol w:w="811"/>
        <w:gridCol w:w="599"/>
        <w:gridCol w:w="604"/>
        <w:gridCol w:w="365"/>
        <w:gridCol w:w="365"/>
        <w:gridCol w:w="367"/>
        <w:gridCol w:w="109"/>
        <w:gridCol w:w="109"/>
        <w:gridCol w:w="109"/>
        <w:gridCol w:w="360"/>
        <w:gridCol w:w="360"/>
        <w:gridCol w:w="361"/>
        <w:gridCol w:w="109"/>
        <w:gridCol w:w="109"/>
        <w:gridCol w:w="109"/>
        <w:gridCol w:w="694"/>
        <w:gridCol w:w="504"/>
        <w:gridCol w:w="421"/>
        <w:gridCol w:w="109"/>
        <w:gridCol w:w="109"/>
        <w:gridCol w:w="109"/>
        <w:gridCol w:w="391"/>
        <w:gridCol w:w="1143"/>
        <w:gridCol w:w="201"/>
        <w:gridCol w:w="109"/>
        <w:gridCol w:w="109"/>
        <w:gridCol w:w="109"/>
        <w:gridCol w:w="237"/>
        <w:gridCol w:w="931"/>
        <w:gridCol w:w="183"/>
      </w:tblGrid>
      <w:tr>
        <w:trPr/>
        <w:tc>
          <w:tcPr>
            <w:tcW w:w="8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Share Price Upon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Forward Sale Agreements</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settlement activity of the outstanding forward sale agreements during the six months ended June 30, 2022: </w:t>
      </w:r>
    </w:p>
    <w:tbl>
      <w:tblPr>
        <w:tblW w:w="10205" w:type="dxa"/>
        <w:jc w:val="left"/>
        <w:tblInd w:w="0" w:type="dxa"/>
        <w:tblLayout w:type="fixed"/>
        <w:tblCellMar>
          <w:top w:w="28" w:type="dxa"/>
          <w:left w:w="28" w:type="dxa"/>
          <w:bottom w:w="28" w:type="dxa"/>
          <w:right w:w="28" w:type="dxa"/>
        </w:tblCellMar>
      </w:tblPr>
      <w:tblGrid>
        <w:gridCol w:w="794"/>
        <w:gridCol w:w="579"/>
        <w:gridCol w:w="583"/>
        <w:gridCol w:w="384"/>
        <w:gridCol w:w="384"/>
        <w:gridCol w:w="386"/>
        <w:gridCol w:w="109"/>
        <w:gridCol w:w="109"/>
        <w:gridCol w:w="109"/>
        <w:gridCol w:w="356"/>
        <w:gridCol w:w="356"/>
        <w:gridCol w:w="357"/>
        <w:gridCol w:w="109"/>
        <w:gridCol w:w="109"/>
        <w:gridCol w:w="109"/>
        <w:gridCol w:w="694"/>
        <w:gridCol w:w="496"/>
        <w:gridCol w:w="410"/>
        <w:gridCol w:w="109"/>
        <w:gridCol w:w="109"/>
        <w:gridCol w:w="109"/>
        <w:gridCol w:w="379"/>
        <w:gridCol w:w="1107"/>
        <w:gridCol w:w="195"/>
        <w:gridCol w:w="109"/>
        <w:gridCol w:w="109"/>
        <w:gridCol w:w="109"/>
        <w:gridCol w:w="224"/>
        <w:gridCol w:w="1040"/>
        <w:gridCol w:w="173"/>
      </w:tblGrid>
      <w:tr>
        <w:trPr/>
        <w:tc>
          <w:tcPr>
            <w:tcW w:w="79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Share Price Upon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 Forward Sale Agreements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2021 Forward Sale Agreements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69,000,000 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1,828,600 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we entered into an equity distribution agreement, pursuant to which we may sell, from time to time, up to an aggregate sales price of $1,500.0 million of our common stock and terminated our prior equity distribution agreement, pursuant to which we previously sold, from time to time, shares of our common stock (collectively, the “ATM Program”). Sales of common stock, if any, made pursuant to the ATM Program may be sold in negotiated transactions or transactions that are deemed to be “at the market” offerings, as defined in Rule 415 of the Securities Act. The equity distribution agreement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activity under the ATM Program during the six months ended June 30, 2023 and 2022, all of which were sold subject to forward sale agreements. </w:t>
      </w:r>
    </w:p>
    <w:tbl>
      <w:tblPr>
        <w:tblW w:w="10205" w:type="dxa"/>
        <w:jc w:val="left"/>
        <w:tblInd w:w="0" w:type="dxa"/>
        <w:tblLayout w:type="fixed"/>
        <w:tblCellMar>
          <w:top w:w="28" w:type="dxa"/>
          <w:left w:w="28" w:type="dxa"/>
          <w:bottom w:w="28" w:type="dxa"/>
          <w:right w:w="28" w:type="dxa"/>
        </w:tblCellMar>
      </w:tblPr>
      <w:tblGrid>
        <w:gridCol w:w="736"/>
        <w:gridCol w:w="567"/>
        <w:gridCol w:w="571"/>
        <w:gridCol w:w="540"/>
        <w:gridCol w:w="541"/>
        <w:gridCol w:w="334"/>
        <w:gridCol w:w="109"/>
        <w:gridCol w:w="109"/>
        <w:gridCol w:w="109"/>
        <w:gridCol w:w="320"/>
        <w:gridCol w:w="936"/>
        <w:gridCol w:w="165"/>
        <w:gridCol w:w="109"/>
        <w:gridCol w:w="109"/>
        <w:gridCol w:w="109"/>
        <w:gridCol w:w="225"/>
        <w:gridCol w:w="881"/>
        <w:gridCol w:w="116"/>
        <w:gridCol w:w="109"/>
        <w:gridCol w:w="109"/>
        <w:gridCol w:w="109"/>
        <w:gridCol w:w="358"/>
        <w:gridCol w:w="1046"/>
        <w:gridCol w:w="185"/>
        <w:gridCol w:w="109"/>
        <w:gridCol w:w="109"/>
        <w:gridCol w:w="109"/>
        <w:gridCol w:w="242"/>
        <w:gridCol w:w="950"/>
        <w:gridCol w:w="184"/>
      </w:tblGrid>
      <w:tr>
        <w:trPr/>
        <w:tc>
          <w:tcPr>
            <w:tcW w:w="73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ATM Forward Sale Agreement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11,380,980 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June 2023 ATM Forward Sale Agreement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327,306 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(1)As of June 30, 2023, the net forward sales price per share under the June 2023 ATM Forward Sale Agreement was $31.69 and would result in us receiving approximately $10.4 million in net cash proceeds if we were to physically settle the shares. Alternatively, if we were to cash settle the shares under the June 2023 ATM Forward Sale Agreements, it would result in a cash inflow of $0.1 million, or, if we were to net share settle the shares under the June 2023 ATM Forward Sale Agreements, it would result in us receiving approximately 3,000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receive any proceeds from the sale of shares at the time we entered into each of the respective ATM Program forward sale agreements. We determined that the ATM Program forward sale agreements meet the criteria for equity classification and, therefore, are exempt from derivative accounting. We recorded the ATM Program forward sale agreements at fair value at inception, which we determined to be zero. Subsequent changes to fair value are not required under equity classification.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settlement activity of the outstanding forward shares under the ATM Program, all of which were sold subject to the ATM Program forward sale agreements and the previous equity distribution agreement, as applicable, during the six months ended June 30, 2023. As of June 30, 2023, we have 327,306 forward shares outstanding under the ATM Program. There was no settlement activity of the outstanding forward shares under the ATM Program during the six months ended June 30, 2022.</w:t>
      </w:r>
    </w:p>
    <w:tbl>
      <w:tblPr>
        <w:tblW w:w="10205" w:type="dxa"/>
        <w:jc w:val="left"/>
        <w:tblInd w:w="0" w:type="dxa"/>
        <w:tblLayout w:type="fixed"/>
        <w:tblCellMar>
          <w:top w:w="28" w:type="dxa"/>
          <w:left w:w="28" w:type="dxa"/>
          <w:bottom w:w="28" w:type="dxa"/>
          <w:right w:w="28" w:type="dxa"/>
        </w:tblCellMar>
      </w:tblPr>
      <w:tblGrid>
        <w:gridCol w:w="804"/>
        <w:gridCol w:w="632"/>
        <w:gridCol w:w="636"/>
        <w:gridCol w:w="363"/>
        <w:gridCol w:w="363"/>
        <w:gridCol w:w="365"/>
        <w:gridCol w:w="109"/>
        <w:gridCol w:w="109"/>
        <w:gridCol w:w="109"/>
        <w:gridCol w:w="358"/>
        <w:gridCol w:w="358"/>
        <w:gridCol w:w="359"/>
        <w:gridCol w:w="109"/>
        <w:gridCol w:w="109"/>
        <w:gridCol w:w="109"/>
        <w:gridCol w:w="694"/>
        <w:gridCol w:w="500"/>
        <w:gridCol w:w="415"/>
        <w:gridCol w:w="109"/>
        <w:gridCol w:w="109"/>
        <w:gridCol w:w="109"/>
        <w:gridCol w:w="385"/>
        <w:gridCol w:w="1124"/>
        <w:gridCol w:w="198"/>
        <w:gridCol w:w="109"/>
        <w:gridCol w:w="109"/>
        <w:gridCol w:w="109"/>
        <w:gridCol w:w="236"/>
        <w:gridCol w:w="928"/>
        <w:gridCol w:w="179"/>
      </w:tblGrid>
      <w:tr>
        <w:trPr/>
        <w:tc>
          <w:tcPr>
            <w:tcW w:w="80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Forward Share Price Upon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 ATM Forward Sale Agreement</w:t>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6,317,805 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208,402 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 ATM Forward Sale Agreement</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3,918,807 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ATM Forward Sale Agreement</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11,380,980 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270"/>
        <w:gridCol w:w="1997"/>
        <w:gridCol w:w="2003"/>
        <w:gridCol w:w="109"/>
        <w:gridCol w:w="109"/>
        <w:gridCol w:w="109"/>
        <w:gridCol w:w="904"/>
        <w:gridCol w:w="432"/>
        <w:gridCol w:w="200"/>
        <w:gridCol w:w="200"/>
        <w:gridCol w:w="200"/>
        <w:gridCol w:w="200"/>
        <w:gridCol w:w="803"/>
        <w:gridCol w:w="383"/>
        <w:gridCol w:w="286"/>
      </w:tblGrid>
      <w:tr>
        <w:trPr/>
        <w:tc>
          <w:tcPr>
            <w:tcW w:w="2270"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628,942,092 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43,792,592 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119,000,000 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REIT Mergers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214,552,532 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1,007,426,510 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963,090,985 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six months ended June 30, 2023 and 2022 were as follows:</w:t>
      </w:r>
    </w:p>
    <w:tbl>
      <w:tblPr>
        <w:tblW w:w="9217"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17"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2022 -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5091383b7b3347698086ad89a18ea40d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209"/>
        <w:gridCol w:w="931"/>
        <w:gridCol w:w="935"/>
        <w:gridCol w:w="928"/>
        <w:gridCol w:w="408"/>
        <w:gridCol w:w="174"/>
        <w:gridCol w:w="174"/>
        <w:gridCol w:w="174"/>
        <w:gridCol w:w="174"/>
        <w:gridCol w:w="823"/>
        <w:gridCol w:w="363"/>
        <w:gridCol w:w="174"/>
        <w:gridCol w:w="109"/>
        <w:gridCol w:w="109"/>
        <w:gridCol w:w="109"/>
        <w:gridCol w:w="905"/>
        <w:gridCol w:w="431"/>
        <w:gridCol w:w="163"/>
        <w:gridCol w:w="163"/>
        <w:gridCol w:w="163"/>
        <w:gridCol w:w="163"/>
        <w:gridCol w:w="803"/>
        <w:gridCol w:w="383"/>
        <w:gridCol w:w="237"/>
      </w:tblGrid>
      <w:tr>
        <w:trPr/>
        <w:tc>
          <w:tcPr>
            <w:tcW w:w="1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1,006,893,810 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1,004,189,744 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791,029,664 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Assumed conversion of restricted stock</w:t>
            </w:r>
            <w:r>
              <w:rPr>
                <w:rFonts w:ascii="Times New Roman;sans-serif" w:hAnsi="Times New Roman;sans-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696,046 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698,797 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1,496,376 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1,007,968,422 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1,005,879,395 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793,224,837 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18"/>
        <w:gridCol w:w="1379"/>
        <w:gridCol w:w="1389"/>
        <w:gridCol w:w="211"/>
        <w:gridCol w:w="826"/>
        <w:gridCol w:w="109"/>
        <w:gridCol w:w="109"/>
        <w:gridCol w:w="109"/>
        <w:gridCol w:w="109"/>
        <w:gridCol w:w="211"/>
        <w:gridCol w:w="783"/>
        <w:gridCol w:w="109"/>
        <w:gridCol w:w="109"/>
        <w:gridCol w:w="109"/>
        <w:gridCol w:w="109"/>
        <w:gridCol w:w="211"/>
        <w:gridCol w:w="976"/>
        <w:gridCol w:w="109"/>
        <w:gridCol w:w="109"/>
        <w:gridCol w:w="109"/>
        <w:gridCol w:w="109"/>
        <w:gridCol w:w="211"/>
        <w:gridCol w:w="826"/>
        <w:gridCol w:w="156"/>
      </w:tblGrid>
      <w:tr>
        <w:trPr/>
        <w:tc>
          <w:tcPr>
            <w:tcW w:w="171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(1)For the three months ended June 30, 2022, any such amounts have been excluded from the diluted weighted average number of shares of common stock as we were in a net loss position and the effect of inclusion would have been anti-dilutive. Assuming we had net income for the quarter, using the treasury stock method, the assumed conversion of our restricted stock would have been in the amount of 816,708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the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10205" w:type="dxa"/>
        <w:jc w:val="left"/>
        <w:tblInd w:w="0" w:type="dxa"/>
        <w:tblLayout w:type="fixed"/>
        <w:tblCellMar>
          <w:top w:w="28" w:type="dxa"/>
          <w:left w:w="28" w:type="dxa"/>
          <w:bottom w:w="28" w:type="dxa"/>
          <w:right w:w="28" w:type="dxa"/>
        </w:tblCellMar>
      </w:tblPr>
      <w:tblGrid>
        <w:gridCol w:w="1429"/>
        <w:gridCol w:w="1217"/>
        <w:gridCol w:w="1221"/>
        <w:gridCol w:w="678"/>
        <w:gridCol w:w="298"/>
        <w:gridCol w:w="241"/>
        <w:gridCol w:w="241"/>
        <w:gridCol w:w="241"/>
        <w:gridCol w:w="241"/>
        <w:gridCol w:w="573"/>
        <w:gridCol w:w="267"/>
        <w:gridCol w:w="241"/>
        <w:gridCol w:w="109"/>
        <w:gridCol w:w="109"/>
        <w:gridCol w:w="109"/>
        <w:gridCol w:w="661"/>
        <w:gridCol w:w="315"/>
        <w:gridCol w:w="218"/>
        <w:gridCol w:w="218"/>
        <w:gridCol w:w="218"/>
        <w:gridCol w:w="218"/>
        <w:gridCol w:w="559"/>
        <w:gridCol w:w="267"/>
        <w:gridCol w:w="316"/>
      </w:tblGrid>
      <w:tr>
        <w:trPr/>
        <w:tc>
          <w:tcPr>
            <w:tcW w:w="142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Assumed conversion of VICI restricted stock</w:t>
            </w:r>
            <w:r>
              <w:rPr>
                <w:rFonts w:ascii="Times New Roman;sans-serif" w:hAnsi="Times New Roman;sans-serif"/>
                <w:b w:val="false"/>
                <w:i/>
                <w:color w:val="000000"/>
                <w:sz w:val="13"/>
              </w:rPr>
              <w:t>(1)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1,020,200 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905,014 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1,018,111 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797,482 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50" w:type="dxa"/>
        <w:jc w:val="left"/>
        <w:tblInd w:w="0" w:type="dxa"/>
        <w:tblLayout w:type="fixed"/>
        <w:tblCellMar>
          <w:top w:w="28" w:type="dxa"/>
          <w:left w:w="28" w:type="dxa"/>
          <w:bottom w:w="28" w:type="dxa"/>
          <w:right w:w="28" w:type="dxa"/>
        </w:tblCellMar>
      </w:tblPr>
      <w:tblGrid>
        <w:gridCol w:w="1237"/>
        <w:gridCol w:w="1088"/>
        <w:gridCol w:w="1095"/>
        <w:gridCol w:w="211"/>
        <w:gridCol w:w="826"/>
        <w:gridCol w:w="109"/>
        <w:gridCol w:w="109"/>
        <w:gridCol w:w="109"/>
        <w:gridCol w:w="109"/>
        <w:gridCol w:w="211"/>
        <w:gridCol w:w="796"/>
        <w:gridCol w:w="109"/>
        <w:gridCol w:w="109"/>
        <w:gridCol w:w="109"/>
        <w:gridCol w:w="109"/>
        <w:gridCol w:w="211"/>
        <w:gridCol w:w="976"/>
        <w:gridCol w:w="109"/>
        <w:gridCol w:w="109"/>
        <w:gridCol w:w="109"/>
        <w:gridCol w:w="109"/>
        <w:gridCol w:w="211"/>
        <w:gridCol w:w="82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(1)For the three months ended June 30, 2022, any such amounts have been excluded from the diluted weighted average number of units as we were in a net loss position and the effect of inclusion would have been anti-dilutive. Assuming we had net income for the quarter, using the treasury stock method, the assumed conversion of VICI restricted stock to units would have been in the amount of 816,708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80" w:after="283"/>
        <w:jc w:val="left"/>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2023, 10.2 million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8046" w:type="dxa"/>
        <w:jc w:val="left"/>
        <w:tblInd w:w="0" w:type="dxa"/>
        <w:tblLayout w:type="fixed"/>
        <w:tblCellMar>
          <w:top w:w="28" w:type="dxa"/>
          <w:left w:w="28" w:type="dxa"/>
          <w:bottom w:w="28" w:type="dxa"/>
          <w:right w:w="28" w:type="dxa"/>
        </w:tblCellMar>
      </w:tblPr>
      <w:tblGrid>
        <w:gridCol w:w="1085"/>
        <w:gridCol w:w="954"/>
        <w:gridCol w:w="96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473,378 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588,134 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382,852 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(80,586)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513,880 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768,634 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$26.1 million of unrecognized compensation cost related to non-vested stock-based compensation arrangements under the Plan. This cost is expected to be recognized over a weighted 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and six months ended June 30, 2023 should be read in conjunction with the Financial Statements and related notes thereto and other financial information contained elsewhere in this Quarterly Report on Form 10-Q and the audited consolidated financial statements and related notes for the year ended December 31, 2022,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2022</w:t>
        </w:r>
      </w:hyperlink>
      <w:r>
        <w:rPr>
          <w:rFonts w:ascii="Times New Roman;sans-serif" w:hAnsi="Times New Roman;sans-serif"/>
          <w:b w:val="false"/>
          <w:i/>
          <w:color w:val="000000"/>
          <w:sz w:val="20"/>
        </w:rPr>
        <w:t xml:space="preserve">. All defined terms included herein have the same meaning as those set forth in the </w:t>
      </w:r>
      <w:hyperlink w:anchor="i5091383b7b3347698086ad89a18ea40d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which constitute “forward-looking statements” within the meaning of federal securities law. Forward-looking statements are based on our current plans, expectations and projections about future events. We therefore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 changes, foreign currency exchange rate fluctuations, supply chain disruptions, consumer confidence levels, changes in consumer spending, unemployment levels and depressed real estate prices resulting from the severity and duration of any downturn in the U.S. or global economy; the impact of recent and potential future interest rate increases on us, including our ability to successfully pursue investments in, and acquisitions of, additional properties and to obtain debt financing for such investments at attractive interest rates, or at all; risks associated with our pending and recently closed transactions, including our ability or failure to realize the anticipated benefits thereof; our dependence on our tenants at our properties, including their financial condition, results of operations, cash flows and performance, and their affiliates that serve as guarantors of the lease payments, and the negative consequences any material adverse effect on their respective businesses could have on us; the possibility that our pending transactions may not be consummated on the terms or timeframes contemplated, or at all; the ability of the parties to our pending transactions and any future transactions to satisfy the conditions set forth in the definitive transaction documents, including the ability to receive, or delays in obtaining, the governmental and regulatory approvals and consents required to consummate the pending transactions, or other delays or impediments to completing the transactions; our ability to obtain the financing necessary to complete any acquisitions on the terms we expect in a timely manner, or at all; the anticipated benefits of certain arrangements with certain tenants in connection with our Partner Property Growth Fund; our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our inability to successfully pursue investments in, and acquisitions of, additional properties; the possibility that we identify significant environmental, tax, legal or other issues that materially and adversely impact the value of assets acquired or secured as collateral (or other benefits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expect to receive) in any of our pending or recently completed transactions; the impact of changes to the U.S. federal income tax laws; the possibility of adverse tax consequences as a result of our pending or recently completed transactions, including tax protection agreements to which we are a party; increased volatility in our stock price, including as a result of our pending or recently completed transactions; our inability to maintain our qualification for taxation as a REIT; 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reliance on distributions received from our subsidiaries, including VICI OP,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Reports on Form 10-K, Quarterly Reports on Form 10-Q and Current Reports on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We are a Maryland corporation that is primarily engaged in the business of owning and acquiring gaming, hospitality and entertainment destinations, subject to long-term triple net leases. Our geographically diverse portfolio currently consists of 50 gaming facilities in the United States and Canada, including Caesars Palace Las Vegas, MGM Grand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approximately 124 million square feet, our well-maintained properties are curren</w:t>
      </w:r>
      <w:r>
        <w:rPr>
          <w:rFonts w:ascii="Times New Roman;sans-serif" w:hAnsi="Times New Roman;sans-serif"/>
          <w:b w:val="false"/>
          <w:color w:val="000000"/>
          <w:sz w:val="20"/>
          <w:shd w:fill="FFFFFF" w:val="clear"/>
        </w:rPr>
        <w:t>tly located across urban, destination and drive-to markets in fifteen states and Canada, contain approximately 60,300 hotel rooms and feature over 450 restaurants, bars, nightclubs and sportsbooks.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also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lease our properties to subsidiaries of, or entities managed by, Apollo, Caesars, Century Casinos, CNB, EBCI, Foundation Gaming, JACK Entertainment, MGM, PENN Entertainment, PURE Canadian Gaming and Seminole Hard Rock, with Caesars and MGM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sole responsibility for all operations and related expenses, including property taxes, insurance and maintenance, repair, improvement and other capital expenditures, as well as over the implementation of environmental sustainability and other initiatives.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taxable REIT subsidiary (a “TRS”),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and six months ended June 30,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bidi w:val="0"/>
        <w:spacing w:lineRule="auto" w:line="288" w:before="180" w:after="283"/>
        <w:jc w:val="both"/>
        <w:rPr/>
      </w:pPr>
      <w:r>
        <w:rPr>
          <w:rFonts w:ascii="Times New Roman;sans-serif" w:hAnsi="Times New Roman;sans-serif"/>
          <w:b w:val="false"/>
          <w:color w:val="000000"/>
          <w:sz w:val="20"/>
        </w:rPr>
        <w:t xml:space="preserve">Recent macroeconomic volatility has introduced significant uncertainty and heightened risk for businesses, including us and our tenants, as a result of the current inflationary environment, including the impact of recent and potential future interest rate increases and increased cost of capital. </w:t>
      </w:r>
      <w:r>
        <w:rPr>
          <w:rFonts w:ascii="Times New Roman;sans-serif" w:hAnsi="Times New Roman;sans-serif"/>
          <w:b w:val="false"/>
          <w:color w:val="000000"/>
          <w:sz w:val="20"/>
          <w:shd w:fill="FFFFFF" w:val="clear"/>
        </w:rPr>
        <w:t xml:space="preserve">Our tenants also face additional challenges, including potential changes in consumer confidence levels,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inflation, economic recessions, consumer confidence levels and general conditions in the capital and credit markets) and the impact of any future measures taken in response to such trends on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2022</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Acquisition Activity</w:t>
      </w:r>
    </w:p>
    <w:p>
      <w:pPr>
        <w:pStyle w:val="TextBody"/>
        <w:bidi w:val="0"/>
        <w:spacing w:lineRule="auto" w:line="288" w:before="180" w:after="283"/>
        <w:ind w:left="0" w:right="0" w:hanging="360"/>
        <w:jc w:val="both"/>
        <w:rPr/>
      </w:pPr>
      <w:r>
        <w:rPr>
          <w:color w:val="231F20"/>
        </w:rPr>
        <w:t>•</w:t>
      </w:r>
      <w:r>
        <w:rPr>
          <w:rFonts w:ascii="Times New Roman;sans-serif" w:hAnsi="Times New Roman;sans-serif"/>
          <w:b/>
          <w:i/>
          <w:color w:val="000000"/>
          <w:sz w:val="20"/>
        </w:rPr>
        <w:t xml:space="preserve">Rocky Gap Casino Transaction. </w:t>
      </w:r>
      <w:r>
        <w:rPr>
          <w:rFonts w:ascii="Times New Roman;sans-serif" w:hAnsi="Times New Roman;sans-serif"/>
          <w:b w:val="false"/>
          <w:color w:val="000000"/>
          <w:sz w:val="20"/>
        </w:rPr>
        <w:t xml:space="preserve">Subsequent to quarter-end, on July 25, 2023, we closed on the previously announced acquisition of the Rocky Gap Casino, located in Flintstone, Maryland with Century Casinos, Maryland, from Golden Entertainment, Inc. for an aggregate purchase price of $260.0 million. Pursuant to the transaction agreements, we acquired the leasehold interest in the land and buildings associated with the Rocky Gap Casino for approximately $203.9 million, and Century Casinos acquired the operating assets of the property for approximately $56.1 million. Simultaneous with the closing of the transaction, the Century Master Lease was amended to include Rocky Gap Casino, and annual rent under the Century Master Lease was increased by $15.5 million. Additionally, the term of the Century Master Lease was extended such that, upon closing of the transaction, the lease has a full 15-year initial base lease term remaining. Century Casinos previously exercised one 5-year tenant renewal option and three additional 5-year tenant renewal options are remaining. The tenants’ obligations under the Century Master Lease continue to be guaranteed by Century Casinos.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Century Canadian Portfolio Transaction. </w:t>
      </w:r>
      <w:r>
        <w:rPr>
          <w:rFonts w:ascii="Times New Roman;sans-serif" w:hAnsi="Times New Roman;sans-serif"/>
          <w:b w:val="false"/>
          <w:color w:val="000000"/>
          <w:sz w:val="20"/>
        </w:rPr>
        <w:t xml:space="preserve">On May 16, 2023, we entered into definitive agreements to acquire the real estate assets of Century Casino &amp; Hotel Edmonton, Century Casino St. Albert and Century Mile Racetrack and Casino, each in Edmonton, Alberta and Century Downs Racetrack and Casino in Calgary, Alberta, (collectively the “Century Canadian Portfolio”) from Century Casinos for an aggregate purchase price in cash of C$221.7 million (approximately US$164.7 million based on the exchange rate at the time of the announcement) in cash. Simultaneous with the closing of the transaction, the Century Canadian Portfolio will be added to the Century Master Lease and annual rent will increase by C$17.3 million (approximately US$12.8 million based on the exchange rate at the time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announcement). Additionally, the term of the Century Master Lease will be extended such that, upon closing of the transaction, the lease will have a full 15-year initial base lease term, with three 5-year tenant renewal options. Century Casinos previously exercised one 5-year tenant renewal option. The tenants’ obligations under the Century Master Lease will continue to be guaranteed by Century Casinos. The transaction is subject to customary regulatory approvals and closing conditions and is expected to close in the second half of 2023.</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MGM Grand/Mandalay Bay JV Interest Acquisition. </w:t>
      </w:r>
      <w:r>
        <w:rPr>
          <w:rFonts w:ascii="Times New Roman;sans-serif" w:hAnsi="Times New Roman;sans-serif"/>
          <w:b w:val="false"/>
          <w:color w:val="000000"/>
          <w:sz w:val="20"/>
        </w:rPr>
        <w:t xml:space="preserve">On January 9, 2023, we closed on the previously announced acquisition of the remaining 49.9% interest in the MGM Grand/Mandalay Bay JV from BREIT (the “MGM Grand/Mandalay Bay JV Interest Acquisition”) for cash consideration of $1,261.9 million. We also assumed the remaining $1,497.0 million pro rata share of an aggregate $3.0 billion of property-level debt, which matures in 2032 and bears interest at a fixed rate of 3.558% per annum through March 2030. The cash consideration was funded through a combination of cash on hand and proceeds from the settlement of certain forward sale agreements. The MGM Grand/Mandalay Bay Lease currently has an annual rent of $309.9 million, all of which we are entitled to following the closing of the MGM Grand/Mandalay Bay JV Interest Acquisition. The MGM Grand/Mandalay Bay Lease has a remaining initial lease term of approximately 27 years (expiring in 2050), with two 10-year tenant renewal options. Rent under the MGM Grand/Mandalay Bay Lease escalates annually at 2.0% through 2035 (year 15 of the initial lease term) and thereafter at the greater of 2.0% or CPI (subject to a 3.0% ceiling). As of December 31, 2022, the MGM Grand/Mandalay Bay JV was accounted for as an equity method investment within Investment in unconsolidated affiliate on our Balance Sheet. Simultaneous with closing of the MGM Grand/Mandalay Bay JV Interest Acquisition, as a result of acquiring full ownership of the joint venture, we consolidated the net assets and operations of the MGM Grand/Mandalay Bay JV.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PURE Canadian Gaming Transaction. </w:t>
      </w:r>
      <w:r>
        <w:rPr>
          <w:rFonts w:ascii="Times New Roman;sans-serif" w:hAnsi="Times New Roman;sans-serif"/>
          <w:b w:val="false"/>
          <w:color w:val="000000"/>
          <w:sz w:val="20"/>
        </w:rPr>
        <w:t>On January 6, 2023, we acquired the real estate assets of PURE Casino Edmonton, PURE Casino Yellowhead, PURE Casino Calgary, and PURE Casino Lethbridge, all of which are located in Alberta, Canada, from PURE Canadian Gaming for an aggregate purchase price in cash of approximately C$271.9 million (approximately US$200.8 million based on the exchange rate at the time of the acquisition) (the “PURE Canadian Gaming Transaction”). We financed the PURE Canadian Gaming Transaction with a combination of cash on hand and drawing down C$140.0 million (approximately US$103.4 million based on the exchange rate at the time of the acquisition) under our Revolving Credit Facility. Simultaneous with the acquisition, we entered into the PURE Master Lease. The PURE Master Lease has an initial total annual rent of approximately C$21.8 million (approximately US$16.1 million based on the exchange rate at the time of the acquisition), an initial term of 25 years, with 4 5-year tenant renewal options, escalation of 1.25% per annum in lease years two and three (and thereafter at the greater of 1.5% and Canadian Consumer Price Index, capped at 2.5%) and minimum capital expenditure requirements of 1.0% of annual net revenue (excluding gaming equipment). The tenant’s obligations under the PURE Master Lease are guaranteed by the parent entity of PURE Canadian Gaming.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Leasing Activity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Gold Strike Severance Lease. </w:t>
      </w:r>
      <w:r>
        <w:rPr>
          <w:rFonts w:ascii="Times New Roman;sans-serif" w:hAnsi="Times New Roman;sans-serif"/>
          <w:b w:val="false"/>
          <w:color w:val="000000"/>
          <w:sz w:val="20"/>
        </w:rPr>
        <w:t xml:space="preserve">On February 15, 2023, in connection with the closing of MGM’s sale of the operations of Gold Strike, we entered into the Gold Strike Lease with CNB related to the land and real estate assets of Gold Strike, and entered into an amendment to the MGM Master Lease in order to account for MGM’s divestiture of the operations of Gold Strike and to reduce the annual base rent by $40.0 million. The Gold Strike Lease has initial annual base rent of $40.0 million with other economic terms substantially similar to the MGM Master Lease, including a base term of 25 years with three 10-year tenant renewal options, escalation of 2.0% per annum (with escalation of the greater of 2.0% and CPI, capped at 3.0%, beginning in lease year 11) and minimum capital expenditure requirements of 1.0% of annual net revenue. The Gold Strike Lease is guaranteed by CNB.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Loan, Security and Preferred Equity Investment Activity</w:t>
      </w:r>
    </w:p>
    <w:p>
      <w:pPr>
        <w:pStyle w:val="TextBody"/>
        <w:bidi w:val="0"/>
        <w:spacing w:lineRule="auto" w:line="288" w:before="180" w:after="283"/>
        <w:ind w:left="0" w:right="0" w:hanging="360"/>
        <w:jc w:val="both"/>
        <w:rPr/>
      </w:pPr>
      <w:r>
        <w:rPr>
          <w:color w:val="231F20"/>
        </w:rPr>
        <w:t>•</w:t>
      </w:r>
      <w:r>
        <w:rPr>
          <w:rFonts w:ascii="Times New Roman;sans-serif" w:hAnsi="Times New Roman;sans-serif"/>
          <w:b/>
          <w:i/>
          <w:color w:val="000000"/>
          <w:sz w:val="20"/>
        </w:rPr>
        <w:t>Canyon Ranch Transactions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Subsequent to quarter-end, on July 26, 2023, we committed to an up to $150.0 million preferred equity investment into the controlling entity of Canyon Ranch, a leading provider of holistic, integrative health and wellness guest experiences. The preferred equity has a term of 10 years and may be redeemed by Canyon Ranch at any time, subject to a redemption premium in the first three years. In connection with this investment, we entered into (i) a call right agreement whereby we will have the option to call the real estate assets of each of Canyon Ranch Tucson and Canyon Ranch Lenox, subject to certain conditions, and (ii) a right of first financing agreement pursuant to which we will have the right, but not the obligation, to serve as the real estate capital financing partner for Canyon Ranch with respect to the acquisition, build-out and redevelopment of future wellness resorts. </w:t>
      </w:r>
      <w:r>
        <w:rPr>
          <w:rFonts w:ascii="Times New Roman;sans-serif" w:hAnsi="Times New Roman;sans-serif"/>
          <w:b w:val="false"/>
          <w:color w:val="231F20"/>
          <w:sz w:val="20"/>
        </w:rPr>
        <w:t xml:space="preserve">If the call right(s) are exercised, Canyon Ranch would continue to operate the applicable wellness resort(s) subject to a long-term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triple net master lease with the Company.</w:t>
      </w:r>
    </w:p>
    <w:p>
      <w:pPr>
        <w:pStyle w:val="TextBody"/>
        <w:bidi w:val="0"/>
        <w:spacing w:lineRule="auto" w:line="288" w:before="180" w:after="283"/>
        <w:jc w:val="both"/>
        <w:rPr/>
      </w:pPr>
      <w:r>
        <w:rPr>
          <w:rFonts w:ascii="Times New Roman;sans-serif" w:hAnsi="Times New Roman;sans-serif"/>
          <w:b w:val="false"/>
          <w:color w:val="000000"/>
          <w:sz w:val="20"/>
        </w:rPr>
        <w:t xml:space="preserve">In addition, we intend to provide approximately $150.0 million of mortgage financing to a subsidiary of Canyon Ranch secured by Canyon Ranch Tucson and Canyon Ranch Lenox. Proceeds of the mortgage financing would be used to refinance Canyon Ranch’s existing CMBS debt secured by these two assets. The mortgage financing will have an initial term of two years with three one-year extensions, exercisable at Canyon Ranch’s option, subject to satisfying certain customary extension conditions. </w:t>
      </w:r>
      <w:r>
        <w:rPr>
          <w:rFonts w:ascii="Times New Roman;sans-serif" w:hAnsi="Times New Roman;sans-serif"/>
          <w:b w:val="false"/>
          <w:color w:val="231F20"/>
          <w:sz w:val="20"/>
        </w:rPr>
        <w:t>The Company expects the mortgage financing to close in the third quarter of 2023.</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Hard Rock Ottawa Secured Notes. </w:t>
      </w:r>
      <w:r>
        <w:rPr>
          <w:rFonts w:ascii="Times New Roman;sans-serif" w:hAnsi="Times New Roman;sans-serif"/>
          <w:b w:val="false"/>
          <w:color w:val="000000"/>
          <w:sz w:val="20"/>
        </w:rPr>
        <w:t xml:space="preserve">On March 28, 2023, we purchased $85.0 million principal amount of senior secured notes from H.R. Ottawa, L.P., which owns and operates the Hard Rock Ottawa Casino. H.R. Ottawa, L.P. intends to use the proceeds of the Hard Rock Ottawa Notes to fund a portion of (i) the redevelopment and rebrand of the existing Rideau Carleton Raceway Casino, located in Ottawa, Canada, (ii) the development of an integrated “Hard Rock” branded hotel with approximately 150 rooms, and (iii) the repayment of existing debt.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January 2023 Offering. </w:t>
      </w:r>
      <w:r>
        <w:rPr>
          <w:rFonts w:ascii="Times New Roman;sans-serif" w:hAnsi="Times New Roman;sans-serif"/>
          <w:b w:val="false"/>
          <w:color w:val="000000"/>
          <w:sz w:val="20"/>
        </w:rPr>
        <w:t>On January 12, 2023, we completed a primary forward offering of 30,302,500 shares of common stock (inclusive of 3,952,500 shares sold pursuant to the exercise in full of the underwriters’ option to purchase additional shares of common stock) at a public offering price of $33.00 per share for an aggregate offering value of $1,000.0 million, resulting in net proceeds, after deduction of the underwriting discount and expenses, of $964.4 million. The shares are subject to forward sale agreements (the “January 2023 Forward Sale Agreements”), which require settlement by January 16, 2024. We did not initially receive any proceeds from the sale of the shares of common stock in the offering, which were sold to the underwriters by the forward purchasers or their respective affiliates and remain subject to settlement in accordance with the terms of the January 2023 Forward Sale Agreements. On April 4, 2023, we physically settled 3,200,000 shares under the January 2023 Forward Sale Agreements at a forward sale price of $31.71 per share in exchange for total net proceeds of approximately $101.5 million. Subsequent to quarter-end, on July 20, 2023, we physically settled 6,000,000 shares under the January 2023 Forward Sale Agreements at a forward sale price of $31.71 per share in exchange for total net proceeds of approximately $190.3 million. Following such settlement, 21,102,500 shares of common stock remain available for settlement under the January 2023 Forward Sale Agreements.</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Settlement of ATM Forward Sale Agreements and November 2022 Forward Sale Agreements. </w:t>
      </w:r>
      <w:r>
        <w:rPr>
          <w:rFonts w:ascii="Times New Roman;sans-serif" w:hAnsi="Times New Roman;sans-serif"/>
          <w:b w:val="false"/>
          <w:color w:val="000000"/>
          <w:sz w:val="20"/>
        </w:rPr>
        <w:t xml:space="preserve">In January 2023, we physically settled certain outstanding ATM Program forward sale agreements and all of the November 2022 Forward Sale Agreements in exchange for total net proceeds of approximately $1,272.3 million, which were used to pay for a portion of the purchase price of the MGM Grand/Mandalay Bay JV Interest Acquisition. See </w:t>
      </w:r>
      <w:hyperlink w:anchor="i5091383b7b3347698086ad89a18ea40d_82">
        <w:r>
          <w:rPr>
            <w:rStyle w:val="InternetLink"/>
            <w:rFonts w:ascii="Times New Roman;sans-serif" w:hAnsi="Times New Roman;sans-serif"/>
            <w:b w:val="false"/>
            <w:color w:val="0000FF"/>
            <w:sz w:val="20"/>
            <w:u w:val="single"/>
          </w:rPr>
          <w:t>Note 11 - Stockholders Equity</w:t>
        </w:r>
      </w:hyperlink>
      <w:r>
        <w:rPr>
          <w:color w:val="000000"/>
        </w:rPr>
        <w:t xml:space="preserve"> </w:t>
      </w:r>
      <w:r>
        <w:rPr>
          <w:rFonts w:ascii="Times New Roman;sans-serif" w:hAnsi="Times New Roman;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10267" w:type="dxa"/>
        <w:jc w:val="left"/>
        <w:tblInd w:w="0" w:type="dxa"/>
        <w:tblLayout w:type="fixed"/>
        <w:tblCellMar>
          <w:top w:w="28" w:type="dxa"/>
          <w:left w:w="28" w:type="dxa"/>
          <w:bottom w:w="28" w:type="dxa"/>
          <w:right w:w="28" w:type="dxa"/>
        </w:tblCellMar>
      </w:tblPr>
      <w:tblGrid>
        <w:gridCol w:w="836"/>
        <w:gridCol w:w="287"/>
        <w:gridCol w:w="28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1,046,454 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common stockholders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our revenue was comprised of the following items:</w:t>
      </w:r>
    </w:p>
    <w:tbl>
      <w:tblPr>
        <w:tblW w:w="10205" w:type="dxa"/>
        <w:jc w:val="left"/>
        <w:tblInd w:w="0" w:type="dxa"/>
        <w:tblLayout w:type="fixed"/>
        <w:tblCellMar>
          <w:top w:w="28" w:type="dxa"/>
          <w:left w:w="28" w:type="dxa"/>
          <w:bottom w:w="28" w:type="dxa"/>
          <w:right w:w="28" w:type="dxa"/>
        </w:tblCellMar>
      </w:tblPr>
      <w:tblGrid>
        <w:gridCol w:w="517"/>
        <w:gridCol w:w="415"/>
        <w:gridCol w:w="41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10205" w:type="dxa"/>
        <w:jc w:val="left"/>
        <w:tblInd w:w="0" w:type="dxa"/>
        <w:tblLayout w:type="fixed"/>
        <w:tblCellMar>
          <w:top w:w="28" w:type="dxa"/>
          <w:left w:w="28" w:type="dxa"/>
          <w:bottom w:w="28" w:type="dxa"/>
          <w:right w:w="28" w:type="dxa"/>
        </w:tblCellMar>
      </w:tblPr>
      <w:tblGrid>
        <w:gridCol w:w="652"/>
        <w:gridCol w:w="422"/>
        <w:gridCol w:w="42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65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538,383 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jc w:val="both"/>
        <w:rPr/>
      </w:pPr>
      <w:r>
        <w:rPr>
          <w:rFonts w:ascii="Times New Roman;sans-serif" w:hAnsi="Times New Roman;sans-serif"/>
          <w:b w:val="false"/>
          <w:i/>
          <w:color w:val="000000"/>
          <w:sz w:val="16"/>
        </w:rPr>
        <w:t xml:space="preserve">(1) Represents the MGM Master Lease, Harrah’s Call Properties (as defined in </w:t>
      </w:r>
      <w:hyperlink w:anchor="i5091383b7b3347698086ad89a18ea40d_55">
        <w:r>
          <w:rPr>
            <w:rStyle w:val="InternetLink"/>
            <w:rFonts w:ascii="Times New Roman;sans-serif" w:hAnsi="Times New Roman;sans-serif"/>
            <w:b w:val="false"/>
            <w:i/>
            <w:color w:val="0000FF"/>
            <w:sz w:val="16"/>
            <w:u w:val="single"/>
          </w:rPr>
          <w:t>Note 2 - Summary of Significant Accounting Policies</w:t>
        </w:r>
      </w:hyperlink>
      <w:r>
        <w:rPr>
          <w:rFonts w:ascii="Times New Roman;sans-serif" w:hAnsi="Times New Roman;sans-serif"/>
          <w:b w:val="false"/>
          <w:i/>
          <w:color w:val="000000"/>
          <w:sz w:val="16"/>
        </w:rPr>
        <w:t>), the JACK Master Lease, the Foundation Master Lease, the Mirage Lease, the PURE Master Lease and the Gold Strike Lease.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direct financing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$225.3 million and $668.8 million during the three and six months ended June 30, 2023, respectively, compared to the three and six months ended June 30, 2022, respectively. Total contractual leasing revenue increased $182.2 million and $538.4 million during the three and six months ended June 30, 2023, respectively, compared to the three and six months ended June 30, 2022, respectively. The increases were primarily driven by the addition to our portfolio of the Venetian Lease in February 2022, MGM Master Lease in April 2022, Foundation Master Lease in December 2022 and PURE Master Lease and MGM Grand/Mandalay Bay Lease in January 2023,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$6.3 million and $12.6 million during the three and six months ended June 30, 2023, respectively, compared to the three and six months ended June 30, 2022, respectively. The increases were driven by the origination and subsequent funding, as applicable, of our senior secured and mezzanine loans and securities and the related interest income from the increased principal balance outstanding.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$3.0 million and $12.9 million during the three and six months ended June 30, 2023, respectively, compared to the three and six months ended June 30, 2022, respectively. The increases were driven primarily by the additional income and offsetting expense as a result of the assumption of certain sub-leases in connection with the closing of the Venetian Acquisition in February 2022 and MGP Transactions in April 2022. The Lease Agreements require the tenants to pay all costs associated with such ground and use sub-leases and provide for their direct payment to the landlord.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our operating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614"/>
        <w:gridCol w:w="540"/>
        <w:gridCol w:w="543"/>
        <w:gridCol w:w="211"/>
        <w:gridCol w:w="721"/>
        <w:gridCol w:w="109"/>
        <w:gridCol w:w="109"/>
        <w:gridCol w:w="109"/>
        <w:gridCol w:w="109"/>
        <w:gridCol w:w="211"/>
        <w:gridCol w:w="826"/>
        <w:gridCol w:w="109"/>
        <w:gridCol w:w="109"/>
        <w:gridCol w:w="109"/>
        <w:gridCol w:w="109"/>
        <w:gridCol w:w="211"/>
        <w:gridCol w:w="854"/>
        <w:gridCol w:w="109"/>
        <w:gridCol w:w="109"/>
        <w:gridCol w:w="109"/>
        <w:gridCol w:w="109"/>
        <w:gridCol w:w="211"/>
        <w:gridCol w:w="826"/>
        <w:gridCol w:w="109"/>
        <w:gridCol w:w="109"/>
        <w:gridCol w:w="109"/>
        <w:gridCol w:w="109"/>
        <w:gridCol w:w="211"/>
        <w:gridCol w:w="826"/>
        <w:gridCol w:w="109"/>
        <w:gridCol w:w="109"/>
        <w:gridCol w:w="109"/>
        <w:gridCol w:w="109"/>
        <w:gridCol w:w="211"/>
        <w:gridCol w:w="854"/>
        <w:gridCol w:w="155"/>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(557,038)</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$3.1 million and $8.7 million for the three and six months ended June 30, 2023, respectively, as compared to the three and six months ended June 30, 2022, respectively. The increase was primarily driven by an increase in compensation, including stock-based compensation and the addition of new employees and additional expenses related to the growth of our business in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increased $3.0 million and $12.9 million during the three and six months ended June 30, 2023, respectively, compared to the three and six months ended June 30, 2022, respectively, driven primarily by the additional income and offsetting expense as a result of the assumption of certain sub-leases in connection with the Venetian Acquisition and MGP Transactions. The Lease Agreements require the tenants to pay all costs associated with such ground and use sub-leases and provide for their direct payment to the landlord.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we recognized a $41.4 million decrease in our allowance for credit losses, primarily driven by a decrease in Short-Term PD due to a decrease in asset volatility and increase in equity value for certain of our tenants’ guarantors, partially offset by changes in the macroeconomic forecast used to scenario condition our reasonable and supportable period, R&amp;S Period, probability of default, or PD.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recognized a $70.1 million increase in our allowance for credit losses, primarily driven by (i) initial CECL allowances in relation to (a) the consolidation of the MGM Grand/Mandalay Bay JV in connection with the MGM Grand/Mandalay Bay JV Interest Acquisition and related classification of the MGM Grand/Mandalay Bay Lease as a sales-type lease, (b) the PURE Canadian Gaming Transaction and related classification of the PURE Master Lease as a lease financing receivable, and (c) the purchase of the Hard Rock Ottawa Notes, and (ii) an increase in the Long-Term Period PD, as a result of a standard annual update made to the Long-Term PD default study we utilize to estimate our CECL allowance. This increase was partially offset by (i) a decrease in the R&amp;S Period PD of our tenants and their parent guarantors as a result of their market performance, and (ii) changes in the macroeconomic forecast used to scenario condition our R&amp;S Period PD.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2022, we recognized a $551.9 million and $632.7 million increase, respectively, in our allowance for credit losses primarily driven by initial CECL allowances on our acquisition activity during such periods in the amount of $439.7 million and $515.7 million, respectively, representing 79.9% and 81.5% of the total allowance for three and six months ended June 30, 2022, respectively. The initial CECL allowances were in relation to (i) the closing of the MGP Transactions on April 29, 2022, which included the (a) classification of the MGM Master Lease as a lease financing receivable, and (b) the sales-type sub-lease agreements we assumed in connection with the closing of the MGP Transactions and are required to present gross, (ii) the closing of the Venetian Acquisition on February 23, 2022, which included (a) the classification of the Venetian Lease as a sales-type lease, (b) the estimated future funding commitments under our Partner Property Growth Fund with Venetian Tenant and (c) the sales-type sub-lease agreements we assumed in connection with the closing of the Venetian Acquisition and are required to present gross, and (iii) the future funding commitments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certain development loans executed during the six months ended June 30, 2022. Additional increases were attributable to the increase in the R&amp;S Period PD of our tenants and their parent guarantors as a result of market volatility during the first and second quarters of 2022. This was partially offset by a decrease in the Long-Term Period PD as a result of standard annual updates that were made to the Long-Term PD default study we utilize to estimate our CECL allowance.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 decreased $15.9 million and $17.6 million during the three and six months ended June 30, 2023, respectively, compared to the three and six months ended June 30, 2022, respectively.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our non-operating income and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795"/>
        <w:gridCol w:w="700"/>
        <w:gridCol w:w="706"/>
        <w:gridCol w:w="296"/>
        <w:gridCol w:w="572"/>
        <w:gridCol w:w="117"/>
        <w:gridCol w:w="117"/>
        <w:gridCol w:w="117"/>
        <w:gridCol w:w="117"/>
        <w:gridCol w:w="227"/>
        <w:gridCol w:w="778"/>
        <w:gridCol w:w="117"/>
        <w:gridCol w:w="109"/>
        <w:gridCol w:w="109"/>
        <w:gridCol w:w="109"/>
        <w:gridCol w:w="211"/>
        <w:gridCol w:w="764"/>
        <w:gridCol w:w="109"/>
        <w:gridCol w:w="109"/>
        <w:gridCol w:w="109"/>
        <w:gridCol w:w="109"/>
        <w:gridCol w:w="221"/>
        <w:gridCol w:w="647"/>
        <w:gridCol w:w="109"/>
        <w:gridCol w:w="109"/>
        <w:gridCol w:w="109"/>
        <w:gridCol w:w="109"/>
        <w:gridCol w:w="211"/>
        <w:gridCol w:w="721"/>
        <w:gridCol w:w="109"/>
        <w:gridCol w:w="109"/>
        <w:gridCol w:w="109"/>
        <w:gridCol w:w="109"/>
        <w:gridCol w:w="211"/>
        <w:gridCol w:w="764"/>
        <w:gridCol w:w="161"/>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(133,128)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six months ended June 30, 2023 represents our 50.1% share of the income of the MGM Grand/Mandalay Bay JV for the period from January 1, 2023 through January 8, 2023, immediately prior to the closing of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and, accordingly, no Income from unconsolidated affiliate was recognized for the three months ended June 30,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three and six months ended June 30, 2022, represents our 50.1% share of the income of the MGM Grand/Mandalay Bay JV beginning in April 2022 in connection with and upon the closing of the MGP Transactions.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80" w:after="283"/>
        <w:jc w:val="both"/>
        <w:rPr/>
      </w:pPr>
      <w:r>
        <w:rPr>
          <w:rFonts w:ascii="Times New Roman;sans-serif" w:hAnsi="Times New Roman;sans-serif"/>
          <w:b w:val="false"/>
          <w:color w:val="000000"/>
          <w:sz w:val="20"/>
        </w:rPr>
        <w:t xml:space="preserve">Interest expense increased $70.5 million and $206.7 million during the three and six months ended June 30, 2023, respectively, as compared to the three and six months ended June 30, 2022, respectively. The increases during the three and six months ended June 30, 2023 were primarily related to the increase in debt from the (i) issuance of the April 2022 Notes, (ii) issuance of the Exchange Notes, (iii) assumption of the MGP OP Notes, (iv) C$140.0 million draw on the Revolving Credit Facility to finance the PURE Canadian Gaming Transaction, and (v) assumption of $3.0 billion aggregate principal of CMBS debt in connection with the MGM Grand/Mandalay Bay JV Interest Acquisition, the combination of which resulted in an additional $12.3 billion in notional amount of debt at a weighted average interest rate of 4.52% and 4.59% during the three and six months ended June 30, 2023, respectively, net of the impact of the forward-starting interest rate swaps and treasury locks. The increases were partially offset by certain interest expense recorded during the three and six months ended June 30, 2022 with no corresponding expense during the three and six months ended June 30, 2023 and include (i) the amortization of the commitment fees associated with the Venetian Acquisition Bridge Facility and the MGP Transactions Bridge Facility and (ii) additional interest on the $600.0 million draw on the Revolving Credit Facility in </w:t>
      </w:r>
      <w:r>
        <w:rPr>
          <w:rFonts w:ascii="Times New Roman;sans-serif" w:hAnsi="Times New Roman;sans-serif"/>
          <w:b w:val="false"/>
          <w:color w:val="000000"/>
          <w:sz w:val="20"/>
          <w:shd w:fill="FFFFFF" w:val="clear"/>
        </w:rPr>
        <w:t>February 2022 (which</w:t>
      </w:r>
      <w:r>
        <w:rPr>
          <w:color w:val="000000"/>
        </w:rPr>
        <w:t xml:space="preserve"> </w:t>
      </w:r>
      <w:r>
        <w:rPr>
          <w:rFonts w:ascii="Times New Roman;sans-serif" w:hAnsi="Times New Roman;sans-serif"/>
          <w:b w:val="false"/>
          <w:color w:val="000000"/>
          <w:sz w:val="20"/>
        </w:rPr>
        <w:t>was repaid in full on April 29,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weighted average annualized interest rate of our debt, net of the impact of the forward-starting interest rate swaps and treasury locks, decreased to 4.32% from 4.38% for the three months ended June 30, 2023 compared to three months ended June 30, 2022, respectively, as a result of the lower interest rate on the MGM Grand/Mandalay Bay JV CMBS debt. The weighted average annualized interest rate of our debt, net of the impact of the forward-starting interest rate swaps and treasury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locks, increased to 4.33% from 4.25%, during the six months ended June 30, 2023 compared to the six months ended June 30, 2022, respectively, as a result of a higher weighted average effective interest rate on the April 2022 Notes, Exchange Notes and MGP OP Notes as compared to our outstanding debt during such earlier periods, partially offset by the lower interest rate on the MGM Grand/Mandalay Bay JV CMBS debt.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$5.0 million and $8.0 million during the three and six months ended June 30, 2023, respectively, compared to the three and six months ended June 30, 2022, respectively. The increase was primarily driven by a significant increase in the interest rates and income earned on our excess cash, coupled with an overall increase in our cash on hand throughout the current period as compared to the prior period.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Gains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2023, we recognized $3.5 million and $5.4 million of Other gains (losses), respectively, which primarily relate to the sale of excess land in April 2023 and foreign currency remeasurement adjustments associated with our investment in Canada. In connection with the PURE Canadian Gaming Transaction, we entered into intercompany debt and drew C$140.0 on the Revolving Credit Facility, both of which are denominated in CAD and, since such debt is held at entities with USD as their functional currency, certain of the related assets and liabilities are remeasured through the Statement of Operations. There is no comparable amount during the three and six months ended June 30, 2022, as we did not have any foreign investments or sales of land during such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84785"/>
                <wp:effectExtent l="0" t="0" r="0" b="0"/>
                <wp:wrapNone/>
                <wp:docPr id="62" name="Frame6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24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(losses),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10205" w:type="dxa"/>
        <w:jc w:val="left"/>
        <w:tblInd w:w="0" w:type="dxa"/>
        <w:tblLayout w:type="fixed"/>
        <w:tblCellMar>
          <w:top w:w="28" w:type="dxa"/>
          <w:left w:w="28" w:type="dxa"/>
          <w:bottom w:w="28" w:type="dxa"/>
          <w:right w:w="28" w:type="dxa"/>
        </w:tblCellMar>
      </w:tblPr>
      <w:tblGrid>
        <w:gridCol w:w="1522"/>
        <w:gridCol w:w="1084"/>
        <w:gridCol w:w="1092"/>
        <w:gridCol w:w="267"/>
        <w:gridCol w:w="1069"/>
        <w:gridCol w:w="109"/>
        <w:gridCol w:w="109"/>
        <w:gridCol w:w="109"/>
        <w:gridCol w:w="109"/>
        <w:gridCol w:w="237"/>
        <w:gridCol w:w="949"/>
        <w:gridCol w:w="109"/>
        <w:gridCol w:w="109"/>
        <w:gridCol w:w="109"/>
        <w:gridCol w:w="109"/>
        <w:gridCol w:w="234"/>
        <w:gridCol w:w="1102"/>
        <w:gridCol w:w="109"/>
        <w:gridCol w:w="109"/>
        <w:gridCol w:w="109"/>
        <w:gridCol w:w="109"/>
        <w:gridCol w:w="237"/>
        <w:gridCol w:w="949"/>
        <w:gridCol w:w="155"/>
      </w:tblGrid>
      <w:tr>
        <w:trPr/>
        <w:tc>
          <w:tcPr>
            <w:tcW w:w="152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690,702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1,210,868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189,987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 and interest rate swap settlements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(gains) losses </w:t>
            </w:r>
            <w:r>
              <w:rPr>
                <w:rFonts w:ascii="Times New Roman;sans-serif" w:hAnsi="Times New Roman;sans-serif"/>
                <w:b w:val="false"/>
                <w:i/>
                <w:color w:val="000000"/>
                <w:sz w:val="13"/>
              </w:rPr>
              <w:t>(1)</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540,407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430,050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1,069,012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735,545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1,433,716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922,457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Weighted average number of shares of common stock outstanding - Net Income and FFO </w:t>
            </w:r>
            <w:r>
              <w:rPr>
                <w:rFonts w:ascii="Times New Roman;sans-serif" w:hAnsi="Times New Roman;sans-serif"/>
                <w:b/>
                <w:i/>
                <w:color w:val="000000"/>
                <w:sz w:val="13"/>
              </w:rPr>
              <w:t>(2)</w:t>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791,029,664 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793,224,837 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Weighted average number of shares of common stock outstanding - AFFO </w:t>
            </w:r>
            <w:r>
              <w:rPr>
                <w:rFonts w:ascii="Times New Roman;sans-serif" w:hAnsi="Times New Roman;sans-serif"/>
                <w:b/>
                <w:i/>
                <w:color w:val="000000"/>
                <w:sz w:val="13"/>
              </w:rPr>
              <w:t>(2)</w:t>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896,545,880 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791,029,664 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897,362,588 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793,224,837 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(1)Represents non-cash foreign currency remeasurement adjustments and gain on sale of land.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(2)For the three months ended June 30, 2022, the diluted weighted average number of shares of common stock outstanding in relation to AFFO is adjusted to include the dilutive effect, using the treasury stock method, of the assumed conversion of our restricted stock in the amount of 816,708 shares. For the three months ended June 30, 2022, such amounts have been excluded from the diluted weighted average number of shares of common stock in relation to net (loss) income and FFO as these were in loss positions and the effect of inclusion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84785"/>
                <wp:effectExtent l="0" t="0" r="0" b="0"/>
                <wp:wrapNone/>
                <wp:docPr id="64" name="Frame6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available cash balances, capacity under our Revolving Credit Facility and proceeds available from outstanding forward sale agreements were as follows:</w:t>
      </w:r>
    </w:p>
    <w:tbl>
      <w:tblPr>
        <w:tblW w:w="6800" w:type="dxa"/>
        <w:jc w:val="left"/>
        <w:tblInd w:w="0" w:type="dxa"/>
        <w:tblLayout w:type="fixed"/>
        <w:tblCellMar>
          <w:top w:w="28" w:type="dxa"/>
          <w:left w:w="28" w:type="dxa"/>
          <w:bottom w:w="28" w:type="dxa"/>
          <w:right w:w="28" w:type="dxa"/>
        </w:tblCellMar>
      </w:tblPr>
      <w:tblGrid>
        <w:gridCol w:w="1974"/>
        <w:gridCol w:w="1739"/>
        <w:gridCol w:w="1746"/>
        <w:gridCol w:w="211"/>
        <w:gridCol w:w="976"/>
        <w:gridCol w:w="154"/>
      </w:tblGrid>
      <w:tr>
        <w:trPr/>
        <w:tc>
          <w:tcPr>
            <w:tcW w:w="197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Proceeds available from settlement of Forward Sale Agreements </w:t>
            </w:r>
            <w:r>
              <w:rPr>
                <w:rFonts w:ascii="Times New Roman;sans-serif" w:hAnsi="Times New Roman;sans-serif"/>
                <w:b w:val="false"/>
                <w:i/>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4,000,948 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(2)Assumes the physical settlement of the 27,102,500 shares under the January 2023 Forward Sale Agreement and 327,306 under the June 2023 ATM Forward Sale Agreement at the forward sale price per share of $31.64 and $31.69, respectively, each as calculated as of June 30,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future issuances of debt and equity securities (including issuances under the ATM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the Lease Agreements call for an initial term of between fifteen and thirty years with additional tenant renewal options and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sustained rising interest rates, equity market volatility,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May 2024. For more information, refer to the risk factors incorporated by reference into </w:t>
      </w:r>
      <w:hyperlink w:anchor="i5091383b7b3347698086ad89a18ea40d_10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5091383b7b3347698086ad89a18ea40d_79">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June 30, 2023, we have $17.1 billion of debt obligations outstanding. We have $1.1 billion of debt that matures on May 1, 2024. For a summary of principal debt balances and their maturity dates and principal terms, refer to </w:t>
      </w:r>
      <w:hyperlink w:anchor="i5091383b7b3347698086ad89a18ea40d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5091383b7b3347698086ad89a18ea40d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84785"/>
                <wp:effectExtent l="0" t="0" r="0" b="0"/>
                <wp:wrapNone/>
                <wp:docPr id="65" name="Frame6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for properties under the Lease Agreements are the responsibility of the tenants. Minimum capital expenditure spending requirements of the tenants pursuant to the Lease Agreements are described in </w:t>
      </w:r>
      <w:hyperlink w:anchor="i5091383b7b3347698086ad89a18ea40d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June 30, 2023. Amounts in this table omit, among other things, non-contractual commitments and items such as dividends and recurring or non-recurring operating expenses and other expenditures, including acquisitions and other investments:</w:t>
      </w:r>
    </w:p>
    <w:tbl>
      <w:tblPr>
        <w:tblW w:w="1157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22,236,944 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23,151,910 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14,912,066 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loans are based on the CDOR rate as of June 30, 2023.</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allocation of our future funding commitments is based on a construction draw schedule, commitment funding date, expiration date or other information, as applicable; however, we may be obligated to fund these commitments earlier than such applicable date.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June 30, 2023, we had $1.0 billion of additional potential future funding commitments under our Partner Property Growth Fund agreements, the use of which are at the discretion of our tenants and will be dependent upon independent decisions made by our tenants with respect to any capital improvement projects and the source of funds for such projects, as well as the total funding ultimately provided under such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84785"/>
                <wp:effectExtent l="0" t="0" r="0" b="0"/>
                <wp:wrapNone/>
                <wp:docPr id="66" name="Frame6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six months ended June 30, 2023 and 2022:</w:t>
      </w:r>
    </w:p>
    <w:tbl>
      <w:tblPr>
        <w:tblW w:w="10205" w:type="dxa"/>
        <w:jc w:val="left"/>
        <w:tblInd w:w="0" w:type="dxa"/>
        <w:tblLayout w:type="fixed"/>
        <w:tblCellMar>
          <w:top w:w="28" w:type="dxa"/>
          <w:left w:w="28" w:type="dxa"/>
          <w:bottom w:w="28" w:type="dxa"/>
          <w:right w:w="28" w:type="dxa"/>
        </w:tblCellMar>
      </w:tblPr>
      <w:tblGrid>
        <w:gridCol w:w="498"/>
        <w:gridCol w:w="436"/>
        <w:gridCol w:w="436"/>
        <w:gridCol w:w="1631"/>
        <w:gridCol w:w="1440"/>
        <w:gridCol w:w="1458"/>
        <w:gridCol w:w="211"/>
        <w:gridCol w:w="976"/>
        <w:gridCol w:w="109"/>
        <w:gridCol w:w="109"/>
        <w:gridCol w:w="109"/>
        <w:gridCol w:w="109"/>
        <w:gridCol w:w="212"/>
        <w:gridCol w:w="833"/>
        <w:gridCol w:w="109"/>
        <w:gridCol w:w="109"/>
        <w:gridCol w:w="109"/>
        <w:gridCol w:w="109"/>
        <w:gridCol w:w="212"/>
        <w:gridCol w:w="833"/>
        <w:gridCol w:w="157"/>
      </w:tblGrid>
      <w:tr>
        <w:trPr/>
        <w:tc>
          <w:tcPr>
            <w:tcW w:w="49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8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7,431,594 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(6,877,590)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124,792 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$101.3 million for the six months ended June 30, 2023 compared with the six months ended June 30, 2022. The increase is primarily driven by an increase in cash rental payments from the addition of the MGM Master Lease, Foundation Master Lease, MGM Grand/Mandalay Bay Lease, and PURE Master Lease to our real estate portfolio, the annual rent escalators on our Caesars Leases and certain of our other Lease Agreements and an increase in loan income as a result of an increase in the principal balance of our loan and securities portfolio.</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$7,431.6 million for the six months ended June 30, 2023 compared with the six months ended June 30, 2022.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Net payments of $1,266.9 million, including acquisition costs, in connection with the MGM Grand/Mandalay Bay JV Interest Acquisition;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Principal repayment of the Forum Convention Center Mortgage Loan of $400.0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$347.5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Maturities of short-term investments of $217.3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the PURE Canadian Gaming Transaction for a total cost of $203.3 million,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to fund Partner Property Growth Fund investments in the amount of $15.0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Proceeds from the sale of land of $6.3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Acquisition of property and equipment costs of $1.3 million;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Capitalized transaction costs of $0.5 million.</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six months ended June 30, 2022</w:t>
      </w:r>
      <w:r>
        <w:rPr>
          <w:rFonts w:ascii="Times New Roman;sans-serif" w:hAnsi="Times New Roman;sans-serif"/>
          <w:b w:val="false"/>
          <w:color w:val="000000"/>
          <w:sz w:val="20"/>
          <w:shd w:fill="FFFFFF" w:val="clear"/>
        </w:rPr>
        <w:t xml:space="preserve">, the primary sources and uses of cash from investing activities include: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Net payments of $4,574.4 million in relation to the closing of the MGP Transactions, including $4,404.0 million in connection with the redemption of the majority of the MGP units held by MGM, $90.0 million in connection with the repayment of the outstanding MGP revolving credit facility and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for the Venetian Acquisition for a total cost of $4,012.8 million,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portions of certain development loans in the amount of $47.4 million; and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rPr>
        <w:t>Capitalized transaction costs of $7.1 million</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84785"/>
                <wp:effectExtent l="0" t="0" r="0" b="0"/>
                <wp:wrapNone/>
                <wp:docPr id="67" name="Frame6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$6,877.6 million for the six months ended June 30, 2023, compared with the six months ended June 30,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$1,373.7 million from the issuance of an aggregate 43,792,592 shares of our common stock pursuant to the full physical settlement of the November 2022 Forward Sale Agreements, June 2022 ATM Forward Sale Agreement, August 2022 ATM Forward Sale Agreement, December 2022 ATM Forward Sale Agreement, and January 2023 Forward Sale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$778.9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$352.7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$250.0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$4.6 million to 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2022,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$3,219.1 million from the issuance of an aggregate 119,000,000 shares of our common stock pursuant to the full physical settlement of the September 2021 Forward Sale Agreements and March 2021 Forward Sale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Gross proceeds of $5,000.0 million from the April 2022 Notes offering;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Initial draw and repayment of $600.0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$497.2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Debt issuance costs of $146.0 million;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$6.1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$4.2 million to non-controlling interest.</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June 30, 2023, refer to </w:t>
      </w:r>
      <w:hyperlink w:anchor="i5091383b7b3347698086ad89a18ea40d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2023, we were in compliance with all debt-related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84785"/>
                <wp:effectExtent l="0" t="0" r="0" b="0"/>
                <wp:wrapNone/>
                <wp:docPr id="68" name="Frame6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six months ended June 30, 2023 and 2022 were as follows:</w:t>
      </w:r>
    </w:p>
    <w:tbl>
      <w:tblPr>
        <w:tblW w:w="9217"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17"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2022</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2022 -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9,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2021 -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There have been no significant changes in our critical policies and estimates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rate risk management objective is to limit the impact of future interest rate changes on our earnings and cash flows. To achieve this objective, our consolidated subsidiaries primarily borrow on a fixed-rate basis for longer-term debt issuances. As of June 30, 2023, we had $17.1 billion aggregate principal amount of outstanding indebtedness, of which 99.4% has fixed rate interest and 0.6% has a variable interest rate, representing the US$105.7 million (denominated in CAD) outstanding under our Revolving Credit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84785"/>
                <wp:effectExtent l="0" t="0" r="0" b="0"/>
                <wp:wrapNone/>
                <wp:docPr id="69" name="Frame6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5091383b7b3347698086ad89a18ea40d_10">
        <w:r>
          <w:rPr>
            <w:rStyle w:val="InternetLink"/>
          </w:rPr>
          <w:t xml:space="preserve">Table of </w:t>
        </w:r>
      </w:hyperlink>
      <w:hyperlink w:anchor="i5091383b7b3347698086ad89a18ea40d_10">
        <w:r>
          <w:rPr>
            <w:rStyle w:val="InternetLink"/>
          </w:rPr>
          <w:t>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June 30, 2023,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June 30, 2023,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84785"/>
                <wp:effectExtent l="0" t="0" r="0" b="0"/>
                <wp:wrapNone/>
                <wp:docPr id="70" name="Frame6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5091383b7b3347698086ad89a18ea40d_79">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There have been no material changes to those factors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June 30, 2023,</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June 30, 2023:</w:t>
      </w:r>
    </w:p>
    <w:tbl>
      <w:tblPr>
        <w:tblW w:w="10205" w:type="dxa"/>
        <w:jc w:val="left"/>
        <w:tblInd w:w="0" w:type="dxa"/>
        <w:tblLayout w:type="fixed"/>
        <w:tblCellMar>
          <w:top w:w="28" w:type="dxa"/>
          <w:left w:w="28" w:type="dxa"/>
          <w:bottom w:w="28" w:type="dxa"/>
          <w:right w:w="28" w:type="dxa"/>
        </w:tblCellMar>
      </w:tblPr>
      <w:tblGrid>
        <w:gridCol w:w="531"/>
        <w:gridCol w:w="466"/>
        <w:gridCol w:w="471"/>
        <w:gridCol w:w="109"/>
        <w:gridCol w:w="109"/>
        <w:gridCol w:w="109"/>
        <w:gridCol w:w="575"/>
        <w:gridCol w:w="485"/>
        <w:gridCol w:w="486"/>
        <w:gridCol w:w="109"/>
        <w:gridCol w:w="109"/>
        <w:gridCol w:w="109"/>
        <w:gridCol w:w="298"/>
        <w:gridCol w:w="893"/>
        <w:gridCol w:w="154"/>
        <w:gridCol w:w="109"/>
        <w:gridCol w:w="109"/>
        <w:gridCol w:w="109"/>
        <w:gridCol w:w="712"/>
        <w:gridCol w:w="712"/>
        <w:gridCol w:w="713"/>
        <w:gridCol w:w="109"/>
        <w:gridCol w:w="109"/>
        <w:gridCol w:w="109"/>
        <w:gridCol w:w="701"/>
        <w:gridCol w:w="701"/>
        <w:gridCol w:w="999"/>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through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through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June 1, 2023 through June 30,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11,698</w:t>
            </w: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30.93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bidi w:val="0"/>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84785"/>
                <wp:effectExtent l="0" t="0" r="0" b="0"/>
                <wp:wrapNone/>
                <wp:docPr id="71" name="Frame7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863"/>
        <w:gridCol w:w="1539"/>
        <w:gridCol w:w="1544"/>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1"/>
        <w:gridCol w:w="211"/>
        <w:gridCol w:w="212"/>
        <w:gridCol w:w="16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Twelfth Amendment to Regional Lease, dated as of April 7, 2023, by and among the entities listed on Schedules A and B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5/1/2023</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11xviciprope.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12xviciprope.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13xviciprope.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14xviciprope.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21xviciprope.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22xviciprope.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23xviciprope.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3exh324xviciprope.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3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5091383b7b3347698086ad89a18ea40d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8049"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369"/>
        <w:gridCol w:w="369"/>
        <w:gridCol w:w="52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18"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369"/>
        <w:gridCol w:w="369"/>
        <w:gridCol w:w="52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84785"/>
                <wp:effectExtent l="0" t="0" r="0" b="0"/>
                <wp:wrapNone/>
                <wp:docPr id="73" name="Frame7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89560"/>
                <wp:effectExtent l="0" t="0" r="0" b="0"/>
                <wp:wrapNone/>
                <wp:docPr id="74" name="Frame7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89560"/>
                <wp:effectExtent l="0" t="0" r="0" b="0"/>
                <wp:wrapNone/>
                <wp:docPr id="75" name="Frame7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89560"/>
                <wp:effectExtent l="0" t="0" r="0" b="0"/>
                <wp:wrapNone/>
                <wp:docPr id="76" name="Frame7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2"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89560"/>
                <wp:effectExtent l="0" t="0" r="0" b="0"/>
                <wp:wrapNone/>
                <wp:docPr id="77" name="Frame7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June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89560"/>
                <wp:effectExtent l="0" t="0" r="0" b="0"/>
                <wp:wrapNone/>
                <wp:docPr id="78" name="Frame7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June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27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89560"/>
                <wp:effectExtent l="0" t="0" r="0" b="0"/>
                <wp:wrapNone/>
                <wp:docPr id="79" name="Frame7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June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89560"/>
                <wp:effectExtent l="0" t="0" r="0" b="0"/>
                <wp:wrapNone/>
                <wp:docPr id="80" name="Frame7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June 30, 2023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272"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26,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89560"/>
                <wp:effectExtent l="0" t="0" r="0" b="0"/>
                <wp:wrapNone/>
                <wp:docPr id="81" name="Frame8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05696/000170569623000035/vici-20221231.htm" TargetMode="External"/><Relationship Id="rId4" Type="http://schemas.openxmlformats.org/officeDocument/2006/relationships/hyperlink" Target="https://www.sec.gov/ix?doc=/Archives/edgar/data/1705696/000170569623000035/vici-20221231.htm" TargetMode="External"/><Relationship Id="rId5" Type="http://schemas.openxmlformats.org/officeDocument/2006/relationships/hyperlink" Target="https://www.sec.gov/ix?doc=/Archives/edgar/data/1705696/000170569623000035/vici-20221231.htm" TargetMode="External"/><Relationship Id="rId6" Type="http://schemas.openxmlformats.org/officeDocument/2006/relationships/hyperlink" Target="https://www.sec.gov/ix?doc=/Archives/edgar/data/1705696/000170569623000035/vici-20221231.htm" TargetMode="External"/><Relationship Id="rId7" Type="http://schemas.openxmlformats.org/officeDocument/2006/relationships/hyperlink" Target="https://www.sec.gov/ix?doc=/Archives/edgar/data/1705696/000170569623000035/vici-20221231.htm" TargetMode="External"/><Relationship Id="rId8" Type="http://schemas.openxmlformats.org/officeDocument/2006/relationships/hyperlink" Target="https://www.sec.gov/ix?doc=/Archives/edgar/data/1705696/000170569623000035/vici-20221231.htm" TargetMode="External"/><Relationship Id="rId9" Type="http://schemas.openxmlformats.org/officeDocument/2006/relationships/hyperlink" Target="https://www.sec.gov/Archives/edgar/data/1705696/000170569623000072/caesarsregionalmasterlease.htm" TargetMode="External"/><Relationship Id="rId10" Type="http://schemas.openxmlformats.org/officeDocument/2006/relationships/hyperlink" Target="https://www.sec.gov/Archives/edgar/data/1705696/000170569623000072/caesarsregionalmasterlease.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40411</Words>
  <Characters>222702</Characters>
  <CharactersWithSpaces>260442</CharactersWithSpaces>
  <Paragraphs>5043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