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55"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(Mark One)</w:t>
      </w:r>
    </w:p>
    <w:p>
      <w:pPr>
        <w:spacing w:after="0" w:line="30" w:lineRule="exact"/>
        <w:rPr>
          <w:sz w:val="24"/>
          <w:szCs w:val="24"/>
          <w:color w:val="auto"/>
        </w:rPr>
      </w:pPr>
    </w:p>
    <w:p>
      <w:pPr>
        <w:ind w:left="1620" w:hanging="426"/>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720" w:right="1360" w:hanging="2470"/>
        <w:spacing w:after="0" w:line="366" w:lineRule="auto"/>
        <w:tabs>
          <w:tab w:leader="none" w:pos="164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000-55791</w:t>
      </w:r>
    </w:p>
    <w:p>
      <w:pPr>
        <w:spacing w:after="0" w:line="18"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________________________________________________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VICI PROPERTIES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680"/>
        <w:spacing w:after="0"/>
        <w:rPr>
          <w:sz w:val="20"/>
          <w:szCs w:val="20"/>
          <w:color w:val="auto"/>
        </w:rPr>
      </w:pPr>
      <w:r>
        <w:rPr>
          <w:rFonts w:ascii="Arial" w:cs="Arial" w:eastAsia="Arial" w:hAnsi="Arial"/>
          <w:sz w:val="16"/>
          <w:szCs w:val="16"/>
          <w:b w:val="1"/>
          <w:bCs w:val="1"/>
          <w:color w:val="auto"/>
        </w:rPr>
        <w:t>________________________________________________</w:t>
      </w:r>
    </w:p>
    <w:p>
      <w:pPr>
        <w:sectPr>
          <w:pgSz w:w="11900" w:h="16838" w:orient="portrait"/>
          <w:cols w:equalWidth="0" w:num="1">
            <w:col w:w="11240"/>
          </w:cols>
          <w:pgMar w:left="320" w:top="1053" w:right="339" w:bottom="1440" w:gutter="0" w:footer="0" w:header="0"/>
        </w:sectPr>
      </w:pPr>
    </w:p>
    <w:p>
      <w:pPr>
        <w:spacing w:after="0" w:line="95" w:lineRule="exact"/>
        <w:rPr>
          <w:sz w:val="24"/>
          <w:szCs w:val="24"/>
          <w:color w:val="auto"/>
        </w:rPr>
      </w:pPr>
    </w:p>
    <w:p>
      <w:pPr>
        <w:ind w:left="29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81-4177147</w:t>
      </w:r>
    </w:p>
    <w:p>
      <w:pPr>
        <w:spacing w:after="0" w:line="49" w:lineRule="exact"/>
        <w:rPr>
          <w:sz w:val="24"/>
          <w:szCs w:val="24"/>
          <w:color w:val="auto"/>
        </w:rPr>
      </w:pPr>
    </w:p>
    <w:p>
      <w:pPr>
        <w:sectPr>
          <w:pgSz w:w="11900" w:h="16838" w:orient="portrait"/>
          <w:cols w:equalWidth="0" w:num="2">
            <w:col w:w="6860" w:space="720"/>
            <w:col w:w="3660"/>
          </w:cols>
          <w:pgMar w:left="320" w:top="1053" w:right="339" w:bottom="1440" w:gutter="0" w:footer="0" w:header="0"/>
          <w:type w:val="continuous"/>
        </w:sectPr>
      </w:pPr>
    </w:p>
    <w:p>
      <w:pPr>
        <w:ind w:left="14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160" w:space="720"/>
            <w:col w:w="4360"/>
          </w:cols>
          <w:pgMar w:left="320" w:top="105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3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Title of each class</w:t>
            </w:r>
          </w:p>
        </w:tc>
        <w:tc>
          <w:tcPr>
            <w:tcW w:w="30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Trading Symbol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w:t>
            </w:r>
          </w:p>
        </w:tc>
        <w:tc>
          <w:tcPr>
            <w:tcW w:w="0" w:type="dxa"/>
            <w:vAlign w:val="bottom"/>
          </w:tcPr>
          <w:p>
            <w:pPr>
              <w:spacing w:after="0"/>
              <w:rPr>
                <w:sz w:val="1"/>
                <w:szCs w:val="1"/>
                <w:color w:val="auto"/>
              </w:rPr>
            </w:pPr>
          </w:p>
        </w:tc>
      </w:tr>
      <w:tr>
        <w:trPr>
          <w:trHeight w:val="213"/>
        </w:trPr>
        <w:tc>
          <w:tcPr>
            <w:tcW w:w="3180" w:type="dxa"/>
            <w:vAlign w:val="bottom"/>
            <w:gridSpan w:val="2"/>
            <w:vMerge w:val="continue"/>
          </w:tcPr>
          <w:p>
            <w:pPr>
              <w:spacing w:after="0"/>
              <w:rPr>
                <w:sz w:val="18"/>
                <w:szCs w:val="18"/>
                <w:color w:val="auto"/>
              </w:rPr>
            </w:pPr>
          </w:p>
        </w:tc>
        <w:tc>
          <w:tcPr>
            <w:tcW w:w="3060" w:type="dxa"/>
            <w:vAlign w:val="bottom"/>
            <w:gridSpan w:val="2"/>
            <w:vMerge w:val="continue"/>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registered</w:t>
            </w:r>
          </w:p>
        </w:tc>
        <w:tc>
          <w:tcPr>
            <w:tcW w:w="0" w:type="dxa"/>
            <w:vAlign w:val="bottom"/>
          </w:tcPr>
          <w:p>
            <w:pPr>
              <w:spacing w:after="0"/>
              <w:rPr>
                <w:sz w:val="1"/>
                <w:szCs w:val="1"/>
                <w:color w:val="auto"/>
              </w:rPr>
            </w:pPr>
          </w:p>
        </w:tc>
      </w:tr>
      <w:tr>
        <w:trPr>
          <w:trHeight w:val="207"/>
        </w:trPr>
        <w:tc>
          <w:tcPr>
            <w:tcW w:w="2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$0.01 par value</w:t>
            </w:r>
          </w:p>
        </w:tc>
        <w:tc>
          <w:tcPr>
            <w:tcW w:w="280" w:type="dxa"/>
            <w:vAlign w:val="bottom"/>
          </w:tcPr>
          <w:p>
            <w:pPr>
              <w:spacing w:after="0"/>
              <w:rPr>
                <w:sz w:val="17"/>
                <w:szCs w:val="17"/>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VICI</w:t>
            </w:r>
          </w:p>
        </w:tc>
        <w:tc>
          <w:tcPr>
            <w:tcW w:w="140" w:type="dxa"/>
            <w:vAlign w:val="bottom"/>
          </w:tcPr>
          <w:p>
            <w:pPr>
              <w:spacing w:after="0"/>
              <w:rPr>
                <w:sz w:val="17"/>
                <w:szCs w:val="17"/>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240"/>
          </w:cols>
          <w:pgMar w:left="320" w:top="1053" w:right="339" w:bottom="1440" w:gutter="0" w:footer="0" w:header="0"/>
          <w:type w:val="continuous"/>
        </w:sectPr>
      </w:pPr>
    </w:p>
    <w:p>
      <w:pPr>
        <w:spacing w:after="0" w:line="1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4">
            <w:col w:w="7360" w:space="80"/>
            <w:col w:w="120" w:space="160"/>
            <w:col w:w="160" w:space="80"/>
            <w:col w:w="3280"/>
          </w:cols>
          <w:pgMar w:left="320" w:top="1053" w:right="33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ectPr>
          <w:pgSz w:w="11900" w:h="16838" w:orient="portrait"/>
          <w:cols w:equalWidth="0" w:num="4">
            <w:col w:w="7500" w:space="60"/>
            <w:col w:w="140" w:space="140"/>
            <w:col w:w="180" w:space="60"/>
            <w:col w:w="3160"/>
          </w:cols>
          <w:pgMar w:left="320" w:top="1053" w:right="339" w:bottom="1440" w:gutter="0" w:footer="0" w:header="0"/>
          <w:type w:val="continuous"/>
        </w:sectPr>
      </w:pPr>
    </w:p>
    <w:p>
      <w:pPr>
        <w:ind w:right="2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80" w:type="dxa"/>
        <w:tblCellMar>
          <w:top w:w="0" w:type="dxa"/>
          <w:left w:w="0" w:type="dxa"/>
          <w:bottom w:w="0" w:type="dxa"/>
          <w:right w:w="0" w:type="dxa"/>
        </w:tblCellMar>
      </w:tblP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ind w:left="2300"/>
              <w:spacing w:after="0"/>
              <w:rPr>
                <w:sz w:val="20"/>
                <w:szCs w:val="20"/>
                <w:color w:val="auto"/>
              </w:rPr>
            </w:pPr>
            <w:r>
              <w:rPr>
                <w:rFonts w:ascii="Arial" w:cs="Arial" w:eastAsia="Arial" w:hAnsi="Arial"/>
                <w:sz w:val="14"/>
                <w:szCs w:val="14"/>
                <w:color w:val="auto"/>
              </w:rPr>
              <w:t>Emerging growth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tabs>
          <w:tab w:leader="none" w:pos="68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common stock held by non-affiliates of the registrant was approximately $10.8 billion, based on the closing price of the common stock as reported on the NYSE on that date.</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16, 2021, the registrant had 536,663,115 shares of common stock outstanding.</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Company’s definitive proxy statement relating to the 2021 Annual Meeting of Stockholders, to be filed with the Securities and Exchange Commission within 120 days after the end of the calendar year to which this report relates, are incorporated by reference into Part III, Items 10-14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5800" w:type="dxa"/>
            <w:vAlign w:val="bottom"/>
            <w:gridSpan w:val="2"/>
          </w:tcPr>
          <w:p>
            <w:pPr>
              <w:ind w:left="40"/>
              <w:spacing w:after="0"/>
              <w:rPr>
                <w:sz w:val="20"/>
                <w:szCs w:val="20"/>
                <w:color w:val="auto"/>
              </w:rPr>
            </w:pPr>
            <w:r>
              <w:rPr>
                <w:rFonts w:ascii="Arial" w:cs="Arial" w:eastAsia="Arial" w:hAnsi="Arial"/>
                <w:sz w:val="20"/>
                <w:szCs w:val="20"/>
                <w:b w:val="1"/>
                <w:bCs w:val="1"/>
                <w:color w:val="auto"/>
              </w:rPr>
              <w:t>TABLE OF CONTENTS</w:t>
            </w: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r>
      <w:tr>
        <w:trPr>
          <w:trHeight w:val="21"/>
        </w:trPr>
        <w:tc>
          <w:tcPr>
            <w:tcW w:w="45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320" w:type="dxa"/>
            <w:vAlign w:val="bottom"/>
            <w:gridSpan w:val="3"/>
            <w:shd w:val="clear" w:color="auto" w:fill="CCEEFF"/>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 Business</w:t>
              </w:r>
            </w:hyperlink>
          </w:p>
        </w:tc>
        <w:tc>
          <w:tcPr>
            <w:tcW w:w="88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6</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1A – Risk Factors</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23</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1B – Unresolved Staff Comments</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48</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2 – Properties</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48</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3 – Legal Proceedings</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48</w:t>
              </w:r>
            </w:hyperlink>
          </w:p>
        </w:tc>
        <w:tc>
          <w:tcPr>
            <w:tcW w:w="40" w:type="dxa"/>
            <w:vAlign w:val="bottom"/>
          </w:tcPr>
          <w:p>
            <w:pPr>
              <w:spacing w:after="0"/>
              <w:rPr>
                <w:sz w:val="19"/>
                <w:szCs w:val="19"/>
                <w:color w:val="auto"/>
              </w:rPr>
            </w:pPr>
          </w:p>
        </w:tc>
      </w:tr>
      <w:tr>
        <w:trPr>
          <w:trHeight w:val="229"/>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4 – Mine Safety Disclosures</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48</w:t>
              </w:r>
            </w:hyperlink>
          </w:p>
        </w:tc>
        <w:tc>
          <w:tcPr>
            <w:tcW w:w="40" w:type="dxa"/>
            <w:vAlign w:val="bottom"/>
          </w:tcPr>
          <w:p>
            <w:pPr>
              <w:spacing w:after="0"/>
              <w:rPr>
                <w:sz w:val="19"/>
                <w:szCs w:val="19"/>
                <w:color w:val="auto"/>
              </w:rPr>
            </w:pPr>
          </w:p>
        </w:tc>
      </w:tr>
      <w:tr>
        <w:trPr>
          <w:trHeight w:val="230"/>
        </w:trPr>
        <w:tc>
          <w:tcPr>
            <w:tcW w:w="10320" w:type="dxa"/>
            <w:vAlign w:val="bottom"/>
            <w:gridSpan w:val="3"/>
          </w:tcPr>
          <w:p>
            <w:pPr>
              <w:ind w:left="20"/>
              <w:spacing w:after="0"/>
              <w:rPr>
                <w:rFonts w:ascii="Arial" w:cs="Arial" w:eastAsia="Arial" w:hAnsi="Arial"/>
                <w:sz w:val="18"/>
                <w:szCs w:val="18"/>
                <w:color w:val="0000FF"/>
              </w:rPr>
            </w:pPr>
            <w:hyperlink w:anchor="page50">
              <w:r>
                <w:rPr>
                  <w:rFonts w:ascii="Arial" w:cs="Arial" w:eastAsia="Arial" w:hAnsi="Arial"/>
                  <w:sz w:val="18"/>
                  <w:szCs w:val="18"/>
                  <w:color w:val="0000FF"/>
                </w:rPr>
                <w:t>Part II</w:t>
              </w:r>
            </w:hyperlink>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w w:val="95"/>
              </w:rPr>
            </w:pPr>
            <w:hyperlink w:anchor="page51">
              <w:r>
                <w:rPr>
                  <w:rFonts w:ascii="Arial" w:cs="Arial" w:eastAsia="Arial" w:hAnsi="Arial"/>
                  <w:sz w:val="18"/>
                  <w:szCs w:val="18"/>
                  <w:u w:val="single" w:color="auto"/>
                  <w:color w:val="0000FF"/>
                  <w:w w:val="95"/>
                </w:rPr>
                <w:t>Item 5 – Market for the Registrant’s Common Equity, Related Stockholder Matters and Issuer Purchases of Equity Securities</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49</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6 – Selected Financial Data</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50</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7 – Management’s Discussion and Analysis of Financial Condition and Results of Operations</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51</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7A – Quantitative and Qualitative Disclosures About Market Risk</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2">
              <w:r>
                <w:rPr>
                  <w:rFonts w:ascii="Arial" w:cs="Arial" w:eastAsia="Arial" w:hAnsi="Arial"/>
                  <w:sz w:val="18"/>
                  <w:szCs w:val="18"/>
                  <w:u w:val="single" w:color="auto"/>
                  <w:color w:val="0000FF"/>
                  <w:w w:val="89"/>
                </w:rPr>
                <w:t>71</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8 – Financial Statements and Supplementary Data</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71</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9 – Changes in and Disagreements with Accountants on Accounting and Financial Disclosure</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71</w:t>
              </w:r>
            </w:hyperlink>
          </w:p>
        </w:tc>
        <w:tc>
          <w:tcPr>
            <w:tcW w:w="40" w:type="dxa"/>
            <w:vAlign w:val="bottom"/>
          </w:tcPr>
          <w:p>
            <w:pPr>
              <w:spacing w:after="0"/>
              <w:rPr>
                <w:sz w:val="19"/>
                <w:szCs w:val="19"/>
                <w:color w:val="auto"/>
              </w:rPr>
            </w:pPr>
          </w:p>
        </w:tc>
      </w:tr>
      <w:tr>
        <w:trPr>
          <w:trHeight w:val="229"/>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9A – Controls and Procedures</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72</w:t>
              </w:r>
            </w:hyperlink>
          </w:p>
        </w:tc>
        <w:tc>
          <w:tcPr>
            <w:tcW w:w="40" w:type="dxa"/>
            <w:vAlign w:val="bottom"/>
          </w:tcPr>
          <w:p>
            <w:pPr>
              <w:spacing w:after="0"/>
              <w:rPr>
                <w:sz w:val="19"/>
                <w:szCs w:val="19"/>
                <w:color w:val="auto"/>
              </w:rPr>
            </w:pPr>
          </w:p>
        </w:tc>
      </w:tr>
      <w:tr>
        <w:trPr>
          <w:trHeight w:val="230"/>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9B – Other Information</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72</w:t>
              </w:r>
            </w:hyperlink>
          </w:p>
        </w:tc>
        <w:tc>
          <w:tcPr>
            <w:tcW w:w="40" w:type="dxa"/>
            <w:vAlign w:val="bottom"/>
          </w:tcPr>
          <w:p>
            <w:pPr>
              <w:spacing w:after="0"/>
              <w:rPr>
                <w:sz w:val="19"/>
                <w:szCs w:val="19"/>
                <w:color w:val="auto"/>
              </w:rPr>
            </w:pPr>
          </w:p>
        </w:tc>
      </w:tr>
      <w:tr>
        <w:trPr>
          <w:trHeight w:val="229"/>
        </w:trPr>
        <w:tc>
          <w:tcPr>
            <w:tcW w:w="10320" w:type="dxa"/>
            <w:vAlign w:val="bottom"/>
            <w:gridSpan w:val="3"/>
            <w:shd w:val="clear" w:color="auto" w:fill="CCEEFF"/>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Part III</w:t>
              </w:r>
            </w:hyperlink>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10 – Directors, Executive Officers and Corporate Governance</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73</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11 – Executive Compensation</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73</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12 – Security Ownership of Certain Beneficial Owners and Management and Related Stockholder Matters</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73</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13 – Certain Relationships and Related Transactions, and Director Independence</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73</w:t>
              </w:r>
            </w:hyperlink>
          </w:p>
        </w:tc>
        <w:tc>
          <w:tcPr>
            <w:tcW w:w="40" w:type="dxa"/>
            <w:vAlign w:val="bottom"/>
          </w:tcPr>
          <w:p>
            <w:pPr>
              <w:spacing w:after="0"/>
              <w:rPr>
                <w:sz w:val="19"/>
                <w:szCs w:val="19"/>
                <w:color w:val="auto"/>
              </w:rPr>
            </w:pPr>
          </w:p>
        </w:tc>
      </w:tr>
      <w:tr>
        <w:trPr>
          <w:trHeight w:val="229"/>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Item 14 – Principal Accounting Fees and Services</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73</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20"/>
              <w:spacing w:after="0"/>
              <w:rPr>
                <w:rFonts w:ascii="Arial" w:cs="Arial" w:eastAsia="Arial" w:hAnsi="Arial"/>
                <w:sz w:val="18"/>
                <w:szCs w:val="18"/>
                <w:color w:val="0000FF"/>
              </w:rPr>
            </w:pPr>
            <w:hyperlink w:anchor="page75">
              <w:r>
                <w:rPr>
                  <w:rFonts w:ascii="Arial" w:cs="Arial" w:eastAsia="Arial" w:hAnsi="Arial"/>
                  <w:sz w:val="18"/>
                  <w:szCs w:val="18"/>
                  <w:color w:val="0000FF"/>
                </w:rPr>
                <w:t>Part IV</w:t>
              </w:r>
            </w:hyperlink>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97"/>
        </w:trPr>
        <w:tc>
          <w:tcPr>
            <w:tcW w:w="10320" w:type="dxa"/>
            <w:vAlign w:val="bottom"/>
            <w:gridSpan w:val="3"/>
          </w:tcPr>
          <w:p>
            <w:pPr>
              <w:ind w:left="90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15 – Exhibits and Financial Statement Schedule</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74</w:t>
              </w:r>
            </w:hyperlink>
          </w:p>
        </w:tc>
        <w:tc>
          <w:tcPr>
            <w:tcW w:w="40" w:type="dxa"/>
            <w:vAlign w:val="bottom"/>
          </w:tcPr>
          <w:p>
            <w:pPr>
              <w:spacing w:after="0"/>
              <w:rPr>
                <w:sz w:val="24"/>
                <w:szCs w:val="24"/>
                <w:color w:val="auto"/>
              </w:rPr>
            </w:pPr>
          </w:p>
        </w:tc>
      </w:tr>
      <w:tr>
        <w:trPr>
          <w:trHeight w:val="297"/>
        </w:trPr>
        <w:tc>
          <w:tcPr>
            <w:tcW w:w="10320" w:type="dxa"/>
            <w:vAlign w:val="bottom"/>
            <w:gridSpan w:val="3"/>
            <w:shd w:val="clear" w:color="auto" w:fill="CCEEFF"/>
          </w:tcPr>
          <w:p>
            <w:pPr>
              <w:ind w:left="90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16 – Form 10-K Summary</w:t>
              </w:r>
            </w:hyperlink>
          </w:p>
        </w:tc>
        <w:tc>
          <w:tcPr>
            <w:tcW w:w="8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77</w:t>
              </w:r>
            </w:hyperlink>
          </w:p>
        </w:tc>
        <w:tc>
          <w:tcPr>
            <w:tcW w:w="40" w:type="dxa"/>
            <w:vAlign w:val="bottom"/>
          </w:tcPr>
          <w:p>
            <w:pPr>
              <w:spacing w:after="0"/>
              <w:rPr>
                <w:sz w:val="24"/>
                <w:szCs w:val="24"/>
                <w:color w:val="auto"/>
              </w:rPr>
            </w:pPr>
          </w:p>
        </w:tc>
      </w:tr>
      <w:tr>
        <w:trPr>
          <w:trHeight w:val="230"/>
        </w:trPr>
        <w:tc>
          <w:tcPr>
            <w:tcW w:w="10320" w:type="dxa"/>
            <w:vAlign w:val="bottom"/>
            <w:gridSpan w:val="3"/>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Signatures</w:t>
              </w:r>
            </w:hyperlink>
          </w:p>
        </w:tc>
        <w:tc>
          <w:tcPr>
            <w:tcW w:w="880" w:type="dxa"/>
            <w:vAlign w:val="bottom"/>
          </w:tcPr>
          <w:p>
            <w:pPr>
              <w:jc w:val="center"/>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78</w:t>
              </w:r>
            </w:hyperlink>
          </w:p>
        </w:tc>
        <w:tc>
          <w:tcPr>
            <w:tcW w:w="40" w:type="dxa"/>
            <w:vAlign w:val="bottom"/>
          </w:tcPr>
          <w:p>
            <w:pPr>
              <w:spacing w:after="0"/>
              <w:rPr>
                <w:sz w:val="19"/>
                <w:szCs w:val="19"/>
                <w:color w:val="auto"/>
              </w:rPr>
            </w:pPr>
          </w:p>
        </w:tc>
      </w:tr>
      <w:tr>
        <w:trPr>
          <w:trHeight w:val="230"/>
        </w:trPr>
        <w:tc>
          <w:tcPr>
            <w:tcW w:w="1032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Index to Consolidated Financial Statements and Schedule</w:t>
              </w:r>
            </w:hyperlink>
          </w:p>
        </w:tc>
        <w:tc>
          <w:tcPr>
            <w:tcW w:w="880" w:type="dxa"/>
            <w:vAlign w:val="bottom"/>
            <w:shd w:val="clear" w:color="auto" w:fill="CCEEFF"/>
          </w:tcPr>
          <w:p>
            <w:pPr>
              <w:ind w:left="28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F - 1</w:t>
              </w:r>
            </w:hyperlink>
          </w:p>
        </w:tc>
        <w:tc>
          <w:tcPr>
            <w:tcW w:w="40" w:type="dxa"/>
            <w:vAlign w:val="bottom"/>
          </w:tcPr>
          <w:p>
            <w:pPr>
              <w:spacing w:after="0"/>
              <w:rPr>
                <w:sz w:val="19"/>
                <w:szCs w:val="19"/>
                <w:color w:val="auto"/>
              </w:rPr>
            </w:pPr>
          </w:p>
        </w:tc>
      </w:tr>
      <w:tr>
        <w:trPr>
          <w:trHeight w:val="1006"/>
        </w:trPr>
        <w:tc>
          <w:tcPr>
            <w:tcW w:w="45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as the context requires, its subsidiaries. CEOC was a subsidiary of Pre-Merger Caesars, and following the consummation of the Eldorado/Caesars Merger, is a subsidiary of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 a wholly owned subsidiary of Caesars (which changed its name from Eldorado in connection with the closing of the Eldorado/Caesars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“Lease Agreements” refer collectively to the Caesars Lease Agreements, the Penn National Lease Agreements, the Hard Rock Cincinnati Lease Agreement, the Century Portfolio Lease Agreement and the JACK Cleveland/Thistledown Lease Agreement, unless the context otherwise requires.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or “MTA” refers to the master transaction agreement with Eldorado relating to the Eldorado Transaction.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 refers collectively to the November 2019 Senior Unsecured Notes and the February 2020 Senior Unsecured Notes.</w:t>
      </w:r>
    </w:p>
    <w:p>
      <w:pPr>
        <w:spacing w:after="0" w:line="18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Risk Factors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231F20"/>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Business and Operations</w:t>
      </w:r>
    </w:p>
    <w:p>
      <w:pPr>
        <w:spacing w:after="0" w:line="171" w:lineRule="exact"/>
        <w:rPr>
          <w:sz w:val="20"/>
          <w:szCs w:val="20"/>
          <w:color w:val="auto"/>
        </w:rPr>
      </w:pPr>
    </w:p>
    <w:p>
      <w:pPr>
        <w:ind w:left="660" w:right="2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and its immediate and long-term effects, including its effect on our tenants and the gaming industry, could materially and adversely impact us, including by affecting our tenants and the gaming industry, upon which we are dependent;</w:t>
      </w:r>
    </w:p>
    <w:p>
      <w:pPr>
        <w:ind w:left="660" w:right="20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and will always be significantly dependent on our tenants for our revenues, and unless or until we substantially diversify our portfolio an event that has a material adverse effect on any of our tenants’ businesses, financial condition, liquidity, results of operations or prospects could have a material adverse effect on our business, financial condition, liquidity, results of operations and prospects;</w:t>
      </w:r>
    </w:p>
    <w:p>
      <w:pPr>
        <w:spacing w:after="0" w:line="3"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Caesars is required to pay a significant portion of their cash flow from operations to us pursuant to the Caesars Lease Agreements and the Forum Convention Center Mortgage Loan which could adversely affect Caesars’ ability to satisfy its obligations to us;</w:t>
      </w:r>
    </w:p>
    <w:p>
      <w:pPr>
        <w:spacing w:after="0" w:line="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Caesars’ indebtedness and the fact that a significant portion of its cash flow is used to make interest payments could adversely affect its ability to satisfy its obligations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and our tenants face extensive regulation from gaming and other regulatory authorities;</w:t>
      </w:r>
    </w:p>
    <w:p>
      <w:pPr>
        <w:spacing w:after="0" w:line="63" w:lineRule="exact"/>
        <w:rPr>
          <w:rFonts w:ascii="Arial" w:cs="Arial" w:eastAsia="Arial" w:hAnsi="Arial"/>
          <w:sz w:val="18"/>
          <w:szCs w:val="18"/>
          <w:color w:val="auto"/>
        </w:rPr>
      </w:pPr>
    </w:p>
    <w:p>
      <w:pPr>
        <w:ind w:left="660" w:right="14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Required regulatory approvals can delay or prohibit transfers of our gaming properties or the consummation of other pending transactions, which could result in periods in which we are unable to receive rent for such properties or otherwise realize the benefits of such transactions;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Tenants may choose not to renew the Lease Agreements;</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leases may not result in fair market lease rates over time, which could negatively impact our results of operations and cash flows and reduce the amount of funds available to make distributions to stockholders;</w:t>
      </w:r>
    </w:p>
    <w:p>
      <w:pPr>
        <w:spacing w:after="0" w:line="8"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Caesars declares bankruptcy and, as a result, a lease is re-characterized as a disguised financing transaction, we could be materially and adversely affected;</w:t>
      </w:r>
    </w:p>
    <w:p>
      <w:pPr>
        <w:spacing w:after="0" w:line="8"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substantial amount of indebtedness, and may incur additional indebtedness in the future, that exposes us to the risk of default under our debt obligations, limits our operating flexibility, increases the risks associated with a downturn in our business or in the businesses of our tenants and requires us to use a substantial portion of our cash to service our debt obligations;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refinance our indebtedness as it becomes due depends on many factors, some of which are beyond our control;</w:t>
      </w:r>
    </w:p>
    <w:p>
      <w:pPr>
        <w:spacing w:after="0" w:line="63" w:lineRule="exact"/>
        <w:rPr>
          <w:rFonts w:ascii="Arial" w:cs="Arial" w:eastAsia="Arial" w:hAnsi="Arial"/>
          <w:sz w:val="18"/>
          <w:szCs w:val="18"/>
          <w:color w:val="auto"/>
        </w:rPr>
      </w:pPr>
    </w:p>
    <w:p>
      <w:pPr>
        <w:ind w:left="660" w:right="4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purchase the properties subject to the A&amp;R Convention Center Put-Call Agreement, the Centaur Properties Put-Call Agreement, the Las Vegas Strip Assets ROFR or the Horseshoe Baltimore ROFR and we may be forced to dispose of Harrah’s Las Vegas on disadvantageous terms;</w:t>
      </w:r>
    </w:p>
    <w:p>
      <w:pPr>
        <w:spacing w:after="0" w:line="2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bankruptcy or insolvency of any tenant or guarantor could result in the termination of the Lease Agreements and the related guarantees and material losses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investments in, and acquisitions of, additional properties may be unsuccessful or fail to meet our expectations;</w:t>
      </w:r>
    </w:p>
    <w:p>
      <w:pPr>
        <w:spacing w:after="0" w:line="63"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sell or divest different properties or assets after an evaluation of our portfolio of businesses. Such sales or divestitures would affect our costs, revenues, results of operations, financial condition and liquidity;</w:t>
      </w:r>
    </w:p>
    <w:p>
      <w:pPr>
        <w:spacing w:after="0" w:line="8"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properties are subject to risks from natural disasters such as earthquakes, hurricanes, severe weather, including as a result of climate change, and terrorism;</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security breaches through cyber-attacks, cyber-intrusions or otherwise, as well as other significant disruptions of our information technology (IT) networks and related systems;</w:t>
      </w:r>
    </w:p>
    <w:p>
      <w:pPr>
        <w:spacing w:after="0" w:line="8"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our separation from CEOC fails to qualify as a tax-free spin-off, which could subject CEOC to significant tax liabilities and for which we could be required to indemnify CEOC;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Status as a REIT</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qualify or maintain our qualification as a REIT;</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Qualification to be taxed as a REIT involves highly technical and complex provisions of the Code, and violations of these provisions could jeopardize our REIT qualification;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cash available for distribution to stockholders may not be sufficient to pay dividends at expected levels, nor can we assure you of our ability to make distributions in the future. We may use borrowed funds to make distributions;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Organizational Structure</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charter and bylaws contain provisions that may delay, defer or prevent an acquisition of our common stock or a change in control;</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provisions of Maryland law may limit the ability of a third party to acquire control of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incurrences of debt and/or issuance of preferred equity securities could adversely affect the market price of our common stock; and</w:t>
      </w:r>
    </w:p>
    <w:p>
      <w:pPr>
        <w:spacing w:after="0" w:line="74"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and trading volume of shares of our common stock may be volatile; the number of shares available for future sale and our earnings and cash distributions could adversely affect the market price of shares of our common stock.</w:t>
      </w: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76" w:right="5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Maryland corporation that is primarily engaged in the business of owning and acquiring gaming, hospitality and entertainment destinations, subject to long-term triple net leases. Our national, geographically diverse portfolio currently consists of 28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47 million square feet, our well-maintained properties are currently located across urban, destination and drive-to markets in twelve states, contain approximately 17,800 hotel rooms and feature over 200 restaurants, bars and nightclubs.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also includes three secured real estate mortgages that we have originated for strategic reasons, and were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lease our properties to subsidiaries of Caesars, Penn National, Hard Rock, Century Casinos and JACK Entertainment, with Caesars being our largest tenant. We believe we have a mutually beneficial relationship with each of Caesars, Penn National, Hard Rock, Century Casinos and JACK Entertainment, all of which are leading owners and operators of gaming, entertainment and leisure properties. Our long-term triple-net Lease Agreements with subsidiaries of our operators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 term. Despite the ongoing impact and uncertainty of the COVID-19 pandemic, we continue to evaluate and may opportunistically pursue accretive acquisitions or investments that may arise in the market.</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(subject in certain cases to temporary relief we granted certain tenants on a portion of their capital expenditure obligations in connection with the impact of the COVID-19 pandemic),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current macroeconomic impact of the COVID-19 pandemic and market conditions more broadly. We conduct our real property business through our Operating Partnership and our golf course business through a taxable REIT subsidiary (a “TRS”), VICI Golf.</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11, 2020, the World Health Organization declared COVID-19 a pandemic, and on March 13, 2020, the United States declared a national emergency. Among the broader public health, societal and global impacts, the COVID-19 pandemic resulted in state governments and/or regulatory authorities issuing various directives, mandates, orders or similar actions, resulting in temporary closures of our tenants’ operations at all of our properties. Our golf course business has also been impacted, with all four courses temporarily ceasing operations in March 2020 as a result of the COVID-19 pandemic, although our golf courses were subsequently reopened in early to mid-May 2020 in compliance with applicable regulations and restrictions. Although the operations of all of our properties are currently open, they remain subject to any current or future operating limitations or closures imposed by state and local governments and/or regulatory authorities. As a result, our tenants’ facilities at our properties are generally operating at reduced capacity and subject to additional operating restrictions, and we cannot predict how long they will be required to operate subject to such operating restrictions, or whether they will be subject to additional restrictions or forced to close again in the future. The full extent to which the COVID-19 pandemic continues to adversely affect our tenants, and ultimately impacts us, depends on future developments, which are highly uncertain and cannot be predicted with confidence, including the scope, severity and duration of the pandemic, the actions taken to contain the pandemic or mitigate its impact, including the availability and efficacy of one or more approved vaccines, and the direct and indirect economic effects of the pandemic and containment measures on our tenants, including our tenants’ financial performance and the duration and extent of operating limitations, reduced capacity requirements and any additional required closures. We continue to closely monitor the impact of the COVID-19 pandemic on us and our tenants.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closure and restriction of their operations, our tenants have experienced a substantial number of cancellations and reductions in future events and reservations in connection with the uncertain duration of the COVID-19 pandemic. Our tenants have also faced additional challenges with respect to restoring operations, customer engagement and financial performance, although, in many of our tenants’ regional markets their early operational performance following reopening has generally been at or near prior-year levels for such period. More broadly, the COVID-19 pandemic and the actions taken to contain the pandemic or mitigate its impact have resulted in a prolonged period of significant economic uncertainty, as well as a global economic contraction, which may continue through 2021. Additional economic effects may continue well beyond the lifting or phasing out of governmental restrictions related to COVID-19 or the immediate public health crisis of the pandemic, or may further impact certain regions, such as Las Vegas, Nevada, thereby negatively affecting an economic recovery in the gaming sector. Historically, economic indicators such as GDP growth, consumer confidence and employment are correlated with demand for gaming, entertainment and leisure properties, and economic recessions have led to a decrease in gaming revenue, although the impact of such recessions have generally been less volatile than the impact on retail revenue and S&amp;P 500 revenue.</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of our tenants have fulfilled their rent obligations through February 2021 and we continue to engage with our tenants in connection with the ongoing COVID-19 pandemic and its impact on their businesses, including with respect to their operations, liquidity, financial performance and contingency planning. However, in connection with the ongoing COVID-19 pandemic and its impact on our tenants’ operations and financial performance, we have provided certain relief under the applicable Lease Agreements to some of our tenants. While the relief we have provided has not deferred or reduced rent obligations for any of our tenants and we do not currently anticipate providing any such relief, due to these factors and the continuing uncertainty of the ultimate impact of the COVID-19 pandemic, there can be no assurance that our tenants will continue to fulfill their rent obligations in full, make anticipated capital expenditures to maintain or improve our properties or fulfill their other contractual obligations under their Lease Agreements. Further, current or future economic conditions could impact our tenants’ ability to meet capital improvement requirements or such other obligations required in our Lease Agreements that could result in a decrease in value of our properties.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cannot predict with confidence when our tenants’ operations at our properties will operate without restriction, whether they will be forced to close again in the future, or if and when they will return to pre-pandemic performance levels. As the duration of the pandemic, applicable operational restrictions and closures lengthen, or if new operational restrictions or required closures are imposed, our tenants’ liquidity positions may become more stressed which may cause one or more of our tenants to be unwilling or unable to meet their obligations to us in full, or at all, or to otherwise seek modifications to such obligations. As a triple-net lessor, we believe we are generally in a strong creditor position and structurally insulated from operational and performance impacts of our tenants, both positive and negative. However, given the unprecedented nature of the COVID-19 pandemic, we understand that working with our tenants in the short term to ensure their long-term financial health and performance may become necessary and should provide meaningful benefits to us as well over the long-term.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As described herein, the full extent to which the COVID-19 pandemic continues to adversely affect our tenants, and ultimately impacts us, will depend on future developments, which are highly uncertain and cannot be predicted with confidence, including the scope, severity and duration of the pandemic, the actions taken to contain the pandemic or mitigate its impact, including the availability, distribution and efficacy of one or more approved vaccines, the direct and indirect economic effects of the pandemic and containment measures on our tenants, the length of time our tenants’ operations at our properties remain restricted or closed, or are required to close again in the future, our tenants’ financial performance and any future operating limitations. These factors may contribute to increased uncertainty with respect to our business and operating results through 2021 and we will continue to closely monitor the impact of COVID-19 on us and our tenants. For more information, refer to “</w:t>
      </w:r>
      <w:hyperlink w:anchor="page24">
        <w:r>
          <w:rPr>
            <w:rFonts w:ascii="Arial" w:cs="Arial" w:eastAsia="Arial" w:hAnsi="Arial"/>
            <w:sz w:val="16"/>
            <w:szCs w:val="16"/>
            <w:u w:val="single" w:color="auto"/>
            <w:color w:val="0000FF"/>
          </w:rPr>
          <w:t>Part I – Item 1A. Risk Factors</w:t>
        </w:r>
      </w:hyperlink>
      <w:r>
        <w:rPr>
          <w:rFonts w:ascii="Arial" w:cs="Arial" w:eastAsia="Arial" w:hAnsi="Arial"/>
          <w:sz w:val="16"/>
          <w:szCs w:val="16"/>
          <w:color w:val="auto"/>
        </w:rPr>
        <w:t>” included in this Annual Report on Form 10-K.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effectively position us to execute our business and growth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portfolio of high-quality experiential gaming, hospitality, entertainment and leisure assets.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portfolio features Caesars Palace Las Vegas and Harrah’s Las Vegas and market-leading urban, destination and regional properties with significant scale. Our properties are well-maintained and leased to leading brands such as Caesars, Harrah’s, Harvey’s, Horseshoe, Margaritaville, Greektown, JACK, Hard Rock, Century and Mountaineer. These brands seek to drive loyalty and value with guests through superior service and products and continuous innovation. Our portfolio benefits from its strong mix of demand generators, including casinos, guest rooms, restaurants, entertainment facilities, bars and nightclubs and convention space. We believe our properties are generally well-insulated from incremental competition as a result of high replacement costs, as well as regulatory restrictions and long-lead times for new development. The high quality of our properties appeals to a broad base of customers, stimulating traffic and visitation.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is anchored by our Las Vegas properties, Caesars Palace Las Vegas and Harrah’s Las Vegas, which are located at the center of the Las Vegas Strip. We believe Las Vegas is historically a market characterized by steady economic growth and high consumer and business demand with limited new supply, although such characteristics have been negatively impacted due to the COVID-19 pandemic. Our Las Vegas properties, which are two of the most iconic entertainment facilities in Las Vegas, feature gaming entertainment, large-scale hotels, extensive food and beverage options, state-of-the-art convention facilities, retail outlets and entertainment showrooms.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portfolio also includes market-leading regional resorts and destinations that we believe are benefiting from significant invested capital over recent years. The regional properties we own include award-winning land-based and dockside casinos, hotels and entertainment facilities that are generally market leaders within their respective regions. The properties operate primarily under the Caesars, Harrah’s, Harvey’s, Horseshoe, Margaritaville, Greektown, JACK, Hard Rock, Century and Mountaineer trademark and brand names, which, in many instances, have market-leading brand recognition.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Lease Agreements, our tenants are required to continue to invest in our properties, which we believe enhances the value of our properties and maintains their competitive market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feature diversified sources of revenue on both a business and geographic basis.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includes 28 geographically diverse casino resorts that serve numerous Metropolitan Statistical Areas (“MSAs”) nationally. This diversity reduces our exposure to adverse events that may affect any single market. This also allows our tenants to derive multiple revenue streams from an economically diverse set of customers and services to such customers. These include gaming, food and beverage, entertainment, hospitality and other sources of revenue. We believe that this geographic diversity and the diversity of revenue sources that our tenants derive from our leased properties improves the stability of rental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Lease Agreements provide a highly predictable base level of rent with embedded growth potential.</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properties are 100% occupied pursuant to our long-term triple-net Lease Agreements with subsidiaries of Caesars, Penn National, Hard Rock, Century Casinos and JACK Entertainment, providing us with a predictable level of rental revenue to support future cash distributions to our stockholders.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casino resort properties are established assets, in most cases with extensive operating histories. Based on historical performance of the properties, we expect that the properties will generate sufficient revenues for our tenants to pay to us all rent due under the Lease Agreements. However, in the short-term our properties have been adversely impacted by the COVID-19 pandemic and the current operating results may not be indicative of long-term operating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our relationship with Caesars, Penn National, Hard Rock, Century Casinos and JACK Entertainment, including our contractual agreements with them and their applicable subsidiaries, will continue to drive significant benefits and mutual alignment of strategic interests in the future.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payment obligations of our tenants are guaranteed by Caesars, Penn National, Seminole Hard Rock, Century Casinos and Rock Ohio Ventures LLC, as applicable.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our existing properties are leased to subsidiaries of Caesars, Penn National, Hard Rock, Century Casinos and JACK Entertainment. Caesars guarantees the payment obligations of our tenants under the Caesars Lease Agreements, Penn National guarantees the payment obligations of our tenant under the Penn National Lease Agreements, Seminole Hard Rock guarantees the payment obligations of our tenant under the Hard Rock Cincinnati Lease Agreement, Century Casinos guarantees the payment obligations of our tenant under the Century Portfolio Lease Agreement and Rock Ohio Ventures LLC guarantees the payment obligations of our tenants under the JACK Cleveland/Thistledown Lease Agreement.</w:t>
      </w:r>
    </w:p>
    <w:p>
      <w:pPr>
        <w:spacing w:after="0" w:line="1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the properties leased from us, Caesars, Penn National, Hard Rock and Century Casinos operate numerous other casino resorts, collectively comprising a nationally recognized portfolio of brands. In addition, Caesars uses the Caesars Rewards® program, which is core to its cross-market strategy and is designed to encourage Caesars’ customers to direct a larger share of their entertainment spending to Caesars. Our other tenants operate their own customer loyalty rewards programs, including Penn National using the mychoice® rewards program, Hard Rock using the Hard Rock Rewards® program, Century Casinos using the Winners Zone® rewards program and JACK Entertainment using the ClubJACK® rewards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experienced management team with deep real estate and industry experience.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an experienced and independent management team that has been actively engaged in the leadership, acquisition and investment aspects of the hospitality, gaming, entertainment and real estate industries throughout their careers. Our Chief Executive Officer, Edward Pitoniak, and President and Chief Operating Officer, John Payne, are industry veterans with an average of over 30 years of experience in the REIT, gaming and experiential real estate industries, during which time they were able to drive controlled growth and diversification of significant real estate and gaming portfolios. Mr. Pitoniak’s service as an independent board member of public companies provides him with a unique and meaningful management perspective and enables him to work with our independent board of directors as a trusted steward of our extensive portfolio. Our Chief Financial Officer and General Counsel have an average of over 20 years of experience in the REIT, real estate and hospitality industries and bring significant leadership and expertise to our team across capital markets, corporate finance, acquisitions, risk management and corporate governance.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diverse and independent board of directors with robust business and corporate governance experience.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diverse and independent board of directors, which is made up of highly skilled and seasoned real estate, gaming, hospitality, consumer products and corporate professionals, was originally established to ensure no overlap between our tenants and the companies with which our directors are affiliated and has continued to improve and mature since our formation in 2017. For example, since formation we have increased diversity by adding three independent, female directors to our board. As of December 31, 2020, 50% of our independent directors are women, one of whom is racially diverse. Robust corporate governance in the best interests of our stockholders is of central importance to the management of our company, as we have a separate, independent Chairman of the Board, all members of our board except for our Chief Executive Officer are independent, and all members of our audit committee qualify as an “audit committee financial expert” as defined by the SEC. Directors are elected in uncontested elections by the affirmative vote of a majority of the votes cast on an annual basis, and stockholder approval is required prior to, or in certain circumstances within twelve months following, the adoption by our board of a stockholder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map and tables summarize our current portfolio of properties, our pending transactions and our properties subject to right of first refusal agreements and put/call agreements with Caesars. Our properties are diversified across a range of primary uses, including gaming, hotel, convention, dining, entertainment, retail, golf course and other resort amenities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91440</wp:posOffset>
            </wp:positionV>
            <wp:extent cx="5863590" cy="4397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MSA / Property</w:t>
            </w:r>
          </w:p>
        </w:tc>
        <w:tc>
          <w:tcPr>
            <w:tcW w:w="2180" w:type="dxa"/>
            <w:vAlign w:val="bottom"/>
            <w:vMerge w:val="restart"/>
          </w:tcPr>
          <w:p>
            <w:pPr>
              <w:ind w:left="1100"/>
              <w:spacing w:after="0"/>
              <w:rPr>
                <w:sz w:val="20"/>
                <w:szCs w:val="20"/>
                <w:color w:val="auto"/>
              </w:rPr>
            </w:pPr>
            <w:r>
              <w:rPr>
                <w:rFonts w:ascii="Arial" w:cs="Arial" w:eastAsia="Arial" w:hAnsi="Arial"/>
                <w:sz w:val="16"/>
                <w:szCs w:val="16"/>
                <w:b w:val="1"/>
                <w:bCs w:val="1"/>
                <w:color w:val="auto"/>
              </w:rPr>
              <w:t>Location</w:t>
            </w:r>
          </w:p>
        </w:tc>
        <w:tc>
          <w:tcPr>
            <w:tcW w:w="166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Approx. Casino</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Approx.</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Hotel</w:t>
            </w:r>
          </w:p>
        </w:tc>
        <w:tc>
          <w:tcPr>
            <w:tcW w:w="1460" w:type="dxa"/>
            <w:vAlign w:val="bottom"/>
            <w:vMerge w:val="restart"/>
          </w:tcPr>
          <w:p>
            <w:pPr>
              <w:ind w:left="260"/>
              <w:spacing w:after="0"/>
              <w:rPr>
                <w:sz w:val="20"/>
                <w:szCs w:val="20"/>
                <w:color w:val="auto"/>
              </w:rPr>
            </w:pPr>
            <w:r>
              <w:rPr>
                <w:rFonts w:ascii="Arial" w:cs="Arial" w:eastAsia="Arial" w:hAnsi="Arial"/>
                <w:sz w:val="16"/>
                <w:szCs w:val="16"/>
                <w:b w:val="1"/>
                <w:bCs w:val="1"/>
                <w:color w:val="auto"/>
                <w:w w:val="88"/>
              </w:rPr>
              <w:t>Lease Agreement</w:t>
            </w:r>
          </w:p>
        </w:tc>
        <w:tc>
          <w:tcPr>
            <w:tcW w:w="0" w:type="dxa"/>
            <w:vAlign w:val="bottom"/>
          </w:tcPr>
          <w:p>
            <w:pPr>
              <w:spacing w:after="0"/>
              <w:rPr>
                <w:sz w:val="1"/>
                <w:szCs w:val="1"/>
                <w:color w:val="auto"/>
              </w:rPr>
            </w:pPr>
          </w:p>
        </w:tc>
      </w:tr>
      <w:tr>
        <w:trPr>
          <w:trHeight w:val="210"/>
        </w:trPr>
        <w:tc>
          <w:tcPr>
            <w:tcW w:w="2200" w:type="dxa"/>
            <w:vAlign w:val="bottom"/>
            <w:vMerge w:val="continue"/>
          </w:tcPr>
          <w:p>
            <w:pPr>
              <w:spacing w:after="0"/>
              <w:rPr>
                <w:sz w:val="18"/>
                <w:szCs w:val="18"/>
                <w:color w:val="auto"/>
              </w:rPr>
            </w:pPr>
          </w:p>
        </w:tc>
        <w:tc>
          <w:tcPr>
            <w:tcW w:w="2180" w:type="dxa"/>
            <w:vAlign w:val="bottom"/>
            <w:vMerge w:val="continue"/>
          </w:tcPr>
          <w:p>
            <w:pPr>
              <w:spacing w:after="0"/>
              <w:rPr>
                <w:sz w:val="18"/>
                <w:szCs w:val="18"/>
                <w:color w:val="auto"/>
              </w:rPr>
            </w:pPr>
          </w:p>
        </w:tc>
        <w:tc>
          <w:tcPr>
            <w:tcW w:w="1660" w:type="dxa"/>
            <w:vAlign w:val="bottom"/>
          </w:tcPr>
          <w:p>
            <w:pPr>
              <w:jc w:val="center"/>
              <w:ind w:left="259"/>
              <w:spacing w:after="0"/>
              <w:rPr>
                <w:sz w:val="20"/>
                <w:szCs w:val="20"/>
                <w:color w:val="auto"/>
              </w:rPr>
            </w:pPr>
            <w:r>
              <w:rPr>
                <w:rFonts w:ascii="Arial" w:cs="Arial" w:eastAsia="Arial" w:hAnsi="Arial"/>
                <w:sz w:val="16"/>
                <w:szCs w:val="16"/>
                <w:b w:val="1"/>
                <w:bCs w:val="1"/>
                <w:color w:val="auto"/>
                <w:w w:val="92"/>
              </w:rPr>
              <w:t>Sq. Ft. (000’s)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Gaming Units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Rooms</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Current Portfolio - Casinos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Las Vegas—Destination Gaming</w:t>
            </w: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Caesars Palace Las Vegas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Las Vegas,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1,660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3,970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87"/>
              </w:rPr>
              <w:t>Las Vegas</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Las Vegas</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2,540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7"/>
              </w:rPr>
              <w:t>Las Vegas</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San Francisco / Sacramento</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Harvey’s Lake Tahoe</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Lake Tahoe, NV</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Lake Tahoe</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Stateline,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830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510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Laughlin</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Laughlin</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Laughlin, NV</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920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1,510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Philadelphia</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Caesars Atlantic City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2,280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1,140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Atlantic City</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2,590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Philadelphia</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Chester, PA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2,380</w:t>
            </w:r>
          </w:p>
        </w:tc>
        <w:tc>
          <w:tcPr>
            <w:tcW w:w="10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Chicago</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Horseshoe Hammond</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Hammond, IN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2,290</w:t>
            </w:r>
          </w:p>
        </w:tc>
        <w:tc>
          <w:tcPr>
            <w:tcW w:w="10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color w:val="auto"/>
                <w:vertAlign w:val="superscript"/>
              </w:rPr>
              <w:t>(1)</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Joliet, IL</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Cincinnati</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Hard Rock Cincinnati</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Cincinnati, OH</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Hard Rock Cincinnati</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Cleveland</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92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JACK Cleveland</w:t>
            </w:r>
          </w:p>
        </w:tc>
        <w:tc>
          <w:tcPr>
            <w:tcW w:w="21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w w:val="92"/>
              </w:rPr>
              <w:t>Cleveland, OH</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96</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1,450</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660" w:type="dxa"/>
            <w:vAlign w:val="bottom"/>
            <w:shd w:val="clear" w:color="auto" w:fill="CCEEFF"/>
          </w:tcPr>
          <w:p>
            <w:pPr>
              <w:jc w:val="center"/>
              <w:ind w:left="19"/>
              <w:spacing w:after="0" w:line="168" w:lineRule="exact"/>
              <w:rPr>
                <w:sz w:val="20"/>
                <w:szCs w:val="20"/>
                <w:color w:val="auto"/>
              </w:rPr>
            </w:pPr>
            <w:r>
              <w:rPr>
                <w:rFonts w:ascii="Arial" w:cs="Arial" w:eastAsia="Arial" w:hAnsi="Arial"/>
                <w:sz w:val="16"/>
                <w:szCs w:val="16"/>
                <w:color w:val="auto"/>
                <w:w w:val="97"/>
              </w:rPr>
              <w:t>JACK</w:t>
            </w:r>
          </w:p>
        </w:tc>
        <w:tc>
          <w:tcPr>
            <w:tcW w:w="0" w:type="dxa"/>
            <w:vAlign w:val="bottom"/>
          </w:tcPr>
          <w:p>
            <w:pPr>
              <w:spacing w:after="0"/>
              <w:rPr>
                <w:sz w:val="1"/>
                <w:szCs w:val="1"/>
                <w:color w:val="auto"/>
              </w:rPr>
            </w:pPr>
          </w:p>
        </w:tc>
      </w:tr>
      <w:tr>
        <w:trPr>
          <w:trHeight w:val="212"/>
        </w:trPr>
        <w:tc>
          <w:tcPr>
            <w:tcW w:w="3920" w:type="dxa"/>
            <w:vAlign w:val="bottom"/>
            <w:vMerge w:val="continue"/>
            <w:shd w:val="clear" w:color="auto" w:fill="CCEEFF"/>
          </w:tcPr>
          <w:p>
            <w:pPr>
              <w:spacing w:after="0"/>
              <w:rPr>
                <w:sz w:val="18"/>
                <w:szCs w:val="18"/>
                <w:color w:val="auto"/>
              </w:rPr>
            </w:pPr>
          </w:p>
        </w:tc>
        <w:tc>
          <w:tcPr>
            <w:tcW w:w="2180" w:type="dxa"/>
            <w:vAlign w:val="bottom"/>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6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4"/>
              </w:rPr>
              <w:t>Cleveland/Thistledown</w:t>
            </w:r>
          </w:p>
        </w:tc>
        <w:tc>
          <w:tcPr>
            <w:tcW w:w="0" w:type="dxa"/>
            <w:vAlign w:val="bottom"/>
          </w:tcPr>
          <w:p>
            <w:pPr>
              <w:spacing w:after="0"/>
              <w:rPr>
                <w:sz w:val="1"/>
                <w:szCs w:val="1"/>
                <w:color w:val="auto"/>
              </w:rPr>
            </w:pPr>
          </w:p>
        </w:tc>
      </w:tr>
      <w:tr>
        <w:trPr>
          <w:trHeight w:val="166"/>
        </w:trPr>
        <w:tc>
          <w:tcPr>
            <w:tcW w:w="3920" w:type="dxa"/>
            <w:vAlign w:val="bottom"/>
            <w:vMerge w:val="restart"/>
          </w:tcPr>
          <w:p>
            <w:pPr>
              <w:ind w:left="360"/>
              <w:spacing w:after="0"/>
              <w:rPr>
                <w:sz w:val="20"/>
                <w:szCs w:val="20"/>
                <w:color w:val="auto"/>
              </w:rPr>
            </w:pPr>
            <w:r>
              <w:rPr>
                <w:rFonts w:ascii="Arial" w:cs="Arial" w:eastAsia="Arial" w:hAnsi="Arial"/>
                <w:sz w:val="16"/>
                <w:szCs w:val="16"/>
                <w:color w:val="auto"/>
              </w:rPr>
              <w:t>JACK Thistledown Racino</w:t>
            </w:r>
          </w:p>
        </w:tc>
        <w:tc>
          <w:tcPr>
            <w:tcW w:w="21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4"/>
              </w:rPr>
              <w:t>North Randall, OH</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89"/>
              </w:rPr>
              <w:t>1,480</w:t>
            </w:r>
          </w:p>
        </w:tc>
        <w:tc>
          <w:tcPr>
            <w:tcW w:w="100" w:type="dxa"/>
            <w:vAlign w:val="bottom"/>
          </w:tcPr>
          <w:p>
            <w:pPr>
              <w:spacing w:after="0"/>
              <w:rPr>
                <w:sz w:val="14"/>
                <w:szCs w:val="14"/>
                <w:color w:val="auto"/>
              </w:rPr>
            </w:pPr>
          </w:p>
        </w:tc>
        <w:tc>
          <w:tcPr>
            <w:tcW w:w="940" w:type="dxa"/>
            <w:vAlign w:val="bottom"/>
            <w:vMerge w:val="restart"/>
          </w:tcPr>
          <w:p>
            <w:pPr>
              <w:ind w:left="3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19"/>
              <w:spacing w:after="0" w:line="166" w:lineRule="exact"/>
              <w:rPr>
                <w:sz w:val="20"/>
                <w:szCs w:val="20"/>
                <w:color w:val="auto"/>
              </w:rPr>
            </w:pPr>
            <w:r>
              <w:rPr>
                <w:rFonts w:ascii="Arial" w:cs="Arial" w:eastAsia="Arial" w:hAnsi="Arial"/>
                <w:sz w:val="16"/>
                <w:szCs w:val="16"/>
                <w:color w:val="auto"/>
                <w:w w:val="97"/>
              </w:rPr>
              <w:t>JACK</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660" w:type="dxa"/>
            <w:vAlign w:val="bottom"/>
          </w:tcPr>
          <w:p>
            <w:pPr>
              <w:jc w:val="center"/>
              <w:ind w:left="19"/>
              <w:spacing w:after="0"/>
              <w:rPr>
                <w:sz w:val="20"/>
                <w:szCs w:val="20"/>
                <w:color w:val="auto"/>
              </w:rPr>
            </w:pPr>
            <w:r>
              <w:rPr>
                <w:rFonts w:ascii="Arial" w:cs="Arial" w:eastAsia="Arial" w:hAnsi="Arial"/>
                <w:sz w:val="16"/>
                <w:szCs w:val="16"/>
                <w:color w:val="auto"/>
                <w:w w:val="94"/>
              </w:rPr>
              <w:t>Cleveland/Thistledown</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Dallas</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Horseshoe Bossier City</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1,220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600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Margaritaville Resort Casino</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395</w:t>
            </w:r>
          </w:p>
        </w:tc>
        <w:tc>
          <w:tcPr>
            <w:tcW w:w="166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Margaritaville</w:t>
            </w: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Louisiana Downs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820</w:t>
            </w:r>
          </w:p>
        </w:tc>
        <w:tc>
          <w:tcPr>
            <w:tcW w:w="10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Detroit</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Greektown Casino Hotel</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rPr>
              <w:t>Detroit, MI</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2,660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660" w:type="dxa"/>
            <w:vAlign w:val="bottom"/>
          </w:tcPr>
          <w:p>
            <w:pPr>
              <w:jc w:val="center"/>
              <w:ind w:left="19"/>
              <w:spacing w:after="0"/>
              <w:rPr>
                <w:sz w:val="20"/>
                <w:szCs w:val="20"/>
                <w:color w:val="auto"/>
              </w:rPr>
            </w:pPr>
            <w:r>
              <w:rPr>
                <w:rFonts w:ascii="Arial" w:cs="Arial" w:eastAsia="Arial" w:hAnsi="Arial"/>
                <w:sz w:val="16"/>
                <w:szCs w:val="16"/>
                <w:color w:val="auto"/>
                <w:w w:val="93"/>
              </w:rPr>
              <w:t>Greektown</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Kansas City</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North Kansas City</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North Kansas City, MO</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1,300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390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 Louis</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Century Cape Girardeau</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Cape Girardeau, MO</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860</w:t>
            </w:r>
          </w:p>
        </w:tc>
        <w:tc>
          <w:tcPr>
            <w:tcW w:w="100" w:type="dxa"/>
            <w:vAlign w:val="bottom"/>
          </w:tcPr>
          <w:p>
            <w:pPr>
              <w:spacing w:after="0"/>
              <w:rPr>
                <w:sz w:val="18"/>
                <w:szCs w:val="18"/>
                <w:color w:val="auto"/>
              </w:rPr>
            </w:pPr>
          </w:p>
        </w:tc>
        <w:tc>
          <w:tcPr>
            <w:tcW w:w="940" w:type="dxa"/>
            <w:vAlign w:val="bottom"/>
          </w:tcPr>
          <w:p>
            <w:pPr>
              <w:ind w:left="3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5"/>
              </w:rPr>
              <w:t>Century Portfolio</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Century Caruthersville</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Caruthersville, MO</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Century Portfolio</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Pittsburgh</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Mountaineer Casino Resort &amp; Racetrack</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New Cumberland, WV</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357</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Century Portfolio</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Memphis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Horseshoe Tunica</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Robinsonville, MS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Omaha</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Council Bluffs</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Horseshoe Council Bluffs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1,450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150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Nashville</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Metropolis</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Metropolis, IL</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870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260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New Orleans</w:t>
            </w:r>
          </w:p>
        </w:tc>
        <w:tc>
          <w:tcPr>
            <w:tcW w:w="2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360"/>
              <w:spacing w:after="0"/>
              <w:rPr>
                <w:sz w:val="20"/>
                <w:szCs w:val="20"/>
                <w:color w:val="auto"/>
              </w:rPr>
            </w:pPr>
            <w:r>
              <w:rPr>
                <w:rFonts w:ascii="Arial" w:cs="Arial" w:eastAsia="Arial" w:hAnsi="Arial"/>
                <w:sz w:val="16"/>
                <w:szCs w:val="16"/>
                <w:color w:val="auto"/>
              </w:rPr>
              <w:t>Harrah’s Gulf Coast</w:t>
            </w:r>
          </w:p>
        </w:tc>
        <w:tc>
          <w:tcPr>
            <w:tcW w:w="2180" w:type="dxa"/>
            <w:vAlign w:val="bottom"/>
            <w:gridSpan w:val="2"/>
          </w:tcPr>
          <w:p>
            <w:pPr>
              <w:jc w:val="center"/>
              <w:ind w:right="140"/>
              <w:spacing w:after="0"/>
              <w:rPr>
                <w:sz w:val="20"/>
                <w:szCs w:val="20"/>
                <w:color w:val="auto"/>
              </w:rPr>
            </w:pPr>
            <w:r>
              <w:rPr>
                <w:rFonts w:ascii="Arial" w:cs="Arial" w:eastAsia="Arial" w:hAnsi="Arial"/>
                <w:sz w:val="16"/>
                <w:szCs w:val="16"/>
                <w:color w:val="auto"/>
              </w:rPr>
              <w:t>Biloxi, MS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660" w:type="dxa"/>
            <w:vAlign w:val="bottom"/>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New Orleans</w:t>
            </w: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New Orleans, LA</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Louisville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Caesars Southern Indiana</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Elizabeth, IN</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1,290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w:t>
            </w:r>
          </w:p>
        </w:tc>
        <w:tc>
          <w:tcPr>
            <w:tcW w:w="16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06"/>
        </w:trPr>
        <w:tc>
          <w:tcPr>
            <w:tcW w:w="3920" w:type="dxa"/>
            <w:vAlign w:val="bottom"/>
          </w:tcPr>
          <w:p>
            <w:pPr>
              <w:ind w:left="360"/>
              <w:spacing w:after="0"/>
              <w:rPr>
                <w:sz w:val="20"/>
                <w:szCs w:val="20"/>
                <w:color w:val="auto"/>
              </w:rPr>
            </w:pPr>
            <w:r>
              <w:rPr>
                <w:rFonts w:ascii="Arial" w:cs="Arial" w:eastAsia="Arial" w:hAnsi="Arial"/>
                <w:sz w:val="16"/>
                <w:szCs w:val="16"/>
                <w:b w:val="1"/>
                <w:bCs w:val="1"/>
                <w:color w:val="auto"/>
              </w:rPr>
              <w:t>Total Casinos</w:t>
            </w: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28</w:t>
            </w:r>
          </w:p>
        </w:tc>
        <w:tc>
          <w:tcPr>
            <w:tcW w:w="1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1,902</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38,130</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17,962</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vMerge w:val="restart"/>
          </w:tcPr>
          <w:p>
            <w:pPr>
              <w:ind w:left="1360"/>
              <w:spacing w:after="0"/>
              <w:rPr>
                <w:sz w:val="20"/>
                <w:szCs w:val="20"/>
                <w:color w:val="auto"/>
              </w:rPr>
            </w:pPr>
            <w:r>
              <w:rPr>
                <w:rFonts w:ascii="Arial" w:cs="Arial" w:eastAsia="Arial" w:hAnsi="Arial"/>
                <w:sz w:val="16"/>
                <w:szCs w:val="16"/>
                <w:b w:val="1"/>
                <w:bCs w:val="1"/>
                <w:color w:val="auto"/>
              </w:rPr>
              <w:t>MSA / Property</w:t>
            </w:r>
          </w:p>
        </w:tc>
        <w:tc>
          <w:tcPr>
            <w:tcW w:w="120" w:type="dxa"/>
            <w:vAlign w:val="bottom"/>
            <w:vMerge w:val="restart"/>
          </w:tcPr>
          <w:p>
            <w:pPr>
              <w:spacing w:after="0"/>
              <w:rPr>
                <w:sz w:val="16"/>
                <w:szCs w:val="16"/>
                <w:color w:val="auto"/>
              </w:rPr>
            </w:pPr>
          </w:p>
        </w:tc>
        <w:tc>
          <w:tcPr>
            <w:tcW w:w="204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Location</w:t>
            </w:r>
          </w:p>
        </w:tc>
        <w:tc>
          <w:tcPr>
            <w:tcW w:w="120" w:type="dxa"/>
            <w:vAlign w:val="bottom"/>
            <w:vMerge w:val="restart"/>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Approx. Casino</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Approx.</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Hotel</w:t>
            </w:r>
          </w:p>
        </w:tc>
        <w:tc>
          <w:tcPr>
            <w:tcW w:w="15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Lease Agreement</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Sq. Ft. (000’s)</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Gaming Units</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Rooms</w:t>
            </w:r>
          </w:p>
        </w:tc>
        <w:tc>
          <w:tcPr>
            <w:tcW w:w="12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Portfolio - Golf Courses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Las Vegas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color w:val="auto"/>
              </w:rPr>
              <w:t>Cascata Golf Course</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Boulder City, NV</w:t>
            </w:r>
          </w:p>
        </w:tc>
        <w:tc>
          <w:tcPr>
            <w:tcW w:w="1380" w:type="dxa"/>
            <w:vAlign w:val="bottom"/>
            <w:gridSpan w:val="2"/>
          </w:tcPr>
          <w:p>
            <w:pPr>
              <w:ind w:left="50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400"/>
              <w:spacing w:after="0"/>
              <w:rPr>
                <w:sz w:val="20"/>
                <w:szCs w:val="20"/>
                <w:color w:val="auto"/>
              </w:rPr>
            </w:pPr>
            <w:r>
              <w:rPr>
                <w:rFonts w:ascii="Arial" w:cs="Arial" w:eastAsia="Arial" w:hAnsi="Arial"/>
                <w:sz w:val="16"/>
                <w:szCs w:val="16"/>
                <w:color w:val="auto"/>
              </w:rPr>
              <w:t>N/A</w:t>
            </w:r>
          </w:p>
        </w:tc>
        <w:tc>
          <w:tcPr>
            <w:tcW w:w="920" w:type="dxa"/>
            <w:vAlign w:val="bottom"/>
          </w:tcPr>
          <w:p>
            <w:pPr>
              <w:ind w:left="320"/>
              <w:spacing w:after="0"/>
              <w:rPr>
                <w:sz w:val="20"/>
                <w:szCs w:val="20"/>
                <w:color w:val="auto"/>
              </w:rPr>
            </w:pPr>
            <w:r>
              <w:rPr>
                <w:rFonts w:ascii="Arial" w:cs="Arial" w:eastAsia="Arial" w:hAnsi="Arial"/>
                <w:sz w:val="16"/>
                <w:szCs w:val="16"/>
                <w:color w:val="auto"/>
              </w:rPr>
              <w:t>N/A</w:t>
            </w:r>
          </w:p>
        </w:tc>
        <w:tc>
          <w:tcPr>
            <w:tcW w:w="1640" w:type="dxa"/>
            <w:vAlign w:val="bottom"/>
          </w:tcPr>
          <w:p>
            <w:pPr>
              <w:ind w:left="740"/>
              <w:spacing w:after="0"/>
              <w:rPr>
                <w:sz w:val="20"/>
                <w:szCs w:val="20"/>
                <w:color w:val="auto"/>
              </w:rPr>
            </w:pPr>
            <w:r>
              <w:rPr>
                <w:rFonts w:ascii="Arial" w:cs="Arial" w:eastAsia="Arial" w:hAnsi="Arial"/>
                <w:sz w:val="16"/>
                <w:szCs w:val="16"/>
                <w:color w:val="auto"/>
              </w:rPr>
              <w:t>N/A</w:t>
            </w:r>
          </w:p>
        </w:tc>
      </w:tr>
      <w:tr>
        <w:trPr>
          <w:trHeight w:val="219"/>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Rio Secco Golf Course</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Henderson, NV</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N/A</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New Orleans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Grand Bear Golf Course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Saucier, MS</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N/A</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Louisville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Chariot Run Golf Course</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Laconia, IN</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N/A</w:t>
            </w:r>
          </w:p>
        </w:tc>
      </w:tr>
      <w:tr>
        <w:trPr>
          <w:trHeight w:val="206"/>
        </w:trPr>
        <w:tc>
          <w:tcPr>
            <w:tcW w:w="3940" w:type="dxa"/>
            <w:vAlign w:val="bottom"/>
          </w:tcPr>
          <w:p>
            <w:pPr>
              <w:ind w:left="360"/>
              <w:spacing w:after="0"/>
              <w:rPr>
                <w:sz w:val="20"/>
                <w:szCs w:val="20"/>
                <w:color w:val="auto"/>
              </w:rPr>
            </w:pPr>
            <w:r>
              <w:rPr>
                <w:rFonts w:ascii="Arial" w:cs="Arial" w:eastAsia="Arial" w:hAnsi="Arial"/>
                <w:sz w:val="16"/>
                <w:szCs w:val="16"/>
                <w:b w:val="1"/>
                <w:bCs w:val="1"/>
                <w:color w:val="auto"/>
              </w:rPr>
              <w:t>Total Golf Courses</w:t>
            </w:r>
          </w:p>
        </w:tc>
        <w:tc>
          <w:tcPr>
            <w:tcW w:w="2040" w:type="dxa"/>
            <w:vAlign w:val="bottom"/>
          </w:tcPr>
          <w:p>
            <w:pPr>
              <w:jc w:val="right"/>
              <w:ind w:right="89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Pr>
          <w:p>
            <w:pPr>
              <w:spacing w:after="0"/>
              <w:rPr>
                <w:sz w:val="17"/>
                <w:szCs w:val="17"/>
                <w:color w:val="auto"/>
              </w:rPr>
            </w:pPr>
          </w:p>
        </w:tc>
      </w:tr>
      <w:tr>
        <w:trPr>
          <w:trHeight w:val="238"/>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w:t>
            </w:r>
          </w:p>
        </w:tc>
        <w:tc>
          <w:tcPr>
            <w:tcW w:w="2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38,130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17,962</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Put/Call Properties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Indianapolis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color w:val="auto"/>
              </w:rPr>
              <w:t>Indiana Grand Racing &amp; Casino</w:t>
            </w: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Anderson, IN</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2,070</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N/A</w:t>
            </w:r>
          </w:p>
        </w:tc>
        <w:tc>
          <w:tcPr>
            <w:tcW w:w="1640" w:type="dxa"/>
            <w:vAlign w:val="bottom"/>
          </w:tcPr>
          <w:p>
            <w:pPr>
              <w:ind w:left="740"/>
              <w:spacing w:after="0"/>
              <w:rPr>
                <w:sz w:val="20"/>
                <w:szCs w:val="20"/>
                <w:color w:val="auto"/>
              </w:rPr>
            </w:pPr>
            <w:r>
              <w:rPr>
                <w:rFonts w:ascii="Arial" w:cs="Arial" w:eastAsia="Arial" w:hAnsi="Arial"/>
                <w:sz w:val="16"/>
                <w:szCs w:val="16"/>
                <w:color w:val="auto"/>
              </w:rPr>
              <w:t>N/A</w:t>
            </w:r>
          </w:p>
        </w:tc>
      </w:tr>
      <w:tr>
        <w:trPr>
          <w:trHeight w:val="219"/>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Hoosier Park</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Shelbyville, IN</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1,070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N/A</w:t>
            </w: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Las Vegas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Caesars Forum Convention Center</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Las Vegas, NV</w:t>
            </w: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ind w:left="740"/>
              <w:spacing w:after="0"/>
              <w:rPr>
                <w:sz w:val="20"/>
                <w:szCs w:val="20"/>
                <w:color w:val="auto"/>
              </w:rPr>
            </w:pPr>
            <w:r>
              <w:rPr>
                <w:rFonts w:ascii="Arial" w:cs="Arial" w:eastAsia="Arial" w:hAnsi="Arial"/>
                <w:sz w:val="16"/>
                <w:szCs w:val="16"/>
                <w:color w:val="auto"/>
              </w:rPr>
              <w:t>N/A</w:t>
            </w:r>
          </w:p>
        </w:tc>
      </w:tr>
      <w:tr>
        <w:trPr>
          <w:trHeight w:val="213"/>
        </w:trPr>
        <w:tc>
          <w:tcPr>
            <w:tcW w:w="3940" w:type="dxa"/>
            <w:vAlign w:val="bottom"/>
          </w:tcPr>
          <w:p>
            <w:pPr>
              <w:ind w:left="360"/>
              <w:spacing w:after="0"/>
              <w:rPr>
                <w:sz w:val="20"/>
                <w:szCs w:val="20"/>
                <w:color w:val="auto"/>
              </w:rPr>
            </w:pPr>
            <w:r>
              <w:rPr>
                <w:rFonts w:ascii="Arial" w:cs="Arial" w:eastAsia="Arial" w:hAnsi="Arial"/>
                <w:sz w:val="16"/>
                <w:szCs w:val="16"/>
                <w:b w:val="1"/>
                <w:bCs w:val="1"/>
                <w:color w:val="auto"/>
              </w:rPr>
              <w:t>Total</w:t>
            </w: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138</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3,140</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Pr>
          <w:p>
            <w:pPr>
              <w:spacing w:after="0"/>
              <w:rPr>
                <w:sz w:val="18"/>
                <w:szCs w:val="18"/>
                <w:color w:val="auto"/>
              </w:rPr>
            </w:pPr>
          </w:p>
        </w:tc>
      </w:tr>
      <w:tr>
        <w:trPr>
          <w:trHeight w:val="21"/>
        </w:trPr>
        <w:tc>
          <w:tcPr>
            <w:tcW w:w="39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Owned by Harrah’s Joliet Landco LLC, a joint venture of which VICI PropCo is the 80% owner and the managing member.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Lease Agreements</w:t>
      </w:r>
    </w:p>
    <w:p>
      <w:pPr>
        <w:spacing w:after="0" w:line="175"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We derive a substantial majority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 For an overview of the provisions of our Lease Agreements and the tenant capital expenditure requirements under our Lease Agreements refer to </w:t>
      </w:r>
      <w:hyperlink w:anchor="page109">
        <w:r>
          <w:rPr>
            <w:rFonts w:ascii="Arial" w:cs="Arial" w:eastAsia="Arial" w:hAnsi="Arial"/>
            <w:sz w:val="16"/>
            <w:szCs w:val="16"/>
            <w:u w:val="single" w:color="auto"/>
            <w:color w:val="0000FF"/>
          </w:rPr>
          <w:t>Note 5 - Real Estate Portfolio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our Financial Statements within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Agreements</w:t>
      </w:r>
    </w:p>
    <w:p>
      <w:pPr>
        <w:spacing w:after="0" w:line="229" w:lineRule="exact"/>
        <w:rPr>
          <w:sz w:val="20"/>
          <w:szCs w:val="20"/>
          <w:color w:val="auto"/>
        </w:rPr>
      </w:pPr>
    </w:p>
    <w:p>
      <w:pPr>
        <w:jc w:val="both"/>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Our loan portfolio includes three secured real estate mortgages that we have originated for strategic reasons, and may provide the potential to convert our investment into the ownership of certain of the underlying real estate in a future period. For an overview of the provisions of our loan agreements refer to </w:t>
      </w:r>
      <w:hyperlink w:anchor="page109">
        <w:r>
          <w:rPr>
            <w:rFonts w:ascii="Arial" w:cs="Arial" w:eastAsia="Arial" w:hAnsi="Arial"/>
            <w:sz w:val="18"/>
            <w:szCs w:val="18"/>
            <w:u w:val="single" w:color="auto"/>
            <w:color w:val="0000FF"/>
          </w:rPr>
          <w:t>Note 5 - Real Estate Portfolio</w:t>
        </w:r>
        <w:r>
          <w:rPr>
            <w:rFonts w:ascii="Arial" w:cs="Arial" w:eastAsia="Arial" w:hAnsi="Arial"/>
            <w:sz w:val="18"/>
            <w:szCs w:val="18"/>
            <w:color w:val="0000FF"/>
          </w:rPr>
          <w:t xml:space="preserve"> </w:t>
        </w:r>
      </w:hyperlink>
      <w:r>
        <w:rPr>
          <w:rFonts w:ascii="Arial" w:cs="Arial" w:eastAsia="Arial" w:hAnsi="Arial"/>
          <w:sz w:val="18"/>
          <w:szCs w:val="18"/>
          <w:color w:val="000000"/>
        </w:rPr>
        <w:t>included</w:t>
      </w:r>
      <w:r>
        <w:rPr>
          <w:rFonts w:ascii="Arial" w:cs="Arial" w:eastAsia="Arial" w:hAnsi="Arial"/>
          <w:sz w:val="18"/>
          <w:szCs w:val="18"/>
          <w:color w:val="0000FF"/>
        </w:rPr>
        <w:t xml:space="preserve"> </w:t>
      </w:r>
      <w:r>
        <w:rPr>
          <w:rFonts w:ascii="Arial" w:cs="Arial" w:eastAsia="Arial" w:hAnsi="Arial"/>
          <w:sz w:val="18"/>
          <w:szCs w:val="18"/>
          <w:color w:val="000000"/>
        </w:rPr>
        <w:t>in our Financial Statements within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Embedded Growth Pipeline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several right of first refusal and put-call agreements, which we believe provide the opportunity for significant embedded growth as we pursue our future strategic objectives. Each of the transactions contemplated by the following agreements remains subject to the terms and conditions of the applicable agreements, including with respect to due diligence, applicable regulatory approvals and customary closing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Strip Assets ROFR</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Upon the consummation of the Eldorado Transaction, we entered into a right of first refusal agreement with Caesars (the “Las Vegas Strip ROFR Agreement”) pursuant to which we have the first right, with respect to the first two Las Vegas Strip assets described below that Caesars proposes to sell, whether pursuant to a sale leaseback or a sale of the real estate and operations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such asset subject to the Las Vegas Strip ROFR Agreement, the foregoing assets still unsold plus The LINQ gaming facility. If we enter into a sale leaseback transaction with Caesars with respect to any of these facilities, the leaseback may be implemented through the addition of such properties to the Las Vegas Master Lease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Centaur Properties Put-Call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consummation of the Eldorado Transaction, we were party to a right of first refusal agreement with affiliates of Pre-Merger Caesars with respect to two gaming facilities in Indiana - 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 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Put/Call Agreement</w:t>
      </w:r>
    </w:p>
    <w:p>
      <w:pPr>
        <w:spacing w:after="0" w:line="171" w:lineRule="exact"/>
        <w:rPr>
          <w:sz w:val="20"/>
          <w:szCs w:val="20"/>
          <w:color w:val="auto"/>
        </w:rPr>
      </w:pPr>
    </w:p>
    <w:p>
      <w:pPr>
        <w:jc w:val="both"/>
        <w:spacing w:after="0" w:line="257" w:lineRule="auto"/>
        <w:rPr>
          <w:rFonts w:ascii="Arial" w:cs="Arial" w:eastAsia="Arial" w:hAnsi="Arial"/>
          <w:sz w:val="18"/>
          <w:szCs w:val="18"/>
          <w:color w:val="0000FF"/>
        </w:rPr>
      </w:pPr>
      <w:hyperlink w:anchor="page52">
        <w:r>
          <w:rPr>
            <w:rFonts w:ascii="Arial" w:cs="Arial" w:eastAsia="Arial" w:hAnsi="Arial"/>
            <w:sz w:val="18"/>
            <w:szCs w:val="18"/>
            <w:color w:val="auto"/>
          </w:rPr>
          <w:t xml:space="preserve">On September 18, 2020, concurrent with the entry into the Forum Convention Center Mortgage Loan, as further described in </w:t>
        </w:r>
        <w:r>
          <w:rPr>
            <w:rFonts w:ascii="Arial" w:cs="Arial" w:eastAsia="Arial" w:hAnsi="Arial"/>
            <w:sz w:val="18"/>
            <w:szCs w:val="18"/>
            <w:u w:val="single" w:color="auto"/>
            <w:color w:val="0000FF"/>
          </w:rPr>
          <w:t>Item 7 - Management’s</w:t>
        </w:r>
      </w:hyperlink>
      <w:r>
        <w:rPr>
          <w:rFonts w:ascii="Arial" w:cs="Arial" w:eastAsia="Arial" w:hAnsi="Arial"/>
          <w:sz w:val="18"/>
          <w:szCs w:val="18"/>
          <w:color w:val="auto"/>
        </w:rPr>
        <w:t xml:space="preserve"> </w:t>
      </w:r>
      <w:hyperlink w:anchor="page52">
        <w:r>
          <w:rPr>
            <w:rFonts w:ascii="Arial" w:cs="Arial" w:eastAsia="Arial" w:hAnsi="Arial"/>
            <w:sz w:val="18"/>
            <w:szCs w:val="18"/>
            <w:u w:val="single" w:color="auto"/>
            <w:color w:val="0000FF"/>
          </w:rPr>
          <w:t>Discussion and Analysis of Financial Condition and Results of Operations</w:t>
        </w:r>
        <w:r>
          <w:rPr>
            <w:rFonts w:ascii="Arial" w:cs="Arial" w:eastAsia="Arial" w:hAnsi="Arial"/>
            <w:sz w:val="18"/>
            <w:szCs w:val="18"/>
            <w:color w:val="000000"/>
          </w:rPr>
          <w:t>, we and a subsidiary of Caesars amended and restated the Amended and</w:t>
        </w:r>
      </w:hyperlink>
      <w:r>
        <w:rPr>
          <w:rFonts w:ascii="Arial" w:cs="Arial" w:eastAsia="Arial" w:hAnsi="Arial"/>
          <w:sz w:val="18"/>
          <w:szCs w:val="18"/>
          <w:color w:val="0000FF"/>
        </w:rPr>
        <w:t xml:space="preserve"> </w:t>
      </w:r>
      <w:r>
        <w:rPr>
          <w:rFonts w:ascii="Arial" w:cs="Arial" w:eastAsia="Arial" w:hAnsi="Arial"/>
          <w:sz w:val="18"/>
          <w:szCs w:val="18"/>
          <w:color w:val="000000"/>
        </w:rPr>
        <w:t>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8"/>
        <w:spacing w:after="0" w:line="269" w:lineRule="auto"/>
        <w:tabs>
          <w:tab w:leader="none" w:pos="217"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Horseshoe Baltimore ROFR</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consummation of the Eldorado Transaction, we entered into a right of first refusal agreement with Caesars 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Golf Courses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and operate four championship golf courses located near certain of our properties, Rio Secco in Henderson, Nevada, Cascata in Boulder City, Nevada, Chariot Run in Laconia, Indiana and Grand Bear in Saucier, Mississippi. In addition, Rio Secco and Cascata are in close proximity to the Las Vegas Strip. These golf courses provide ancillary revenue pursuant to their operations and a golf course use agreement entered into with Caesars,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Use Agreement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a golf course use agreement (as amended, the “Golf Course Use Agreement”), Caesars is granted specific rights and privileges to the golf courses, including (i) preferred access to tee times for guests of Caesars casinos and/or hotels located within the same markets as the golf courses,</w:t>
      </w:r>
    </w:p>
    <w:p>
      <w:pPr>
        <w:jc w:val="both"/>
        <w:ind w:firstLine="8"/>
        <w:spacing w:after="0" w:line="277" w:lineRule="auto"/>
        <w:tabs>
          <w:tab w:leader="none" w:pos="266"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preferred rates for guests of Caesars casinos and/or hotels located within the same markets as the golf courses, and (iii) availability for golf tournaments and events at preferred rates and discounts. Payments under the Golf Course Use Agreement are currently comprised of an approximately $10.5 million annual membership fee, $3.2 million of use fees and $1.3 million of minimum rounds fees, subject to certain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Caesars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Caesars is a leading owner and operator of gaming, entertainment and leisure properties. Caesars maintains a diverse brand portfolio with a wide range of options that appeal to a variety of gaming, sports betting, travel and entertainment consumers. As of December 31, 2020, following the consummation of the Eldorado/Caesars Merger in July 2020, Caesars domestically operates 54 properties, consisting of 20 owned and operated properties, 5 properties that it manages on behalf of third parties, 20 properties that it leases from us and 9 properties that it leases from other third parties.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independent from Caesars. However, we believe we have a mutually beneficial relationship with Caesars. To govern the ongoing relationship between us and Caesars and our respective subsidiaries, we entered into various agreements with Caesars and/or its subsidiaries as described herein. The summaries presented herein are not complete and are qualified in their entirety by reference to the full text of the applicable agreements, which are included as exhibits to this Annual Report on Form 10-K.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Guaranty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Caesars has executed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(ii) the performance when due of all other covenants, agreements and requirements to be performed and satisfied by the tenants under the Caesars Lease Agreements, and (iii) all monetary obligations under the Golf Course Use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entered into a tax matters agreement (the “Tax Matters Agreement”), which addresses matters relating to the payment of taxes and entitlement to tax refunds by Caesars, CEOC, the Operating Partnership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 relating to CEOC and for the preparation and filing by us of tax returns relating to us and our operations. Under the Tax Matters Agreement, Caesars has agreed to indemnify us for any taxes allocated to CEOC that we are required to pay pursuant to our tax returns and we have agreed to indemnify Caesars for any taxes allocated to us that Caesars or CEOC is required to pay pursuant to a Caesars or CEOC tax return.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(as defined to qualify as tax-free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compete for real property investments with other REITs, gaming companies, investment companies, private equity firms, hedge funds, sovereign funds, lenders and other private investors. In addition, revenues from our properties are dependent on the ability of our tenants and operators, subsidiaries of Caesars, Penn National, Hard Rock, Century Casinos and JACK Entertainment to compete with other gaming operators. The operators of our properties compete on a local and regional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United States.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landlord, we compete in the real estate market with numerous developers, owners and acquirors of properties. Some of our competitors may be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including regional or localized impacts of the COVID-19 pandemic, availability of investment alternatives, availability and cost of capital, construction and renovation costs, existing laws and regulations, new legislation and population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we employed approximately 147 employees, 93 of which are full-time. Of our total employees, 18 are employed at our Operating Partnership in support of our primary business as a triple-net lease REIT and are primarily located at our corporate headquarters in New York, New York. As of December 31, 2020, 43% of our directors, 50% of our corporate employees and 25% of our named executive officers were female. In addition, 14% of our directors and 33% of our corporate employees identified as a member of an ethnic and/or racial minority group. Our remaining 129 employees are employed at our TRS, VICI Golf, in support of our owned and operated golf courses. Our VICI Golf employees are located across our four golf course locations in Laconia, Indiana; Saucier, Mississippi; Henderson, Nevada; and Boulder City, Nevada.</w:t>
      </w:r>
    </w:p>
    <w:p>
      <w:pPr>
        <w:spacing w:after="0" w:line="1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response to the COVID-19 pandemic, we shifted our corporate operations in New York to a remote working policy to provide maximum flexibility to our employees in dealing with the unprecedented uncertainty of the pandemic. Our golf courses generally ceased operations in mid-March 2020 by order of applicable state and/or local authorities, during which time we continued to provide full pay and benefits to our VICI Golf team members until the reopening of the courses in early May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committed to creating and sustaining a positive work environment and corporate culture that fosters diversity and inclusion, and employee engagement, through the instillation of our core values, as well as competitive benefit programs, training and internal development opportunities, tuition reimbursement, and community service events. To assist in fulfilling that commitment, we measure our organizational culture, degree of inclusion and employee engagement through independent third-party surveys, which provide management with insights regarding key issues and priorities to maintain and improve the health, well-being and satisfaction of our employees.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a comprehensive, industry-standard employee benefits package, including a 401(k) plan, medical, dental and vision insurance, disability insurance, life insurance, paid maternity/paternity leave for birth and foster/adoption placements, and access to an employee assistance program. In response to feedback from our 2019 employee engagement survey, we enhanced existing benefits to be responsive to our employee feedback, and continue to explore additional opportunities to meaningfully enhance employee benefits.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employee education, training and development by conducting regular training programs to educate and advance our employees’ understanding of concepts relevant to our business, as well as with respect to issues such as diversity and harassment and other matters outlined in our Code of Business Conduct. In order to support our commitment to maintaining a diverse and inclusive workplace, we have begun to augment our existing training program in the coming year to include additional content, such as implicit/unconscious bias training. We also encourage our employees to pursue professional development through external education and certifications through a broadly applicable and flexible tuition reimbursement policy.</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and Board of Directors have reviewed our diversity and inclusion efforts, including our formation of a diversity and inclusion task force, an evaluation of our demographic representation, hiring and recruitment policies, and establishment of a framework that we believe will enable us to make progress with respect to a number of key areas, including hiring and recruitment policies and procedures, employee training and development, and expanded monitoring and reporting with respect to diversity and inclusion. We report to the Board of Directors on a regular basis with respect to these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Licensing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w:t>
      </w:r>
    </w:p>
    <w:p>
      <w:pPr>
        <w:spacing w:after="0" w:line="2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 length transactions.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laws and regulations primarily impact our business in two respects: (1) our ownership of land and buildings in which gaming activities are operated by our tenants; and (2) the operations of our tenants as operators in the gaming industry. Further, many gaming and racing regulatory agencies in the jurisdictions in which our tenants operate require us and our affiliates to apply for and maintain a license as a key business entity or supplier because of our status as landlord.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and the businesses of Caesars, Penn National, Hard Rock, Century Casinos and JACK Entertainment are also subject to various Federal, state and local laws and regulations in addition to gaming regulations. These laws and regulations include, but are not limited to, restrictions and conditions concerning alcoholic beverages, environmental matters, labor and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Violations of Gaming Laws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our subsidiaries or the tenants of our properties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of our gaming licenses could result in an event of default under certain of our indebtedness, and cross-default provisions in our debt agreements could cause an event of default under one debt agreement to trigger an event of default under our other debt agreements. As a result, violations by us of applicable gaming laws could have a material adverse effect on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Transactions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Lease Agreements require the tenants to maintain, with financially sound and reputable insurance companies (and in certain cases subject to the right of the tenants to self-insure), insurance (subject to customary deductibles and retentions) in such amounts and against such risks as are customarily maintained by similarly situated companies engaged in the same or similar businesses operating in the same or similar locations. The Lease Agreements generally provide that the amount and type of insurance that the tenants have in effect as of the commencement of the leases will satisfy for all purposes the requirements to insure the properties. However, such insurance coverage may not be sufficient to fully cover our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The Lease Agreements generally obligate our tenants to comply with applicable environmental laws and to indemnify us if their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be joint and several unless the harm is divisible and there is a reasonable basis for allocation of responsibility. We also may be liable under certain of these laws for damage that occurred prior to our ownership of a property or at a site where we sent wastes for disposal. The failure to properly remediate a property may also adversely affect our ability to lease, sell or rent the property or to borrow funds using the property as collateral.</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ownership of our current properties and any properties that we may acquire in the future, we could be legally responsible for environmental liabilities or costs relating to a release of hazardous substances or other regulated materials at or emanating from such property. We are not aware of any environmental issues that are expected to have a material impact on the operations of any of our properties.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continue to focus on developing our efforts relative to implementing and reporting on environmental sustainability efforts at our properties. We have implemented tenant engagement initiatives designed to assist us in understanding the environmental impact of our leased properties and to gather environmental sustainability data in order to monitor sustainability metrics throughout our leased property portfolio. Our existing leased properties are leased pursuant to long-term triple-net leases, which provide our tenants with complete control over operations at our leased properties, including over the implementation of environmental sustainability initiatives consistent with their business strategies and our revenue objectives, and do not permit us to require the collection or reporting of environmental sustainability data. Although not contractually required, in 2019 and 2020, certain of our tenants reported to us on LEED certification, water and energy use, emissions and waste diversion. In addition, we have implemented recording and reporting protocols at our owned and operated golf courses in order to monitor our environmental impact at those properties and commence our process towards setting long-term sustainability targets. We are committed to the improvement of environmental conditions through our business activities within the scope of our capabilities, and we periodically engage with key stakeholders with regard to environmental sustainability priorities, among other things.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the properties within our portfolio are currently operated and promoted under trademarks and brand names not owned by us, including Caesars Palace, Harrah’s, Harvey’s, Horseshoe, Greektown, JACK, Hard Rock, Century and Mountaineer. In addition, properties that we may acquire in the future may be operated and promoted under these same trademarks and brand names, or under different trademarks and brand names we do not, or will not, own. During the term that our properties are managed by Caesars, Penn National, Hard Rock, Century Casinos and JACK Entertainment, we are reliant on these parties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we may not enjoy comparable recognition or status under a new brand.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Real Estate or Interests in Real Estate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is focused primarily on gaming and leisure sector properties and activities directly related thereto. In spite of the more limited acquisition and investment opportunities due to the current impact of the COVID-19 pandemic, we believe there are potential opportunities to acquire or invest in additional gaming, hospitality and entertainment assets. Our future investment activities will not be limited to any geographic area or to a specific percentage of our assets. We intend to engage in such future investment activities in a manner that is consistent with our qualification as a REIT for U.S. Federal income tax purposes.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our Operating Partnership. We may also pursue opportunities to provide mortgage financing, preferred equity investments or other forms of financing for investment in certain situations where such structure significantly replicates the economics of our leases, provides for strategic growth opportunities and/or partnerships, and may provide the potential to convert our investment into the ownership of the underlying real estate in a future period.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debt will have a priority over any dividends with respect to our common stock. Investments are also subject to our policy not to be required to register as an investment company under the Investment Company Act of 1940,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Real Estate Debt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made, and may continue to make, investments in mortgages or other forms of real estate-related debt, including, without limitation, traditional mortgages, participating or convertible mortgages, mezzanine loans or preferred equity investments; provided, in each case, that such investment is consistent with our qualification as a REIT. These investments are generally made for strategic purposes including (i) the potential to convert our investment into the ownership of the underlying real estate in a future period, (ii) the opportunity to develop relationships with owners and operators that may lead to other investments and (iii) the ability to make initial investments in experiential asset classes outside of gaming with the goal of increasing our investment activity in these asset classes over time. Investments in real estate-related debt run the risk that a borrower may default under certain provisions governing the debt investment and that the collateral securing the investment may not be sufficient to enable us to recover our full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of or Interests in Persons Primarily Engaged in Real Estate Activities and Other Issuers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invest in securities of other REITs, other entities engaged in real estate activities or securities of other issuers, including for the purpose of exercising control over such entities, subject to the asset tests and gross income tests necessary for REIT qualification.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Short-term Commercial Paper and Discount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Policies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potentially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our Revolving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its creditors as part of the Third Amended Joint Plan of Reorganization of Caesars Entertainment Operating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Inc. et. al. (the “Plan of Reorganization”) confirmed by the United States Bankruptcy Court for the Northern District of Illinois (Chicago) on January 17, 2017.</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executive offices are located at 535 Madison Avenue, 20th Floor, New York, New York 10022 and our main telephone number at that location is (646) 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4" w:lineRule="exact"/>
        <w:rPr>
          <w:sz w:val="20"/>
          <w:szCs w:val="20"/>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Currently, one of the most significant factors that could cause actual outcomes to differ materially from our forward-looking statements is the impact of the COVID-19 pandemic on our, and our tenants’ financial condition, results of operations, cash flows and performance. The extent to which the COVID-19 pandemic continues to adversely affect our tenants, and ultimately impact our business and financial condition, will largely depend on future developments that are highly uncertain and cannot be predicted with confidence, including the impact of the actions taken to contain the pandemic or mitigate its impact, the availability, distribution and efficacy of one or more approved vaccines, and the direct and indirect economic effects of the pandemic and containment measures on our tenants, including various state governments and/or regulatory authorities issuing directives, mandates, orders or similar actions restricting freedom of movement and business operations, such as travel restrictions, border closures, business closures, limitations on public gatherings, quarantines and “shelter-at-home” orders that have resulted and may result in the temporary closure of our tenants’ operations at our properties, the ability of our tenants to successfully operate their businesses following the reopening of their respective facilities, including the costs of complying with regulatory requirements necessary to keep the facilities open, including compliance with restrictions and reduced capacity requirements, the need to close any of the facilities after reopening as a result of the COVID-19 pandemic, and the effects of the negotiated capital expenditure reductions and other amendments to the Lease Agreements that we agreed to with certain of its tenants in response to the COVID-19 pandemic. Each of the foregoing could have a material adverse effect on our tenants’ ability to satisfy their obligations under their Lease Agreements with us, including their continued ability to pay rent in a timely manner, or at all, and/or to fund capital expenditures or make other payments required under their leases. In addition, changes and instability in global, national and regional economic activity and financial markets as a result of the COVID-19 pandemic have negatively impacted consumer discretionary spending and travel and may continue to do so, which could have a material adverse effect on our tenants’ businesses. Investors are cautioned to interpret many of the risks identified under the section entitled “</w:t>
      </w:r>
      <w:hyperlink w:anchor="page24">
        <w:r>
          <w:rPr>
            <w:rFonts w:ascii="Arial" w:cs="Arial" w:eastAsia="Arial" w:hAnsi="Arial"/>
            <w:sz w:val="16"/>
            <w:szCs w:val="16"/>
            <w:u w:val="single" w:color="auto"/>
            <w:color w:val="0000FF"/>
          </w:rPr>
          <w:t>Risk Factors</w:t>
        </w:r>
      </w:hyperlink>
      <w:r>
        <w:rPr>
          <w:rFonts w:ascii="Arial" w:cs="Arial" w:eastAsia="Arial" w:hAnsi="Arial"/>
          <w:sz w:val="16"/>
          <w:szCs w:val="16"/>
          <w:color w:val="auto"/>
        </w:rPr>
        <w:t>” in this Annual Report on Form 10-K as being heightened as a result of the ongoing and numerous adverse impacts of the COVID-19 pandemic.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138"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changes in general economic conditions, including low consumer confidence, unemployment levels and depressed real estate prices resulting from the severity and duration of any downturn in the U.S. or global economy;</w:t>
      </w:r>
    </w:p>
    <w:p>
      <w:pPr>
        <w:spacing w:after="0" w:line="8" w:lineRule="exact"/>
        <w:rPr>
          <w:rFonts w:ascii="Arial" w:cs="Arial" w:eastAsia="Arial" w:hAnsi="Arial"/>
          <w:sz w:val="18"/>
          <w:szCs w:val="18"/>
          <w:color w:val="auto"/>
        </w:rPr>
      </w:pPr>
    </w:p>
    <w:p>
      <w:pPr>
        <w:jc w:val="both"/>
        <w:ind w:left="660" w:hanging="328"/>
        <w:spacing w:after="0" w:line="305"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dependence on subsidiaries of Caesars, Penn National, Hard Rock, Century Casinos and JACK Entertainment as tenants of our properties and Caesars, Penn National, Seminole Hard Rock, Century Casinos and Rock Ohio Ventures LLC or certain of their respective subsidiaries as guarantors of the lease payments and the negative consequences any material adverse effect on their respective businesses could have on us;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borrowers’ ability to repay their outstanding loan obligations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possibility that our tenants may choose not to renew the Lease Agreements following the initial or subsequent terms of the leases;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subject to the Lease Agreements;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Caesars’, Penn National’s, Hard Rock’s, Century Casinos’ and JACK Entertainment’s historical results may not be a reliable indicator of their future results;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amount of indebtedness and ability to service, refinance and otherwise fulfill our obligations under such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our future results of operations, financial condition and cash flows;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our pending transactions may not be completed or that completion may be unduly delayed;</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possibility that we identify significant environmental, tax, legal or other issues that materially and adversely impact the value of assets acquired or secured as collateral (or other benefits we expect to receive) in any of our pending or recently completed transactions;</w:t>
      </w: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our recently completed and pending transactions on us, including the future impact on our financial condition, financial and operating results, cash flows, strategy and plans;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changes to the U.S. Federal income tax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of foreclosure on our properties if we are unable to meet required debt service payments;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a rise in interest rates on us; our inability to successfully pursue investments in, and acquisitions of, additional properties;</w:t>
      </w:r>
    </w:p>
    <w:p>
      <w:pPr>
        <w:spacing w:after="0" w:line="74" w:lineRule="exact"/>
        <w:rPr>
          <w:rFonts w:ascii="Arial" w:cs="Arial" w:eastAsia="Arial" w:hAnsi="Arial"/>
          <w:sz w:val="17"/>
          <w:szCs w:val="17"/>
          <w:color w:val="auto"/>
        </w:rPr>
      </w:pPr>
    </w:p>
    <w:p>
      <w:pPr>
        <w:ind w:left="660" w:right="20" w:hanging="328"/>
        <w:spacing w:after="0" w:line="31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our qualification for taxation as a REIT;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distributions received from the Operating Partnership to make distributions to our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on the amount of our cash distributions if we were to sell any of our properties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make distributions to holders of our common stock or maintain anticipated levels of distributions over time;</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additional factors discussed herein and listed from time to time as “Risk Factors” in our filings with the SEC, including without limitation, in our subsequent reports on Form 10-K, Form 10-Q and Form 8-K.</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31F20"/>
        </w:rPr>
        <w:t xml:space="preserve">You should </w:t>
      </w:r>
      <w:r>
        <w:rPr>
          <w:rFonts w:ascii="Arial" w:cs="Arial" w:eastAsia="Arial" w:hAnsi="Arial"/>
          <w:sz w:val="18"/>
          <w:szCs w:val="18"/>
          <w:i w:val="1"/>
          <w:iCs w:val="1"/>
          <w:color w:val="000000"/>
        </w:rPr>
        <w:t>be aware that the occurrence of any of the events described in this section and elsewhere in this report or in any other of our filings with the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 xml:space="preserve">SEC could have a material adverse effect on our business, financial position, results of operations and cash flows. In evaluating us, you should consider carefully, among other things, the risks described below. </w:t>
      </w:r>
      <w:r>
        <w:rPr>
          <w:rFonts w:ascii="Arial" w:cs="Arial" w:eastAsia="Arial" w:hAnsi="Arial"/>
          <w:sz w:val="18"/>
          <w:szCs w:val="18"/>
          <w:i w:val="1"/>
          <w:iCs w:val="1"/>
          <w:color w:val="231F20"/>
        </w:rPr>
        <w:t>The risks and uncertainties described below are not the only ones we face, but do represent those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COVID-19 pandemic has adversely impacted our tenants’ operations and financial performance, as well as global and U.S. economic activity and market performance, which could have a material adverse impact on our business, financial condition, liquidity, results of operations and prospects.</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being initially reported in December 2019, the outbreak of COVID-19 has spread globally and created considerable health risks in the United States and around the world, resulting in severely adversely impacted global, national and regional economic activity, and has contributed to significant volatility and negative pressure in financial markets. On March 11, 2020, the World Health Organization declared COVID-19 a pandemic, and on March 13, 2020, the U.S. federal government declared a national emergency concerning the COVID-19 outbreak. Several countries, including the United States, took steps to restrict air travel, and many state and local governments have instituted and continue to impose additional measures, including quarantines, states of emergency, mandatory business and school closures, “shelter-at-home” and similar orders and other restrictions on travel and large gatherings, as well as initiatives such as “social distancing” guidelines. In connection with these actions, state governments and/or regulatory authorities issued various directives, mandates, orders or similar actions that resulted in the closure of non-essential businesses, which included substantially all of our tenants’ operations, including at our properties, as well as our golf courses. While such governmental and regulatory measures have in many jurisdictions been lifted or modified, resulting in the reopening of most of our tenants’ operations at our properties, there can be no assurance that such restrictions will not be reinstated, new restrictions will not be imposed or closures required as a result of an increase in COVID-19 infections, or that other developments will not take place that would further limit our tenants’ operations, including at our properties.</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our tenants have experienced a substantial number of cancellations and reductions in future events and reservations in connection with the uncertain duration of the COVID-19 pandemic and business closures. Following the reopening of our tenants’ businesses, they faced, and continue to face, additional challenges with respect to restoring business activity, operations and financial performance to pre-pandemic levels, in particular as a result of changes in customer engagement. This reduced business activity has, and possible future closures may continue to, adversely affect our tenants’ financial performance, and such impact could be material to us depending on the ultimate duration of the pandemic and operational restrictions affecting our tenants’ ability to restore business activity and operations to pre-pandemic levels. These closures, operational restrictions and reduced business activity could also materially and adversely affect our tenants’ ability to meet their respective financial obligations going forward, including their obligations under our leases to pay us rent and make capital expenditures, which could have a material adverse effect on our business, results of operations and liquidity. Although all of our tenants have fulfilled their rent obligations in full through February, we cannot predict with confidence future developments with respect to our tenants’ operations at our properties, including the potential for further closures or restrictions, or if and when they will return to pre-pandemic performance levels. As the duration of the pandemic and operational restrictions lengthens, our tenants’ liquidity positions may become more stressed which may cause one or more of our tenants to be unable to meet their obligations to us in full, or at all, or to otherwise seek modifications to such obligations. Any such modifications to our tenants’ obligations to us under our leases may have an adverse effect on our business. Even if our tenants are able to fulfill their obligations to us, their inability to meet their financial obligations to their creditors or other counterparties could also have a material adverse effect on our business. The financial impact of the COVID-19 pandemic, including a failure of any of our tenants to make full rental payments, or any other default by our tenants, under our Lease Agreements, could also negatively impact our or our tenants’ future compliance with financial covenants of existing and any future credit facilities and indebtedness, and result in a default and potentially an acceleration event, which non-compliance could negatively impact our or our tenants’ ability to make additional borrowings, including borrowings under our Revolving Credit Facility, issue additional indebtedness and otherwise operate our respective businesses.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 outbreak has triggered an economic contraction in the United States and a material global economic slowdown, which many experts predict may continue well beyond the lifting of governmental restrictions related to COVID-19 and result in changes to consumer behavior or other detrimental effects, thereby negatively affecting an economic recovery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gaming sector. Any sustained economic slowdown, contraction or recession, or the impact thereof, such as through decreased rates of employment or broader changes in consumer behavior, may further materially and adversely affect our tenants’ financial performance and ability to meet such obligations. We cannot predict with confidence when applicable government or regulatory orders, or travel and other restrictions, including orders and restrictions re-imposed in connection with the increase in the COVID-19 infection rate in the fourth quarter of 2020, will end or whether and on what timeline our tenants’ performance will improve or return to pre-pandemic levels. In addition, due to the current volatility in the debt and equity markets, we may be unable to obtain financing for future acquisitions on satisfactory terms, or at all. Continuing disruption and instability in the global financial markets or deteriorations in credit and financing conditions may affect our access to debt and equity capital in order to fund business operations, if necessary, or address maturing liabilities on a timely basis, as well as our tenants’ ability to fund their business operations, meet their obligations to us, and secure financing for any future or pending transactions.</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full extent to which our business and results of operations will ultimately be affected by the COVID-19 pandemic and resulting economic slowdown, contraction or recession, and the extent to which such factors continue to adversely affect our tenants, will largely depend on future developments, including the duration of the pandemic, the actions taken to contain the pandemic or mitigate its impact, including the availability, distribution and efficacy of one or more vaccines, new or mutated strains of COVID-19 or a similar virus (including vaccine-resistant strains), and the direct and indirect economic effects of the pandemic and containment measures on our tenants, including the length of time our tenants’ operations at our properties remain restricted or whether the properties are required to partially or fully close again in the future, and our tenants’ financial performance during such closure and following reopening. In addition, new information may continue to emerge concerning the COVID-19 pandemic, such as the availability, distribution and efficacy of one or more vaccines, new or mutated strains of COVID-19 or a similar virus (including vaccine-resistant strains), other actions required to be undertaken to contain the COVID-19 pandemic or address its future impact, the response of the U.S. and global economies and the short- and long-term impact of the COVID-19 pandemic on our tenants’ operations at our properties, which could further materially and adversely impact our business and results and operations.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foregoing events or any other related matters could materially and adversely affect our business, financial condition, liquidity, results of operations, prospects and the value of our common stock.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immediate and long-term effects of the COVID-19 pandemic on the gaming industry could materially and adversely affect our business, financial condition, liquidity, results of operations and prospects.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has had a severe and unprecedented impact on the gaming industry. Measures implemented to prevent its spread, including mandatory closure of non-essential businesses and government-imposed restrictions on travel and social gatherings, have had a significant adverse effect on the gaming industry. As a result of these measures, gaming facilities throughout the United States, including all of our tenants’ facilities at our properties, were temporarily closed, although such measures have in many jurisdictions been lifted or modified, resulting in the resumption of our tenants’ operations at our properties, although in many cases at reduced levels. During this period, many gaming companies face additional financial uncertainty or are generating substantially reduced revenue and have sought or taken measures intended to maintain liquidity and solvency, including employee furloughs and layoffs, reduced operating and capital expenditure budgets, and contractual relief or other accommodations with creditors, lenders and other counterparties. There is no guarantee that existing government-imposed restrictions on travel and social gatherings will be lifted in the near term, that additional government-imposed restrictions will not be implemented, or that previous restrictions that were lifted or modified, will not be reinstated. Moreover, the ultimate impact of the COVID-19 pandemic on the gaming industry, the timing and extent of government-imposed restrictions and the performance of gaming facilities is highly uncertain and cannot be predicted with confidence.</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Historically, economic indicators such as GDP growth, consumer confidence and employment are correlated with demand for gaming, entertainment and leisure properties, such as casinos and racetracks, and economic recessions, contractions or slowdowns have generally led to a decrease in discretionary spending on associated leisure activities. Long-term impacts of the COVID-19 pandemic, such as decreases in discretionary spending or changing consumer preferences brought about by instability in global, national and regional economic activity and financial markets as a result of the COVID-19 pandemic, could have a material adverse effect on leisure and business travel, discretionary spending and other areas of economic behavior that directly impact the gaming industry. Because we are dependent on the gaming industry, the immediate and long-term effects of the COVID-19 pandemic on the gaming industry could be material and adverse to our business, financial condition, liquidity, results of operations and prospects.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and will always be significantly dependent on our tenants for our revenues, and unless or until we substantially diversify our portfolio an event that has a material adverse effect on any of our tenants’ businesses, financial condition, liquidity, results of operations or prospects could have a material adverse effect on our business, financial condition, liquidity, results of operations and prospects.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our tenants to operate the properties that we own in a manner that generates revenues sufficient to allow the tenants to meet their obligations to us. Currently, a substantial majority of our revenue comes from our leases with subsidiaries of Caesars, Penn National, Hard Rock, JACK Entertainment and Century Casinos, with the most significant percentage of our revenues coming from Caesars. Because the leases are triple-net leases, in addition to the rent these tenants will owe us, we will depend on these tenants to pay substantially all insurance, taxes, utilities and maintenance and repair expenses in connection with these leased properties and to indemnify, defend and hold us harmless from and against various claims, litigation and liabilities arising in connection with their businesses. There can be no assurance that our tenants will have sufficient assets, income or access to financing to enable them to satisfy their payment and other obligations under their leases with us, or that the applicable guarantor will be able to satisfy its guarantee of the applicable tenant’s obligations.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tenants rely on the properties they or their respective subsidiaries own and/or operate for income to satisfy their obligations, including their debt service requirements and lease and other payments due to us or others. In addition, Caesars relies on our properties, the Caesars Forum Convention Center and their other operations to satisfy their payment obligations under the Forum Convention Center Mortgage Loan. As a result of the COVID-19 pandemic, state governments and/or regulatory authorities issued various directives, mandates, orders or similar actions resulting in the closure of non-essential businesses, which included substantially all of our tenants’ operations, including at our properties and the Caesars Forum Convention Center. Although such measures have generally been lifted or modified, there is significant uncertainty regarding whether and to what extent similar measures will be reinstated, limiting our tenants’ ability to operate their businesses, including at our properties. If income at these properties were to decline for any reason, including as a result of the COVID-19 pandemic, or if a tenant’s debt service requirements were to increase or if their creditworthiness were to become impaired for any reason, a tenant or the applicable guarantor may become unable or unwilling to satisfy its payment and other obligations under their leases or other agreements with us. The inability or unwillingness of a significant tenant to meet its payment or other obligations under a lease or other payment obligation with us could materially and adversely affect our business, financial condition, liquidity, results of operations and prospects, including our ability to make distributions to our stockholders.</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gaming and entertainment industry is highly competitive and our tenants’ failure to continue to compete successfully could adversely affect their businesses, financial conditions, results of operations, and cash flows. In particular, our tenants’ businesses may be adversely impacted by the reinvestment and expansion by competitors in existing jurisdictions, and expansion of gaming into new jurisdictions in which gaming was not previously permitted, which would result in increased competition in these jurisdictions. 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the business, financial condition, and results of operations of our tenants.</w:t>
      </w:r>
    </w:p>
    <w:p>
      <w:pPr>
        <w:spacing w:after="0" w:line="1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our dependence on rental and other payments from our tenants as our primary source of revenue, we may be limited in our ability to enforce our rights under the leases or other agreements with our tenants or terminate such other agreements or, due to our master lease structure, certain leases with respect to any particular property. Failure by our significant tenants to comply with the terms of their respective leases or to comply with the gaming regulations to which the leased properties are subject could result in, among other things, the termination of an applicable ground lease, requiring us to find another tenant for such property, to the extent possible, and there could be a decrease or cessation of rental payments by such tenants, as the case may be. In such event, we may lose our interest in a property subject to an applicable ground lease or be unable to locate a suitable, creditworthy tenant at similar rental rates or at all, which would have the effect of reducing our rental revenues and could have a material adverse effect on us.</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concentrated portion of our revenues are generated from the Las Vegas Strip, we are subject to greater risks than a company that is more geographically diversified.</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properties on the Las Vegas Strip generated approximately 30% of our lease revenue for the year ended December 31, 2020. Therefore, our business may be significantly affected by risks common to the Las Vegas tourism industry. For example, the cost and availability of air services and the impact of any events that disrupt air travel to and from Las Vegas, including the impact of measures implemented to address the COVID-19 pandemic, can adversely affect the business of our tenants. We cannot control the number or frequency of flights to or from Las Vegas, but our largest tenant, Caesars, relies on air traffic for a significant portion of their visitors to these properties. Reductions in flights by major airlines as a result of higher fuel prices or lower demand, including as a result of the COVID-19 pandemic, can impact the number of visitors to our properties.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there is one principal interstate highway between Las Vegas and Southern California, where a large number of the customers that frequent our properties on the Las Vegas Strip reside. Capacity constraints of that highway or any other traffic disruptions may also affect the number of customers who visit our facilities. Additionally, travel from Southern California to our properties on the Las Vegas Strip may have been affected by the stay at home order announced by the Governor of the State of California in December 2020 in response to increased COVID-19 infection rates and there can be no assurance that additional stay-at-home or similar orders will not be implemented by the State of California or other states. Moreover, due to the importance of our two properties on the Las Vegas Strip, we may be disproportionately affected by general risks such as acts of terrorism, natural disasters, including major fires, floods and earthquakes, and severe or inclement weather, including as a result of climate change, should such developments occur in or nearby Las Vegas. In addition, a material adverse impact on Caesars, even unrelated to the company’s operations in Las Vegas, that negatively affects Caesars’ financial condition, could materially and adversely affect us, given our reliance on their performance as tenants in our properties on the Las Vegas Strip.</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Caesars and its subsidiaries are party to certain leasing and financial commitments with us, which may have a negative impact on Caesars’ business and operating condition.</w:t>
      </w:r>
    </w:p>
    <w:p>
      <w:pPr>
        <w:spacing w:after="0" w:line="116" w:lineRule="exact"/>
        <w:rPr>
          <w:sz w:val="20"/>
          <w:szCs w:val="20"/>
          <w:color w:val="auto"/>
        </w:rPr>
      </w:pPr>
    </w:p>
    <w:p>
      <w:pPr>
        <w:jc w:val="both"/>
        <w:ind w:right="20"/>
        <w:spacing w:after="0" w:line="277" w:lineRule="auto"/>
        <w:rPr>
          <w:rFonts w:ascii="Arial" w:cs="Arial" w:eastAsia="Arial" w:hAnsi="Arial"/>
          <w:sz w:val="18"/>
          <w:szCs w:val="18"/>
          <w:color w:val="0000FF"/>
        </w:rPr>
      </w:pPr>
      <w:hyperlink w:anchor="page7">
        <w:r>
          <w:rPr>
            <w:rFonts w:ascii="Arial" w:cs="Arial" w:eastAsia="Arial" w:hAnsi="Arial"/>
            <w:sz w:val="18"/>
            <w:szCs w:val="18"/>
            <w:color w:val="auto"/>
          </w:rPr>
          <w:t xml:space="preserve">Caesars and/or its subsidiaries entered into certain leasing and financial commitments, evidenced by agreements, with us. See </w:t>
        </w:r>
        <w:r>
          <w:rPr>
            <w:rFonts w:ascii="Arial" w:cs="Arial" w:eastAsia="Arial" w:hAnsi="Arial"/>
            <w:sz w:val="18"/>
            <w:szCs w:val="18"/>
            <w:u w:val="single" w:color="auto"/>
            <w:color w:val="0000FF"/>
          </w:rPr>
          <w:t>Item 1 “Business-Our</w:t>
        </w:r>
      </w:hyperlink>
      <w:r>
        <w:rPr>
          <w:rFonts w:ascii="Arial" w:cs="Arial" w:eastAsia="Arial" w:hAnsi="Arial"/>
          <w:sz w:val="18"/>
          <w:szCs w:val="18"/>
          <w:color w:val="auto"/>
        </w:rPr>
        <w:t xml:space="preserve"> </w:t>
      </w:r>
      <w:hyperlink w:anchor="page7">
        <w:r>
          <w:rPr>
            <w:rFonts w:ascii="Arial" w:cs="Arial" w:eastAsia="Arial" w:hAnsi="Arial"/>
            <w:sz w:val="18"/>
            <w:szCs w:val="18"/>
            <w:u w:val="single" w:color="auto"/>
            <w:color w:val="0000FF"/>
          </w:rPr>
          <w:t>Relationship with Caesars”</w:t>
        </w:r>
        <w:r>
          <w:rPr>
            <w:rFonts w:ascii="Arial" w:cs="Arial" w:eastAsia="Arial" w:hAnsi="Arial"/>
            <w:sz w:val="18"/>
            <w:szCs w:val="18"/>
            <w:color w:val="0000FF"/>
          </w:rPr>
          <w:t xml:space="preserve"> </w:t>
        </w:r>
        <w:r>
          <w:rPr>
            <w:rFonts w:ascii="Arial" w:cs="Arial" w:eastAsia="Arial" w:hAnsi="Arial"/>
            <w:sz w:val="18"/>
            <w:szCs w:val="18"/>
            <w:color w:val="000000"/>
          </w:rPr>
          <w:t>for additional information regarding such agreements.</w:t>
        </w:r>
      </w:hyperlink>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Caesars, which is our largest tenant, is obligated to pay us in the aggregate approximately $6.2 billion in fixed annual rents under the Caesars Lease Agreements, payments under the Forum Convention Center Mortgage Loan and golf course membership fees under the Golf Course Use Agreement over the next five years under the applicable agreements, subject to certain escalators and adjustments. If Caesars’ businesses and properties fail to generate sufficient earnings, Caesars may be unable to satisfy its (or its subsidiaries’) obligations under the Caesars Lease Agreements, the Forum Convention Center Mortgage Loan, the Golf Course Use Agreement and the related guarantees. Additionally, these obligations may limit their ability to make investments to maintain and grow their portfolio of businesses and properties, which may adversely affect their competitiveness and ability to satisfy their obligations to us.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prior to the Eldorado/Caesars Merger Caesars publicly disclosed that it expects to achieve synergies as a result of the Eldorado/Caesars Merger. As a result of the COVID-19 pandemic or otherwise, Caesars may be unable to achieve such synergies during the time period that it expects to do so, or at all, and a failure to achieve these synergies may adversely affect Caesars, including its creditworthiness, and impair its ability to meet its obligations to us. Moreover, given Caesars’ significance to our business, a failure on the part of Caesars to realize expected synergies and any related improvement to its creditworthiness, or any deterioration of its creditworthiness, could materially and adversely affect us, even in the absence of a default under our agreements with Caesars.</w:t>
      </w:r>
    </w:p>
    <w:p>
      <w:pPr>
        <w:spacing w:after="0" w:line="138"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Subsidiaries of Caesars are required to pay a significant portion of their cash flow from operations to us pursuant to, and subject to the terms and conditions of, the Caesars Lease Agreements and the Forum Convention Center Mortgage Loan which could adversely affect Caesars’ ability to fund its operations or development projects, raise capital, make acquisitions, and otherwise respond to competitive and economic changes and its ability to satisfy its payment obligations to us under the Lease Agreements, the Forum Convention Center Mortgage Loan and the related guarantees.</w:t>
      </w:r>
    </w:p>
    <w:p>
      <w:pPr>
        <w:spacing w:after="0" w:line="86" w:lineRule="exact"/>
        <w:rPr>
          <w:sz w:val="20"/>
          <w:szCs w:val="20"/>
          <w:color w:val="auto"/>
        </w:rPr>
      </w:pPr>
    </w:p>
    <w:p>
      <w:pPr>
        <w:jc w:val="both"/>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Subsidiaries of Caesars are required to pay a significant portion of their cash flow from operations to us pursuant to, and subject to the terms and conditions of, the Caesars Lease Agreements. See </w:t>
      </w:r>
      <w:hyperlink w:anchor="page7">
        <w:r>
          <w:rPr>
            <w:rFonts w:ascii="Arial" w:cs="Arial" w:eastAsia="Arial" w:hAnsi="Arial"/>
            <w:sz w:val="16"/>
            <w:szCs w:val="16"/>
            <w:u w:val="single" w:color="auto"/>
            <w:color w:val="0000FF"/>
          </w:rPr>
          <w:t>Item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“Business-Our Lease Agreement-Caesars Lease Agreements-Overview” and </w:t>
      </w:r>
      <w:hyperlink w:anchor="page7">
        <w:r>
          <w:rPr>
            <w:rFonts w:ascii="Arial" w:cs="Arial" w:eastAsia="Arial" w:hAnsi="Arial"/>
            <w:sz w:val="16"/>
            <w:szCs w:val="16"/>
            <w:u w:val="single" w:color="auto"/>
            <w:color w:val="0000FF"/>
          </w:rPr>
          <w:t>Item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“Business-Our Relationship with Caesars.” As a result of this commitment, Caesars’ ability to fund its operations or development projects, raise capital, make acquisitions and otherwise respond to competitive and economic changes may be adversely affected, which could adversely affect the ability of the applicable tenants to satisfy their obligations to us under the Caesars Lease Agreements and the ability of Caesars to satisfy its obligations to us under the related guarantees.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during the initial seven years of the Caesars Lease Agreements, the annual rent escalations under the Caesars Lease Agreements will continue to apply regardless of the amount of cash flows generated by the properties that are subject to the Caesars Lease Agreements. Accordingly, if the cash flows generated by such properties decrease, or do not increase at the same rate as the rent escalations, the rents payable under the Caesars Lease Agreements will comprise a higher percentage of the cash flows generated by the subsidiaries of Caesars, which could make it more difficult for the applicable subsidiaries to meet their payment obligations to us under the Caesars Lease Agreements and ultimately could adversely affect the applicable guarantor’s ability to satisfy their respective obligations to us under the related guarantees.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Caesars’ indebtedness and the fact that a significant portion of its cash flow is used to make interest payments could adversely affect its ability to satisfy its obligations under the Caesars Lease Agreements and the Forum Convention Center Mortgage Loan.</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disclosed in its Quarterly Report on Form 10-Q for the quarter ended September 30, 2020, Caesars’ consolidated estimated debt service (including principal and interest) for 2021 will be approximately $917.0 million and $19.2 billion thereafter to maturity. As a result, a significant portion of Caesars’ liquidity needs are for debt service, including significant interest payments. Such substantial indebtedness and the restrictive covenants under the agreements governing such indebtedness could limit the ability of the applicable tenants and borrower to satisfy their respective obligations to us under the Lease Agreements and the Forum Convention Center Mortgage Loan and the ability of Caesars to satisfy its obligations under the related guarantees.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and adversely affect our business, financial condition, liquidity, results of operations and prospects.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landlord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and our tenants have no control, including the immediate and long-term effects of the COVID-19 pandemic. As we are subject to risks inherent in substantial investments in a single industry, a decrease in the gaming business would likely have a greater adverse effect on us than if we owned a more diversified real estate portfolio, particularly because a component of the rent under the Lease Agreements will be based, over time, on the performance of the gaming facilities operated by our tenants on our properties and such effect could be material and adverse to our business, financial condition, liquidity, results of operations and prospects.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United States and, in a broader sense, gaming operators face competition from all manner of leisure and entertainment activities. Gaming competition is intense in most of the markets where our facilities are located. Recently, there has been additional significant competition in the gaming industry as a result of the upgrading or expansion of facilities by existing market participants, the entrance of new gaming participants into a market, internet gaming or legislative changes. As competing properties and new markets are opened, we may be negatively impacted. Additionally, decreases in discretionary consumer spending brought about by weakened general economic conditions such as, but not limited to, the impact of, and recovery following, the COVID-19 pandemic, lackluster recoveries from recessions, contractions, high unemployment levels, higher income taxes, low levels of consumer confidence, weakness in the housing market, cultural and demographic changes and increased stock market volatility may negatively impact our revenues and operating cash flows.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tenants face extensive regulation from gaming and other regulatory authorities, and our charter provides that any of our shares held by investors who are found to be unsuitable by state gaming regulatory authorities are subject to redemption.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ownership, operation, and management of gaming and racing facilities are subject to extensive regulation by one or more gaming authorities in each applicable jurisdiction where gaming and racing facilities are permitted.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principal, key business entity or supplier because of our status as landlord. Gaming authorities also retain great discretion to require us to be found suitable as a landlord, and certain of our stockholders, officers and directors may be required to be found suitable as well. Regulatory authorities also have broad powers with respect to the licensing of casino operations, and may revoke, suspend, condition or limit the gaming or other licenses of our tenants, impose substantial fines or take other actions, any one of which could adversely impact the business, financial condition and results of operations of our tenants. In addition, in many jurisdictions, licenses are granted for limited durations and require renewal from time to time.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many jurisdictions, gaming laws can require certain of our stockholders to file an application, be investigated, and qualify or have his, her or its suitability determined by gaming authorities. Gaming authorities have very broad discretion in determining whether a stockholder is required to file an application and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stockholder or to have any other relationship with us, we:</w:t>
      </w:r>
    </w:p>
    <w:p>
      <w:pPr>
        <w:spacing w:after="0" w:line="13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that person any distribution or interest upon any of our securities;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or her securities, including, if necessary, the immediate redemption of such securities in accordance with our charter.</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jurisdictions also require any person who acquires beneficial ownership of more than a certain percentage of voting securities of a gaming company and, in some jurisdictions, non-voting securities, typically 5% of a publicly-traded company, to report the acquisition to gaming authorities, and gaming authorities may require such holders to apply for qualification, licensure or a finding of suitability, subject to limited exceptions for “institutional investors” that hold a company’s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and apply for qualification, licensure, finding of suitability, or an institutional investor waiver, as applicable. Some jurisdictions may also limit the number of gaming licenses in which a person may hold an ownership or a controlling interest.</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our directors, officers, key employees and investors in our shares must meet approval standards of certain gaming regulatory authorities.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because we and our tenants are subject to regulation in numerous jurisdictions, and because regulatory agencies within each jurisdiction review compliance with gaming laws in other jurisdictions, it is possible that gaming compliance issues in one jurisdiction may lead to reviews and compliance issues in other jurisdictions. The loss of gaming licenses by our tenants could result in the cessation of operations at one or more of the facilities we lease to such tenants. The loss of gaming licenses by us could result in an event of default under certain of our indebtedness, and cross-default provisions in our debt agreements could cause an event of default under one debt agreement to trigger an event of default under our other debt agreements.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substantially all material loans, significant acquisitions, leases, sales of securities and similar financing transactions by us and our subsidiaries must be reported to, and in some cases approved by, gaming authorities in advance of the transaction, which may include a public offering of certain securities.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an ownership or a controlling interest in us or one of our subsidiaries (and certain of our affiliates) and/or require the entities to divest such interest.</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Required regulatory approvals can delay or prohibit transfers of our gaming properties or the consummation of other pending transactions, which could result in periods in which we are unable to receive rent for such properties or otherwise realize the benefits of such transactions, which may have a material adverse effect on our business, financial condition, liquidity, results of operations and prospects.</w:t>
      </w:r>
    </w:p>
    <w:p>
      <w:pPr>
        <w:spacing w:after="0" w:line="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tenants are (and any future tenants of our gaming properties will be) required to be licensed under applicable law in order to operate any of our properties as gaming facilities. If the Lease Agreements, or any future lease agreement we enter into,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or future lease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 In addition, given the highly regulated nature of the gaming industry, any future transactions we enter into are likely to be subject to regulatory approval in one or more jurisdictions, including with respect to any transfers in ownership, operating licensure or other regulatory considerations. If the consummation of a pending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(including with respect to the future entry into a new lease agreement) is delayed or prohibited by regulatory authorities, we may be limited or otherwise unable to realize the benefits of the proposed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may choose not to renew the Lease Agreements.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enter into long-term lease agreements with our tenants, consisting of an initial lease term with the potential for the tenant to extend for multiple additional terms, which may be subject to additional terms and conditions. For example, each of the Caesars Lease Agreements have an initial lease term of 15 years with the potential for up to four additional five-year term extensions thereafter (with the initial lease term under each of the Caesars Lease Agreements extended in connection with the Eldorado Transaction to expire in July 2035). With respect to the properties under the Regional Master Lease Agreement, the aggregate lease term, including renewals, may be cutback to the extent it would otherwise exceed 80% of the remaining useful life of the applicable leased property, solely at the option of the tenants. At the expiration of the initial lease term or of any additional renewal term thereafter, our tenants may choose not to renew the applicable Lease Agreement. If a Lease Agreement expires without renewal and we are not able to find suitable, credit-worthy tenants to replace the previous tenants on the same or more attractive terms, our business, financial condition, liquidity, results of operations and prospects may be materially and adversely affected, including our ability to make distributions to our stockholders at the then current level, or at all. In particular with respect to the coterminous nature of the Caesars Lease Agreements, this risk would be exacerbated if Caesars elected not to renew all such lease agreements at any one time.</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 leases may not result in fair market lease rates over time, which could negatively impact our results of operations and cash flows and reduce the amount of funds available to make distributions to stockholders.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rental revenue and a substantial majority of our total revenue is generated from the Lease Agreements, which are triple-net leases, and provide greater flexibility to the respective tenants related to the use of the applicable leased property than would be the case with ordinary property leases, such as the right to freely sublease portions of each leased property, to make alterations in the leased premises and to terminate the lease prior to its expiration under specified circumstances. Furthermore, net leases typically have longer lease terms and, thus, there is an increased risk that contractual rental increases in future years will fail to result in fair market rental rates during those years. As a result, our results of operations and cash flows and distributions to our stockholders could be lower than they would otherwise be if we did not enter into a net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Lease Agreements may restrict our ability to sell the properties.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sell or dispose of our properties may be hindered by the fact that such properties are subject to the Lease Agreements, as the terms of the Lease Agreements require that a purchaser assume the Lease Agreements or, in certain cases, enter into a severance lease with the tenants for the sold property on substantially the same terms as contained in the applicable Lease Agreement, which may make our properties less attractive to a potential buyer than alternative properties that may be for sale.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Caesars declares bankruptcy and such action results in a lease being re-characterized as a disguised financing transaction in its bankruptcy proceeding, our business, results of operations, financial condition and cash flows could be materially and adversely affected.</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Caesars declares bankruptcy, our business could be materially and adversely affected if a bankruptcy court re-characterizes the CPLV Additional Rent Acquisition or the HLV Additional Rent Acquisition as a disguised financing transaction. In the event of re-characterization, our claim under a lease agreement with respect to the additional rent acquired in the HLV Additional Rent Acquisition and CPLV Additional Rent Acquisition could either be secured or unsecured. Generally, the leases permit us to take steps to create and perfect a security interest in the leased property, but such attempts could be subject to challenge by the tenant or its creditors and, with respect to the CPLV Additional Rent Acquisition and the HLV Additional Rent Acquisition, there is no assurance that a court would find that portion of our claim to be secured. The bankrupt lessee and other affiliates of Caesars and their creditors under this scenario might have the ability to restructure the terms, including the amount owed to us under the lease with respect to the additional rent. If approved by the bankruptcy court, we could be bound by the new terms and prevented from collecting such additional rent acquired in the CPLV Additional Rent Acquisition and HLV Additional Rent Acquisition, and our business, results of operations, financial condition and cash flows could be materially and adversely affected.</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of the properties within our portfolio are currently operated and promoted under trademarks and brand names not owned by us, including Caesars, Harrah’s, Harvey’s, Horseshoe, Margaritaville, Greektown, JACK, Hard Rock, Century and Mountaineer. In addition, properties that we may acquire in the future may be operated and promoted under these same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trademarks and brand names, or under different trademarks and brand names we do not, or will not, own. During the term that our properties are managed by our tenants, we will be reliant on our tenants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we may not enjoy comparable recognition or status under a new brand. A transition of management away from a Caesars, Penn National, Hard Rock, Century Casinos, or JACK Entertainment entity could also have a material adverse effect on our business, financial condition, liquidity, results of operations and prospects.</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a substantial amount of indebtedness, and may incur additional indebtedness in the future. Our substantial indebtedness exposes us to the risk of default under our debt obligations, limits our operating flexibility, increases the risks associated with a downturn in our business or in the businesses of our tenants, and requires us to use a substantial portion of our cash to service our debt obligations.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substantial amount of indebtedness and debt service requirements. As of December 31, 2020, we had approximately $6.9 billion in long-term indebtedness, consisting of:</w:t>
      </w:r>
    </w:p>
    <w:p>
      <w:pPr>
        <w:spacing w:after="0" w:line="1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$2.1 billion of total indebtedness outstanding under our Term Loan B Facility;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$750.0 million of outstanding 2025 Notes;</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$1.25 billion of outstanding 2026 Notes;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$750.0 million of outstanding 2027 Notes;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 billion of outstanding 2029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 billion of outstanding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also have $1.0 billion of available capacity to borrow under our Revolving Credit Facility.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Term Loan B and Revolving Credit Facility are collateralized by substantially all of our properties. 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3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vulnerability to adverse economic, industry or competitive developments, including as a result of COVID-19, may be increased;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which could, among other things, adversely affect our ability to capitalize upon emerging acquisition opportunities, including exercising our rights of first refusal and call rights described herein, or meet operational needs;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properties if permitted under the Lease Agreements, possibly on disadvantageous terms or at a loss;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Operating Partnership to distribute cash to us may be limited or prohibited, which would materially and adversely affect our ability to make distributions on our common stock;</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comply with the payment and restrictive covenants in our loan documents, which would entitle the lenders to accelerate payment of outstanding loans and foreclose on any properties servicing such loans;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one of these events were to occur, our financial condition, results of operations, cash flows, the market price of our common stock and our ability to satisfy our debt service obligations and to pay distributions to our stockholders could be materially and adversely affected. In addition, the foreclosure on our properties could create REIT taxable income without accompanying cash proceeds, which could result in entity level taxes to us or could adversely affect our ability to meet the distribution requirements necessary to qualify or maintain qualification as a REIT.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VICI Golf is also subject to U.S. Federal income tax at regular corporate rates on any of its taxable income. In order to maintain our status as a REIT and avoid or otherwise minimize current entity-level U.S. Federal income taxes, a substantial portion of our cash flow after operating expenses and debt service will be required to be distributed to our stockholders.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limitations on the amount of cash available to us after satisfying our debt service obligations and our distribution obligations to maintain our status as a REIT and avoid or otherwise minimize current entity-level U.S. Federal income taxes, our ability to pursue our business and growth strategies may be limited.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mechanic’s liens or similar liens incurred by the tenants under the Lease Agreements may attach to, and constitute liens on, our interests in the properties.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the tenants under the Lease Agreements make any improvements, these improvements could cause mechanic’s liens or similar liens to attach to, and constitute liens on, our interests in the properties. To the extent that mechanic’s liens or similar liens are recorded against any of the properties or any properties we may acquire in the future, the holders of such mechanic’s liens or similar liens may enforce them by court action and courts may cause the applicable properties or future properties to be sold to satisfy such liens, which could negatively impact our revenues, results of operations, cash flows and distributions to our stockholders. Further, holders of such liens could have priority over our stockholders in the event of bankruptcy or liquidation, and as a result, a trustee in bankruptcy may have difficulty realizing or foreclosing on such properties in any such bankruptcy or liquidation, and the amount of distributions our stockholders could receive in such bankruptcy or liquidation could be reduced.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or negative outlook may have a negative effect on our future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future capital needs and may not be able to obtain additional financing on favorable terms, if at all.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incur additional indebtedness in the future to refinance our existing indebtedness or to finance newly acquired assets or for general corporate or other purposes. Any significant additional indebtedness could require a substantial portion of our cash flow to make interest and principal payments due on our indebtedness. Greater demands on our cash resources may reduce funds available to us to pay distributions, make capital expenditures and acquisitions, or carry out other aspects of our business and growth strategies.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and financial flexibility. Further, to the extent we were required to incur indebtedness, our future interest costs would increase, thereby reducing our earnings and cash flows from what they otherwise would have been.</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Moreover, our ability to obtain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obtain financing on favorable terms, if at all.</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 unable to obtain additional financing or financing on favorable terms or our operating cash flow may be insufficient to satisfy our financial obligations under indebtedness outstanding from time to time (if any). Among other things, the absence of an investment grade credit rating or any credit rating downgrade or negative outlook could increase our financing costs and could limit our access to financing sources. If financing is not available when needed, or is available on unfavorable terms, we may be unable to pursue our business and growth strategies or otherwise take advantage of new business opportunities or respond to competitive pressures, any of which could have a material adverse effect on our business, financial condition, liquidity, results of operations and prospects. We may raise additional funds in the future through the issuance of equity securities and, as a result, our stockholders may experience significant dilution, which may adversely affect the market price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and make it more difficult for our stockholders to sell our shares at a time and price that they deem appropriate and could impair our future ability to raise capital through an offering of our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refinance our indebtedness as it becomes due depends on many factors, some of which are beyond our control.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refinance our existing indebtedness and any future indebtedness will depend, in part, on our current and projected financial condition, liquidity and results of operations and economic, financial, competitive, legislative, regulatory and other factors. Many of these factors are beyond our control. We cannot assure you that we will be able to refinance any of our indebtedness as it becomes due, on commercially reasonable terms or at all. If we are not able to refinance our indebtedness as it becomes due, we will be obligated to pay such indebtedness with cash from our operations and we may not have sufficient cash to do so, which would have a material and adverse effect on us.</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limit our operational flexibility, and a covenant breach or default could materially and adversely affect our business, financial condition, liquidity, results of operations and prospects.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agreements governing our indebtedness contain customary covenants, including restrictions on our ability to grant liens on our assets, incur indebtedness, sell assets, make investments, engage in acquisitions, mergers or consolidations, engage in transactions with affiliates and pay certain dividends and other restricted payments. In addition, we are required to comply with certain financial maintenance covenants. These restrictions could seriously harm our business by, among other things, limiting our operational flexibility.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could elect to declare all outstanding debt under such agreements to be immediately due and payable. If we were unable to repay or refinance the accelerated debt, the lenders could proceed against any assets pledged to secure any debt that is secured by such assets, including foreclosing on or requiring the sale of our properties, and our assets may not be sufficient to repay such debt in full. Covenants that limit our operational flexibility as well as defaults under our debt instruments could have a material adverse effect on our business, financial condition, liquidity,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rise in interest rates may increase our overall interest rate expense and could adversely affect our stock price.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rise in interest rates may increase our overall interest rate expense and have an adverse impact on our ability to pay distributions to our stockholders. The risk presented by holding variable rate indebtedness can be managed or mitigated by utilizing interest rate protection products. Although we currently use such products with respect to a portion of our indebtedness, there is no assurance that we will utilize any of these products effectively, will use such products in the future, or that such products will be available to us. In addition, in the event of a rise in interest rates, new debt, whether fixed or variable, is likely to be more expensive, which could, among other things, make the financing of any acquisition or investment more expensive, and we may be unable to incur new debt or replace maturing debt with new debt at equal or better interest rates.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the dividend yield on our common stock (i.e., the annualized distributions per share of our common stock as a percentage of the market price per share of our common stock), will influence the market price of such common stock. Thus, an increase in market interest rates, which are currently at low levels relative to historical rates, may lead prospective purchasers of our common stock to expect a higher dividend yield. In addition, higher interest rates would likely increase our borrowing costs and potentially decrease our cash available for distribution. Thus, higher market interest rates could also cause the market price of shares of our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may engage in hedging transactions that may limit gains or result in losses.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derivatives to hedge certain of our liabilities and we currently have interest rate swap agreements in place. As of December 31, 2020, we had in place six interest rate swap agreements with third party financial institutions having an aggregate notional amount of $2.0 billion. Subsequent to year end, on January 22, 2021, two of our interest rate swaps with a notional balance of $500.0 million matured and, as a result, as of the date of this Form 10-K, $1.5 billion of our total indebtedness was hedged. The interest rate swap transactions are designated as cash flow hedges that effectively fix the LIBOR component of the interest rate on a portion of the outstanding debt under the Term Loan B Facility. The counterparties of these arrangements are major financial institutions; however, we are exposed to credit risk in the event of non-performance by the counterparties. This has certain risks, including losses on a hedge position, which may reduce the return on our investments. Such losses may exceed the amount invested in such instruments. In addition, counterparties to a hedging arrangement could default on their obligations. We may have to pay certain costs, such as transaction fees or breakage costs, related to hedging transactions.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be able to purchase the properties subject to the A&amp;R Convention Center Put-Call Agreement, the Centaur Properties Put-Call Agreement, the Las Vegas Strip Assets ROFR Agreement or the Horseshoe Baltimore ROFR Agreement if we are unable to obtain additional financing. In addition, we may be forced to dispose of Harrah’s Las Vegas to Caesars, possibly on disadvantageous terms.</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A&amp;R Convention Center Put-Call Agreement, the Centaur Properties Put-Call Agreement, the Las Vegas Strip Assets ROFR Agreement and the Horseshoe Baltimore ROFR Agreement, we have certain rights to purchase the properties subject to these agreements, subject to the terms and conditions included in each agreement with respect to each property. In order to exercise these rights and any similar rights we obtain in the future or to fulfill our obligations with respect to certain put rights,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including the Caesars Forum Convention Center, or to fulfill our obligations with respect to certain put rights. Even if financing with acceptable terms is available to us, there can be no assurance that we will exercise any of these rights. Further, each of the transactions remains subject to the terms and conditions of the applicable agreements, including with respect to due diligence, applicable regulatory approvals and customary closing conditions.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A&amp;R Convention Center Put-Call Agreement also provides that if Caesars exercises the Convention Center Put Right and, among other things, the sale of the Caesars Forum Convention Center to us does not close, under certain circumstances, a repurchase right in favor of Caesars, which, if exercised, would result in the sale of the Harrah’s Las Vegas property by us to Caesars. Such a sale may be at disadvantageous terms and could have a material adverse effect on our business, financial condition, liquidity, results of operations and prospects.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tenant, borrower or guarantor could result in the termination of the Lease Agreements, the related guarantees or loan agreements and material losses to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the credit risk of our tenants and borrowers. We cannot assure you that our tenants and borrowers will not default on their obligations and fail to make payments to us. In particular, disruptions in the financial and credit markets, local economic conditions and other factors affecting the gaming industry, including the COVID-19 pandemic, may affect our tenants’ and borrowers’ ability to obtain financing to operate their businesses or continue to profitability execute their business plans. This, in turn, may cause our tenants and borrowers to be unable to meet their financial obligations, including making rental or loan payments to us, as applicable, which may result in their bankruptcy or insolvency. In addition, in the event of a bankruptcy of our tenants, borrowers or their respective guarantors, any claim for damages under the applicable lease, loan agreement or guarantee may not be paid in full. For these and other reasons, the bankruptcy of one or more of our tenants, borrowers or their respective guarantors could have a material adverse effect on our business, financial condition, liquidity, results of operations and prospects.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with respect to the Caesars Lease Agreements, although the tenants’ performance and payments are guaranteed by Caesars, a default by the applicable tenant under the Caesars Lease Agreements, or by Caesars with regard to its guarantee, may cause a default under certain circumstances with regard to the entire portfolio covered by the Caesars Lease Agreements. In event of such a bankruptcy, there can be no assurances that the tenants or Caesars would assume the Caesars Lease Agreements or the related guarantees, and if the Caesars Lease Agreements or guarantees were rejected, the tenant or Caesars, as applicable, may not have sufficient funds to pay the damages that would be owed to us as a result of the rejection and we might not be able to find a replacement tenant on the same or better terms.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investments in, and acquisitions of, additional properties may be unsuccessful or fail to meet our expectations.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continue to pursue acquisitions of additional properties and seek acquisitions, investments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to the extent applicable, in combining our operations if such a transaction is completed.</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highly competitive industry and face competition from other REITs, investment companies, private equity firms and hedge funds, sovereign funds, lenders, gaming companies and other investors, some of whom are significantly larger and have greater resources, access to capital and lower costs of capital. Increased competition will make it more challenging to identify and successfully capitalize on acquisition opportunities that meet our investment objectives. If we cannot identify and purchase a sufficient quantity of gaming properties and other experiential properties at favorable prices or if we are unable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finance acquisitions on commercially favorable terms, our business, financial condition, liquidity,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in and acquisitions of gaming properties and other experiential properties entail risks associated with real estate investments generally, including that the investment’s performance will fail to meet expectations, that the cost estimates for necessary property improvements will prove inaccurate or the operator or manager will underperform.</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 even if we were able to acquire or invest in additional properties in the future, there is no guarantee that such properties would be able to maintain their historical performance, which may prevent the ability of our tenants to pay the partial or total amount of the required lease payments under the respective Lease Agreements or our borrowers to fulfill their payment obligations under the applicable agreement. In addition, our financing of these acquisitions and investments could negatively impact our cash flows and liquidity, require us to incur substantial debt or involve the issuance of substantial new equity, which would be dilutive to existing stockholders. In addition, we cannot assure you that we will be successful in implementing our business and growth strategies or that any expansion will improve operating results. The failure to identify and acquire or invest in new properties effectively, or the failure of any acquired properties to perform as expected, could have a material adverse effect on our business, financial condition, liquidity, results of operations and prospects and our ability to make distributions to our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sell or divest different properties or assets after an evaluation of our portfolio of businesses. Such sales or divestitures could affect our costs, revenues, results of operations, financial condition and liquidity.</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evaluate our properties and may, as a result, sell or attempt to sell, divest, or spin-off different properties or assets, subject to the terms of the Lease Agreements. For example, in 2020 we, together with Caesars, sold Harrah’s Reno and Bally’s Atlantic City and entered into definitive agreements to sell Harrah’s Louisiana Downs. These sales or divestitures could affect our costs, revenues, results of operations, financial condition, liquidity and our ability to comply with financial covenants. Divestitures have inherent risks, including possible delays in closing transactions (including potential difficulties in obtaining regulatory approvals), the risk of lower-than-expected sales proceeds for the divested businesses, and potential post-closing claims for indemnification. In addition, current economic conditions at the time and relatively illiquid real estate markets may result in fewer potential bidders and unsuccessful sales efforts.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properties and the properties securing our loans are subject to risks from natural disasters such as earthquakes, hurricanes, severe weather and terrorism.</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properties, and our borrowers’ properties secured as collateral, including the Caesars Forum Convention Center, are located in areas that may be subject to natural disasters, such as earthquakes, and extreme weather conditions, including, but not limited to, hurricanes. Such natural disasters or extreme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or other cause of water shortage. A severe drought of extensive duration experienced in Las Vegas or in the other regions in which we operate could adversely affect the business and financial results at our properties. Although the tenants and borrowers, as applicable, are required to maintain both property and business interruption insurance coverage, such coverage is subject to deductibles and limits on maximum benefits, including limitation on the coverage period for business interruption, and we cannot assure you that we or our tenants will be able to fully insure such losses or fully collect, if at all, on claims resulting from such natural disasters. While the Lease Agreements and loan agreements require, and new lease agreements and loan agreements are expected to require, that comprehensive insurance and hazard insurance be maintained by the tenants and borrowers, as applicable,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Terrorist attacks or other acts of violence may result in declining economic activity, which could harm the demand for goods and services offered by our tenants and the value of our properties or collateral and might adversely affect the value of an investment in our common stock. Such a resulting decrease in retail demand could make it difficult for us to renew or re-lease our properties to suitable, credit-worthy tenants at lease rates equal to or above historical rates. Terrorist activities or violence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could directly affect the value of our properties through damage, destruction or loss, and the availability of insurance for such acts, or of insurance generally, might be lower or cost more, which could increase our operating expenses and adversely affect our results of operations and cash flows. To the extent that any of our tenants or borrowers are affected by future terrorist attacks or violence, its business similarly could be adversely affected, including the ability of our tenants or borrowers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Regional Master Lease Agreement and the Las Vegas Master Lease Agreement allow the tenant to remove a property from such lease agreement, and each of our other Lease Agreements may be terminated by the applicable tenant if: (i) a casualty event occurs (a) in the case of the Caesars Lease Agreements, during the final two years of the term and (b) in the case of the Hard Rock Cincinnati Lease Agreement, the Century Portfolio Lease Agreement and the JACK Cleveland/Thistledown Lease Agreement, the final year of the term, and (ii) the cost to rebuild or restore the applicable property in connection with a casualty event exceeds 25% (or, in the case of the Century Portfolio Lease Agreement, 50%) of such property’s total property fair market value. Similarly, if a condemnation event occurs that renders a facility unsuitable for its primary intended use, the applicable tenants may remove the property from the Regional Master Lease Agreement and may terminate the Las Vegas Master Lease Agreement, the Joliet Lease Agreement, the Hard Rock Cincinnati Lease Agreement, the Century Portfolio Lease Agreement or the JACK Cleveland/Thistledown Lease Agreement, as the case may be. The Penn National Lease Agreements allows the tenants to terminate their respective leases during the final year of the lease term if 50% or more of the square feet of the improvements are destroyed by a casualty event such that the improvements are rendered substantially untenantable. If a condemnation event occurs that renders Margaritaville or Greektown reasonably uneconomical for the operation of the improvements thereon on a commercially practicable basis for their permitted use as rentable facilities capable of producing a fair and reasonable net income therefrom, the tenant may terminate the Margaritaville Lease Agreement or the Greektown Lease Agreement, respectively. If a property is removed from the Regional Master Lease Agreement or if the Las Vegas Master Lease Agreement, the Joliet Lease Agreement, the Penn National Lease Agreements, the Hard Rock Cincinnati Lease Agreement, the Century Portfolio Lease Agreement or the JACK Thistledown/Cleveland Lease Agreement, as the case may be, is terminated, we will lose the rent associated with the related facility, which would have a negative impact on our financial results. In this event, following termination of the lease of a property, even if we are able to restore the affected property, we could be limited to selling or leasing such property to a new tenant in order to obtain an alternate source of revenue, which may not happen on comparable terms or at all.</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Changes in building and/or zoning laws may require us to update a property in the event of recapture or prevent us from fully restoring a property in the event of a substantial casualty loss and/or require us to meet additional or more stringent construction requirements.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changes in, among other things, applicable building and zoning laws, ordinances and codes that may affect certain of our properties that have come into effect after the initial construction of the properties, certain properties may not comply fully with current building and/or zoning laws, including electrical, fire, health and safety codes and regulations, use, lot coverage, parking and setback requirements, but may qualify as permitted non-conforming uses. Although the Lease Agreements require our tenants to pay for and ensure continued compliance with applicable law, there is no assurance that future leases will be negotiated on the same basis or that our tenants will make any changes required by the terms of the Lease Agreements and/or any future leases we may enter into. In addition, such changes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 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properties are subject to restrictions pursuant to reciprocal easement agreements, operating agreements or similar agreements.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the properties that we own or that serve as collateral under our loan agreements are, and properties that we may acquire or lend against in the future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space to third parties, enforce our rights as a lender and otherwise realize additional value from these properties. Such property restrictions could include the following: limitations on alterations, changes, expansions, or reconfiguration of properties; limitations on use of properties; limitations affecting parking requirements; or restrictions on exterior or interior signage or facades. In certain cases, consent of the other party or parties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agreements may be required when altering, reconfiguring, expanding or redeveloping. Failure to secure such consents when necessary may harm our ability to execute leasing strategies, which could adversely affect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key personnel could have a material adverse effect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We do not have key man or similar life insurance policies covering members of our senior management. We have employment agreements with our executive officers, but these agreements do not guarantee that any given executive will remain with us, and there can be no assurance that any such officers will remain with us. In addition, the appointment or replacement of certain key members of our executive management team is subject to regulatory approvals based upon suitability determinations by gaming regulatory authorities in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an owner of real property, we are subject to various Federal, state and local environmental and health and safety laws and regulations. Although we do not operate or manage most of our properties, as they are subject to triple-net leases,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under the Lease Agreements the tenants are required to indemnify us for certain environmental liabilities, including environmental liabilities it causes, the amount of such liabilities could exceed the financial ability of the applicable tenants or guarantors to indemnify us. In addition, the presence of contamination or the failure to remediate contamination may adversely affect our ability to sell or lease our properties or to borrow using our properties as collateral.</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contribute insurance proceeds with respect to casualty events at our properties to the lenders under our debt financing agreements.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we were to receive insurance proceeds with respect to a casualty event at any of our properties, we may be required under the terms of our debt financing agreements to contribute all or a portion of those proceeds to the repayment of such debt, which may prevent us from restoring such properties to their prior state. If the remainder of the proceeds (after any such required repayment) were insufficient to make the repairs necessary to restore the damaged properties to a condition substantially equivalent to its state immediately prior to the casualty, we may not have sufficient liquidity to otherwise fund these repairs and may be required to obtain additional financing, which could materially and adversely affect our business, financial condition, liquidity, results of operations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adversely affect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Climate change, including rising sea levels, extreme weather and changes in precipitation and temperature, may result in physical damage to, a decrease in demand for and/or a decrease in rent from and value of our properties located in the areas affected by these conditions. For example, we own a number of assets in low-lying areas close to sea level, making those assets susceptible to damage or other negative effects resulting from a rise in sea level. If sea levels were to rise, we may incur material costs to protect such low-lying assets (to the extent not covered by our tenants under the terms of our leases) or may sustain damage, a decrease in value or total loss of such assets.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climate change may result in reduced economic activity in these areas, which could harm the operations of our tenants and reduce the demand at our properties, which could reduce the rent payable to us under our triple-net leases and make it difficult for us to renew or re-lease our properties on favorable lease terms, or at all</w:t>
      </w:r>
      <w:r>
        <w:rPr>
          <w:rFonts w:ascii="Arial" w:cs="Arial" w:eastAsia="Arial" w:hAnsi="Arial"/>
          <w:sz w:val="16"/>
          <w:szCs w:val="16"/>
          <w:b w:val="1"/>
          <w:bCs w:val="1"/>
          <w:color w:val="auto"/>
        </w:rPr>
        <w:t>.</w:t>
      </w:r>
      <w:r>
        <w:rPr>
          <w:rFonts w:ascii="Arial" w:cs="Arial" w:eastAsia="Arial" w:hAnsi="Arial"/>
          <w:sz w:val="16"/>
          <w:szCs w:val="16"/>
          <w:color w:val="auto"/>
        </w:rPr>
        <w:t xml:space="preserve"> Furthermore, our insurance premiums may increase as a result of the threat of climate change or the effects of climate change may not be covered by our insurance policies. In addition, changes in federal and state legislation and regulations on climate change could result in increased capital expenditures to improve the energy efficiency of our existing properties or other related aspects of our properties in order to comply with such regulations or otherwise adapt to climate change. Any of the above could have a material and adverse effect on us.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IRS issued a private letter ruling with respect to certain issues relevant to our separation from CEOC,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IRS ruling and the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reorganization fails to qualify for tax-free treatment, in general, CEOC would be subject to tax as if it had sold our assets to us in a taxable sale for their fair market value, and CEOC’s creditors who received shares of our common stock pursuant to the Plan of Reorganization would be subject to tax as if they had received a taxable distribution in respect of their claims equal to the fair market value of such shares.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or maintain our qualification as a REIT.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elected to be taxed as a REIT for U.S. Federal income tax purposes commencing with our taxable year ended December 31, 2017 and expect to operate in a manner that will allow us to continue to be classified as such.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or otherwise minimize current entity level U.S. Federal income taxes, a substantial portion of our cash flow after operating expenses and debt service will be required to be distributed to our stockholders.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were to fail to qualify as a REIT in any taxable year, we would be subject to U.S. Federal income tax on our taxable income at regular corporate rates, and dividends paid to our stockholders would not be deductible by us in computing our REIT taxable income. Any resulting corporate tax liability could be substantial and would reduce the amount of cash available for distribution to our stockholders, which in turn could have an adverse impact on the market price of our common stock. Unless we were entitled to relief under certain Code provisions, we also would be disqualified from re-electing to be taxed as a REIT for the four taxable years following the year in which we failed to qualify as a REIT. As a result, the amount available for distribution to holders of equity securities that would otherwise receive dividends would be reduced for the year or years involved. Furthermore, the U.S. Federal income tax consequences of distributions and sales of our shares to certain of our stockholders could be adversely impacted if we were to fail to qualify as a REIT.</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Finally, our qualification to be taxed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 Any failure to qualify to be taxed as a REIT, or failure to remain to be qualified to be taxed as a REIT, would have a material and adverse effect on us.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Qualification to be taxed as a REIT involves highly technical and complex provisions of the Code, and violations of these provisions could jeopardize our REIT qualification.</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the form of our own common stock, in which case stockholders may be required to pay income taxes in excess of the cash dividends they receive.</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to which non-corporate stockholders will generally be eligible for a deduction equal to 20% of such distributions. As a result, stockholders receiving dividends in the form of common stock may be required to pay income taxes with respect to such dividends in excess of the cash</w:t>
      </w:r>
    </w:p>
    <w:p>
      <w:pPr>
        <w:spacing w:after="0" w:line="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w:t>
      </w:r>
    </w:p>
    <w:p>
      <w:pPr>
        <w:jc w:val="both"/>
        <w:spacing w:after="0" w:line="275" w:lineRule="auto"/>
        <w:rPr>
          <w:sz w:val="20"/>
          <w:szCs w:val="20"/>
          <w:color w:val="auto"/>
        </w:rPr>
      </w:pPr>
      <w:r>
        <w:rPr>
          <w:rFonts w:ascii="Arial" w:cs="Arial" w:eastAsia="Arial" w:hAnsi="Arial"/>
          <w:sz w:val="17"/>
          <w:szCs w:val="17"/>
          <w:color w:val="auto"/>
        </w:rPr>
        <w:t>such case, a U.S. stockholder could have a capital loss with respect to the common stock sold that could not be used to offset such dividend income. Moreover, with respect to certain non-U.S. stockholders, we may be required to withhold U.S. Federal income tax with respect to such dividends, including in respect of all or a portion of such dividend that is payable in common stock. Furthermore, such a taxable share dividend could be viewed as 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the U.S. Federal income tax laws, including the enactment of certain tax reform measures, could have a material and adverse effect on us.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income tax laws governing REITs and other corporations and the administrative interpretations of those laws may be amended at any time, potentially with retroactive effect. We cannot predict whether, when or to what extent new U.S. federal tax laws, regulations, interpretations or rulings will be issued. Prospective investors are urged to consult their tax advisors regarding the effect of potential changes to the U.S. Federal tax laws on an investment in our common stock.</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to the U.S. federal income tax laws could have a material and adverse effect on us. For example, certain changes in law pursuant to the law known as the Tax Cuts and Jobs Act could reduce the relative competitive advantage of operating as a REIT as compared with operating as a C corporation, including by:</w:t>
      </w:r>
    </w:p>
    <w:p>
      <w:pPr>
        <w:spacing w:after="0" w:line="130"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rate of tax applicable to individuals and C corporations, which could reduce the relative attractiveness of the generally single level of taxation on REIT distributions;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permitting immediate expensing of capital expenditures, which could likewise reduce the relative attractiveness of the REIT taxation regime; and</w:t>
      </w:r>
    </w:p>
    <w:p>
      <w:pPr>
        <w:spacing w:after="0" w:line="8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deductibility of interest expense, which could increase the distribution requirement of REITs (though REITs can generally elect out of the limitation).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to be taxed as a REIT if income we receive from our tenants is not treated as qualifying income.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applicable provisions of the Code, we will not be treated as a REIT unless we satisfy various requirements, including requirements relating to the sources of our gross income. Rents received or accrued by us from our tenants will not be treated as qualifying rent for purposes of these requirements if the leases are not respected as true leases for U.S. federal income tax purposes and instead are treated as service contracts, joint ventures, financings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subject to certain exceptions, rents received or accrued by us from any tenant (or affiliated tenants) will not be treated as qualifying rent for purposes of these requirements if we (or an actual or constructive owner of 10% or more of our stock) actually or constructively owns 10% or more of the total combined voting power of all classes of such tenant’s stock entitled to vote or 10% or more of the total value of all classes of such tenant’s stock. Our charter provides restrictions on ownership and transfer of our shares of stock, including restrictions on such ownership or transfer that would cause the rents received or accrued by us from tenants to be treated as non-qualifying rent for purposes of the REIT gross income requirements. Nevertheless, there can be no assurance that such restrictions will be effective in ensuring that rents received or accrued by us from tenants will not be treated as qualifying rent for purposes of REIT qualification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our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taxable REIT subsidiary of ours). We may generate taxable income greater than our income for financial reporting purposes prepared in accordance with GAAP.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 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 the form of shares of our common stock to make distributions sufficient to enable us to pay out enough of our REIT taxable income to satisfy the REIT distribution requirement and to avoid or otherwise minimize corporate income tax and the 4% excise tax in a particular year. These alternatives could increase our costs or change the value of our equity. Thus, compliance with the REIT requirements may hinder our ability to grow, which could adversely affect the market price of our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qualify as a REIT, we may face other tax liabilities that reduce our cash flow.</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us to liquidate or forgo otherwise attractive opportunities and limit our expansion opportunities.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qualify as a REIT for U.S. federal income tax purposes, we must continually satisfy tests concerning, among other things, our sources of income, the nature of our investments in real estate and related assets, the amounts we distribute to our stockholders and the ownership of our stock. We may also be required to make distributions to stockholders at disadvantageous times or when we do not have funds readily available for distribution.</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subsidiary) can consist of the securities of any one issuer, and no more than 20% of the value of our total assets can be represented by securities of one or more taxable REIT subsidiaries. In addition, not more than 25% of our total assets may be represented by debt instruments issued by publicly offered REITs that are “nonqualified” debt instruments.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portfolio, or contribute to a taxable REIT subsidiary, or forgo otherwise attractive investments in order to maintain our qualification as a REIT.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built-in gains tax on the disposition of certain of our properties.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acquire certain properties in tax-deferred transactions, which properties were held by one or more C corporations before they were held by us, we may be subject to a built-in gain tax on future disposition of such properties. This is the case with respect to all or substantially all of the properties acquired from CEOC pursuant to the formation transactions as well as certain other properties we have acquired and may acquire in the future.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 Federal tax under the built-in-gains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built-in-gain recognition period in order to avoid this built-in-gain tax. However, there can be no assurance that such a taxable transaction will not occur. The amount of any such built-in-gain tax could be material and the resulting tax liability could have a negative effect on our cash flow and limit our ability to pay distributions required to qualify and maintain our status as a REIT.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required to make a purging distribution, we may pay such purging distribution in a combination of common stock and cash.</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qualify as a REIT, we must distribute any “earnings and profits,” as defined in the Code, accumulated by us during any period for which we did not qualify as a REIT or by any entity whose accumulated earnings and profits we acquire during any period for which such entity did not qualify as a REIT. Such distribution requirement applied to any earnings and profits that were allocated from CEOC to us in connection with the formation transactions by the end of the first taxable year in which we elected REIT status. Based on our analysis, we do not believe that any earnings and profits were allocated to us in connection with the formation transactions or any other transaction to which we are party and therefore did not make a purging distribution and do not currently intend to make any purging distribution, with respect to transactions to which we are a party. If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required to make a purging distribution in the future, we may pay the purging distribution to our stockholders in a combination of cash and shares of our common stock. Each of our stockholders will be permitted to elect to receive the stockholder’s entire entitlement under the purging distribution in either cash or shares of our common stock, subject to a cash limitation. If our stockholders elect to receive a portion of cash in excess of the cash limitation, each such electing stockholder will receive a pro rata portion of cash corresponding to the stockholder’s respective entitlement under the purging distribution declaration. The IRS has issued a revenue procedure that provides that, so long as a REIT complied with certain provisions therein, certain distributions that are paid partly in cash and partly in stock will be treated as taxable dividends that would satisfy the REIT distribution requirements and qualify for the dividends paid deduction for U.S. Federal income tax purposes. In a purging distribution, if any, a stockholder of our common stock will be required to report dividend income equal to the amount of cash and common stock received as a result of the purging distribution even though we may distribute no cash or only nominal amounts of cash to such stockholder.</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cash available for distribution to stockholders may not be sufficient to pay dividends at expected levels, nor can we assure you of our ability to make distributions in the future. We may use borrowed funds to make distributions.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dilution or higher leverage.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U.S. Federal income tax treatment of the cash that we might receive from cash settlement of the June 2020 Forward Sale Agreement is unclear and could jeopardize our ability to meet the REIT qualification requirements.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event that we elect to settle the June 2020 Forward Sale Agreement for cash and the settlement price is below the applicable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the June 2020 Forward Sale Agreement qualifies as a “securities futures contract,” the U.S. Federal income tax treatment of any cash settlement payment we receive is uncertain. In the event that we recognize a significant gain from the cash settlement of the June 2020 Forward Sale Agreement,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we would not qualify as a REIT. Even if these relief provisions were to apply, a tax based on the amount of the relevant REIT’s non-qualifying income would be imposed.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VICI is a holding company with no direct operations and relies on distributions received from the Operating Partnership to make distributions to its stockholders.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VICI is a holding company and conducts its operations through subsidiaries, including the Operating Partnership and VICI Golf. VICI does not have, apart from the units that it owns in the Operating Partnership and VICI Golf, any independent operations. As a result, VICI relies on distributions from its Operating Partnership to make any distributions to its stockholders it might declare on its common stock and to meet any of its obligations, including any tax liability on taxable income allocated to it from the Operating Partnership (which might not be able to make distributions to VICI equal to the tax on such allocated taxable income). In turn, the ability of subsidiaries of the Operating Partnership to make distributions to the Operating Partnership, and therefore, the ability of the Operating Partnership to make distributions to VICI, depends on the operating results of these subsidiaries and the Operating Partnership and on the terms of any financing arrangements they have entered into. In addition, because VICI is a holding company, claims of common stockholders of VICI are structurally subordinated to all existing and future liabilities and other obligations (whether or not for borrowed money) and any preferred equity of the Operating Partnership and its subsidiaries. Therefore, in the event of our bankruptcy, liquidation or reorganization, VICI’s assets and those of the Operating Partnership and its subsidiaries will be available to satisfy the claims of VICI common stockholders only after all of VICI’s, the Operating Partnership’s and its subsidiaries’ liabilities and other obligations and any preferred equity of any of them have been paid in full.</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Partnership may, in connection with its acquisition of additional properties or otherwise, issue additional common units or preferred units to third parties. Such issuances would reduce VICI’s ownership in the Operating Partnership. Because stockholders of VICI do not directly own common units or preferred units of the Operating Partnership, they do not have any voting rights with respect to any such issuances or other partnership level activities of the Operating Partnership.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Maryland General Corporation Law (the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to the maximum extent permitted by Maryland law. Under Maryland law, our present directors and officers will not have any liability to us or our stockholders for money damages other than liability resulting from:</w:t>
      </w:r>
    </w:p>
    <w:p>
      <w:pPr>
        <w:spacing w:after="0" w:line="12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final judgment based upon a finding that his or her action or failure to act was the result of active and deliberate dishonesty by the director or officer and was material to the cause of action adjudicated.</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we have the power to obligate ourselves, and our amended and restated bylaws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advancement of expenses to the maximum extent permitted by Maryland law. As a result, we and our stockholders may have more limited rights against our directors and officers than might otherwise exist under common law.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and bylaws contain provisions that may delay, defer or prevent an acquisition of our common stock or a change in control.</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16"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charter contains restrictions on the ownership and transfer of our stock.</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has previously been granted to certain stockholders, and our board may in the future provide exceptions to the ownership limit for other stockholders, subject to the aforementioned initial and ongoing conditions designed to protect our status as a REIT.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Our board of directors has the power to cause us to issue and authorize additional shares of our capital stock without stockholder approval.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may limit the ability of a third party to acquire control of 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spacing w:after="0" w:line="130" w:lineRule="exact"/>
        <w:rPr>
          <w:sz w:val="20"/>
          <w:szCs w:val="20"/>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 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spacing w:after="0" w:line="30"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 exempting from the Maryland Control Share Acquisition Act any and all acquisitions by any person of shares of our stock. There can be no assurance that any of these provisions of our charter or bylaws will not be amended or eliminated at any time in the future.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directors prohibits such election. Our charter provides that we are prohibited from making any such election unless first approved by our stockholders by the affirmative vote of a majority of all votes entitled to be cast on the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contained in the June 2020 Forward Sale Agreement could result in substantial dilution to our earnings per share or result in substantial cash payment obligations.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 purchaser under the June 2020 Forward Sale Agreement has the right to accelerate the June 2020 Forward Sale Agreement (with respect to all or, in certain cases, any portion of the transaction under the June 2020 Forward Sale Agreement that the forward purchaser determines is affected by an event described below) and require us to settle on a date specified by the forward purchaser if:</w:t>
      </w:r>
    </w:p>
    <w:p>
      <w:pPr>
        <w:spacing w:after="0" w:line="130"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declare any dividend, issue or distribution on our common stock payable in (x) cash in excess of specified amounts, (y) securities of another company that we acquire or own (directly or indirectly) as a result of a spin-off or similar transaction or (z) any other type of securities (other than our common stock), rights, warrants or other assets for payment at less than the prevailing market price;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ownership thresholds applicable to the forward purchaser and its affiliate are exceeded;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event (x) is announced that, if consummated, would result in a specified extraordinary event (including certain mergers or tender offers, certain events involving our nationalization, or insolvency, or a delisting of our common shares) or (y) occurs that would constitute a delisting or change in law; or</w:t>
      </w:r>
    </w:p>
    <w:p>
      <w:pPr>
        <w:spacing w:after="0" w:line="2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certain other events of default or termination events occur, including, among others, any material misrepresentation made in connection with the June 2020 Forward Sale Agreement or our insolvency (each as more fully described in the June 2020 Forward Sale Agreement).</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forward purchaser’s decision to exercise its right to accelerate the settlement of the June 2020 Forward Sale Agreement will be made irrespective of our interests, including our need for capital. In such cases, we could be required to issue and deliver shares of our common stock under the physical settlement provisions of the June 2020 Forward Sale Agreement, which would result in dilution to our earnings per share.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physically settle the June 2020 Forward Sale Agreement and receive proceeds from the sale of those shares of our common stock upon one or more forward settlement dates no later than June 17, 2021. However, the June 2020 Forward Sale Agreement may be settled earlier in whole or in part at our option. Subject to certain conditions, we have the right to elect physical, cash or net share settlement under the June 2020 Forward Sale Agreement at any time and from time to time, in part or in full. The June 2020 Forward Sale Agreement will be physically settled by delivery of shares of our common stock, unless we elect to cash settle or net share settle the June 2020 Forward Sale Agreement. Delivery of shares of our common stock upon physical settlement (or, if we elect net share settlement, upon such settlement to the extent we are obligated to deliver shares of our common stock) will result in dilution to our earnings per share.</w:t>
      </w:r>
    </w:p>
    <w:p>
      <w:pPr>
        <w:spacing w:after="0" w:line="14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elect cash settlement or net share settlement with respect to all or a portion of the shares of our common stock underlying the June 2020 Forward Sale Agreement, we expect the forward purchaser (or its affiliate) to purchase a number of shares of our common stock in secondary market transactions over an unwind period to: (i) return shares of our common stock to securities lenders in order to unwind its hedge (after taking into consideration any shares of our common stock to be delivered by us to the forward purchaser, in the case of net share settlement); and (ii) if applicable, in the case of net share settlement, deliver shares of our common stock to us to the extent required in settlement of the June 2020 Forward Sale Agreement.</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of shares of our common stock in connection with the forward purchaser or its affiliate unwinding its hedge position could cause the price of shares of our common stock to increase over such time (or reduce the amount of a decrease over such time), thereby increasing the amount of cash we would be required to pay to the forward purchaser (or decreasing the amount of cash that the forward purchaser would be required to pay us) upon a cash settlement of the June 2020 Forward Sale Agreement or increasing the number of shares of common stock we would be required to deliver to the forward purchaser (or decreasing the number of shares of common stock that the forward purchaser would be required to deliver to us) upon net share settlement of the June 2020 Forward Sale Agreement.</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forward sale price that we expect to receive upon physical settlement of the June 2020 Forward Sale Agreement will be subject to adjustment on a daily basis based on a floating interest rate factor determined by reference to a specified daily rate less a spread and will be decreased by amounts related to expected dividends on our common stock during the term of the June 2020 Forward Sale Agreement. If the specified daily rate is less than the spread on any day, the interest rate factor will result in a reduction of the forward sale price for that day. As of June 16, 2020, the date of the prospectus supplement governing the offering of our common stock pursuant to the June 2020 Forward Sale Agreement, the specified daily rate was less than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spread, reducing the proceeds that we would receive upon settlement of the June 2020 Forward Sale Agreement. If the prevailing market price for our common stock during the unwind period under the June 2020 Forward Sale Agreement is above the forward sale price, in the case of cash settlement, we would pay the forward purchaser an amount per share in cash equal to the difference or, in the case of net share settlement, we would deliver to the forward purchaser a number of shares of common stock having a value equal to the difference. Thus, we could be responsible for a potentially substantial cash payment in the case of cash settlement.</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case of our bankruptcy or insolvency, the June 2020 Forward Sale Agreement would automatically terminate, and we would not receive the expected proceeds from the sale of common stock under such agreement.</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institute,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the June 2020 Forward Sale Agreement will automatically terminate. If the June 2020 Forward Sale Agreement so terminates, we would not be obligated to deliver to the forward purchaser any shares of common stock not previously delivered, and the forward purchaser would be discharged from its obligation to pay the forward sale price per share in respect of any shares of common stock not previously settled. Therefore, to the extent that there are any shares of common stock with respect to which the June 2020 Forward Sale Agreement has not been settled at the time of the commencement of any such bankruptcy or insolvency proceedings, we would not receive the forward sale price per share in respect of those shares of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integrated internal controls, we may not be able to report our financial results accurately, which could have a material adverse effect on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reporting company, we are required to design and implement substantial control systems, policies and procedures in order to satisfy our periodic SEC reporting requirements. We cannot assure you that we will be able to successfully implement these systems, policies and procedures and to operate our company or that any such implementation will be effective. Failure to do so could jeopardize our status as a REIT or as a reporting company, and the loss of such statuses would materially and adversely affect us. If we fail to implement or maintain proper overall business controls, including as required to support our growth, our operating and financial results could be harmed, or we could fail to meet our reporting obligations. In addition, the existence of a material weakness or significant deficiency could result in errors in our financial statements that could require a restatement, cause us to fail to meet our SEC reporting obligations and cause investors to lose confidence in our reported financial information, which could have a material adverse effect on us and on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cyber-intrusions or otherwise, as well as other significant disruptions of our information technology (IT) networks and related systems.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face risks associated with security breaches, whether through cyber-attacks or cyber-intrusions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including due to increased remote access and operations in 2020 due to the impact of the COVID-19 pandemic.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 Any or all of the foregoing could have a material adverse effect on our financial condition, results of operations, cash flow and ability to make distributions with respect to, and the market price of, our common stock.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major corporate policies without stockholder approval and those changes may materially and adversely affect us.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will determine and may eliminate or otherwise change our major corporate policies, including our acquisition, investment, financing, growth, operations and distribution policies. While our stockholders have the power to elect or remove directors, changes in our major corporate policies may be made by our board of directors without stockholder approval and those changes could adversely affect our business, financial condition, liquidity, results of operations and prospects, the market price of our common stock and our ability to make distributions to our stockholders and to satisfy our debt service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shares of our common stock may be volatile.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market price of our common stock may be volatile.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assure you that the market price of our common stock will not fluctuate or decline significantly in the future. If the market price or trading volume of our common stock declines, you may be unable to sell your shares at a profit, or at all.</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factors, many of which are beyond our control, that could negatively affect the market price of our common stock or result in fluctuations in the price or trading volume of our common stock include:</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 or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earnings, Funds From Operations (“FFO”) or Adjusted Funds From Operations (“AFFO”)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publication of research reports about us, our tenants or the real estate or gaming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developments involving our tenants;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interest rates that may cause purchasers of our shares to demand a different yield;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reaction to any additional capital we raise in the future, including availability and attractiveness of long-term debt financing in connection with future acquisitions;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achieve the anticipated benefits of our recently completed or future acquisitions within the timeframe or to the extent anticipated by financial or industry analysts;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reaction to any other of our public announcements;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potential sales of our common stock by us or our significant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actions by institutional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about us, our tenants, our industry or the economy in general;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and operations or the gaming industry;</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any of the other risk factors presented in this Annual Report on Form 10-K or our other SEC filings;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acts of terrorism, public health crises, and responses to such events.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changes in LIBOR reporting practices, the method in which LIBOR is determined or the use of alternative reference rates.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indebtedness under the Term Loan B Facility and Revolving Credit Facility bears interest at variable interest rates that use LIBOR as a benchmark rate. On November 30, 2020, the ICE Benchmark Administration (“IBA”) announced that it intends to publish one-week and two-month USD LIBORsettings until December 31, 2021, and the remaining USD LIBOR settings until the end of June 2023. The IBA announcement was supported by similar announcements from the United Kingdom’s Financial Conduct Authority (“FCA”), which regulates LIBOR, and the Board of Governors of the Federal Reserve System, Federal Deposit Insurance Corporation and Office of the Comptroller of the Currency (collectively, the “U.S. Regulators”). Both the FCA and the U.S. Regulators in their announcements also encouraged banks to cease entering into new contracts referencing USD LIBOR after December 2021. These announcements indicate that the continuation of LIBOR on the current basis may not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 assured after 2021. As such, LIBOR may cease to exist or otherwise be unsuitable for use as a benchmark. A change or transition away from LIBOR as a common reference rate in the global financial market could have a material, adverse effect on our business. Recent proposals for LIBOR reforms may result in the establishment of new methods of calculating LIBOR or the establishment of one or more alternative benchmark rates. The Alternative Reference Rates Committee, which was convened by the Federal Reserve Board and the New York Federal Reserve Bank, has identified the Secured Oversight Financing Rate (“SOFR”) as the recommended risk-free alternative rate for USD LIBOR. However, the composition and characteristics of SOFR are not the same as those of LIBOR. SOFR is a secured rate, while LIBOR is an unsecured rate, and SOFR is an overnight rate, while LIBOR is a forward-looking rate that represents interbank funding over different maturities. While market participants, including the International Swaps and Derivatives Association (“ISDA”), have proposed certain methods to interpolate and transition between LIBOR and SOFR, there can be no assurance that SOFR (including a term SOFR or compounded SOFR) will perform in the same way as LIBOR would have at any time, including, without limitation, as a result of changes in interest and yield rates in the market, market volatility or global or regional economic, financial, political, regulatory, judicial or other events.</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LIBOR ceases to exist, we cannot predict whether SOFR or another successor rate would be utilized or the impact of such rate on us and we may determine that we need to negotiate an amendment to our Term Loan B Facility and Revolving Credit Facility with our lenders, and to our hedging arrangements. While ISDA has proposed SOFR as the fallback benchmark rate for dollar-denominated derivative instruments currently utilizing the USD LIBOR benchmark rate, there is still some uncertainty as to the implementation of a replacement in the loan markets, in particular when and how such a replacement will be implemented in the loan market. While the loan market may eventually generally adopt SOFR as the replacement for LIBOR, there can be no assurance as to the timing of such adoption and any differences in the timing of adoption of SOFR between the loan and hedge market as well as differences in methodology and valuation can lead to mismatches in hedging, which could result in changes to our risk exposure, adverse tax or accounting effects, increased compliance and legal and operational costs. As a result, our interest expense may increase and our ability to refinance some or all of our existing indebtedness and our available cash flow may be adversely affected.</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future, we may attempt to increase our capital resources by incurring additional debt, including medium-term notes, trust preferred securities and senior or subordinated notes, or issuing preferred shares. If a liquidation event were to occur, holders of our debt securities and preferred shares and lenders with respect to other borrowings will receive distributions of our available assets prior to the holders of our shares of common stock. In addition, our preferred stock, if issued, would likely limit our ability to make liquidating or other distributions to the holders of shares of our common stock under certain circumstances. Any future common stock offerings may dilute the holdings of our existing stockholders or reduce the market price of our common stock, or both. Holders of shares of our common stock are not entitled to preemptive rights or other protections against dilution. Since our decision to issue debt securities, incur other forms of indebtedness or to issue additional common stock or preferred stock in the future will depend on future developments, market conditions and other factors beyond our control, we cannot predict or estimate the amount, timing, nature or success of our future offerings.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shares available for future sale could adversely affect the market price of shares of our common stock.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whether future issuances of our shares or the availability of shares of our common stock for resale in the open market will decrease the market price per share of shares of our common stock. Sales of a substantial number of shares of our common stock in the public market, or the perception that such sales might occur, could adversely affect the market price of shares of our common stock. If any of our stockholders cause, or there is a perception that they may cause, a large number of their shares to be sold in the public market, the sales could reduce the market price of shares of our common stock and could impede our ability to raise future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cash distributions could affect the market price of shares of our common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may trade at prices that are higher or lower than the net asset value per share. To the extent that we retain operating cash flow for investment purposes, working capital reserves or other purposes rather than distributing the cash flows to stockholders, these retained funds, while increasing the value of our underlying assets, may negatively impact the market price of shares of our common stock. Our failure to meet market expectations with regard to future earnings and cash distributions could adversely affect the market price of shares of our common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geographically diverse portfolio consists of 28 market-leading properties that are leased to Caesars, Penn National, Hard Rock, Century Casinos and JACK Entertainment, including Caesars Palace Las Vegas and Harrah’s Las Vegas, two of the most iconic entertainment facilities on the Las Vegas Strip, approximately 34 acres of undeveloped or underdeveloped land on and adjacent to the Las Vegas Strip that is leased to Caesars and four championship golf courses located near certain of our properties, two of which are in close proximity to the Las Vegas Strip.</w:t>
      </w:r>
    </w:p>
    <w:p>
      <w:pPr>
        <w:spacing w:after="0" w:line="11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All of our properties, except for Margaritaville, our Harrah’s Joliet property in Joliet, Illinois and our golf courses, secure our Term Loan B and Revolving Credit Facility. See </w:t>
      </w:r>
      <w:hyperlink w:anchor="page118">
        <w:r>
          <w:rPr>
            <w:rFonts w:ascii="Arial" w:cs="Arial" w:eastAsia="Arial" w:hAnsi="Arial"/>
            <w:sz w:val="18"/>
            <w:szCs w:val="18"/>
            <w:u w:val="single" w:color="auto"/>
            <w:color w:val="0000FF"/>
          </w:rPr>
          <w:t>Note 8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for additional information.</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7">
        <w:r>
          <w:rPr>
            <w:rFonts w:ascii="Arial" w:cs="Arial" w:eastAsia="Arial" w:hAnsi="Arial"/>
            <w:sz w:val="18"/>
            <w:szCs w:val="18"/>
            <w:u w:val="single" w:color="auto"/>
            <w:color w:val="0000FF"/>
          </w:rPr>
          <w:t>Item 1 - “Business - Our Properties”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pertaining to our properties.</w:t>
      </w:r>
    </w:p>
    <w:p>
      <w:pPr>
        <w:spacing w:after="0" w:line="252"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2020, we are not subject to any litigation that we believe could have, individually or in the aggregate, a material adverse effect on our business, financial condition or results of operations, liquidity or cash flows.</w:t>
      </w:r>
    </w:p>
    <w:p>
      <w:pPr>
        <w:spacing w:after="0" w:line="211"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25" w:lineRule="exact"/>
        <w:rPr>
          <w:sz w:val="20"/>
          <w:szCs w:val="20"/>
          <w:color w:val="auto"/>
        </w:rPr>
      </w:pPr>
    </w:p>
    <w:p>
      <w:pPr>
        <w:ind w:left="1520" w:right="140" w:hanging="1497"/>
        <w:spacing w:after="0" w:line="235" w:lineRule="auto"/>
        <w:tabs>
          <w:tab w:leader="none" w:pos="15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Market for the Company’s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2018, in connection with our initial registered public offering, our common stock began trading on the New York Stock Exchange (“NYSE”) under the symbol “VICI.”</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16, 2021, there were 536,663,115 shares of common stock issued and outstanding that were held by 70 stockholders of record, not including beneficial owners of shares registered in nominee or street name.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71"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intend to make regular quarterly distributions to holders of shares of our common stock. We cannot assure you that our estimated distributions will be made or sustained or that our board of directors will not change our distribution policy in the future. Any distributions will be at the sole discretion of our board of directors,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our board of directors deems relevant. For more information regarding risk factors that could materially and adversely affect us and our ability to make cash distributions, see </w:t>
      </w:r>
      <w:hyperlink w:anchor="page24">
        <w:r>
          <w:rPr>
            <w:rFonts w:ascii="Arial" w:cs="Arial" w:eastAsia="Arial" w:hAnsi="Arial"/>
            <w:sz w:val="17"/>
            <w:szCs w:val="17"/>
            <w:u w:val="single" w:color="auto"/>
            <w:color w:val="0000FF"/>
          </w:rPr>
          <w:t>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If our operations do not generate sufficient cash flow to enable us to pay our intended or required distributions, we may be required either to fund distributions from working capital, borrow or raise equity or to reduce such distributions. In addition, our charter allows us to issue preferred stock that could have a preference on distributions and could limit our ability to make distributions to our common stockholders. Additionally, under certain circumstances, agreements relating to our indebtedness could limit our ability to make distributions to our common stockholders.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equity securities during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2020, we did not repurchase any equity securities registered pursuant to Section 12 of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Offering of Securities -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graph below matches our cumulative total stockholder return for the period from October 18, 2017 to December 31, 2020 on common stock with the cumulative total returns of the S&amp;P 500 index and the MSCI US REIT index. The graph tracks the performance of a $100 investment in our common stock and in each index (with the reinvestment of all dividends as required by the SEC) from October 18, 2017, the first date on which our shares of common stock were publicly traded, until December 31, 2020. The return shown on the graph is not necessarily indicative of future performance.</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91440</wp:posOffset>
            </wp:positionV>
            <wp:extent cx="5803265" cy="3634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0326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Company / Index</w:t>
            </w:r>
          </w:p>
        </w:tc>
        <w:tc>
          <w:tcPr>
            <w:tcW w:w="26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10/18/17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12/31/17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12/31/18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12/31/19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12/31/20</w:t>
            </w:r>
          </w:p>
        </w:tc>
      </w:tr>
      <w:tr>
        <w:trPr>
          <w:trHeight w:val="225"/>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VICI Properties Inc.</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MSCI US REIT Index</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S&amp;P 500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r>
    </w:tbl>
    <w:p>
      <w:pPr>
        <w:spacing w:after="0" w:line="229"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79" w:lineRule="exact"/>
        <w:rPr>
          <w:sz w:val="20"/>
          <w:szCs w:val="20"/>
          <w:color w:val="auto"/>
        </w:rPr>
      </w:pPr>
    </w:p>
    <w:p>
      <w:pPr>
        <w:jc w:val="both"/>
        <w:spacing w:after="0" w:line="272"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You should read the following discussion and analysis of our financial condition and results of operations in conjunction with the audited consolidated Financial Statements and notes thereto of VICI Properties Inc.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hyperlink w:anchor="page24">
        <w:r>
          <w:rPr>
            <w:rFonts w:ascii="Arial" w:cs="Arial" w:eastAsia="Arial" w:hAnsi="Arial"/>
            <w:sz w:val="17"/>
            <w:szCs w:val="17"/>
            <w:i w:val="1"/>
            <w:iCs w:val="1"/>
            <w:u w:val="single" w:color="auto"/>
            <w:color w:val="0000FF"/>
          </w:rPr>
          <w:t>“Risk Factors”</w:t>
        </w:r>
        <w:r>
          <w:rPr>
            <w:rFonts w:ascii="Arial" w:cs="Arial" w:eastAsia="Arial" w:hAnsi="Arial"/>
            <w:sz w:val="17"/>
            <w:szCs w:val="17"/>
            <w:i w:val="1"/>
            <w:iCs w:val="1"/>
            <w:color w:val="0000FF"/>
          </w:rPr>
          <w:t xml:space="preserve"> </w:t>
        </w:r>
      </w:hyperlink>
      <w:r>
        <w:rPr>
          <w:rFonts w:ascii="Arial" w:cs="Arial" w:eastAsia="Arial" w:hAnsi="Arial"/>
          <w:sz w:val="17"/>
          <w:szCs w:val="17"/>
          <w:i w:val="1"/>
          <w:iCs w:val="1"/>
          <w:color w:val="000000"/>
        </w:rPr>
        <w:t>section</w:t>
      </w:r>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in Item 1A of this Annual Report on Form 10-K for a discussion of important factors that could cause actual results to differ</w:t>
      </w:r>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materially from the results described in or implied by such forward-looking statements</w:t>
      </w:r>
      <w:r>
        <w:rPr>
          <w:rFonts w:ascii="Arial" w:cs="Arial" w:eastAsia="Arial" w:hAnsi="Arial"/>
          <w:sz w:val="17"/>
          <w:szCs w:val="17"/>
          <w:color w:val="000000"/>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We lease our properties to subsidiaries of Caesars, Penn National, Hard Rock, Century Casinos and JACK Entertainment, with Caesars being our largest tenant. We conduct our real property business through an operating partnership and our golf course business through a TRS, VICI Golf LLC. The financial information included in this Annual Report on Form 10-K are our consolidated results (including the real property business and the golf course business) for the years ended December 31, 2020,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2020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Collected 100% of rent in cash.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revenues increased 37.0% year-over-year to $1.2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attributable to common stockholders was $891.7 million, or $1.75 per diluted share.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AFFO increased 28.7% year-over-year to $835.8 million and AFFO per diluted share increased 10.8% to $1.64.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$4.6 billion of acquisitions and investments, including:</w:t>
      </w:r>
    </w:p>
    <w:p>
      <w:pPr>
        <w:spacing w:after="0" w:line="63" w:lineRule="exact"/>
        <w:rPr>
          <w:rFonts w:ascii="Arial" w:cs="Arial" w:eastAsia="Arial" w:hAnsi="Arial"/>
          <w:sz w:val="18"/>
          <w:szCs w:val="18"/>
          <w:color w:val="auto"/>
        </w:rPr>
      </w:pPr>
    </w:p>
    <w:p>
      <w:pPr>
        <w:jc w:val="both"/>
        <w:ind w:left="1300" w:right="20" w:hanging="320"/>
        <w:spacing w:after="0" w:line="263"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Acquisition of the real estate assets of Harrah’s New Orleans, Harrah’s Laughlin, and Harrah’s Atlantic City and modification of certain provisions of the Caesars Lease Agreements in connection with the Eldorado/Caesars Merger for total consideration of approximately $3.2 billion; and</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Acquisition of the real estate assets of JACK Cleveland/Thistledown for total consideration of approximately $843.3 million.</w:t>
      </w:r>
    </w:p>
    <w:p>
      <w:pPr>
        <w:spacing w:after="0" w:line="63" w:lineRule="exact"/>
        <w:rPr>
          <w:rFonts w:ascii="Arial" w:cs="Arial" w:eastAsia="Arial" w:hAnsi="Arial"/>
          <w:sz w:val="18"/>
          <w:szCs w:val="18"/>
          <w:b w:val="1"/>
          <w:bCs w:val="1"/>
          <w:i w:val="1"/>
          <w:iCs w:val="1"/>
          <w:color w:val="auto"/>
        </w:rPr>
      </w:pPr>
    </w:p>
    <w:p>
      <w:pPr>
        <w:ind w:left="1300" w:right="20" w:hanging="320"/>
        <w:spacing w:after="0" w:line="277" w:lineRule="auto"/>
        <w:tabs>
          <w:tab w:leader="none" w:pos="13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Originated $575.0 million of mortgage loan investments, including our first investment outside of gaming through an $80.0 million mortgage loan secured by Chelsea Piers New York, a sports and entertainment complex located in New York City.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Added $318.4 million of contractual rent on an annualized basis to our real estate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 and Financing Activity</w:t>
      </w:r>
    </w:p>
    <w:p>
      <w:pPr>
        <w:spacing w:after="0" w:line="117" w:lineRule="exact"/>
        <w:rPr>
          <w:sz w:val="20"/>
          <w:szCs w:val="20"/>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our quarterly cash dividend to $0.33 per share (or $1.32 per share on an annualized basis), representing a 10.9% increase compared to our previous quarterly dividend.</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an equity offering in which 29,900,000 shares were sold through a forward sale agreement at $22.15 per share, raising gross proceeds of $662.3 million, with 3,000,000 shares subsequently settled for net proceeds to us of approximately $63.0 million and 26,900,000 shares remaining for settlement under the forward sale agreement.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Settled all 65,000,000 shares of the Company's outstanding June 2019 forward sale agreements for net proceeds of approximately $1.3 billion.</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7,500,000 shares under the Company’s ATM Program for net proceeds of approximately $200.0 million</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$2.5 billion of Senior Unsecured Notes at a blended and weighted average interest rate of 3.83% and used $500.0 million of those proceeds to redeem our 8% Second Lien Notes that were scheduled to mature in 2023.</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Repriced our Term Loan B Facility and lowered the interest rate from L + 2.00% to L + 1.75%.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SIGNIFICANT 2020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Caesars Forum Convention Center Mortgage Loan. </w:t>
      </w:r>
      <w:r>
        <w:rPr>
          <w:rFonts w:ascii="Arial" w:cs="Arial" w:eastAsia="Arial" w:hAnsi="Arial"/>
          <w:sz w:val="16"/>
          <w:szCs w:val="16"/>
          <w:color w:val="auto"/>
        </w:rPr>
        <w:t>On September 18, 2020, we provided a $400.0 million mortgage loan to Caesars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by the Caesars Forum Convention Center. The loan bears interest at an initial rate of 7.7%, has a term of five years and is prepayable beginning in year three, subject to certain conditions. The Caesars Forum Convention Center is subject to the A&amp;R Convention Center Put-Call Agreement between Caesars and us, with our call option being accelerated to 2025 in connection with the entry into the mortgage loan.</w:t>
      </w:r>
    </w:p>
    <w:p>
      <w:pPr>
        <w:spacing w:after="0" w:line="49"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Chelsea Piers Mortgage Loan. </w:t>
      </w:r>
      <w:r>
        <w:rPr>
          <w:rFonts w:ascii="Arial" w:cs="Arial" w:eastAsia="Arial" w:hAnsi="Arial"/>
          <w:sz w:val="18"/>
          <w:szCs w:val="18"/>
          <w:color w:val="auto"/>
        </w:rPr>
        <w:t>On August 31, 2020, we entered into an $80.0 million mortgage loan agreement with Chelsea Piers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(“Chelsea Piers”) secured by the Chelsea Piers complex in New York City, pursuant to which we provided an initial $65.0 million term loan and a $15.0 million delayed draw term loan (which remains undrawn), subject to certain conditions. The loan bears interest at a rate of 7.0% per annum and has a term of seven years.</w:t>
      </w:r>
    </w:p>
    <w:p>
      <w:pPr>
        <w:spacing w:after="0" w:line="78"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0000FF"/>
        </w:rPr>
      </w:pPr>
      <w:r>
        <w:rPr>
          <w:rFonts w:ascii="Arial" w:cs="Arial" w:eastAsia="Arial" w:hAnsi="Arial"/>
          <w:sz w:val="18"/>
          <w:szCs w:val="18"/>
          <w:b w:val="1"/>
          <w:bCs w:val="1"/>
          <w:i w:val="1"/>
          <w:iCs w:val="1"/>
          <w:color w:val="auto"/>
        </w:rPr>
        <w:t xml:space="preserve">Consummation of the Eldorado Transaction. </w:t>
      </w:r>
      <w:r>
        <w:rPr>
          <w:rFonts w:ascii="Arial" w:cs="Arial" w:eastAsia="Arial" w:hAnsi="Arial"/>
          <w:sz w:val="18"/>
          <w:szCs w:val="18"/>
          <w:color w:val="auto"/>
        </w:rPr>
        <w:t>On July 20, 2020, concurrent with the consummation of the Eldorado/Caesars Merger,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consummated the Eldorado Transaction contemplated by the Master Transaction Agreement and associated agreements. The closing of the </w:t>
      </w:r>
      <w:hyperlink w:anchor="page101">
        <w:r>
          <w:rPr>
            <w:rFonts w:ascii="Arial" w:cs="Arial" w:eastAsia="Arial" w:hAnsi="Arial"/>
            <w:sz w:val="18"/>
            <w:szCs w:val="18"/>
            <w:color w:val="auto"/>
          </w:rPr>
          <w:t xml:space="preserve">Eldorado Transaction includes the consummation of the transactions contemplated by the below described agreements. Refer to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w:t>
        </w:r>
        <w:r>
          <w:rPr>
            <w:rFonts w:ascii="Arial" w:cs="Arial" w:eastAsia="Arial" w:hAnsi="Arial"/>
            <w:sz w:val="18"/>
            <w:szCs w:val="18"/>
            <w:color w:val="0000FF"/>
          </w:rPr>
          <w:t>- Property</w:t>
        </w:r>
      </w:hyperlink>
      <w:r>
        <w:rPr>
          <w:rFonts w:ascii="Arial" w:cs="Arial" w:eastAsia="Arial" w:hAnsi="Arial"/>
          <w:sz w:val="18"/>
          <w:szCs w:val="18"/>
          <w:color w:val="auto"/>
        </w:rPr>
        <w:t xml:space="preserve"> </w:t>
      </w:r>
      <w:hyperlink w:anchor="page101">
        <w:r>
          <w:rPr>
            <w:rFonts w:ascii="Arial" w:cs="Arial" w:eastAsia="Arial" w:hAnsi="Arial"/>
            <w:sz w:val="18"/>
            <w:szCs w:val="18"/>
            <w:u w:val="single" w:color="auto"/>
            <w:color w:val="0000FF"/>
          </w:rPr>
          <w:t>Transactions</w:t>
        </w:r>
        <w:r>
          <w:rPr>
            <w:rFonts w:ascii="Arial" w:cs="Arial" w:eastAsia="Arial" w:hAnsi="Arial"/>
            <w:sz w:val="18"/>
            <w:szCs w:val="18"/>
            <w:color w:val="0000FF"/>
          </w:rPr>
          <w:t xml:space="preserve"> </w:t>
        </w:r>
        <w:r>
          <w:rPr>
            <w:rFonts w:ascii="Arial" w:cs="Arial" w:eastAsia="Arial" w:hAnsi="Arial"/>
            <w:sz w:val="18"/>
            <w:szCs w:val="18"/>
            <w:color w:val="000000"/>
          </w:rPr>
          <w:t>for further details.</w:t>
        </w:r>
      </w:hyperlink>
    </w:p>
    <w:p>
      <w:pPr>
        <w:spacing w:after="0" w:line="78" w:lineRule="exact"/>
        <w:rPr>
          <w:rFonts w:ascii="Arial" w:cs="Arial" w:eastAsia="Arial" w:hAnsi="Arial"/>
          <w:sz w:val="18"/>
          <w:szCs w:val="18"/>
          <w:color w:val="0000FF"/>
        </w:rPr>
      </w:pPr>
    </w:p>
    <w:p>
      <w:pPr>
        <w:jc w:val="both"/>
        <w:ind w:left="1300" w:hanging="320"/>
        <w:spacing w:after="0" w:line="273" w:lineRule="auto"/>
        <w:tabs>
          <w:tab w:leader="none" w:pos="1310" w:val="left"/>
        </w:tabs>
        <w:numPr>
          <w:ilvl w:val="2"/>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acquired all of the land and real estate assets associated with Harrah’s New Orleans, Harrah’s</w:t>
      </w:r>
      <w:r>
        <w:rPr>
          <w:rFonts w:ascii="Arial" w:cs="Arial" w:eastAsia="Arial" w:hAnsi="Arial"/>
          <w:sz w:val="17"/>
          <w:szCs w:val="17"/>
          <w:i w:val="1"/>
          <w:iCs w:val="1"/>
          <w:color w:val="auto"/>
        </w:rPr>
        <w:t xml:space="preserve"> </w:t>
      </w:r>
      <w:r>
        <w:rPr>
          <w:rFonts w:ascii="Arial" w:cs="Arial" w:eastAsia="Arial" w:hAnsi="Arial"/>
          <w:sz w:val="17"/>
          <w:szCs w:val="17"/>
          <w:color w:val="auto"/>
        </w:rPr>
        <w:t>Laughlin and Harrah’s Atlantic City (collectively, the “MTA Properties”) for an aggregate purchase price of $1,823.5 million (the “MTA Properties Acquisitions”). The Regional Master Lease Agreement was amended to, among other things, include each such property, with initial aggregate total annual rent payable to us increased by $154.0 million to $621.7 million, to extend the initial lease term to July 2035 and to adjust certain minimum capital expenditure requirements and other related terms and conditions as a result of the MTA Properties being included in the Regional Master Lease Agreement.</w:t>
      </w:r>
    </w:p>
    <w:p>
      <w:pPr>
        <w:spacing w:after="0" w:line="123" w:lineRule="exact"/>
        <w:rPr>
          <w:rFonts w:ascii="Arial" w:cs="Arial" w:eastAsia="Arial" w:hAnsi="Arial"/>
          <w:sz w:val="17"/>
          <w:szCs w:val="17"/>
          <w:color w:val="auto"/>
        </w:rPr>
      </w:pPr>
    </w:p>
    <w:p>
      <w:pPr>
        <w:jc w:val="both"/>
        <w:ind w:left="1300" w:hanging="361"/>
        <w:spacing w:after="0" w:line="270" w:lineRule="auto"/>
        <w:tabs>
          <w:tab w:leader="none" w:pos="1296"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Creation of Las Vegas Master Lease. </w:t>
      </w:r>
      <w:r>
        <w:rPr>
          <w:rFonts w:ascii="Arial" w:cs="Arial" w:eastAsia="Arial" w:hAnsi="Arial"/>
          <w:sz w:val="17"/>
          <w:szCs w:val="17"/>
          <w:color w:val="auto"/>
        </w:rPr>
        <w:t>In consideration of a payment by us to (i) the tenant under the CPLV Lease Agreement of $1,189.9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(the “CPLV Lease Amendment Payment”) and (ii) the tenant under the HLV Lease 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payable to us thereunder with respect to the Harrah’s Las Vegas property by $15.0 million (the “HLV Additional Rent Acquisition”) and (D)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20" w:lineRule="exact"/>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column">
              <wp:posOffset>6638290</wp:posOffset>
            </wp:positionH>
            <wp:positionV relativeFrom="paragraph">
              <wp:posOffset>-2404110</wp:posOffset>
            </wp:positionV>
            <wp:extent cx="497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07" w:lineRule="exact"/>
        <w:rPr>
          <w:rFonts w:ascii="Arial" w:cs="Arial" w:eastAsia="Arial" w:hAnsi="Arial"/>
          <w:sz w:val="18"/>
          <w:szCs w:val="18"/>
          <w:b w:val="1"/>
          <w:bCs w:val="1"/>
          <w:i w:val="1"/>
          <w:iCs w:val="1"/>
          <w:color w:val="auto"/>
        </w:rPr>
      </w:pPr>
    </w:p>
    <w:p>
      <w:pPr>
        <w:jc w:val="both"/>
        <w:ind w:left="1300" w:hanging="361"/>
        <w:spacing w:after="0" w:line="25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Lease Amendments and Terminations. </w:t>
      </w:r>
      <w:r>
        <w:rPr>
          <w:rFonts w:ascii="Arial" w:cs="Arial" w:eastAsia="Arial" w:hAnsi="Arial"/>
          <w:sz w:val="18"/>
          <w:szCs w:val="18"/>
          <w:color w:val="auto"/>
        </w:rPr>
        <w:t>Each of the Caesars Lease Agreements was amended to, among other things, (i) remove the rent</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floors, which coverage floors served to reduce the rent escalators under such leases in the event that the “EBITDAR to Rent Ratio” (as defined in the applicable Caesars Lease Agreements) coverage was below the stated floor and (ii) extend the term of each such lease to July 2035 to ensure that each lease will have a full 15-year initial lease term following the consummation of the Eldorado Transaction.</w:t>
      </w:r>
    </w:p>
    <w:p>
      <w:pPr>
        <w:spacing w:after="0" w:line="133" w:lineRule="exact"/>
        <w:rPr>
          <w:rFonts w:ascii="Arial" w:cs="Arial" w:eastAsia="Arial" w:hAnsi="Arial"/>
          <w:sz w:val="18"/>
          <w:szCs w:val="18"/>
          <w:color w:val="auto"/>
        </w:rPr>
      </w:pPr>
    </w:p>
    <w:p>
      <w:pPr>
        <w:jc w:val="both"/>
        <w:ind w:left="1300" w:hanging="361"/>
        <w:spacing w:after="0" w:line="287" w:lineRule="auto"/>
        <w:tabs>
          <w:tab w:leader="none" w:pos="129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Centaur Properties Put-Call Agreement</w:t>
      </w:r>
      <w:r>
        <w:rPr>
          <w:rFonts w:ascii="Arial" w:cs="Arial" w:eastAsia="Arial" w:hAnsi="Arial"/>
          <w:sz w:val="16"/>
          <w:szCs w:val="16"/>
          <w:color w:val="auto"/>
        </w:rPr>
        <w:t>. Prior to the consummation of the Eldorado Transaction, we were party to a right of first refusal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affiliates of Pre-Merger Caesars with respect to the Centaur Properties. Upon the consummation of the Eldorado Transaction, the right of first refusal agreement terminated, and we entered into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w:t>
      </w:r>
    </w:p>
    <w:p>
      <w:pPr>
        <w:spacing w:after="0" w:line="200" w:lineRule="exact"/>
        <w:rPr>
          <w:rFonts w:ascii="Arial" w:cs="Arial" w:eastAsia="Arial" w:hAnsi="Arial"/>
          <w:sz w:val="18"/>
          <w:szCs w:val="18"/>
          <w:b w:val="1"/>
          <w:bCs w:val="1"/>
          <w:i w:val="1"/>
          <w:iCs w:val="1"/>
          <w:color w:val="auto"/>
        </w:rPr>
      </w:pPr>
    </w:p>
    <w:p>
      <w:pPr>
        <w:spacing w:after="0" w:line="350" w:lineRule="exact"/>
        <w:rPr>
          <w:rFonts w:ascii="Arial" w:cs="Arial" w:eastAsia="Arial" w:hAnsi="Arial"/>
          <w:sz w:val="18"/>
          <w:szCs w:val="18"/>
          <w:b w:val="1"/>
          <w:bCs w:val="1"/>
          <w:i w:val="1"/>
          <w:iCs w:val="1"/>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implemented through the addition of the Centaur Properties to the Regional Master Lease Agreement.</w:t>
      </w:r>
    </w:p>
    <w:p>
      <w:pPr>
        <w:spacing w:after="0" w:line="171" w:lineRule="exact"/>
        <w:rPr>
          <w:sz w:val="20"/>
          <w:szCs w:val="20"/>
          <w:color w:val="auto"/>
        </w:rPr>
      </w:pPr>
    </w:p>
    <w:p>
      <w:pPr>
        <w:jc w:val="both"/>
        <w:ind w:left="1300" w:hanging="361"/>
        <w:spacing w:after="0" w:line="289" w:lineRule="auto"/>
        <w:tabs>
          <w:tab w:leader="none" w:pos="1295"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Upon the consummation of the Eldorado Transaction, we entered into the Las Vegas Strip ROFR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12" w:lineRule="exact"/>
        <w:rPr>
          <w:rFonts w:ascii="Arial" w:cs="Arial" w:eastAsia="Arial" w:hAnsi="Arial"/>
          <w:sz w:val="16"/>
          <w:szCs w:val="16"/>
          <w:color w:val="auto"/>
        </w:rPr>
      </w:pPr>
    </w:p>
    <w:p>
      <w:pPr>
        <w:jc w:val="both"/>
        <w:ind w:left="1300" w:hanging="361"/>
        <w:spacing w:after="0" w:line="259" w:lineRule="auto"/>
        <w:tabs>
          <w:tab w:leader="none" w:pos="1295"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Horseshoe Baltimore ROFR. </w:t>
      </w:r>
      <w:r>
        <w:rPr>
          <w:rFonts w:ascii="Arial" w:cs="Arial" w:eastAsia="Arial" w:hAnsi="Arial"/>
          <w:sz w:val="18"/>
          <w:szCs w:val="18"/>
          <w:color w:val="auto"/>
        </w:rPr>
        <w:t>Upon the consummation of the Eldorado Transaction, we entered into a right of first refusal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Caesars (the “Horseshoe Baltimore ROFR Agreement”) 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78"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2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Acquisition of JACK Cleveland/Thistledown. </w:t>
      </w:r>
      <w:r>
        <w:rPr>
          <w:rFonts w:ascii="Arial" w:cs="Arial" w:eastAsia="Arial" w:hAnsi="Arial"/>
          <w:sz w:val="17"/>
          <w:szCs w:val="17"/>
          <w:color w:val="auto"/>
        </w:rPr>
        <w:t>On January 24, 2020, we completed the acquisition of the real estate of JACK Cleveland, located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Cleveland, Ohio and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as subsequently amended, an initial term of 20 years, with three (rather than four) five-year tenant renewal options. The tenant’s obligations under the lease are guaranteed by Rock Ohio Ventures LLC. Additionally, we made a $50.0 million loan to affiliates of Rock Ohio Ventures LLC secured by, among other things, certain non-gaming real estate assets owned by such affiliates and guaranteed by Rock Ohio Ventures LLC. The terms of the JACK Cleveland/Thistledown Lease Agreement and the ROV Loan were subsequently amended on July 16, 2020 pursuant to the JACK Lease Agreement Amendment and Amended and Restated ROV Loan as described below in Other Portfolio Activity.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Activity</w:t>
      </w:r>
    </w:p>
    <w:p>
      <w:pPr>
        <w:spacing w:after="0" w:line="117" w:lineRule="exact"/>
        <w:rPr>
          <w:sz w:val="20"/>
          <w:szCs w:val="20"/>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 of Bally’s Atlantic City. </w:t>
      </w:r>
      <w:r>
        <w:rPr>
          <w:rFonts w:ascii="Arial" w:cs="Arial" w:eastAsia="Arial" w:hAnsi="Arial"/>
          <w:sz w:val="18"/>
          <w:szCs w:val="18"/>
          <w:color w:val="auto"/>
        </w:rPr>
        <w:t>On November 18, 2020, we and Caesars closed on the previously announced transaction to sell Bally’s Atlantic 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Bally’s Corporation for proceeds of $19.0 million to us. The annual rent payments under the Regional Master Lease Agreement remain unchanged following completion of the disposition.</w:t>
      </w:r>
    </w:p>
    <w:p>
      <w:pPr>
        <w:spacing w:after="0" w:line="75"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 of Harrah’s Reno. </w:t>
      </w:r>
      <w:r>
        <w:rPr>
          <w:rFonts w:ascii="Arial" w:cs="Arial" w:eastAsia="Arial" w:hAnsi="Arial"/>
          <w:sz w:val="18"/>
          <w:szCs w:val="18"/>
          <w:color w:val="auto"/>
        </w:rPr>
        <w:t>On September 30, 2020, we and Caesars closed on the previously announced transaction to sell Harrah’s Reno to a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for proceeds of $31.1 million to us. The annual rent payments under the Regional Master Lease Agreement remain unchanged following completion of the disposition.</w:t>
      </w:r>
    </w:p>
    <w:p>
      <w:pPr>
        <w:spacing w:after="0" w:line="75"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 of Louisiana Downs. </w:t>
      </w:r>
      <w:r>
        <w:rPr>
          <w:rFonts w:ascii="Arial" w:cs="Arial" w:eastAsia="Arial" w:hAnsi="Arial"/>
          <w:sz w:val="18"/>
          <w:szCs w:val="18"/>
          <w:color w:val="auto"/>
        </w:rPr>
        <w:t>On September 3, 2020, we and Caesars entered into definitive agreements to sell Harrah’s Louisiana Downs to Rubico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Corp. for proceeds of $5.5 million to us. The annual rent payments under the Regional Master Lease Agreement will remain unchanged following completion of the disposition, which we anticipate will close in the first half of 2021 and remains subject to regulatory approval and customary closing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Portfolio Activity</w:t>
      </w:r>
    </w:p>
    <w:p>
      <w:pPr>
        <w:spacing w:after="0" w:line="117" w:lineRule="exact"/>
        <w:rPr>
          <w:sz w:val="20"/>
          <w:szCs w:val="20"/>
          <w:color w:val="auto"/>
        </w:rPr>
      </w:pPr>
    </w:p>
    <w:p>
      <w:pPr>
        <w:jc w:val="both"/>
        <w:ind w:left="660" w:hanging="328"/>
        <w:spacing w:after="0" w:line="289"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Caesars Southern Indiana Lease Agreement. </w:t>
      </w:r>
      <w:r>
        <w:rPr>
          <w:rFonts w:ascii="Arial" w:cs="Arial" w:eastAsia="Arial" w:hAnsi="Arial"/>
          <w:sz w:val="16"/>
          <w:szCs w:val="16"/>
          <w:color w:val="auto"/>
        </w:rPr>
        <w:t>On December 24, 2020, in connection with the Eastern Band of Cherokee Indians’ (“EBCI”)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to acquire the operations of Caesars Southern Indiana from Caesars, we agreed to enter into a triple-net lease agreement with EBCI with respect to the real property associated with Caesars Southern Indiana, at the closing of EBCI’s acquisition. In addition, as part of the transaction, the parties have agreed to negotiate a right of first refusal for VICI Properties on the real property associated with the development of a new casino resort in Danville, Virginia. Initial total annual rent under the lease with EBCI will be $32.5 million. The lease will have an initial term of 15 years, with four 5-year tenant renewal options. The tenant’s obligations under the lease will be guaranteed by EBCI. Annual base rent payments under the Regional Master Lease will be reduced by $32.5 million upon completion of EBCI’s acquisition of the operations of Caesars Southern Indiana and the execution of the lease between us and EBCI. The property is expected to retain the Caesars brand name and to continue to be a part of the Caesars Rewards loyalty program in accordance with the terms of a licensing agreement negotiated between EBCI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Caesars. The transaction is subject to customary regulatory and other approvals (and, with respect to the right of first refusal, negotiation of definitive documentation and applicable regulatory and other governmental approvals) and are expected to be completed in the third quarter of 2021.</w:t>
      </w:r>
    </w:p>
    <w:p>
      <w:pPr>
        <w:spacing w:after="0" w:line="76" w:lineRule="exact"/>
        <w:rPr>
          <w:sz w:val="20"/>
          <w:szCs w:val="20"/>
          <w:color w:val="auto"/>
        </w:rPr>
      </w:pPr>
    </w:p>
    <w:p>
      <w:pPr>
        <w:jc w:val="both"/>
        <w:ind w:left="660" w:hanging="328"/>
        <w:spacing w:after="0" w:line="288" w:lineRule="auto"/>
        <w:tabs>
          <w:tab w:leader="none" w:pos="655"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Amendment to JACK Cleveland/Thistledown Lease Agreement. </w:t>
      </w:r>
      <w:r>
        <w:rPr>
          <w:rFonts w:ascii="Arial" w:cs="Arial" w:eastAsia="Arial" w:hAnsi="Arial"/>
          <w:sz w:val="16"/>
          <w:szCs w:val="16"/>
          <w:color w:val="auto"/>
        </w:rPr>
        <w:t>On July 16, 2020, we and JACK Entertainment entered into an amendment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JACK Cleveland/Thistledown Lease Agreement (the “JACK Lease Agreement Amendment”), pursuant to which, among other things, we agreed to fund $18.0 million for the construction of a new gaming patio amenity at JACK Thistledown Racino, which will be leased by JACK Entertainment pursuant to the JACK Lease Agreement Amendment. In connection with the construction of the gaming patio, commencing on April 1, 2022, annual rent under the JACK Cleveland/Thistledown Lease Agreement (as amended by the JACK Lease Agreement Amendment) will be increased by an incremental $1.8 million. The JACK Lease Agreement Amendment also provides for relief with respect to certain existing covenants through March 31, 2022, adds an additional five years to the initial lease term, with the tenant under the JACK Cleveland/Thistledown Lease Agreement having three (rather than four) five-year renewal options as a result of such extension of the initial lease term, and provides for rent escalation to begin in 2022 rather than 2021. The JACK Lease Agreement Amendment does not provide for a reduction or deferral of the tenant’s rent obligations. The relief is conditioned upon the satisfaction of certain requirements.</w:t>
      </w:r>
    </w:p>
    <w:p>
      <w:pPr>
        <w:spacing w:after="0" w:line="56" w:lineRule="exact"/>
        <w:rPr>
          <w:rFonts w:ascii="Arial" w:cs="Arial" w:eastAsia="Arial" w:hAnsi="Arial"/>
          <w:sz w:val="16"/>
          <w:szCs w:val="16"/>
          <w:b w:val="1"/>
          <w:bCs w:val="1"/>
          <w:i w:val="1"/>
          <w:iCs w:val="1"/>
          <w:color w:val="auto"/>
        </w:rPr>
      </w:pPr>
    </w:p>
    <w:p>
      <w:pPr>
        <w:jc w:val="both"/>
        <w:ind w:left="660" w:hanging="328"/>
        <w:spacing w:after="0" w:line="273" w:lineRule="auto"/>
        <w:tabs>
          <w:tab w:leader="none" w:pos="655"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Amendment and Restatement of ROV Loan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Simultaneously with entry into the JACK Lease Agreement Amendment, we and affiliates of Rock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Ohio Ventures LLC entered into an amendment and restatement of the existing $50.0 million term loan agreement pursuant to which, among other things, the Company increased the existing term loan to $70.0 million, bearing interest at a rate of 9.0% per annum, and added a $25.0 million revolving credit facility (which remains undrawn), bearing interest at a rate of LIBOR plus 2.75%. Additionally, a commitment fee of 0.50% per annum calculated on the unused portion of the ROV Credit Facility is payable quarterly. In connection with the amendment and restatement of the loan, we received additional collateral so that the term loan and revolving credit facility are now secured by a first priority lien on substantially all gaming and non-gaming real and personal property of JACK Entertainment.</w:t>
      </w:r>
    </w:p>
    <w:p>
      <w:pPr>
        <w:spacing w:after="0" w:line="67" w:lineRule="exact"/>
        <w:rPr>
          <w:rFonts w:ascii="Arial" w:cs="Arial" w:eastAsia="Arial" w:hAnsi="Arial"/>
          <w:sz w:val="17"/>
          <w:szCs w:val="17"/>
          <w:b w:val="1"/>
          <w:bCs w:val="1"/>
          <w:i w:val="1"/>
          <w:iCs w:val="1"/>
          <w:color w:val="auto"/>
        </w:rPr>
      </w:pPr>
    </w:p>
    <w:p>
      <w:pPr>
        <w:jc w:val="both"/>
        <w:ind w:left="660" w:hanging="328"/>
        <w:spacing w:after="0" w:line="257" w:lineRule="auto"/>
        <w:tabs>
          <w:tab w:leader="none" w:pos="655"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CapEx Amendment to Caesars Lease Agreements. </w:t>
      </w:r>
      <w:r>
        <w:rPr>
          <w:rFonts w:ascii="Arial" w:cs="Arial" w:eastAsia="Arial" w:hAnsi="Arial"/>
          <w:sz w:val="18"/>
          <w:szCs w:val="18"/>
          <w:color w:val="auto"/>
        </w:rPr>
        <w:t>On June 1, 2020, we and Caesars entered into an Omnibus Amendment to Leases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“Omnibus Amendment”) in connection with the ongoing COVID-19 pandemic and its impact on operations and financial performance, which was further amended on October 27, 2020 to capture the addition of the MTA Properties to the Regional Master Lease Agreement. The Omnibus Amendment provides Caesars with certain relief with respect to a portion of their capital expenditure obligations under the Caesars Lease Agreements, subject to certain conditions.</w:t>
      </w:r>
    </w:p>
    <w:p>
      <w:pPr>
        <w:spacing w:after="0" w:line="79" w:lineRule="exact"/>
        <w:rPr>
          <w:rFonts w:ascii="Arial" w:cs="Arial" w:eastAsia="Arial" w:hAnsi="Arial"/>
          <w:sz w:val="18"/>
          <w:szCs w:val="18"/>
          <w:b w:val="1"/>
          <w:bCs w:val="1"/>
          <w:i w:val="1"/>
          <w:iCs w:val="1"/>
          <w:color w:val="auto"/>
        </w:rPr>
      </w:pPr>
    </w:p>
    <w:p>
      <w:pPr>
        <w:jc w:val="both"/>
        <w:ind w:left="660" w:hanging="328"/>
        <w:spacing w:after="0" w:line="301" w:lineRule="auto"/>
        <w:tabs>
          <w:tab w:leader="none" w:pos="655"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Amendment to Century Portfolio Lease Agreement. </w:t>
      </w:r>
      <w:r>
        <w:rPr>
          <w:rFonts w:ascii="Arial" w:cs="Arial" w:eastAsia="Arial" w:hAnsi="Arial"/>
          <w:sz w:val="16"/>
          <w:szCs w:val="16"/>
          <w:color w:val="auto"/>
        </w:rPr>
        <w:t>In May 2020, we entered into an amendment to the Century Portfolio Lease Agreement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 certain covenants, including minimum capital expenditures. In connection with the COVID-19 pandemic and its impact on operations and financial performance, the Company agreed to waive Century’s capital expenditure requirements for 2020 and defer to not later than December 31, 2021 certain other expenditures contemplated in connection with the underwriting of the acquired casino properties, subject to certain conditions.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Capital Markets Activity</w:t>
      </w:r>
    </w:p>
    <w:p>
      <w:pPr>
        <w:spacing w:after="0" w:line="117" w:lineRule="exact"/>
        <w:rPr>
          <w:sz w:val="20"/>
          <w:szCs w:val="20"/>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Partial Settlement of June 2020 Forward Sale Offering. </w:t>
      </w:r>
      <w:r>
        <w:rPr>
          <w:rFonts w:ascii="Arial" w:cs="Arial" w:eastAsia="Arial" w:hAnsi="Arial"/>
          <w:sz w:val="18"/>
          <w:szCs w:val="18"/>
          <w:color w:val="auto"/>
        </w:rPr>
        <w:t>On September 28, 2020, we partially settled the June 2020 Forward Sale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below) by delivering 3,000,000 shares of our common stock to the forward purchaser in exchange for total net proceeds of approximately $63.0 million.</w:t>
      </w:r>
    </w:p>
    <w:p>
      <w:pPr>
        <w:spacing w:after="0" w:line="75" w:lineRule="exact"/>
        <w:rPr>
          <w:rFonts w:ascii="Arial" w:cs="Arial" w:eastAsia="Arial" w:hAnsi="Arial"/>
          <w:sz w:val="18"/>
          <w:szCs w:val="18"/>
          <w:b w:val="1"/>
          <w:bCs w:val="1"/>
          <w:i w:val="1"/>
          <w:iCs w:val="1"/>
          <w:color w:val="auto"/>
        </w:rPr>
      </w:pPr>
    </w:p>
    <w:p>
      <w:pPr>
        <w:jc w:val="both"/>
        <w:ind w:left="660" w:hanging="328"/>
        <w:spacing w:after="0" w:line="293" w:lineRule="auto"/>
        <w:tabs>
          <w:tab w:leader="none" w:pos="655"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June 2020 Forward Sale Offering. </w:t>
      </w:r>
      <w:r>
        <w:rPr>
          <w:rFonts w:ascii="Arial" w:cs="Arial" w:eastAsia="Arial" w:hAnsi="Arial"/>
          <w:sz w:val="16"/>
          <w:szCs w:val="16"/>
          <w:color w:val="auto"/>
        </w:rPr>
        <w:t>On June 17, 2020, we completed a primary follow-on offering of 29,900,000 shares of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(inclusive of 3,900,000 shares sold pursuant to the exercise in full of the underwriters’ option to purchase additional shares)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Following the partial settlement on September 28, 2020 referred to above, 26,900,000 shares of common stock remain to be settled under the June 2020 Forward Sale Agreement.</w:t>
      </w:r>
    </w:p>
    <w:p>
      <w:pPr>
        <w:spacing w:after="0" w:line="56" w:lineRule="exact"/>
        <w:rPr>
          <w:rFonts w:ascii="Arial" w:cs="Arial" w:eastAsia="Arial" w:hAnsi="Arial"/>
          <w:sz w:val="16"/>
          <w:szCs w:val="16"/>
          <w:b w:val="1"/>
          <w:bCs w:val="1"/>
          <w:i w:val="1"/>
          <w:iCs w:val="1"/>
          <w:color w:val="auto"/>
        </w:rPr>
      </w:pPr>
    </w:p>
    <w:p>
      <w:pPr>
        <w:jc w:val="both"/>
        <w:ind w:left="660" w:hanging="328"/>
        <w:spacing w:after="0" w:line="257" w:lineRule="auto"/>
        <w:tabs>
          <w:tab w:leader="none" w:pos="65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Unsecured February 2020 Senior Notes Offering and Redemption and Repayment of the Second Lien Notes. </w:t>
      </w:r>
      <w:r>
        <w:rPr>
          <w:rFonts w:ascii="Arial" w:cs="Arial" w:eastAsia="Arial" w:hAnsi="Arial"/>
          <w:sz w:val="18"/>
          <w:szCs w:val="18"/>
          <w:color w:val="auto"/>
        </w:rPr>
        <w:t>On February 5,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Partnership and the Co-Issuer (together with the Operating Partnership, the “Issuers”) issued (i) $750.0 million in aggregate principal amount of 2025 Notes, accruing interest at 3.500% per annum, (ii) $750.0 million in aggregate principal amount of 2027 Notes, accruing interest at 3.750% per annum and (iii) $1.0 billion aggregate principal amount of 2030 Notes, accruing interest at 4.125% per annum. On February 20, 2020, we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used a portion of the net proceeds from the 2025 Notes, together with cash on hand, to redeem in full the outstanding $498.5 million in aggregate principal amount of the Second Lien Notes plus the Second Lien Notes Applicable Premium, for a total redemption cost of approximately $537.5 million. We used the remaining $2.0 billion of the net proceeds of the offering to fund a portion of the purchase price of the Eldorado Transaction on July 20, 2020.</w:t>
      </w:r>
    </w:p>
    <w:p>
      <w:pPr>
        <w:spacing w:after="0" w:line="79" w:lineRule="exact"/>
        <w:rPr>
          <w:sz w:val="20"/>
          <w:szCs w:val="20"/>
          <w:color w:val="auto"/>
        </w:rPr>
      </w:pPr>
    </w:p>
    <w:p>
      <w:pPr>
        <w:ind w:left="660" w:hanging="328"/>
        <w:spacing w:after="0" w:line="277" w:lineRule="auto"/>
        <w:tabs>
          <w:tab w:leader="none" w:pos="655"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Repricing of Term Loan B Facility. </w:t>
      </w:r>
      <w:r>
        <w:rPr>
          <w:rFonts w:ascii="Arial" w:cs="Arial" w:eastAsia="Arial" w:hAnsi="Arial"/>
          <w:sz w:val="18"/>
          <w:szCs w:val="18"/>
          <w:color w:val="auto"/>
        </w:rPr>
        <w:t>On January 24, 2020, we amended the Term Loan B Facility to reduce the interest rate from L + 2.00% to L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1.75%.</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TRENDS THAT MAY AFFECT OUR BUSINESS</w:t>
      </w:r>
    </w:p>
    <w:p>
      <w:pPr>
        <w:spacing w:after="0" w:line="224" w:lineRule="exact"/>
        <w:rPr>
          <w:sz w:val="20"/>
          <w:szCs w:val="20"/>
          <w:color w:val="auto"/>
        </w:rPr>
      </w:pPr>
    </w:p>
    <w:p>
      <w:pPr>
        <w:jc w:val="both"/>
        <w:spacing w:after="0" w:line="27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Subsidiaries of Caesars, Penn National, Hard Rock, Century Casinos and JACK Entertainment are the lessees of all of our properties pursuant to the Lease Agreements, and Caesars, Penn National, Seminole Hard Rock, Century Casinos or Rock Ohio Ventures LLC guarantees the obligations of their respective subsidiary tenants under the Lease Agreements. The Lease Agreements account for a substantial majority of our revenues. Additionally, we expect to realize organic growth in rental revenue through annual rent escalators in our Lease Agreements. Accordingly, we are dependent on our tenants, the gaming industry and the health of the economies in the areas where our properties are located for the foreseeable future, and an event that has a material adverse effect on any of our tenant’s business, financial condition, liquidity, results of operations or prospects, such as the ongoing COVID-19 pandemic, would </w:t>
      </w:r>
      <w:hyperlink w:anchor="page24">
        <w:r>
          <w:rPr>
            <w:rFonts w:ascii="Arial" w:cs="Arial" w:eastAsia="Arial" w:hAnsi="Arial"/>
            <w:sz w:val="17"/>
            <w:szCs w:val="17"/>
            <w:color w:val="auto"/>
          </w:rPr>
          <w:t xml:space="preserve">have a material adverse effect on our business, financial condition, liquidity, results of operations and prospects. See </w:t>
        </w:r>
        <w:r>
          <w:rPr>
            <w:rFonts w:ascii="Arial" w:cs="Arial" w:eastAsia="Arial" w:hAnsi="Arial"/>
            <w:sz w:val="17"/>
            <w:szCs w:val="17"/>
            <w:u w:val="single" w:color="auto"/>
            <w:color w:val="0000FF"/>
          </w:rPr>
          <w:t>Item 1A “Risk Factors—Risks Related</w:t>
        </w:r>
      </w:hyperlink>
      <w:r>
        <w:rPr>
          <w:rFonts w:ascii="Arial" w:cs="Arial" w:eastAsia="Arial" w:hAnsi="Arial"/>
          <w:sz w:val="17"/>
          <w:szCs w:val="17"/>
          <w:color w:val="auto"/>
        </w:rPr>
        <w:t xml:space="preserve"> </w:t>
      </w:r>
      <w:hyperlink w:anchor="page7">
        <w:r>
          <w:rPr>
            <w:rFonts w:ascii="Arial" w:cs="Arial" w:eastAsia="Arial" w:hAnsi="Arial"/>
            <w:sz w:val="17"/>
            <w:szCs w:val="17"/>
            <w:u w:val="single" w:color="auto"/>
            <w:color w:val="0000FF"/>
          </w:rPr>
          <w:t>to Our Business and Operations.”</w:t>
        </w:r>
        <w:r>
          <w:rPr>
            <w:rFonts w:ascii="Arial" w:cs="Arial" w:eastAsia="Arial" w:hAnsi="Arial"/>
            <w:sz w:val="17"/>
            <w:szCs w:val="17"/>
            <w:color w:val="000000"/>
          </w:rPr>
          <w:t>. For a full discussion on the impact of the COVID-19 Pandemic on our business see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Item 1 “Business—Impact of the</w:t>
        </w:r>
      </w:hyperlink>
      <w:r>
        <w:rPr>
          <w:rFonts w:ascii="Arial" w:cs="Arial" w:eastAsia="Arial" w:hAnsi="Arial"/>
          <w:sz w:val="17"/>
          <w:szCs w:val="17"/>
          <w:color w:val="0000FF"/>
        </w:rPr>
        <w:t xml:space="preserve"> </w:t>
      </w:r>
      <w:hyperlink w:anchor="page7">
        <w:r>
          <w:rPr>
            <w:rFonts w:ascii="Arial" w:cs="Arial" w:eastAsia="Arial" w:hAnsi="Arial"/>
            <w:sz w:val="17"/>
            <w:szCs w:val="17"/>
            <w:u w:val="single" w:color="auto"/>
            <w:color w:val="0000FF"/>
          </w:rPr>
          <w:t>COVID-19 Pandemic on Our Business.”</w:t>
        </w:r>
      </w:hyperlink>
    </w:p>
    <w:p>
      <w:pPr>
        <w:spacing w:after="0" w:line="127" w:lineRule="exact"/>
        <w:rPr>
          <w:rFonts w:ascii="Arial" w:cs="Arial" w:eastAsia="Arial" w:hAnsi="Arial"/>
          <w:sz w:val="17"/>
          <w:szCs w:val="17"/>
          <w:color w:val="auto"/>
        </w:rPr>
      </w:pPr>
    </w:p>
    <w:p>
      <w:pPr>
        <w:jc w:val="both"/>
        <w:spacing w:after="0" w:line="269" w:lineRule="auto"/>
        <w:rPr>
          <w:sz w:val="20"/>
          <w:szCs w:val="20"/>
          <w:color w:val="auto"/>
        </w:rPr>
      </w:pPr>
      <w:r>
        <w:rPr>
          <w:rFonts w:ascii="Arial" w:cs="Arial" w:eastAsia="Arial" w:hAnsi="Arial"/>
          <w:sz w:val="17"/>
          <w:szCs w:val="17"/>
          <w:color w:val="auto"/>
        </w:rPr>
        <w:t>We actively seek to grow our portfolio through acquisitions of, and investments in, experiential real estate in geographically diverse dynamic markets spanning hospitality, entertainment, leisure and gaming properties. Additionally, we expect to grow our portfolio through acquisitions by pursuing opportunities to execute sale leaseback transactions with Caesars, including pursuant to: (i) the Centaur Properties Put-Call Agreement; (ii) the Caesars Forum Put-Call Agreement; and (iii) the Las Vegas Strip ROFR Agreement and Horseshoe Baltimore ROFR Agreement. However, Caesars will make an independent financial decision regarding whether to sell properties and therefore trigger the rights of first refusal under the Las Vegas Strip ROFR Agreement and the Horseshoe Baltimore ROFR Agreement, and we will make an independent financial decision whether to purchase the properties in each instance. Finally, we believe the approximately 34 acres of undeveloped or underdeveloped land on and adjacent to the Las Vegas Strip that we own may provide attractive opportunities for potential future expansion and development. In pursuing external growth initiatives, we will generally seek to acquire or invest in properties that can generate stable revenue through long-term leases with tenants with established operating histories, and we will consider various factors when evaluating acquisitions and other investments, including the ability to continue to diversify our tenant base and increasing our geographic diversification.</w:t>
      </w:r>
    </w:p>
    <w:p>
      <w:pPr>
        <w:spacing w:after="0" w:line="128" w:lineRule="exact"/>
        <w:rPr>
          <w:rFonts w:ascii="Arial" w:cs="Arial" w:eastAsia="Arial" w:hAnsi="Arial"/>
          <w:sz w:val="17"/>
          <w:szCs w:val="17"/>
          <w:color w:val="auto"/>
        </w:rPr>
      </w:pPr>
    </w:p>
    <w:p>
      <w:pPr>
        <w:jc w:val="both"/>
        <w:spacing w:after="0" w:line="267" w:lineRule="auto"/>
        <w:rPr>
          <w:sz w:val="20"/>
          <w:szCs w:val="20"/>
          <w:color w:val="auto"/>
        </w:rPr>
      </w:pPr>
      <w:r>
        <w:rPr>
          <w:rFonts w:ascii="Arial" w:cs="Arial" w:eastAsia="Arial" w:hAnsi="Arial"/>
          <w:sz w:val="17"/>
          <w:szCs w:val="17"/>
          <w:color w:val="auto"/>
        </w:rPr>
        <w:t>Our operating and financial performance in the future will be significantly influenced by the success of our acquisition strategy, and the timing and the availability and terms of financing of any acquisitions that we may complete, as well as broader macroeconomic and other conditions that affect our tenants’ operating and financial performance, including the impact of the COVID-19 pandemic. We can provide no assurance that we will exercise any of our contractual rights to purchase one or more properties from Caesars, that Caesars will trigger the rights of first offer under the Las Vegas Strip ROFR Agreement and Horseshoe Baltimore ROFR Agreement, or that we will otherwise be successful in acquiring any properties (whether subject to the Las Vegas Strip ROFR Agreement, the Horseshoe Baltimore ROFR Agreement, or otherwise). Additionally, our ability to successfully implement our acquisition and investment strategy will depend upon the availability and terms of financing, including debt and equity capital. Further, the pricing of any acquisitions or other investments we may consummate and the terms of any leases that we may enter into will significantly impact our future results. Competition to enter into transactions, including sale leaseback transactions, with attractive properties and desirable tenants is intense, and we can provide no assurance that any future acquisitions, investments or leases will be on terms as favorable to us as those relating to recent transactions. We anticipate that we would seek to finance these acquisitions with a combination of debt and equity, although no assurance can be given that we would be able to issue equity in such amounts on favorable terms, or at all, or that we would not determine to incur more debt on a relative basis at the relevant time due to market conditions or otherwise. In addition to rent, our current Lease Agreements require our tenants to pay the following: (1) all facility maintenance; (2) all insurance required in connection with the leased properties and the business conducted on the leased properties; (3) taxes levied on or with respect to the leased properties (other than taxes on our income); and (4) all utilities and other services necessary or appropriate for the leased properties and the business conducted on the leased properties. Accordingly, due to the “triple-net” structure of our leases, we do not expect to incur significant property-level expenses.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DISCUSSION OF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Variance</w:t>
            </w:r>
          </w:p>
        </w:tc>
      </w:tr>
      <w:tr>
        <w:trPr>
          <w:trHeight w:val="21"/>
        </w:trPr>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Income from sales-type and direct financing leases</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1,007,508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822,205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185,303</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operating leases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Income from lease financing receivables and loans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153,017</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Golf revenues</w:t>
            </w: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330,776</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6,092</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Other Expenses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15,793</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Golf expenses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Change in allowance for credit losses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244,517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244,517</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 and acquisition expenses</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268,719</w:t>
            </w:r>
          </w:p>
        </w:tc>
        <w:tc>
          <w:tcPr>
            <w:tcW w:w="20" w:type="dxa"/>
            <w:vAlign w:val="bottom"/>
          </w:tcPr>
          <w:p>
            <w:pPr>
              <w:spacing w:after="0"/>
              <w:rPr>
                <w:sz w:val="19"/>
                <w:szCs w:val="19"/>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(308,605)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(60,221)</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Loss from extinguishment of debt</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19,084</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upon lease modification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897,039</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555,986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278,996</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896,208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554,281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279,870</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w:t>
            </w:r>
          </w:p>
        </w:tc>
        <w:tc>
          <w:tcPr>
            <w:tcW w:w="7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283,653</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56</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our revenue was comprised of the following items: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304,458</w:t>
            </w:r>
          </w:p>
        </w:tc>
      </w:tr>
      <w:tr>
        <w:trPr>
          <w:trHeight w:val="230"/>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Income from loans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15,673</w:t>
            </w:r>
          </w:p>
        </w:tc>
      </w:tr>
      <w:tr>
        <w:trPr>
          <w:trHeight w:val="229"/>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r>
      <w:tr>
        <w:trPr>
          <w:trHeight w:val="229"/>
        </w:trPr>
        <w:tc>
          <w:tcPr>
            <w:tcW w:w="5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Golf revenues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direct financing, operating and financing receivables leases: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60" w:type="dxa"/>
            <w:vAlign w:val="bottom"/>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sales-type and direct financing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185,303</w:t>
            </w:r>
          </w:p>
        </w:tc>
      </w:tr>
      <w:tr>
        <w:trPr>
          <w:trHeight w:val="229"/>
        </w:trPr>
        <w:tc>
          <w:tcPr>
            <w:tcW w:w="56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ind w:left="780"/>
              <w:spacing w:after="0"/>
              <w:rPr>
                <w:sz w:val="20"/>
                <w:szCs w:val="20"/>
                <w:color w:val="auto"/>
              </w:rPr>
            </w:pPr>
            <w:r>
              <w:rPr>
                <w:rFonts w:ascii="Arial" w:cs="Arial" w:eastAsia="Arial" w:hAnsi="Arial"/>
                <w:sz w:val="18"/>
                <w:szCs w:val="18"/>
                <w:color w:val="auto"/>
                <w:w w:val="92"/>
              </w:rPr>
              <w:t>(18,189)</w:t>
            </w:r>
          </w:p>
        </w:tc>
      </w:tr>
      <w:tr>
        <w:trPr>
          <w:trHeight w:val="229"/>
        </w:trPr>
        <w:tc>
          <w:tcPr>
            <w:tcW w:w="5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Total leasing revenue</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1,170,316</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865,858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8"/>
              </w:rPr>
              <w:t>304,458</w:t>
            </w:r>
          </w:p>
        </w:tc>
      </w:tr>
      <w:tr>
        <w:trPr>
          <w:trHeight w:val="229"/>
        </w:trPr>
        <w:tc>
          <w:tcPr>
            <w:tcW w:w="5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2"/>
              </w:rPr>
              <w:t>(40,122)</w:t>
            </w:r>
          </w:p>
        </w:tc>
      </w:tr>
      <w:tr>
        <w:trPr>
          <w:trHeight w:val="223"/>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Total contractual leasing revenue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1,130,433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866,097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8"/>
              </w:rPr>
              <w:t>264,336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w:t>
      </w:r>
    </w:p>
    <w:p>
      <w:pPr>
        <w:spacing w:after="0" w:line="13" w:lineRule="exact"/>
        <w:rPr>
          <w:sz w:val="20"/>
          <w:szCs w:val="20"/>
          <w:color w:val="auto"/>
        </w:rPr>
      </w:pPr>
    </w:p>
    <w:p>
      <w:pPr>
        <w:jc w:val="both"/>
        <w:ind w:firstLine="8"/>
        <w:spacing w:after="0" w:line="241" w:lineRule="auto"/>
        <w:tabs>
          <w:tab w:leader="none" w:pos="211"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determined to be a sales-type lease. Accordingly, subsequent to July 20, 2020, such income is recognized as Income from sales-type and direct financing leases.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27"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5"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direct financing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Leasing revenue is generated from rent from our Lease Agreements. Total leasing revenue increased $304.5 million during the year ended December 31, 2020 compared to the year ended December 31, 2019. Total contractual leasing revenue increased $264.3 million during the year ended December 31, 2020 compared to the year ended December 31, 2019. The increase was primarily driven by the addition of Greektown, Hard Rock Cincinnati, the Century Portfolio, JACK Cleveland/Thistledown and the MTA Properties to our real estate portfolio in May 2019, September 2019, December 2019, January 2020 and July 2020, respectively, as well as the CPLV Additional Rent Acquisition and the HLV Additional Rent Acquisition in July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from loans increased $15.7 million during the during the year ended December 31, 2020 compared to the year ended December 31, 2019. The increase was driven by the addition of the Amended and Restated ROV Loan, Chelsea Piers Mortgage Loan and Forum Convention Center Mortgage Loan to our real estate portfolio in January 2020, August 2020 and September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For the year ended December 31, 2019, Other income was included net in General and administrative expenses. During the year ended December 31, 2020, we have re-classified Other income to be presented gross with an offsetting amount within Other expenses. Additionally, during the year ended December </w:t>
      </w:r>
      <w:hyperlink w:anchor="page101">
        <w:r>
          <w:rPr>
            <w:rFonts w:ascii="Arial" w:cs="Arial" w:eastAsia="Arial" w:hAnsi="Arial"/>
            <w:sz w:val="18"/>
            <w:szCs w:val="18"/>
            <w:color w:val="auto"/>
          </w:rPr>
          <w:t xml:space="preserve">31, 2020, we recognized additional income and an offsetting expense as a result of the assumption of the HNO Ground Lease, as further described in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01">
        <w:r>
          <w:rPr>
            <w:rFonts w:ascii="Arial" w:cs="Arial" w:eastAsia="Arial" w:hAnsi="Arial"/>
            <w:sz w:val="18"/>
            <w:szCs w:val="18"/>
            <w:u w:val="single" w:color="auto"/>
            <w:color w:val="0000FF"/>
          </w:rPr>
          <w:t>4 - Property Transactions</w:t>
        </w:r>
        <w:r>
          <w:rPr>
            <w:rFonts w:ascii="Arial" w:cs="Arial" w:eastAsia="Arial" w:hAnsi="Arial"/>
            <w:sz w:val="18"/>
            <w:szCs w:val="18"/>
            <w:color w:val="000000"/>
          </w:rPr>
          <w:t>, as part of the MTA Properties Acquisitions.</w:t>
        </w:r>
      </w:hyperlink>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Revenues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golf operations decreased $5.1 million during the year ended December 31, 2020 compared to the year ended December 31, 2019. The decrease was primarily driven by the closure of our golf courses in mid-March until early to mid-May, as well as lower resort play at our Las Vegas courses as a result of the ongoing COVID-19 pandemic, partially offset by an increase in the contractual fees paid to us by Caesars for the use of our golf courses, pursuant to the Golf Course Use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2020 and 2019, our operating expenses were comprised of the following items: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60" w:type="dxa"/>
            <w:vAlign w:val="bottom"/>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491"/>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244,517</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increased $6.1 million during the year ended December 31, 2020 compared to the year ended December 31, 2019. The increase was primarily driven by an increase in compensation, including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For the year ended December 31, 2019, Other expenses were included net in General and administrative expenses. During the year ended December 31, 2020, we have re-classified Other expenses to be presented gross with an offsetting amount within Other income. Additionally, during the year ended December 31, 2020, we recognized additional income and an offsetting expense as a result of the assumption of the HNO Ground Lease, as further described in </w:t>
      </w:r>
      <w:hyperlink w:anchor="page101">
        <w:r>
          <w:rPr>
            <w:rFonts w:ascii="Arial" w:cs="Arial" w:eastAsia="Arial" w:hAnsi="Arial"/>
            <w:sz w:val="18"/>
            <w:szCs w:val="18"/>
            <w:u w:val="single" w:color="auto"/>
            <w:color w:val="0000FF"/>
          </w:rPr>
          <w:t>Note 4 - Property Transactions</w:t>
        </w:r>
      </w:hyperlink>
      <w:r>
        <w:rPr>
          <w:rFonts w:ascii="Arial" w:cs="Arial" w:eastAsia="Arial" w:hAnsi="Arial"/>
          <w:sz w:val="18"/>
          <w:szCs w:val="18"/>
          <w:color w:val="auto"/>
        </w:rPr>
        <w:t>, as part of the MTA Properties Acquisitions.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Expenses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from golf operations decreased $1.3 million during the year ended December 31, 2020 compared to the year ended December 31, 2019. The decrease was primarily driven by the closure of our golf courses in mid-March until early to mid-May, as well as lower resort play at our Las Vegas courses as a result of the ongoing COVID-19 pandemic, partially offset by an increase in the water usage charges at one of our golf courses. Additionally, even though our courses were closed from mid-March until early to mid-May as a result of the ongoing COVID-19 pandemic, we continued to pay all of our golf course employees their full salaries and benefits for the closure period and, accordingly, the decrease in our golf course operating revenues was not proportionately offset by a decrease in golf course operating expenses.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$3.7 million and $3.8 million of depreciation expense was incurred primarily by the golf business during the year ended December 31, 2020 and 2019,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On January 1, 2020, we adopted ASU No. 2016-13 -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which requires us to record an estimated credit loss for our (i) Investments in leases - sales-type and direct financing, (ii) Investments in leases - financing receivables and (iii) Investments in loans. During the year ended December 31, 2020, we recognized a $244.5 million increase in our allowance for credit losses primarily driven by the increase in investment balances subject to CECL. Specifically, the increase was primarily attributable to (i) the increase in investment balances resulting from the Eldorado Transaction, which includes (A) an initial CECL allowance on our $1.8 billion investment in the MTA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our existing Caesars Lease Agreements as a result of the mark to fair value in connection with the reassessment of lease classification, (ii) an increase related to our initial investment in JACK Cleveland/Thistledown and the ROV Loan in January 2020, (iii) an increase in the short-term probability of default of Caesars as a result of the Eldorado/Caesars Merger and (iv) an increase in the long-term probability of default of our tenants due to downgrades on certain of the credit ratings of our tenants’ senior secured debt in connection with the COVID-19 pandemic. The credit loss standard does not require retrospective application and, as such, there is no corresponding charge for the year ended December 31, 2019. Refer to </w:t>
      </w:r>
      <w:hyperlink w:anchor="page116">
        <w:r>
          <w:rPr>
            <w:rFonts w:ascii="Arial" w:cs="Arial" w:eastAsia="Arial" w:hAnsi="Arial"/>
            <w:sz w:val="16"/>
            <w:szCs w:val="16"/>
            <w:u w:val="single" w:color="auto"/>
            <w:color w:val="0000FF"/>
          </w:rPr>
          <w:t>Note 6 - Allowance for Credit Losses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and acquisition costs increased $3.7 million during the year ended December 31, 2020 compared to the year ended December 31, 2019. Changes in transaction and acquisition expenses are related to fluctuations in (i) costs incurred for investments during the period that are not capitalizable under GAAP and (ii) costs incurred for investments that we are no longer pursuing.</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$60.2 million during the year ended December 31, 2020 compared to the year ended December 31, 2019. The increase is primarily attributable to the increase in debt of $4.75 billion from the February 2020 Senior Unsecured Notes offering and the November 2019 Senior Unsecured Notes offering, partially offset by a $2.05 billion reduction in debt as a result of the full redemption of the Second Lien Notes in February 2020 and full repayment of the CPLV CMBS Debt in November 2019.</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weighted average annualized interest rate of our debt decreased to 4.47% during the year ended December 31, 2020 from 4.95% during the year ended December 31, 2019 as a result of (i) the weighted average interest rate on the February 2020 Senior Unsecured Notes and the November 2019 Senior Unsecured Notes being lower than the weighted average interest rate of the Second Lien Notes and CPLV CMBS Debt, (ii) a decrease in LIBOR on the $100.0 million portion of our variable rate debt that is not hedged and (iii) a reduction in the interest rate on the Term Loan B Facility from LIBOR plus 2.00% to LIBOR plus 1.75%.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$13.2 million during the year ended December 31, 2020 compared to the year ended December 31, 2019. The decrease was primarily driven by an overall decrease in our cash and short-term investment balances and a substantial decrease in the interest rates earned on these investment balances.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2020, we recognized a loss on extinguishment of debt of $39.1 million resulting from the full redemption of our Second Lien Notes in February 2020. During the year ended December 31, 2019, we recognized a loss on extinguishment of debt of $58.1 million resulting from the $110.8 million prepayment penalties associated with the full repayment of our CPLV CMBS Debt in November 2019, net of $55.4 million of which was reimbursed by Eldorado.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Eldorado Transaction and as required under ASC 842, we reassessed the lease classification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175" w:lineRule="exact"/>
        <w:rPr>
          <w:sz w:val="20"/>
          <w:szCs w:val="20"/>
          <w:color w:val="auto"/>
        </w:rPr>
      </w:pPr>
    </w:p>
    <w:p>
      <w:pPr>
        <w:jc w:val="both"/>
        <w:spacing w:after="0" w:line="263" w:lineRule="auto"/>
        <w:rPr>
          <w:rFonts w:ascii="Arial" w:cs="Arial" w:eastAsia="Arial" w:hAnsi="Arial"/>
          <w:sz w:val="18"/>
          <w:szCs w:val="18"/>
          <w:color w:val="0000FF"/>
        </w:rPr>
      </w:pPr>
      <w:hyperlink r:id="rId75">
        <w:r>
          <w:rPr>
            <w:rFonts w:ascii="Arial" w:cs="Arial" w:eastAsia="Arial" w:hAnsi="Arial"/>
            <w:sz w:val="18"/>
            <w:szCs w:val="18"/>
            <w:color w:val="auto"/>
          </w:rPr>
          <w:t>For a comparison of our results of operations for the fiscal years ended December 31, 2019 and 2018, see “</w:t>
        </w:r>
        <w:r>
          <w:rPr>
            <w:rFonts w:ascii="Arial" w:cs="Arial" w:eastAsia="Arial" w:hAnsi="Arial"/>
            <w:sz w:val="18"/>
            <w:szCs w:val="18"/>
            <w:u w:val="single" w:color="auto"/>
            <w:color w:val="0000FF"/>
          </w:rPr>
          <w:t>Part II, Item 7. Management’s Discussion and</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FF"/>
          </w:rPr>
          <w:t>Analysis of Financial Condition and Results of Operations</w:t>
        </w:r>
        <w:r>
          <w:rPr>
            <w:rFonts w:ascii="Arial" w:cs="Arial" w:eastAsia="Arial" w:hAnsi="Arial"/>
            <w:sz w:val="18"/>
            <w:szCs w:val="18"/>
            <w:color w:val="000000"/>
          </w:rPr>
          <w:t>” of our annual report on Form 10-K for the fiscal year ended December 31, 2019, filed with the</w:t>
        </w:r>
      </w:hyperlink>
      <w:r>
        <w:rPr>
          <w:rFonts w:ascii="Arial" w:cs="Arial" w:eastAsia="Arial" w:hAnsi="Arial"/>
          <w:sz w:val="18"/>
          <w:szCs w:val="18"/>
          <w:color w:val="0000FF"/>
        </w:rPr>
        <w:t xml:space="preserve"> </w:t>
      </w:r>
      <w:r>
        <w:rPr>
          <w:rFonts w:ascii="Arial" w:cs="Arial" w:eastAsia="Arial" w:hAnsi="Arial"/>
          <w:sz w:val="18"/>
          <w:szCs w:val="18"/>
          <w:color w:val="000000"/>
        </w:rPr>
        <w:t>SEC on February 20, 2020 and incorporated by reference herein.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2"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and gains (or losses) on debt extinguishment, other non-recurring non-cash transactions (such as non-cash gain upon lease modification) and non-cash adjustments attributable to non-controlling interest with respect to certain of the foregoing. The non-cash change in allowance for credit losses consists of estimated credit losses for our Investments in leases - sales-type and direct financing, Investments in leases - financing receivables and Investments in loans as a result of our adoption of ASU No. 2016-13 - Financial Instruments-Credit Losses (Topic 326). No similar adjustments are reflected in prior periods because the accounting standard was adopted effective January 1, 2020 and does not require retrospective application. Please see </w:t>
      </w:r>
      <w:hyperlink w:anchor="page116">
        <w:r>
          <w:rPr>
            <w:rFonts w:ascii="Arial" w:cs="Arial" w:eastAsia="Arial" w:hAnsi="Arial"/>
            <w:sz w:val="17"/>
            <w:szCs w:val="17"/>
            <w:u w:val="single" w:color="auto"/>
            <w:color w:val="0000FF"/>
          </w:rPr>
          <w:t>Note 6 - Allowance for Credit Losses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information.</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contractual interest expense and interest income (collectively, interest expense, net) and income tax expense.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FFO, FFO per Share, AFFO, AFFO per Share and Adjusted EBITDA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2020" w:type="dxa"/>
            <w:vAlign w:val="bottom"/>
            <w:gridSpan w:val="3"/>
          </w:tcPr>
          <w:p>
            <w:pPr>
              <w:ind w:left="100"/>
              <w:spacing w:after="0"/>
              <w:rPr>
                <w:sz w:val="20"/>
                <w:szCs w:val="20"/>
                <w:color w:val="auto"/>
              </w:rPr>
            </w:pPr>
            <w:r>
              <w:rPr>
                <w:rFonts w:ascii="Arial" w:cs="Arial" w:eastAsia="Arial" w:hAnsi="Arial"/>
                <w:sz w:val="16"/>
                <w:szCs w:val="16"/>
                <w:b w:val="1"/>
                <w:bCs w:val="1"/>
                <w:color w:val="auto"/>
                <w:w w:val="96"/>
              </w:rPr>
              <w:t>Year Ended 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30"/>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50"/>
              <w:spacing w:after="0" w:line="175"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stockholders</w:t>
            </w:r>
          </w:p>
        </w:tc>
        <w:tc>
          <w:tcPr>
            <w:tcW w:w="2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891,674</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545,964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depreciation</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FFO</w:t>
            </w:r>
          </w:p>
        </w:tc>
        <w:tc>
          <w:tcPr>
            <w:tcW w:w="2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891,674</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545,964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leasing and financing adjustments</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Non-cash change in allowance for credit losses</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244,517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Amortization of debt issuance costs and original issue discount</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depreciation</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gain upon lease modification</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Non-cash adjustments attributable to non-controlling interest</w:t>
            </w:r>
          </w:p>
        </w:tc>
        <w:tc>
          <w:tcPr>
            <w:tcW w:w="2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AFFO</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835,804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281,938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1,118,573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5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56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FFO per common share</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AFFO per common share</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56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560" w:type="dxa"/>
            <w:vAlign w:val="bottom"/>
            <w:gridSpan w:val="2"/>
          </w:tcPr>
          <w:p>
            <w:pPr>
              <w:jc w:val="right"/>
              <w:ind w:right="273"/>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506,140,642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435,071,096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510,908,755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439,152,946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jc w:val="right"/>
              <w:ind w:right="133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our available cash balances, short-term investments, capacity under our Revolving Credit Facility and additional available proceeds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460" w:type="dxa"/>
            <w:vAlign w:val="bottom"/>
          </w:tcPr>
          <w:p>
            <w:pPr>
              <w:spacing w:after="0"/>
              <w:rPr>
                <w:sz w:val="17"/>
                <w:szCs w:val="17"/>
                <w:color w:val="auto"/>
              </w:rPr>
            </w:pPr>
          </w:p>
        </w:tc>
        <w:tc>
          <w:tcPr>
            <w:tcW w:w="2560" w:type="dxa"/>
            <w:vAlign w:val="bottom"/>
          </w:tcPr>
          <w:p>
            <w:pPr>
              <w:jc w:val="right"/>
              <w:ind w:right="69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tc>
        <w:tc>
          <w:tcPr>
            <w:tcW w:w="4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gridSpan w:val="2"/>
          </w:tcPr>
          <w:p>
            <w:pPr>
              <w:spacing w:after="0" w:line="256" w:lineRule="exact"/>
              <w:rPr>
                <w:sz w:val="20"/>
                <w:szCs w:val="20"/>
                <w:color w:val="auto"/>
              </w:rPr>
            </w:pPr>
            <w:r>
              <w:rPr>
                <w:rFonts w:ascii="Arial" w:cs="Arial" w:eastAsia="Arial" w:hAnsi="Arial"/>
                <w:sz w:val="18"/>
                <w:szCs w:val="18"/>
                <w:color w:val="auto"/>
              </w:rPr>
              <w:t xml:space="preserve">Proceeds available from settlement of the June 2020 Forward Sale Agreement </w:t>
            </w:r>
            <w:r>
              <w:rPr>
                <w:rFonts w:ascii="Arial" w:cs="Arial" w:eastAsia="Arial" w:hAnsi="Arial"/>
                <w:sz w:val="23"/>
                <w:szCs w:val="23"/>
                <w:i w:val="1"/>
                <w:iCs w:val="1"/>
                <w:color w:val="auto"/>
                <w:vertAlign w:val="superscript"/>
              </w:rPr>
              <w:t>(2)</w:t>
            </w:r>
          </w:p>
        </w:tc>
        <w:tc>
          <w:tcPr>
            <w:tcW w:w="4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1,883,187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3" w:lineRule="exact"/>
        <w:rPr>
          <w:rFonts w:ascii="Arial" w:cs="Arial" w:eastAsia="Arial" w:hAnsi="Arial"/>
          <w:sz w:val="14"/>
          <w:szCs w:val="14"/>
          <w:i w:val="1"/>
          <w:iCs w:val="1"/>
          <w:color w:val="auto"/>
        </w:rPr>
      </w:pPr>
    </w:p>
    <w:p>
      <w:pPr>
        <w:ind w:left="320" w:hanging="312"/>
        <w:spacing w:after="0"/>
        <w:tabs>
          <w:tab w:leader="none" w:pos="320" w:val="left"/>
        </w:tabs>
        <w:numPr>
          <w:ilvl w:val="0"/>
          <w:numId w:val="34"/>
        </w:numPr>
        <w:rPr>
          <w:rFonts w:ascii="Arial" w:cs="Arial" w:eastAsia="Arial" w:hAnsi="Arial"/>
          <w:sz w:val="13"/>
          <w:szCs w:val="13"/>
          <w:i w:val="1"/>
          <w:iCs w:val="1"/>
          <w:color w:val="auto"/>
        </w:rPr>
      </w:pPr>
      <w:r>
        <w:rPr>
          <w:rFonts w:ascii="Arial" w:cs="Arial" w:eastAsia="Arial" w:hAnsi="Arial"/>
          <w:sz w:val="13"/>
          <w:szCs w:val="13"/>
          <w:i w:val="1"/>
          <w:iCs w:val="1"/>
          <w:color w:val="auto"/>
        </w:rPr>
        <w:t>Assumes the physical settlement of the remaining 26,900,000 shares under the June 2020 Forward Sale Agreement at the forward sale price of $20.34, calculated as of December 31, 2020.</w:t>
      </w:r>
    </w:p>
    <w:p>
      <w:pPr>
        <w:spacing w:after="0" w:line="167"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126">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FF"/>
          </w:rPr>
          <w:t>Note 11 - Commitments and Contingent</w:t>
        </w:r>
      </w:hyperlink>
      <w:r>
        <w:rPr>
          <w:rFonts w:ascii="Arial" w:cs="Arial" w:eastAsia="Arial" w:hAnsi="Arial"/>
          <w:sz w:val="18"/>
          <w:szCs w:val="18"/>
          <w:color w:val="auto"/>
        </w:rPr>
        <w:t xml:space="preserve"> </w:t>
      </w:r>
      <w:hyperlink w:anchor="page126">
        <w:r>
          <w:rPr>
            <w:rFonts w:ascii="Arial" w:cs="Arial" w:eastAsia="Arial" w:hAnsi="Arial"/>
            <w:sz w:val="18"/>
            <w:szCs w:val="18"/>
            <w:u w:val="single" w:color="auto"/>
            <w:color w:val="0000FF"/>
          </w:rPr>
          <w:t>Liabilities</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December 31, 2020, we have $6.9 billion of debt obligations outstanding, none of which are maturing in the next twelve months. As of December 31, 2020, we have $46.0 million in future funding commitments consisting of $25.0 million related to the ROV Credit Facility, $15.0 million related to the delayed draw portion of the Chelsea Piers Mortgage Loan and $6.0 million related to the funding of the construction of a new gaming patio amenity at JACK Thistledown Racino, which will be leased by JACK Entertainment pursuant to the JACK Lease Agreement Amendment. For a summary of principal debt balances and their maturity dates and principal terms refer to </w:t>
      </w:r>
      <w:hyperlink w:anchor="page118">
        <w:r>
          <w:rPr>
            <w:rFonts w:ascii="Arial" w:cs="Arial" w:eastAsia="Arial" w:hAnsi="Arial"/>
            <w:sz w:val="18"/>
            <w:szCs w:val="18"/>
            <w:u w:val="single" w:color="auto"/>
            <w:color w:val="0000FF"/>
          </w:rPr>
          <w:t>Note 8 - Debt</w:t>
        </w:r>
      </w:hyperlink>
      <w:r>
        <w:rPr>
          <w:rFonts w:ascii="Arial" w:cs="Arial" w:eastAsia="Arial" w:hAnsi="Arial"/>
          <w:sz w:val="18"/>
          <w:szCs w:val="18"/>
          <w:color w:val="auto"/>
        </w:rPr>
        <w:t xml:space="preserve">. For a summary of our future funding commitments under our loan portfolio refer to </w:t>
      </w:r>
      <w:hyperlink w:anchor="page109">
        <w:r>
          <w:rPr>
            <w:rFonts w:ascii="Arial" w:cs="Arial" w:eastAsia="Arial" w:hAnsi="Arial"/>
            <w:sz w:val="18"/>
            <w:szCs w:val="18"/>
            <w:u w:val="single" w:color="auto"/>
            <w:color w:val="0000FF"/>
          </w:rPr>
          <w:t>Note 5 - Real Estate Portfolio</w:t>
        </w:r>
      </w:hyperlink>
      <w:r>
        <w:rPr>
          <w:rFonts w:ascii="Arial" w:cs="Arial" w:eastAsia="Arial" w:hAnsi="Arial"/>
          <w:sz w:val="18"/>
          <w:szCs w:val="18"/>
          <w:color w:val="auto"/>
        </w:rPr>
        <w:t>.</w:t>
      </w:r>
    </w:p>
    <w:p>
      <w:pPr>
        <w:spacing w:after="0" w:line="141"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are described in </w:t>
      </w:r>
      <w:hyperlink w:anchor="page109">
        <w:r>
          <w:rPr>
            <w:rFonts w:ascii="Arial" w:cs="Arial" w:eastAsia="Arial" w:hAnsi="Arial"/>
            <w:sz w:val="18"/>
            <w:szCs w:val="18"/>
            <w:u w:val="single" w:color="auto"/>
            <w:color w:val="0000FF"/>
          </w:rPr>
          <w:t>Note 5 - Real Estate Portfolio</w:t>
        </w:r>
      </w:hyperlink>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2025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668,438</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8,579,680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2,309,452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5,418,438</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5"/>
              </w:rPr>
              <w:t>Operating lease for Cascata Golf Course</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19,749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Golf maintenance contract for Rio Secco</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60,983</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5,479,421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jc w:val="both"/>
        <w:ind w:firstLine="8"/>
        <w:spacing w:after="0" w:line="241" w:lineRule="auto"/>
        <w:tabs>
          <w:tab w:leader="none" w:pos="209"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if the maturity is extended pursuant to the terms of the agreement, such extended maturity date as determined pursuant thereto).</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Revolving Credit Facility will mature on May 15, 2024.</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interest payments on variable interest loans are based on a LIBOR rate as of December 31, 2020.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6"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commitment funding date or expiration date, as applicable, however we may be obligated to fund these commitments earlier than such date.</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short-term investments, cash received under our Lease Agreements, borrowings from banks, including undrawn capacity under our Revolving Credit Facility, and proceeds from the issuance of debt and equity securities (including issuances under the June 2020 Forward Sale Agreement and our at-the-market offering program).</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the Lease Agreements call for an initial term of fifteen years with four, five-year tenant renewal options and are designed to provide us with a reliable and predictable long-term revenue stream (except for the JACK Cleveland/Thistledown Lease Agreement, as amended, which now provides for an initial term of twenty years with three, five-year renewal options). However, the COVID-19 pandemic has adversely impacted our tenants and their financial condition, and is expected to continue to do so, as all of their properties were closed for a period of time, and upon reopening are subject to operating restrictions and continuing uncertainty as to whether they will be forced to close again in the future. In the event our tenants are unable to make all of their contractual rent payments as provided by the Lease Agreements, we believe we have sufficient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liquidity from the other sources discussed above to meet all of our contractual obligations for a significant period of time. Additionally, we do not have any debt maturities until 2024. For more information, refer to the risk factors in </w:t>
      </w:r>
      <w:hyperlink w:anchor="page24">
        <w:r>
          <w:rPr>
            <w:rFonts w:ascii="Arial" w:cs="Arial" w:eastAsia="Arial" w:hAnsi="Arial"/>
            <w:sz w:val="18"/>
            <w:szCs w:val="18"/>
            <w:u w:val="single" w:color="auto"/>
            <w:color w:val="0000FF"/>
          </w:rPr>
          <w:t>Part I. Item 1A. Risk Factors</w:t>
        </w:r>
      </w:hyperlink>
      <w:r>
        <w:rPr>
          <w:rFonts w:ascii="Arial" w:cs="Arial" w:eastAsia="Arial" w:hAnsi="Arial"/>
          <w:sz w:val="18"/>
          <w:szCs w:val="18"/>
          <w:color w:val="auto"/>
        </w:rPr>
        <w:t>.</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cash flows from operations and our ability to access capital resources could be adversely affected due to uncertain economic factors and volatility in the financial and credit markets, including the current conditions created by the COVID-19 pandemic, which has severely and adversely impacted global, national and regional economic activity and has contributed to significant volatility and negative pressure in financial markets. In particular, in connection with the ongoing COVID-19 pandemic and its impact on our tenants’ operations and financial performance, we have provided certain relief under the applicable Lease Agreements to some of our tenants as more fully described above in “—Summary of Significant 2020 Activities — Amendment to JACK Cleveland/Thistledown Lease Agreement”, “—Summary of Significant 2020 Activities — Amendment to Century Portfolio Lease Agreement” and “— Summary of Significant 2020 Activities — Amendment to Caesars Lease Agreements” and, as a result, we can provide no assurances that our tenants will not default on their leases or fail to make full rental payments if their businesses become challenged due to, among other things, current or future adverse economic conditions. In addition, any such tenant default or failure to make full rental payments could impact our operating performance and result in us not satisfying the financial covenants applicable to our outstanding indebtedness, which could result in us not being able to incur additional debt, including the available capacity under our Revolving Credit Facility, or result in a default. Further, current or future economic conditions could impact our tenants’ ability to meet capital improvement requirements or other obligations required in our Lease Agreements that could result in a decrease in the value of our properties.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years ended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72"/>
              <w:spacing w:after="0"/>
              <w:rPr>
                <w:sz w:val="20"/>
                <w:szCs w:val="20"/>
                <w:color w:val="auto"/>
              </w:rPr>
            </w:pPr>
            <w:r>
              <w:rPr>
                <w:rFonts w:ascii="Arial" w:cs="Arial" w:eastAsia="Arial" w:hAnsi="Arial"/>
                <w:sz w:val="16"/>
                <w:szCs w:val="16"/>
                <w:b w:val="1"/>
                <w:bCs w:val="1"/>
                <w:color w:val="auto"/>
              </w:rPr>
              <w:t>Variance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ind w:left="58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883,640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682,159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201,481</w:t>
            </w: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Used in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(4,548,759)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(3,187,380)</w:t>
            </w: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Provided by financing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1,696,553</w:t>
            </w: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Net (decrease) increase in cash, cash equivalents and restricted 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operating activities increased $201.5 million for the year ended December 31, 2020 compared with the year ended December 31, 2019. The increase was primarily due to (i) cash rental payments from the addition of Greektown, Hard Rock Cincinnati, the Century Portfolio, JACK Cleveland/Thistledown and the MTA Properties to our real estate portfolio in May 2019, September 2019, December 2019, January 2020 and July 2020, respectively, as well as the CPLV Additional Rent Acquisition and the HLV Additional Rent Acquisition in July 2020 and (ii) interest income from the ROV Loan, Chelsea Piers Mortgage Loan and the Forum Convention Center Mortgage Loan, all of which were originated in 2020. The increase was partially offset by a decrease due to the prepayment of certain rent in December 2019 related to January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increased $3,187.4 million for the year ended December 31, 2020 compared with the year ended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JACK Cleveland/Thistledown Acquisition and the Eldorado Transaction for a total cost of $4,101.8 million, including acquisition costs;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ROV Loan, the Chelsea Piers Mortgage Loan and the Forum Convention Center Mortgage Loan for a total cost of $535.5 million, including loan origination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Proceeds from the sale of Harrah’s Reno and Bally’s Atlantic City in the aggregate amount of $50.1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$39.5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Acquisition of property and equipment costs of $2.8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Deferred transaction costs of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primary sources and uses of cash from investing activities include:</w:t>
      </w:r>
    </w:p>
    <w:p>
      <w:pPr>
        <w:spacing w:after="0" w:line="117"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Acquisitions of Margaritaville, Greektown, Hard Rock Cincinnati and the Century Portfolio for a total cost of $1,821.1 million, including acquisition costs;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$461.4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the sale of vacant, non-operating land of $1.0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of property and equipment cost of $2.7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Deferred transaction costs of $8.7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provided by financing activities increased $1,696.6 million for the year ended December 31, 2020 compared with the year ended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primary sources and uses of cash from financing activities included: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proceeds from the sale of an aggregate of $1,539.7 million of our common stock pursuant to the full physical settlement of our June 2019 Forward Sale Agreements, the partial physical settlement of our common stock pursuant to our June 2020 Forward Sale Agreement and pursuant to our at-the-market program;</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plus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Dividend payments of $612.2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issuance costs of $57.8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Reimbursement of the CPLV CMBS Debt prepayment penalty from Caesars in the amount of $55.4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Distributions of $8.2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primary sources and uses of cash from financing activities include:</w:t>
      </w:r>
    </w:p>
    <w:p>
      <w:pPr>
        <w:spacing w:after="0" w:line="117" w:lineRule="exact"/>
        <w:rPr>
          <w:sz w:val="20"/>
          <w:szCs w:val="20"/>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proceeds from the sale of an aggregate of $1,164.3 million of our common stock from a primary follow-on offering and pursuant to our at-the-market program;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proceeds from our November 2019 Senior Unsecured Notes offering of $2,250.0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Full repayment of $1,550.0 million of our CPLV CMBS Debt, including the $110.8 million prepayment penalty plus fees;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 payments of $504.0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issuance costs of $56.1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Distributions of $8.1 million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December 31,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78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0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6"/>
              </w:rPr>
              <w:t>Final</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Interest Rate</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Face Value</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3"/>
                <w:szCs w:val="23"/>
                <w:i w:val="1"/>
                <w:iCs w:val="1"/>
                <w:color w:val="auto"/>
                <w:w w:val="95"/>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vMerge w:val="continue"/>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 + 2.00%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+ 1.75%</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1,233,119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985,730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On May 15, 2019, we amended our Revolving Credit Facility to, among other things, increase borrowing capacity by $600.0 million to a total of $1.0 billion and extend the maturity date to May 2024. After giving effect to the amendments executed on May 15, 2019, borrowings under the Revolving Credit Facility bear interest at a rate based on a leverage-based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For the year ended December 31, 2020, the commitment fee was 0.375%.</w:t>
      </w:r>
    </w:p>
    <w:p>
      <w:pPr>
        <w:spacing w:after="0" w:line="2"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In connection with the repricing of the Term Loan B Facility in January 2020, the interest rate was decreased to LIBOR plus 1.75%. As of December 31, 2020 and 2019, we had six interest rate swap agreements outstanding with third-party financial institutions having an aggregate notional amount of $2.0 billion at a blended LIBOR rate of 2.7173%.</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 During 2020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5, 2020, the Issuers issued (i) $750.0 million in aggregate principal amount of 2025 Notes, (ii) $750.0 million in aggregate principal amount of 2027 Notes and (iii) $1.0 billion in aggregate principal amount of 2030 Notes. We placed $2.0 billion of the net proceeds of the offering into escrow pending the consummation of the Eldorado Transaction (which was subsequently released from escrow and used to fund a portion of the consideration payable in connection with the closing of the Eldorado Transaction on July 20, 2020). On February 20, 2020, we used the remaining net proceeds from the 2025 Notes, together with cash on hand, to redeem in full the outstanding $498.5 million in aggregate principal amount of the Second Lien Notes plus the Second Lien Notes Applicable Premium for a total redemption cost of approximately $537.5 million.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22, 2017, VICI PropCo entered into a credit agreement (as amended, the “Credit Agreement”) governing the Term Loan B Facility and the Revolving Credit Facility. 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(as defined in the Credit Agreement)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November 2019 Senior Unsecured Notes and the February 2020 Senior Unsecured Notes (together, the “Senior Unsecured Notes”) were issued in November 2019 and February 2020, respectively, pursuant to indentures (the “Senior Unsecured Notes Indentures”) by and among the Operating Partnership and the Co-Issuer (together with the Operating Partnership, the “Senior Unsecured Notes Issuers”), the subsidiary guarantors party thereto and UMB Bank, National Association, as trustee. The Senior Unsecured Notes Indentures contain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 Company was in compliance with all required debt-related financial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subsidiaries of the Operating Partnership that do not guarantee the Senior Unsecured Notes accounted for: (i) 5.2% of the Operating Partnership’s revenue (or 5.1% of our consolidated revenue) for the fiscal year ended December 31, 2020 and (ii) 3.8% of the Operating Partnership’s total assets (or 3.8% of our consolidated total assets)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are described in </w:t>
      </w:r>
      <w:hyperlink w:anchor="page109">
        <w:r>
          <w:rPr>
            <w:rFonts w:ascii="Arial" w:cs="Arial" w:eastAsia="Arial" w:hAnsi="Arial"/>
            <w:sz w:val="18"/>
            <w:szCs w:val="18"/>
            <w:u w:val="single" w:color="auto"/>
            <w:color w:val="0000FF"/>
          </w:rPr>
          <w:t>Note 5 - Real Estate Portfolio</w:t>
        </w:r>
      </w:hyperlink>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as of the date this report was filed, 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are prepared in accordance with GAAP. We have identified certain accounting policies that we believe are the most critical to the presentation of our financial information over a period of time. These accounting policies may require our management to take decisions on subjective and/or complex matters relating to reported amounts of assets, liabilities, revenue, costs, expenses and related disclosures, including, but not limited to, determining the classification of our leases, the subsequent accounting for our leases and the calculation of our allowance for credit losses. The judgment on such estimates and underlying assumptions is based on our historical experience that we believe is reasonable under the circumstances. Actual results may differ from the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and Direct Financing,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adoption of ASC 842 on January 1, 2019, we made an accounting policy election to use a package of practical expedients that, among other things, allow us to not reassess prior lease classifications or initial direct costs for leases that existed as of the balance sheet date. As such, at that time we did not reassess the classification of our Caesars Lease Agreements, as these leases existed prior to our adoption of ASC 842.</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consummation of the Eldorado Transaction, the Caesars Lease Agreements continued to be accounted for as direct financing leases and were included within Investments in leases - sales-type and direct financing, net on the Balance Sheet, with the exception of the land component of Caesars Palace Las Vegas, which was determined to be an operating lease and was included in Investments in leases - operating on the Balance Sheet. The income recognition for our direct financing leases recognized under ASC 840 “Leases” (“ASC 840”) was consistent with the income recognition for our sales-type lease under ASC 842.</w:t>
      </w:r>
    </w:p>
    <w:p>
      <w:pPr>
        <w:spacing w:after="0" w:line="134"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Upon the consummation of the Eldorado Transaction on July 20, 2020, we modified the CPLV Lease Agreement, HLV Lease Agreement, Non-CPLV Lease Agreement and Joliet Lease Agreement, which included amending certain of the lease terms, combining the CPLV Lease Agreement and HLV Lease Agreement into the Las Vegas Master Lease Agreement and replacing the Non-CPLV Lease Agreement with the Regional Master Lease Agreement. Upon modification, we reassessed the lease classification of the Las Vegas Master Lease Agreement, Regional Master Lease Agreement and Joliet Lease Agreement and determined that the leases meet the definition of a sales-type lease, including the land component of Caesars Palace Las Vegas. Accordingly, we reclassified the land component of Caesars Palace Las Vegas from Investments in leases - operating to Investments in leases - sales-type and direct financing. Further,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 Such gain is recognized in our Statement of Operations as Gain upon lease modification. Subsequent to the consummation of the Eldorado Transaction, we no longer have any leases classified as operating or direct financing and, as such, there is no longer any income recorded through Investments in leases - operating. Refer to </w:t>
      </w:r>
      <w:hyperlink w:anchor="page101">
        <w:r>
          <w:rPr>
            <w:rFonts w:ascii="Arial" w:cs="Arial" w:eastAsia="Arial" w:hAnsi="Arial"/>
            <w:sz w:val="16"/>
            <w:szCs w:val="16"/>
            <w:u w:val="single" w:color="auto"/>
            <w:color w:val="0000FF"/>
          </w:rPr>
          <w:t>Note 4 - Property Transactions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further discussion surrounding the lease modifications. Refer to </w:t>
      </w:r>
      <w:hyperlink w:anchor="page124">
        <w:r>
          <w:rPr>
            <w:rFonts w:ascii="Arial" w:cs="Arial" w:eastAsia="Arial" w:hAnsi="Arial"/>
            <w:sz w:val="16"/>
            <w:szCs w:val="16"/>
            <w:u w:val="single" w:color="auto"/>
            <w:color w:val="0000FF"/>
          </w:rPr>
          <w:t>Note 10 - Fair Value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discussion surrounding the mark to fair value.</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determined that the land and building components of the Margaritaville Lease Agreement, the Greektown Lease Agreement, the Hard Rock Cincinnati Lease Agreement and the Century Portfolio Lease Agreement meet the definition of a sales-type lease under ASC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34" w:lineRule="exact"/>
        <w:rPr>
          <w:sz w:val="20"/>
          <w:szCs w:val="20"/>
          <w:color w:val="auto"/>
        </w:rPr>
      </w:pPr>
    </w:p>
    <w:p>
      <w:pPr>
        <w:jc w:val="both"/>
        <w:spacing w:after="0" w:line="272" w:lineRule="auto"/>
        <w:rPr>
          <w:rFonts w:ascii="Arial" w:cs="Arial" w:eastAsia="Arial" w:hAnsi="Arial"/>
          <w:sz w:val="17"/>
          <w:szCs w:val="17"/>
          <w:color w:val="0000FF"/>
        </w:rPr>
      </w:pPr>
      <w:r>
        <w:rPr>
          <w:rFonts w:ascii="Arial" w:cs="Arial" w:eastAsia="Arial" w:hAnsi="Arial"/>
          <w:sz w:val="17"/>
          <w:szCs w:val="17"/>
          <w:color w:val="auto"/>
        </w:rPr>
        <w:t xml:space="preserve">Upon the consummation of the Eldorado Transaction on July 20, 2020, and reassessment of the classification of the Caesars Lease Agreements, as described above, we determined that the MTA Properties Acquisitions (as defined in </w:t>
      </w:r>
      <w:hyperlink w:anchor="page101">
        <w:r>
          <w:rPr>
            <w:rFonts w:ascii="Arial" w:cs="Arial" w:eastAsia="Arial" w:hAnsi="Arial"/>
            <w:sz w:val="17"/>
            <w:szCs w:val="17"/>
            <w:u w:val="single" w:color="auto"/>
            <w:color w:val="0000FF"/>
          </w:rPr>
          <w:t>Note 4 - Property Transactions</w:t>
        </w:r>
      </w:hyperlink>
      <w:r>
        <w:rPr>
          <w:rFonts w:ascii="Arial" w:cs="Arial" w:eastAsia="Arial" w:hAnsi="Arial"/>
          <w:sz w:val="17"/>
          <w:szCs w:val="17"/>
          <w:color w:val="auto"/>
        </w:rPr>
        <w:t xml:space="preserve">) meet the definition of a separate contract under ASC 842. In accordance with this guidance, we are required to separately assess the lease classification apart from the other assets in the </w:t>
      </w:r>
      <w:hyperlink w:anchor="page101">
        <w:r>
          <w:rPr>
            <w:rFonts w:ascii="Arial" w:cs="Arial" w:eastAsia="Arial" w:hAnsi="Arial"/>
            <w:sz w:val="17"/>
            <w:szCs w:val="17"/>
            <w:color w:val="auto"/>
          </w:rPr>
          <w:t xml:space="preserve">Regional Master Lease Agreement. We determined that the land and building components of the MTA Properties (as defined in </w:t>
        </w:r>
        <w:r>
          <w:rPr>
            <w:rFonts w:ascii="Arial" w:cs="Arial" w:eastAsia="Arial" w:hAnsi="Arial"/>
            <w:sz w:val="17"/>
            <w:szCs w:val="17"/>
            <w:u w:val="single" w:color="auto"/>
            <w:color w:val="0000FF"/>
          </w:rPr>
          <w:t>Note 4 - Property</w:t>
        </w:r>
      </w:hyperlink>
      <w:r>
        <w:rPr>
          <w:rFonts w:ascii="Arial" w:cs="Arial" w:eastAsia="Arial" w:hAnsi="Arial"/>
          <w:sz w:val="17"/>
          <w:szCs w:val="17"/>
          <w:color w:val="auto"/>
        </w:rPr>
        <w:t xml:space="preserve"> </w:t>
      </w:r>
      <w:hyperlink w:anchor="page101">
        <w:r>
          <w:rPr>
            <w:rFonts w:ascii="Arial" w:cs="Arial" w:eastAsia="Arial" w:hAnsi="Arial"/>
            <w:sz w:val="17"/>
            <w:szCs w:val="17"/>
            <w:u w:val="single" w:color="auto"/>
            <w:color w:val="0000FF"/>
          </w:rPr>
          <w:t>Transactions</w:t>
        </w:r>
        <w:r>
          <w:rPr>
            <w:rFonts w:ascii="Arial" w:cs="Arial" w:eastAsia="Arial" w:hAnsi="Arial"/>
            <w:sz w:val="17"/>
            <w:szCs w:val="17"/>
            <w:color w:val="000000"/>
          </w:rPr>
          <w:t>) meet the definition of a sales-type lease and, since we purchased and leased the assets back to Caesars, control is not considered to have</w:t>
        </w:r>
      </w:hyperlink>
      <w:r>
        <w:rPr>
          <w:rFonts w:ascii="Arial" w:cs="Arial" w:eastAsia="Arial" w:hAnsi="Arial"/>
          <w:sz w:val="17"/>
          <w:szCs w:val="17"/>
          <w:color w:val="0000FF"/>
        </w:rPr>
        <w:t xml:space="preserve"> </w:t>
      </w:r>
      <w:r>
        <w:rPr>
          <w:rFonts w:ascii="Arial" w:cs="Arial" w:eastAsia="Arial" w:hAnsi="Arial"/>
          <w:sz w:val="17"/>
          <w:szCs w:val="17"/>
          <w:color w:val="000000"/>
        </w:rPr>
        <w:t>transferred to us under GAAP. Accordingly, the MTA Properties are accounted for as Investments in leases - financing receivables on our Balance Sheet, net of allowance for credit losses, in accordance with ASC 310.</w:t>
      </w:r>
    </w:p>
    <w:p>
      <w:pPr>
        <w:spacing w:after="0" w:line="12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rFonts w:ascii="Arial" w:cs="Arial" w:eastAsia="Arial" w:hAnsi="Arial"/>
          <w:sz w:val="17"/>
          <w:szCs w:val="17"/>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2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rFonts w:ascii="Arial" w:cs="Arial" w:eastAsia="Arial" w:hAnsi="Arial"/>
          <w:sz w:val="17"/>
          <w:szCs w:val="17"/>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sales-type leases, direct financing leases and lease financing receivables on an effective interest basis at a constant rate of return over the terms of the applicable leases. As a result, the cash payments accounted for under sales-type leases, direct financing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and direct financing, net or Investments in leases - financing receivables, net, as applicable.</w:t>
      </w:r>
    </w:p>
    <w:p>
      <w:pPr>
        <w:spacing w:after="0" w:line="53" w:lineRule="exact"/>
        <w:rPr>
          <w:rFonts w:ascii="Arial" w:cs="Arial" w:eastAsia="Arial" w:hAnsi="Arial"/>
          <w:sz w:val="17"/>
          <w:szCs w:val="17"/>
          <w:color w:val="auto"/>
        </w:rPr>
      </w:pPr>
    </w:p>
    <w:p>
      <w:pPr>
        <w:jc w:val="both"/>
        <w:spacing w:after="0" w:line="272" w:lineRule="auto"/>
        <w:rPr>
          <w:sz w:val="20"/>
          <w:szCs w:val="20"/>
          <w:color w:val="auto"/>
        </w:rPr>
      </w:pPr>
      <w:r>
        <w:rPr>
          <w:rFonts w:ascii="Arial" w:cs="Arial" w:eastAsia="Arial" w:hAnsi="Arial"/>
          <w:sz w:val="17"/>
          <w:szCs w:val="17"/>
          <w:color w:val="auto"/>
        </w:rPr>
        <w:t>Prior to July 20, 2020, under ASC 840, we determined that the land component of Caesars Palace Las Vegas was greater than 25% of the overall fair value of the combined land and building components. At lease inception, the land was determined to be an operating lease and 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w:t>
      </w:r>
    </w:p>
    <w:p>
      <w:pPr>
        <w:spacing w:after="0" w:line="69" w:lineRule="exact"/>
        <w:rPr>
          <w:rFonts w:ascii="Arial" w:cs="Arial" w:eastAsia="Arial" w:hAnsi="Arial"/>
          <w:sz w:val="17"/>
          <w:szCs w:val="17"/>
          <w:color w:val="auto"/>
        </w:rPr>
      </w:pPr>
    </w:p>
    <w:p>
      <w:pPr>
        <w:jc w:val="both"/>
        <w:spacing w:after="0" w:line="255"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or direct financing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In connection with the reassessment of the lease classification and mark to fair value of the Caesars Lease Agreements, any initial direct costs capitalized prior to the Eldorado Transaction were written off as part of the gain upon lease modification.</w:t>
      </w:r>
    </w:p>
    <w:p>
      <w:pPr>
        <w:spacing w:after="0" w:line="84" w:lineRule="exact"/>
        <w:rPr>
          <w:rFonts w:ascii="Arial" w:cs="Arial" w:eastAsia="Arial" w:hAnsi="Arial"/>
          <w:sz w:val="17"/>
          <w:szCs w:val="17"/>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rFonts w:ascii="Arial" w:cs="Arial" w:eastAsia="Arial" w:hAnsi="Arial"/>
          <w:sz w:val="17"/>
          <w:szCs w:val="17"/>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and direct financing, Investments in leases - financing receivables and Investments in loans.</w:t>
      </w:r>
    </w:p>
    <w:p>
      <w:pPr>
        <w:spacing w:after="0" w:line="200" w:lineRule="exact"/>
        <w:rPr>
          <w:rFonts w:ascii="Arial" w:cs="Arial" w:eastAsia="Arial" w:hAnsi="Arial"/>
          <w:sz w:val="17"/>
          <w:szCs w:val="17"/>
          <w:color w:val="auto"/>
        </w:rPr>
      </w:pPr>
    </w:p>
    <w:p>
      <w:pPr>
        <w:spacing w:after="0" w:line="36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were unable to use our historical data to estimate losses as we have no loss history to date.</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direct financing and sales 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The CECL allowance related to these future commitments is recorded as a component of Other liabilities on our Balance Sheet.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year ended December 31, 2020.</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16">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income, cash flows and fair values relevant to financial instruments are dependent upon prevailing market interest rates. In the normal course of business, we are exposed to the effect of interest rate changes. We have entered into derivative agreements to mitigate exposure to unexpected changes in interest. Market risk refers to the risk of loss from adverse changes in market interest rates. We periodically use derivative financial instruments to seek to manage, or hedge, interest rate risks related to our borrowings. We do not use derivatives for trading or speculative purposes and only enter into contracts with major financial institutions based on their credit rating and other factors. We intend to enter into derivative agreements only with counterparties that we believe have a strong credit rating to mitigate the risk of counterparty default or insolvency.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$6,850.0 million of debt outstanding of which $4,750.0 million was fixed rate debt and $2,000.0 million was hedged variable rate debt, the remaining $100.0 million of our indebtedness was unhedged. As of December 31, 2020, a one percent increase or decrease in the annual interest rate on our unhedged variable rate borrowings of $100.0 million would increase or decrease our annual cash interest expense by approximately $1.0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year end, on January 22, 2021, two of our interest rate swaps with a notional balance of $500.0 million matured and, as a result, subsequent to January 22, 2021, $600.0 million of our indebtedness was unhedged. After January 22, 2021, a one percent increase or decrease in the annual interest rate on our unhedged variable rate borrowings of $600.0 million would increase or decrease our annual cash interest expense by approximately $6.0 million.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w:t>
      </w:r>
    </w:p>
    <w:p>
      <w:pPr>
        <w:spacing w:after="0" w:line="211"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Financial Data</w:t>
      </w:r>
    </w:p>
    <w:p>
      <w:pPr>
        <w:spacing w:after="0" w:line="179"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financial statements required by this item and the reports of the independent accountants thereon required by Item 15 - Exhibits and Financial Statement Schedule of this Form 10-K appear on pages F-2 to F-55. See accompanying </w:t>
      </w:r>
      <w:hyperlink w:anchor="page80">
        <w:r>
          <w:rPr>
            <w:rFonts w:ascii="Arial" w:cs="Arial" w:eastAsia="Arial" w:hAnsi="Arial"/>
            <w:sz w:val="17"/>
            <w:szCs w:val="17"/>
            <w:u w:val="single" w:color="auto"/>
            <w:color w:val="0000FF"/>
          </w:rPr>
          <w:t>Index to the 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on page F-1. The supplementary financial data required by Item 302 of Regulation S-K appears in pages S-1 to S-4 to the consolidated financial statements.</w:t>
      </w:r>
    </w:p>
    <w:p>
      <w:pPr>
        <w:spacing w:after="0" w:line="19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the design and operation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reporting purposes in accordance with GAAP.</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our management; and provide reasonable assurance regarding prevention or timely detection of unauthorized acquisition, use or disposition of our assets that could have a material effect on our consolidated financial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2020 based on the framework established in the updated Internal Control – Integrated Framework (2013) issued by the Committee of Sponsoring Organizations of the Treadway Commission (COSO). Based on this assessment, management has determined that our internal control over financial reporting was effective as of December 31, 2020.</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Deloitte &amp; Touche LLP, an independent registered public accounting firm, has audited our financial statements included in this report on Form 10-K and issued its attestation report, which is included herein and expresses an unqualified opinion on the effectiveness of our internal control over financial reporting as of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is defined in Rules 13a–15(f) and 15d–15(f) under the Exchange Act) that occurred during our most recent quarter, that has materially affected, or is reasonably likely to materially affect, our internal control over financial reporting.</w:t>
      </w:r>
    </w:p>
    <w:p>
      <w:pPr>
        <w:spacing w:after="0" w:line="211"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III</w:t>
      </w:r>
    </w:p>
    <w:p>
      <w:pPr>
        <w:spacing w:after="0" w:line="247"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2021 with the SEC pursuant to Regulation 14A under the Exchange Act.</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2021 with the SEC pursuant to Regulation 14A under the Exchange Act.</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2021 with the SEC pursuant to Regulation 14A under the Exchange Act.</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2021 with the SEC pursuant to Regulation 14A under the Exchange Act.</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April 30, 2021 with the SEC pursuant to Regulation 14A under the Exchange Act.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247"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b w:val="1"/>
          <w:bCs w:val="1"/>
          <w:color w:val="auto"/>
        </w:rPr>
        <w:t>Financial Statements.</w:t>
      </w:r>
    </w:p>
    <w:p>
      <w:pPr>
        <w:spacing w:after="0" w:line="17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the accompanying </w:t>
      </w:r>
      <w:hyperlink w:anchor="page80">
        <w:r>
          <w:rPr>
            <w:rFonts w:ascii="Arial" w:cs="Arial" w:eastAsia="Arial" w:hAnsi="Arial"/>
            <w:sz w:val="16"/>
            <w:szCs w:val="16"/>
            <w:u w:val="single" w:color="auto"/>
            <w:color w:val="0000FF"/>
          </w:rPr>
          <w:t>Index to Consolidated Financial Statements and Schedule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F-1.</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b w:val="1"/>
          <w:bCs w:val="1"/>
          <w:color w:val="auto"/>
        </w:rPr>
        <w:t>Financial Statement Schedule.</w:t>
      </w:r>
    </w:p>
    <w:p>
      <w:pPr>
        <w:spacing w:after="0" w:line="17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the accompanying </w:t>
      </w:r>
      <w:hyperlink w:anchor="page80">
        <w:r>
          <w:rPr>
            <w:rFonts w:ascii="Arial" w:cs="Arial" w:eastAsia="Arial" w:hAnsi="Arial"/>
            <w:sz w:val="16"/>
            <w:szCs w:val="16"/>
            <w:u w:val="single" w:color="auto"/>
            <w:color w:val="0000FF"/>
          </w:rPr>
          <w:t>Index to Consolidated Financial Statements and Schedule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F-1.</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b w:val="1"/>
          <w:bCs w:val="1"/>
          <w:color w:val="auto"/>
        </w:rPr>
        <w:t>Exhibits.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00" w:type="dxa"/>
            <w:vAlign w:val="bottom"/>
            <w:gridSpan w:val="15"/>
            <w:vMerge w:val="restart"/>
          </w:tcPr>
          <w:p>
            <w:pPr>
              <w:ind w:left="5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1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top w:val="single" w:sz="8" w:color="auto"/>
            </w:tcBorders>
          </w:tcPr>
          <w:p>
            <w:pPr>
              <w:jc w:val="center"/>
              <w:spacing w:after="0" w:line="184" w:lineRule="exact"/>
              <w:rPr>
                <w:rFonts w:ascii="Arial" w:cs="Arial" w:eastAsia="Arial" w:hAnsi="Arial"/>
                <w:sz w:val="18"/>
                <w:szCs w:val="18"/>
                <w:u w:val="single" w:color="auto"/>
                <w:color w:val="0000FF"/>
                <w:w w:val="95"/>
              </w:rPr>
            </w:pPr>
            <w:hyperlink r:id="rId91">
              <w:r>
                <w:rPr>
                  <w:rFonts w:ascii="Arial" w:cs="Arial" w:eastAsia="Arial" w:hAnsi="Arial"/>
                  <w:sz w:val="18"/>
                  <w:szCs w:val="18"/>
                  <w:u w:val="single" w:color="auto"/>
                  <w:color w:val="0000FF"/>
                  <w:w w:val="95"/>
                </w:rPr>
                <w:t>2.1</w:t>
              </w:r>
            </w:hyperlink>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20" w:type="dxa"/>
            <w:vAlign w:val="bottom"/>
            <w:tcBorders>
              <w:top w:val="single" w:sz="8" w:color="auto"/>
            </w:tcBorders>
            <w:gridSpan w:val="17"/>
          </w:tcPr>
          <w:p>
            <w:pPr>
              <w:spacing w:after="0" w:line="184" w:lineRule="exact"/>
              <w:rPr>
                <w:rFonts w:ascii="Arial" w:cs="Arial" w:eastAsia="Arial" w:hAnsi="Arial"/>
                <w:sz w:val="18"/>
                <w:szCs w:val="18"/>
                <w:color w:val="0000FF"/>
              </w:rPr>
            </w:pPr>
            <w:hyperlink r:id="rId91">
              <w:r>
                <w:rPr>
                  <w:rFonts w:ascii="Arial" w:cs="Arial" w:eastAsia="Arial" w:hAnsi="Arial"/>
                  <w:sz w:val="18"/>
                  <w:szCs w:val="18"/>
                  <w:color w:val="0000FF"/>
                </w:rPr>
                <w:t>Third Amended Joint Plan of Reorganization of Caesars Entertainment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17"/>
          </w:tcPr>
          <w:p>
            <w:pPr>
              <w:spacing w:after="0" w:line="156" w:lineRule="exact"/>
              <w:rPr>
                <w:rFonts w:ascii="Arial" w:cs="Arial" w:eastAsia="Arial" w:hAnsi="Arial"/>
                <w:sz w:val="18"/>
                <w:szCs w:val="18"/>
                <w:color w:val="0000FF"/>
                <w:w w:val="97"/>
              </w:rPr>
            </w:pPr>
            <w:hyperlink r:id="rId91">
              <w:r>
                <w:rPr>
                  <w:rFonts w:ascii="Arial" w:cs="Arial" w:eastAsia="Arial" w:hAnsi="Arial"/>
                  <w:sz w:val="18"/>
                  <w:szCs w:val="18"/>
                  <w:color w:val="0000FF"/>
                  <w:w w:val="97"/>
                </w:rPr>
                <w:t>Operating Company, Inc., et al., under Chapter 11 of the Bankruptcy Code,</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91">
              <w:r>
                <w:rPr>
                  <w:rFonts w:ascii="Arial" w:cs="Arial" w:eastAsia="Arial" w:hAnsi="Arial"/>
                  <w:sz w:val="18"/>
                  <w:szCs w:val="18"/>
                  <w:color w:val="0000FF"/>
                  <w:w w:val="87"/>
                </w:rPr>
                <w:t>dated January 13, 2016.</w:t>
              </w:r>
            </w:hyperlink>
          </w:p>
        </w:tc>
        <w:tc>
          <w:tcPr>
            <w:tcW w:w="36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880" w:type="dxa"/>
            <w:vAlign w:val="bottom"/>
          </w:tcPr>
          <w:p>
            <w:pPr>
              <w:jc w:val="center"/>
              <w:spacing w:after="0"/>
              <w:rPr>
                <w:rFonts w:ascii="Arial" w:cs="Arial" w:eastAsia="Arial" w:hAnsi="Arial"/>
                <w:sz w:val="18"/>
                <w:szCs w:val="18"/>
                <w:u w:val="single" w:color="auto"/>
                <w:color w:val="0000FF"/>
                <w:w w:val="95"/>
              </w:rPr>
            </w:pPr>
            <w:hyperlink r:id="rId92">
              <w:r>
                <w:rPr>
                  <w:rFonts w:ascii="Arial" w:cs="Arial" w:eastAsia="Arial" w:hAnsi="Arial"/>
                  <w:sz w:val="18"/>
                  <w:szCs w:val="18"/>
                  <w:u w:val="single" w:color="auto"/>
                  <w:color w:val="0000FF"/>
                  <w:w w:val="95"/>
                </w:rPr>
                <w:t>2.2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17"/>
          </w:tcPr>
          <w:p>
            <w:pPr>
              <w:spacing w:after="0"/>
              <w:rPr>
                <w:rFonts w:ascii="Arial" w:cs="Arial" w:eastAsia="Arial" w:hAnsi="Arial"/>
                <w:sz w:val="18"/>
                <w:szCs w:val="18"/>
                <w:color w:val="0000FF"/>
              </w:rPr>
            </w:pPr>
            <w:hyperlink r:id="rId92">
              <w:r>
                <w:rPr>
                  <w:rFonts w:ascii="Arial" w:cs="Arial" w:eastAsia="Arial" w:hAnsi="Arial"/>
                  <w:sz w:val="18"/>
                  <w:szCs w:val="18"/>
                  <w:color w:val="0000FF"/>
                </w:rPr>
                <w:t>Separation Agreement, dated as of October 6, 2017, between Caesars</w:t>
              </w:r>
            </w:hyperlink>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80" w:type="dxa"/>
            <w:vAlign w:val="bottom"/>
            <w:tcBorders>
              <w:top w:val="single" w:sz="8" w:color="0000FF"/>
            </w:tcBorders>
            <w:gridSpan w:val="6"/>
          </w:tcPr>
          <w:p>
            <w:pPr>
              <w:spacing w:after="0"/>
              <w:rPr>
                <w:rFonts w:ascii="Arial" w:cs="Arial" w:eastAsia="Arial" w:hAnsi="Arial"/>
                <w:sz w:val="18"/>
                <w:szCs w:val="18"/>
                <w:u w:val="single" w:color="auto"/>
                <w:color w:val="0000FF"/>
                <w:w w:val="96"/>
              </w:rPr>
            </w:pPr>
            <w:hyperlink r:id="rId92">
              <w:r>
                <w:rPr>
                  <w:rFonts w:ascii="Arial" w:cs="Arial" w:eastAsia="Arial" w:hAnsi="Arial"/>
                  <w:sz w:val="18"/>
                  <w:szCs w:val="18"/>
                  <w:u w:val="single" w:color="auto"/>
                  <w:color w:val="0000FF"/>
                  <w:w w:val="96"/>
                </w:rPr>
                <w:t>Entertainment Operating Company, Inc. and VICI Properties Inc.</w:t>
              </w:r>
            </w:hyperlink>
          </w:p>
        </w:tc>
        <w:tc>
          <w:tcPr>
            <w:tcW w:w="440" w:type="dxa"/>
            <w:vAlign w:val="bottom"/>
            <w:gridSpan w:val="3"/>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jc w:val="center"/>
              <w:spacing w:after="0"/>
              <w:rPr>
                <w:rFonts w:ascii="Arial" w:cs="Arial" w:eastAsia="Arial" w:hAnsi="Arial"/>
                <w:sz w:val="18"/>
                <w:szCs w:val="18"/>
                <w:u w:val="single" w:color="auto"/>
                <w:color w:val="0000FF"/>
                <w:w w:val="95"/>
              </w:rPr>
            </w:pPr>
            <w:hyperlink r:id="rId93">
              <w:r>
                <w:rPr>
                  <w:rFonts w:ascii="Arial" w:cs="Arial" w:eastAsia="Arial" w:hAnsi="Arial"/>
                  <w:sz w:val="18"/>
                  <w:szCs w:val="18"/>
                  <w:u w:val="single" w:color="auto"/>
                  <w:color w:val="0000FF"/>
                  <w:w w:val="95"/>
                </w:rPr>
                <w:t>2.3</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20" w:type="dxa"/>
            <w:vAlign w:val="bottom"/>
            <w:gridSpan w:val="17"/>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Purchase and Sale Agreement dated as of July 11, 2018 by and between Chester</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Downs and Marina, LLC and Philadelphia Propco LLC</w:t>
              </w:r>
            </w:hyperlink>
          </w:p>
        </w:tc>
        <w:tc>
          <w:tcPr>
            <w:tcW w:w="17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spacing w:after="0"/>
              <w:rPr>
                <w:rFonts w:ascii="Arial" w:cs="Arial" w:eastAsia="Arial" w:hAnsi="Arial"/>
                <w:sz w:val="18"/>
                <w:szCs w:val="18"/>
                <w:u w:val="single" w:color="auto"/>
                <w:color w:val="0000FF"/>
                <w:w w:val="95"/>
              </w:rPr>
            </w:pPr>
            <w:hyperlink r:id="rId94">
              <w:r>
                <w:rPr>
                  <w:rFonts w:ascii="Arial" w:cs="Arial" w:eastAsia="Arial" w:hAnsi="Arial"/>
                  <w:sz w:val="18"/>
                  <w:szCs w:val="18"/>
                  <w:u w:val="single" w:color="auto"/>
                  <w:color w:val="0000FF"/>
                  <w:w w:val="95"/>
                </w:rPr>
                <w:t>2.4</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20" w:type="dxa"/>
            <w:vAlign w:val="bottom"/>
            <w:gridSpan w:val="17"/>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Equity Purchase Agreement dated as of April 5, 2019 by and among Jack Ohio</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Finance LLC and VICI Properties L.P.</w:t>
              </w:r>
            </w:hyperlink>
          </w:p>
        </w:tc>
        <w:tc>
          <w:tcPr>
            <w:tcW w:w="29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center"/>
              <w:spacing w:after="0"/>
              <w:rPr>
                <w:rFonts w:ascii="Arial" w:cs="Arial" w:eastAsia="Arial" w:hAnsi="Arial"/>
                <w:sz w:val="18"/>
                <w:szCs w:val="18"/>
                <w:u w:val="single" w:color="auto"/>
                <w:color w:val="0000FF"/>
                <w:w w:val="95"/>
              </w:rPr>
            </w:pPr>
            <w:hyperlink r:id="rId95">
              <w:r>
                <w:rPr>
                  <w:rFonts w:ascii="Arial" w:cs="Arial" w:eastAsia="Arial" w:hAnsi="Arial"/>
                  <w:sz w:val="18"/>
                  <w:szCs w:val="18"/>
                  <w:u w:val="single" w:color="auto"/>
                  <w:color w:val="0000FF"/>
                  <w:w w:val="95"/>
                </w:rPr>
                <w:t>3.1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17"/>
          </w:tcPr>
          <w:p>
            <w:pPr>
              <w:spacing w:after="0"/>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Articles of Amendment and Restatement of VICI Properties Inc.</w:t>
              </w:r>
            </w:hyperlink>
          </w:p>
        </w:tc>
        <w:tc>
          <w:tcPr>
            <w:tcW w:w="0" w:type="dxa"/>
            <w:vAlign w:val="bottom"/>
          </w:tcPr>
          <w:p>
            <w:pPr>
              <w:spacing w:after="0"/>
              <w:rPr>
                <w:sz w:val="1"/>
                <w:szCs w:val="1"/>
                <w:color w:val="auto"/>
              </w:rPr>
            </w:pPr>
          </w:p>
        </w:tc>
      </w:tr>
      <w:tr>
        <w:trPr>
          <w:trHeight w:val="243"/>
        </w:trPr>
        <w:tc>
          <w:tcPr>
            <w:tcW w:w="880" w:type="dxa"/>
            <w:vAlign w:val="bottom"/>
          </w:tcPr>
          <w:p>
            <w:pPr>
              <w:jc w:val="center"/>
              <w:spacing w:after="0"/>
              <w:rPr>
                <w:rFonts w:ascii="Arial" w:cs="Arial" w:eastAsia="Arial" w:hAnsi="Arial"/>
                <w:sz w:val="18"/>
                <w:szCs w:val="18"/>
                <w:u w:val="single" w:color="auto"/>
                <w:color w:val="0000FF"/>
                <w:w w:val="95"/>
              </w:rPr>
            </w:pPr>
            <w:hyperlink r:id="rId96">
              <w:r>
                <w:rPr>
                  <w:rFonts w:ascii="Arial" w:cs="Arial" w:eastAsia="Arial" w:hAnsi="Arial"/>
                  <w:sz w:val="18"/>
                  <w:szCs w:val="18"/>
                  <w:u w:val="single" w:color="auto"/>
                  <w:color w:val="0000FF"/>
                  <w:w w:val="95"/>
                </w:rPr>
                <w:t>3.2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17"/>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Amended and Restated Bylaws of VICI Properties Inc. (as amended April 30,</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97">
              <w:r>
                <w:rPr>
                  <w:rFonts w:ascii="Arial" w:cs="Arial" w:eastAsia="Arial" w:hAnsi="Arial"/>
                  <w:sz w:val="18"/>
                  <w:szCs w:val="18"/>
                  <w:color w:val="0000FF"/>
                  <w:w w:val="86"/>
                </w:rPr>
                <w:t>2020)</w:t>
              </w:r>
            </w:hyperlink>
          </w:p>
        </w:tc>
        <w:tc>
          <w:tcPr>
            <w:tcW w:w="13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spacing w:after="0"/>
              <w:rPr>
                <w:rFonts w:ascii="Arial" w:cs="Arial" w:eastAsia="Arial" w:hAnsi="Arial"/>
                <w:sz w:val="18"/>
                <w:szCs w:val="18"/>
                <w:u w:val="single" w:color="auto"/>
                <w:color w:val="0000FF"/>
                <w:w w:val="95"/>
              </w:rPr>
            </w:pPr>
            <w:hyperlink r:id="rId98">
              <w:r>
                <w:rPr>
                  <w:rFonts w:ascii="Arial" w:cs="Arial" w:eastAsia="Arial" w:hAnsi="Arial"/>
                  <w:sz w:val="18"/>
                  <w:szCs w:val="18"/>
                  <w:u w:val="single" w:color="auto"/>
                  <w:color w:val="0000FF"/>
                  <w:w w:val="95"/>
                </w:rPr>
                <w:t>4.1</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20" w:type="dxa"/>
            <w:vAlign w:val="bottom"/>
            <w:tcBorders>
              <w:bottom w:val="single" w:sz="8" w:color="0000FF"/>
            </w:tcBorders>
            <w:gridSpan w:val="11"/>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4.</w:t>
              </w:r>
              <w:r>
                <w:rPr>
                  <w:rFonts w:ascii="Arial" w:cs="Arial" w:eastAsia="Arial" w:hAnsi="Arial"/>
                  <w:sz w:val="18"/>
                  <w:szCs w:val="18"/>
                  <w:u w:val="single" w:color="auto"/>
                  <w:color w:val="0000FF"/>
                  <w:w w:val="90"/>
                </w:rPr>
                <w:t>250%</w:t>
              </w:r>
              <w:r>
                <w:rPr>
                  <w:rFonts w:ascii="Arial" w:cs="Arial" w:eastAsia="Arial" w:hAnsi="Arial"/>
                  <w:sz w:val="18"/>
                  <w:szCs w:val="18"/>
                  <w:color w:val="0000FF"/>
                  <w:w w:val="90"/>
                </w:rPr>
                <w:t xml:space="preserve"> Senior Notes Indenture, dated as of November 26, 2019, among VICI</w:t>
              </w:r>
            </w:hyperlink>
          </w:p>
        </w:tc>
        <w:tc>
          <w:tcPr>
            <w:tcW w:w="2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17"/>
          </w:tcPr>
          <w:p>
            <w:pPr>
              <w:spacing w:after="0" w:line="15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Properties L.P., VICI Note Co. Inc., the subsidiary guarantors party thereto and</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98">
              <w:r>
                <w:rPr>
                  <w:rFonts w:ascii="Arial" w:cs="Arial" w:eastAsia="Arial" w:hAnsi="Arial"/>
                  <w:sz w:val="18"/>
                  <w:szCs w:val="18"/>
                  <w:color w:val="0000FF"/>
                </w:rPr>
                <w:t>UMB Bank, National Association, as trustee.</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rFonts w:ascii="Arial" w:cs="Arial" w:eastAsia="Arial" w:hAnsi="Arial"/>
                <w:sz w:val="18"/>
                <w:szCs w:val="18"/>
                <w:u w:val="single" w:color="auto"/>
                <w:color w:val="0000FF"/>
                <w:w w:val="95"/>
              </w:rPr>
            </w:pPr>
            <w:hyperlink r:id="rId99">
              <w:r>
                <w:rPr>
                  <w:rFonts w:ascii="Arial" w:cs="Arial" w:eastAsia="Arial" w:hAnsi="Arial"/>
                  <w:sz w:val="18"/>
                  <w:szCs w:val="18"/>
                  <w:u w:val="single" w:color="auto"/>
                  <w:color w:val="0000FF"/>
                  <w:w w:val="95"/>
                </w:rPr>
                <w:t>4.2</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20" w:type="dxa"/>
            <w:vAlign w:val="bottom"/>
            <w:gridSpan w:val="17"/>
          </w:tcPr>
          <w:p>
            <w:pPr>
              <w:spacing w:after="0"/>
              <w:rPr>
                <w:rFonts w:ascii="Arial" w:cs="Arial" w:eastAsia="Arial" w:hAnsi="Arial"/>
                <w:sz w:val="18"/>
                <w:szCs w:val="18"/>
                <w:color w:val="0000FF"/>
                <w:w w:val="92"/>
              </w:rPr>
            </w:pPr>
            <w:hyperlink r:id="rId99">
              <w:r>
                <w:rPr>
                  <w:rFonts w:ascii="Arial" w:cs="Arial" w:eastAsia="Arial" w:hAnsi="Arial"/>
                  <w:sz w:val="18"/>
                  <w:szCs w:val="18"/>
                  <w:color w:val="0000FF"/>
                  <w:w w:val="92"/>
                </w:rPr>
                <w:t>Supplemental Indenture No. 1 to the 4.250% Senior Notes Indenture, dated as</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99">
              <w:r>
                <w:rPr>
                  <w:rFonts w:ascii="Arial" w:cs="Arial" w:eastAsia="Arial" w:hAnsi="Arial"/>
                  <w:sz w:val="18"/>
                  <w:szCs w:val="18"/>
                  <w:color w:val="0000FF"/>
                  <w:w w:val="88"/>
                </w:rPr>
                <w:t>of December 20, 2019, among CPLV Property Owner LLC as the Guaranteeing</w:t>
              </w:r>
            </w:hyperlink>
          </w:p>
        </w:tc>
        <w:tc>
          <w:tcPr>
            <w:tcW w:w="14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bottom w:val="single" w:sz="8" w:color="0000FF"/>
            </w:tcBorders>
            <w:gridSpan w:val="14"/>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Entity, VICI Properties L.P. and VICI Note Co. Inc., as issuers, and UMB Bank,</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gridSpan w:val="16"/>
          </w:tcPr>
          <w:p>
            <w:pPr>
              <w:spacing w:after="0" w:line="142" w:lineRule="exact"/>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National Association, as trustee, as ratified by the subsidiary guarantors party</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17"/>
          </w:tcPr>
          <w:p>
            <w:pPr>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thereto.</w:t>
              </w:r>
            </w:hyperlink>
          </w:p>
        </w:tc>
        <w:tc>
          <w:tcPr>
            <w:tcW w:w="0" w:type="dxa"/>
            <w:vAlign w:val="bottom"/>
          </w:tcPr>
          <w:p>
            <w:pPr>
              <w:spacing w:after="0"/>
              <w:rPr>
                <w:sz w:val="1"/>
                <w:szCs w:val="1"/>
                <w:color w:val="auto"/>
              </w:rPr>
            </w:pPr>
          </w:p>
        </w:tc>
      </w:tr>
      <w:tr>
        <w:trPr>
          <w:trHeight w:val="242"/>
        </w:trPr>
        <w:tc>
          <w:tcPr>
            <w:tcW w:w="880" w:type="dxa"/>
            <w:vAlign w:val="bottom"/>
          </w:tcPr>
          <w:p>
            <w:pPr>
              <w:jc w:val="center"/>
              <w:spacing w:after="0"/>
              <w:rPr>
                <w:rFonts w:ascii="Arial" w:cs="Arial" w:eastAsia="Arial" w:hAnsi="Arial"/>
                <w:sz w:val="18"/>
                <w:szCs w:val="18"/>
                <w:u w:val="single" w:color="auto"/>
                <w:color w:val="0000FF"/>
                <w:w w:val="95"/>
              </w:rPr>
            </w:pPr>
            <w:hyperlink r:id="rId100">
              <w:r>
                <w:rPr>
                  <w:rFonts w:ascii="Arial" w:cs="Arial" w:eastAsia="Arial" w:hAnsi="Arial"/>
                  <w:sz w:val="18"/>
                  <w:szCs w:val="18"/>
                  <w:u w:val="single" w:color="auto"/>
                  <w:color w:val="0000FF"/>
                  <w:w w:val="95"/>
                </w:rPr>
                <w:t>4.3</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20" w:type="dxa"/>
            <w:vAlign w:val="bottom"/>
            <w:tcBorders>
              <w:bottom w:val="single" w:sz="8" w:color="0000FF"/>
            </w:tcBorders>
            <w:gridSpan w:val="11"/>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4.</w:t>
              </w:r>
              <w:r>
                <w:rPr>
                  <w:rFonts w:ascii="Arial" w:cs="Arial" w:eastAsia="Arial" w:hAnsi="Arial"/>
                  <w:sz w:val="18"/>
                  <w:szCs w:val="18"/>
                  <w:u w:val="single" w:color="auto"/>
                  <w:color w:val="0000FF"/>
                  <w:w w:val="90"/>
                </w:rPr>
                <w:t>625%</w:t>
              </w:r>
              <w:r>
                <w:rPr>
                  <w:rFonts w:ascii="Arial" w:cs="Arial" w:eastAsia="Arial" w:hAnsi="Arial"/>
                  <w:sz w:val="18"/>
                  <w:szCs w:val="18"/>
                  <w:color w:val="0000FF"/>
                  <w:w w:val="90"/>
                </w:rPr>
                <w:t xml:space="preserve"> Senior Notes Indenture, dated as of November 26, 2019, among VICI</w:t>
              </w:r>
            </w:hyperlink>
          </w:p>
        </w:tc>
        <w:tc>
          <w:tcPr>
            <w:tcW w:w="20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gridSpan w:val="17"/>
          </w:tcPr>
          <w:p>
            <w:pPr>
              <w:spacing w:after="0" w:line="15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Properties L.P., VICI Note Co. Inc., the subsidiary guarantors party thereto and</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0">
              <w:r>
                <w:rPr>
                  <w:rFonts w:ascii="Arial" w:cs="Arial" w:eastAsia="Arial" w:hAnsi="Arial"/>
                  <w:sz w:val="18"/>
                  <w:szCs w:val="18"/>
                  <w:color w:val="0000FF"/>
                </w:rPr>
                <w:t>UMB Bank, National Association, as trustee.</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rFonts w:ascii="Arial" w:cs="Arial" w:eastAsia="Arial" w:hAnsi="Arial"/>
                <w:sz w:val="18"/>
                <w:szCs w:val="18"/>
                <w:u w:val="single" w:color="auto"/>
                <w:color w:val="0000FF"/>
                <w:w w:val="95"/>
              </w:rPr>
            </w:pPr>
            <w:hyperlink r:id="rId101">
              <w:r>
                <w:rPr>
                  <w:rFonts w:ascii="Arial" w:cs="Arial" w:eastAsia="Arial" w:hAnsi="Arial"/>
                  <w:sz w:val="18"/>
                  <w:szCs w:val="18"/>
                  <w:u w:val="single" w:color="auto"/>
                  <w:color w:val="0000FF"/>
                  <w:w w:val="95"/>
                </w:rPr>
                <w:t>4.4</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20" w:type="dxa"/>
            <w:vAlign w:val="bottom"/>
            <w:gridSpan w:val="17"/>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Supplemental Indenture No. 1 to the 4.625% Senior Notes Indenture, dated as</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101">
              <w:r>
                <w:rPr>
                  <w:rFonts w:ascii="Arial" w:cs="Arial" w:eastAsia="Arial" w:hAnsi="Arial"/>
                  <w:sz w:val="18"/>
                  <w:szCs w:val="18"/>
                  <w:color w:val="0000FF"/>
                  <w:w w:val="88"/>
                </w:rPr>
                <w:t>of December 20, 2019, among CPLV Property Owner LLC as the Guaranteeing</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Entity, VICI Properties L.P. and VICI Note Co. Inc., as issuers, and UMB Bank,</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tcBorders>
              <w:top w:val="single" w:sz="8" w:color="0000FF"/>
            </w:tcBorders>
            <w:gridSpan w:val="16"/>
          </w:tcPr>
          <w:p>
            <w:pPr>
              <w:spacing w:after="0" w:line="142" w:lineRule="exact"/>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National Association, as trustee, as ratified by the subsidiary guarantors party</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17"/>
          </w:tcPr>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thereto.</w:t>
              </w:r>
            </w:hyperlink>
          </w:p>
        </w:tc>
        <w:tc>
          <w:tcPr>
            <w:tcW w:w="0" w:type="dxa"/>
            <w:vAlign w:val="bottom"/>
          </w:tcPr>
          <w:p>
            <w:pPr>
              <w:spacing w:after="0"/>
              <w:rPr>
                <w:sz w:val="1"/>
                <w:szCs w:val="1"/>
                <w:color w:val="auto"/>
              </w:rPr>
            </w:pPr>
          </w:p>
        </w:tc>
      </w:tr>
      <w:tr>
        <w:trPr>
          <w:trHeight w:val="242"/>
        </w:trPr>
        <w:tc>
          <w:tcPr>
            <w:tcW w:w="880" w:type="dxa"/>
            <w:vAlign w:val="bottom"/>
          </w:tcPr>
          <w:p>
            <w:pPr>
              <w:jc w:val="center"/>
              <w:spacing w:after="0"/>
              <w:rPr>
                <w:rFonts w:ascii="Arial" w:cs="Arial" w:eastAsia="Arial" w:hAnsi="Arial"/>
                <w:sz w:val="18"/>
                <w:szCs w:val="18"/>
                <w:u w:val="single" w:color="auto"/>
                <w:color w:val="0000FF"/>
                <w:w w:val="95"/>
              </w:rPr>
            </w:pPr>
            <w:hyperlink r:id="rId102">
              <w:r>
                <w:rPr>
                  <w:rFonts w:ascii="Arial" w:cs="Arial" w:eastAsia="Arial" w:hAnsi="Arial"/>
                  <w:sz w:val="18"/>
                  <w:szCs w:val="18"/>
                  <w:u w:val="single" w:color="auto"/>
                  <w:color w:val="0000FF"/>
                  <w:w w:val="95"/>
                </w:rPr>
                <w:t>4.5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17"/>
          </w:tcPr>
          <w:p>
            <w:pPr>
              <w:spacing w:after="0"/>
              <w:rPr>
                <w:rFonts w:ascii="Arial" w:cs="Arial" w:eastAsia="Arial" w:hAnsi="Arial"/>
                <w:sz w:val="18"/>
                <w:szCs w:val="18"/>
                <w:color w:val="0000FF"/>
                <w:w w:val="97"/>
              </w:rPr>
            </w:pPr>
            <w:hyperlink r:id="rId102">
              <w:r>
                <w:rPr>
                  <w:rFonts w:ascii="Arial" w:cs="Arial" w:eastAsia="Arial" w:hAnsi="Arial"/>
                  <w:sz w:val="18"/>
                  <w:szCs w:val="18"/>
                  <w:color w:val="0000FF"/>
                  <w:w w:val="97"/>
                </w:rPr>
                <w:t>3.</w:t>
              </w:r>
              <w:r>
                <w:rPr>
                  <w:rFonts w:ascii="Arial" w:cs="Arial" w:eastAsia="Arial" w:hAnsi="Arial"/>
                  <w:sz w:val="18"/>
                  <w:szCs w:val="18"/>
                  <w:u w:val="single" w:color="auto"/>
                  <w:color w:val="0000FF"/>
                  <w:w w:val="97"/>
                </w:rPr>
                <w:t>500%</w:t>
              </w:r>
              <w:r>
                <w:rPr>
                  <w:rFonts w:ascii="Arial" w:cs="Arial" w:eastAsia="Arial" w:hAnsi="Arial"/>
                  <w:sz w:val="18"/>
                  <w:szCs w:val="18"/>
                  <w:color w:val="0000FF"/>
                  <w:w w:val="97"/>
                </w:rPr>
                <w:t xml:space="preserve"> Senior Notes Indenture, dated as of February 5, 2020, among VICI</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Properties L.P., VICI Note Co. Inc., the subsidiary guarantors party thereto</w:t>
              </w:r>
            </w:hyperlink>
          </w:p>
        </w:tc>
        <w:tc>
          <w:tcPr>
            <w:tcW w:w="400" w:type="dxa"/>
            <w:vAlign w:val="bottom"/>
            <w:gridSpan w:val="8"/>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UMB Bank, National Association, as trustee.</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66"/>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top w:val="single" w:sz="8" w:color="0000FF"/>
            </w:tcBorders>
            <w:gridSpan w:val="4"/>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2"/>
        </w:trPr>
        <w:tc>
          <w:tcPr>
            <w:tcW w:w="98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7"/>
              </w:rPr>
              <w:t>Filed</w:t>
            </w:r>
          </w:p>
        </w:tc>
        <w:tc>
          <w:tcPr>
            <w:tcW w:w="840" w:type="dxa"/>
            <w:vAlign w:val="bottom"/>
            <w:vMerge w:val="restart"/>
          </w:tcPr>
          <w:p>
            <w:pPr>
              <w:jc w:val="center"/>
              <w:ind w:left="151"/>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Herewith</w:t>
            </w: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jc w:val="center"/>
              <w:ind w:left="131"/>
              <w:spacing w:after="0" w:line="170" w:lineRule="exact"/>
              <w:rPr>
                <w:sz w:val="20"/>
                <w:szCs w:val="20"/>
                <w:color w:val="auto"/>
              </w:rPr>
            </w:pPr>
            <w:r>
              <w:rPr>
                <w:rFonts w:ascii="Arial" w:cs="Arial" w:eastAsia="Arial" w:hAnsi="Arial"/>
                <w:sz w:val="18"/>
                <w:szCs w:val="18"/>
                <w:color w:val="auto"/>
                <w:w w:val="96"/>
              </w:rPr>
              <w:t>T-3/A of</w:t>
            </w: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left="151"/>
              <w:spacing w:after="0" w:line="176" w:lineRule="exact"/>
              <w:rPr>
                <w:sz w:val="20"/>
                <w:szCs w:val="20"/>
                <w:color w:val="auto"/>
              </w:rPr>
            </w:pPr>
            <w:r>
              <w:rPr>
                <w:rFonts w:ascii="Arial" w:cs="Arial" w:eastAsia="Arial" w:hAnsi="Arial"/>
                <w:sz w:val="18"/>
                <w:szCs w:val="18"/>
                <w:color w:val="auto"/>
              </w:rPr>
              <w:t>VICI</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T3E-2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8/11/2017</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100"/>
              <w:spacing w:after="0" w:line="176" w:lineRule="exact"/>
              <w:rPr>
                <w:sz w:val="20"/>
                <w:szCs w:val="20"/>
                <w:color w:val="auto"/>
              </w:rPr>
            </w:pPr>
            <w:r>
              <w:rPr>
                <w:rFonts w:ascii="Arial" w:cs="Arial" w:eastAsia="Arial" w:hAnsi="Arial"/>
                <w:sz w:val="18"/>
                <w:szCs w:val="18"/>
                <w:color w:val="auto"/>
                <w:w w:val="90"/>
              </w:rPr>
              <w:t>Properties 1</w:t>
            </w:r>
          </w:p>
        </w:tc>
        <w:tc>
          <w:tcPr>
            <w:tcW w:w="98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left="131"/>
              <w:spacing w:after="0"/>
              <w:rPr>
                <w:sz w:val="20"/>
                <w:szCs w:val="20"/>
                <w:color w:val="auto"/>
              </w:rPr>
            </w:pPr>
            <w:r>
              <w:rPr>
                <w:rFonts w:ascii="Arial" w:cs="Arial" w:eastAsia="Arial" w:hAnsi="Arial"/>
                <w:sz w:val="18"/>
                <w:szCs w:val="18"/>
                <w:color w:val="auto"/>
              </w:rPr>
              <w:t>LLC</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7/12/2018</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9/25/2019</w:t>
            </w: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89"/>
              </w:rPr>
              <w:t>10-Q</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7/29/2020</w:t>
            </w:r>
          </w:p>
        </w:tc>
        <w:tc>
          <w:tcPr>
            <w:tcW w:w="0" w:type="dxa"/>
            <w:vAlign w:val="bottom"/>
          </w:tcPr>
          <w:p>
            <w:pPr>
              <w:spacing w:after="0"/>
              <w:rPr>
                <w:sz w:val="1"/>
                <w:szCs w:val="1"/>
                <w:color w:val="auto"/>
              </w:rPr>
            </w:pPr>
          </w:p>
        </w:tc>
      </w:tr>
      <w:tr>
        <w:trPr>
          <w:trHeight w:val="55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2/20/2020</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2/20/2020</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151"/>
              <w:spacing w:after="0"/>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2/20/2020</w:t>
            </w:r>
          </w:p>
        </w:tc>
        <w:tc>
          <w:tcPr>
            <w:tcW w:w="0" w:type="dxa"/>
            <w:vAlign w:val="bottom"/>
          </w:tcPr>
          <w:p>
            <w:pPr>
              <w:spacing w:after="0"/>
              <w:rPr>
                <w:sz w:val="1"/>
                <w:szCs w:val="1"/>
                <w:color w:val="auto"/>
              </w:rPr>
            </w:pPr>
          </w:p>
        </w:tc>
      </w:tr>
    </w:tbl>
    <w:p>
      <w:pPr>
        <w:sectPr>
          <w:pgSz w:w="11900" w:h="16838" w:orient="portrait"/>
          <w:cols w:equalWidth="0" w:num="2">
            <w:col w:w="6820" w:space="100"/>
            <w:col w:w="4320"/>
          </w:cols>
          <w:pgMar w:left="320" w:top="476"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000" w:right="120" w:hanging="669"/>
        <w:spacing w:after="0" w:line="224" w:lineRule="auto"/>
        <w:tabs>
          <w:tab w:leader="none" w:pos="980" w:val="left"/>
        </w:tabs>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104">
        <w:r>
          <w:rPr>
            <w:rFonts w:ascii="Arial" w:cs="Arial" w:eastAsia="Arial" w:hAnsi="Arial"/>
            <w:sz w:val="18"/>
            <w:szCs w:val="18"/>
            <w:u w:val="single" w:color="auto"/>
            <w:color w:val="0000FF"/>
          </w:rPr>
          <w:t>3.750% Senior Notes Indenture, dated as of February 5, 2020, among VICI</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Properties L.P., VICI Note Co. Inc., the subsidiary guarantors party thereto and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UMB Bank, National Association, as trustee.</w:t>
        </w:r>
      </w:hyperlink>
    </w:p>
    <w:p>
      <w:pPr>
        <w:spacing w:after="0" w:line="55" w:lineRule="exact"/>
        <w:rPr>
          <w:rFonts w:ascii="Arial" w:cs="Arial" w:eastAsia="Arial" w:hAnsi="Arial"/>
          <w:sz w:val="18"/>
          <w:szCs w:val="18"/>
          <w:u w:val="single" w:color="auto"/>
          <w:color w:val="0000FF"/>
        </w:rPr>
      </w:pPr>
    </w:p>
    <w:p>
      <w:pPr>
        <w:ind w:left="1000" w:right="120" w:hanging="669"/>
        <w:spacing w:after="0" w:line="224" w:lineRule="auto"/>
        <w:tabs>
          <w:tab w:leader="none" w:pos="980" w:val="left"/>
        </w:tabs>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105">
        <w:r>
          <w:rPr>
            <w:rFonts w:ascii="Arial" w:cs="Arial" w:eastAsia="Arial" w:hAnsi="Arial"/>
            <w:sz w:val="18"/>
            <w:szCs w:val="18"/>
            <w:u w:val="single" w:color="auto"/>
            <w:color w:val="0000FF"/>
          </w:rPr>
          <w:t>4.125% Senior Notes Indenture, dated as of February 5, 2020, among VICI</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Properties L.P., VICI Note Co. Inc., the subsidiary guarantors party thereto and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UMB Bank, National Association, as trustee.</w:t>
        </w:r>
      </w:hyperlink>
    </w:p>
    <w:p>
      <w:pPr>
        <w:spacing w:after="0" w:line="55" w:lineRule="exact"/>
        <w:rPr>
          <w:rFonts w:ascii="Arial" w:cs="Arial" w:eastAsia="Arial" w:hAnsi="Arial"/>
          <w:sz w:val="18"/>
          <w:szCs w:val="18"/>
          <w:u w:val="single" w:color="auto"/>
          <w:color w:val="0000FF"/>
        </w:rPr>
      </w:pPr>
    </w:p>
    <w:p>
      <w:pPr>
        <w:ind w:left="320"/>
        <w:spacing w:after="0"/>
        <w:tabs>
          <w:tab w:leader="none" w:pos="980" w:val="left"/>
        </w:tabs>
        <w:rPr>
          <w:rFonts w:ascii="Arial" w:cs="Arial" w:eastAsia="Arial" w:hAnsi="Arial"/>
          <w:sz w:val="16"/>
          <w:szCs w:val="16"/>
          <w:u w:val="single" w:color="auto"/>
          <w:color w:val="0000FF"/>
        </w:rPr>
      </w:pPr>
      <w:hyperlink w:anchor="page140">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w:anchor="page140">
        <w:r>
          <w:rPr>
            <w:rFonts w:ascii="Arial" w:cs="Arial" w:eastAsia="Arial" w:hAnsi="Arial"/>
            <w:sz w:val="16"/>
            <w:szCs w:val="16"/>
            <w:u w:val="single" w:color="auto"/>
            <w:color w:val="0000FF"/>
          </w:rPr>
          <w:t>Description of Securities</w:t>
        </w:r>
      </w:hyperlink>
    </w:p>
    <w:p>
      <w:pPr>
        <w:spacing w:after="0" w:line="77" w:lineRule="exact"/>
        <w:rPr>
          <w:sz w:val="20"/>
          <w:szCs w:val="20"/>
          <w:color w:val="auto"/>
        </w:rPr>
      </w:pPr>
    </w:p>
    <w:p>
      <w:pPr>
        <w:ind w:left="1000" w:right="20" w:hanging="714"/>
        <w:spacing w:after="0" w:line="219" w:lineRule="auto"/>
        <w:tabs>
          <w:tab w:leader="none" w:pos="980" w:val="left"/>
        </w:tabs>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06">
        <w:r>
          <w:rPr>
            <w:rFonts w:ascii="Arial" w:cs="Arial" w:eastAsia="Arial" w:hAnsi="Arial"/>
            <w:sz w:val="18"/>
            <w:szCs w:val="18"/>
            <w:u w:val="single" w:color="auto"/>
            <w:color w:val="0000FF"/>
          </w:rPr>
          <w:t>Las Vegas Lease (Conformed through Second Amendment), dated as of July 20,</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2020, by and among CPLV Property Owner LLC and Claudine Propco LLC as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Landlord and, Desert Palace LLC, CEOC, LLC and Harrah’s Las Vegas LLC as</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Tenant</w:t>
        </w:r>
      </w:hyperlink>
    </w:p>
    <w:p>
      <w:pPr>
        <w:spacing w:after="0" w:line="55" w:lineRule="exact"/>
        <w:rPr>
          <w:rFonts w:ascii="Arial" w:cs="Arial" w:eastAsia="Arial" w:hAnsi="Arial"/>
          <w:sz w:val="18"/>
          <w:szCs w:val="18"/>
          <w:u w:val="single" w:color="auto"/>
          <w:color w:val="0000FF"/>
        </w:rPr>
      </w:pPr>
    </w:p>
    <w:p>
      <w:pPr>
        <w:jc w:val="both"/>
        <w:ind w:left="1000" w:right="60" w:hanging="714"/>
        <w:spacing w:after="0" w:line="237" w:lineRule="auto"/>
        <w:tabs>
          <w:tab w:leader="none" w:pos="980" w:val="left"/>
        </w:tabs>
        <w:rPr>
          <w:rFonts w:ascii="Arial" w:cs="Arial" w:eastAsia="Arial" w:hAnsi="Arial"/>
          <w:sz w:val="17"/>
          <w:szCs w:val="17"/>
          <w:u w:val="single" w:color="auto"/>
          <w:color w:val="0000FF"/>
        </w:rPr>
      </w:pPr>
      <w:hyperlink r:id="rId107">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07">
        <w:r>
          <w:rPr>
            <w:rFonts w:ascii="Arial" w:cs="Arial" w:eastAsia="Arial" w:hAnsi="Arial"/>
            <w:sz w:val="17"/>
            <w:szCs w:val="17"/>
            <w:u w:val="single" w:color="auto"/>
            <w:color w:val="0000FF"/>
          </w:rPr>
          <w:t>Third Amendment to Las Vegas Lease, dated as of September 30, 2020, by and</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among CPLV Property Owner LLC and Claudine Propco LLC as Landlord and,</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Desert Palace LLC, CEOC, LLC and Harrah’s Las Vegas LLC</w:t>
        </w:r>
      </w:hyperlink>
    </w:p>
    <w:p>
      <w:pPr>
        <w:spacing w:after="0" w:line="55" w:lineRule="exact"/>
        <w:rPr>
          <w:rFonts w:ascii="Arial" w:cs="Arial" w:eastAsia="Arial" w:hAnsi="Arial"/>
          <w:sz w:val="17"/>
          <w:szCs w:val="17"/>
          <w:u w:val="single" w:color="auto"/>
          <w:color w:val="0000FF"/>
        </w:rPr>
      </w:pPr>
    </w:p>
    <w:p>
      <w:pPr>
        <w:jc w:val="both"/>
        <w:ind w:left="1000" w:right="40" w:hanging="714"/>
        <w:spacing w:after="0" w:line="237" w:lineRule="auto"/>
        <w:tabs>
          <w:tab w:leader="none" w:pos="980" w:val="left"/>
        </w:tabs>
        <w:rPr>
          <w:rFonts w:ascii="Arial" w:cs="Arial" w:eastAsia="Arial" w:hAnsi="Arial"/>
          <w:sz w:val="17"/>
          <w:szCs w:val="17"/>
          <w:u w:val="single" w:color="auto"/>
          <w:color w:val="0000FF"/>
        </w:rPr>
      </w:pPr>
      <w:hyperlink w:anchor="page152">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w:anchor="page152">
        <w:r>
          <w:rPr>
            <w:rFonts w:ascii="Arial" w:cs="Arial" w:eastAsia="Arial" w:hAnsi="Arial"/>
            <w:sz w:val="17"/>
            <w:szCs w:val="17"/>
            <w:u w:val="single" w:color="auto"/>
            <w:color w:val="0000FF"/>
          </w:rPr>
          <w:t>Fourth Amendment to Las Vegas Lease, dated as of November 18, 2020, by and</w:t>
        </w:r>
      </w:hyperlink>
      <w:r>
        <w:rPr>
          <w:rFonts w:ascii="Arial" w:cs="Arial" w:eastAsia="Arial" w:hAnsi="Arial"/>
          <w:sz w:val="17"/>
          <w:szCs w:val="17"/>
          <w:u w:val="single" w:color="auto"/>
          <w:color w:val="0000FF"/>
        </w:rPr>
        <w:t xml:space="preserve"> </w:t>
      </w:r>
      <w:hyperlink w:anchor="page152">
        <w:r>
          <w:rPr>
            <w:rFonts w:ascii="Arial" w:cs="Arial" w:eastAsia="Arial" w:hAnsi="Arial"/>
            <w:sz w:val="17"/>
            <w:szCs w:val="17"/>
            <w:u w:val="single" w:color="auto"/>
            <w:color w:val="0000FF"/>
          </w:rPr>
          <w:t>among CPLV Property Owner LLC and Claudine Propco LLC as Landlord and,</w:t>
        </w:r>
      </w:hyperlink>
      <w:r>
        <w:rPr>
          <w:rFonts w:ascii="Arial" w:cs="Arial" w:eastAsia="Arial" w:hAnsi="Arial"/>
          <w:sz w:val="17"/>
          <w:szCs w:val="17"/>
          <w:u w:val="single" w:color="auto"/>
          <w:color w:val="0000FF"/>
        </w:rPr>
        <w:t xml:space="preserve"> </w:t>
      </w:r>
      <w:hyperlink w:anchor="page152">
        <w:r>
          <w:rPr>
            <w:rFonts w:ascii="Arial" w:cs="Arial" w:eastAsia="Arial" w:hAnsi="Arial"/>
            <w:sz w:val="17"/>
            <w:szCs w:val="17"/>
            <w:u w:val="single" w:color="auto"/>
            <w:color w:val="0000FF"/>
          </w:rPr>
          <w:t>Desert Palace LLC, CEOC, LLC and Harrah’s Las Vegas LLC</w:t>
        </w:r>
      </w:hyperlink>
    </w:p>
    <w:p>
      <w:pPr>
        <w:spacing w:after="0" w:line="40" w:lineRule="exact"/>
        <w:rPr>
          <w:rFonts w:ascii="Arial" w:cs="Arial" w:eastAsia="Arial" w:hAnsi="Arial"/>
          <w:sz w:val="17"/>
          <w:szCs w:val="17"/>
          <w:u w:val="single" w:color="auto"/>
          <w:color w:val="0000FF"/>
        </w:rPr>
      </w:pPr>
    </w:p>
    <w:p>
      <w:pPr>
        <w:ind w:left="240"/>
        <w:spacing w:after="0"/>
        <w:tabs>
          <w:tab w:leader="none" w:pos="980" w:val="left"/>
        </w:tabs>
        <w:rPr>
          <w:rFonts w:ascii="Arial" w:cs="Arial" w:eastAsia="Arial" w:hAnsi="Arial"/>
          <w:sz w:val="16"/>
          <w:szCs w:val="16"/>
          <w:u w:val="single" w:color="auto"/>
          <w:color w:val="0000FF"/>
        </w:rPr>
      </w:pPr>
      <w:hyperlink r:id="rId108">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08">
        <w:r>
          <w:rPr>
            <w:rFonts w:ascii="Arial" w:cs="Arial" w:eastAsia="Arial" w:hAnsi="Arial"/>
            <w:sz w:val="16"/>
            <w:szCs w:val="16"/>
            <w:u w:val="single" w:color="auto"/>
            <w:color w:val="0000FF"/>
          </w:rPr>
          <w:t>Regional Lease (Conformed through Fifth Amendment), dated as of July 20,</w:t>
        </w:r>
      </w:hyperlink>
    </w:p>
    <w:p>
      <w:pPr>
        <w:ind w:left="1000"/>
        <w:spacing w:after="0" w:line="228"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2020, by and among the entities listed on Schedules A and B thereto and CEOC,</w:t>
        </w:r>
      </w:hyperlink>
    </w:p>
    <w:p>
      <w:pPr>
        <w:spacing w:after="0" w:line="1" w:lineRule="exact"/>
        <w:rPr>
          <w:sz w:val="20"/>
          <w:szCs w:val="20"/>
          <w:color w:val="auto"/>
        </w:rPr>
      </w:pPr>
    </w:p>
    <w:p>
      <w:pPr>
        <w:ind w:left="1000"/>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LLC</w:t>
        </w:r>
      </w:hyperlink>
    </w:p>
    <w:p>
      <w:pPr>
        <w:spacing w:after="0" w:line="61" w:lineRule="exact"/>
        <w:rPr>
          <w:sz w:val="20"/>
          <w:szCs w:val="20"/>
          <w:color w:val="auto"/>
        </w:rPr>
      </w:pPr>
    </w:p>
    <w:p>
      <w:pPr>
        <w:ind w:left="1000" w:right="220" w:hanging="765"/>
        <w:spacing w:after="0" w:line="235" w:lineRule="auto"/>
        <w:tabs>
          <w:tab w:leader="none" w:pos="980" w:val="left"/>
        </w:tabs>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109">
        <w:r>
          <w:rPr>
            <w:rFonts w:ascii="Arial" w:cs="Arial" w:eastAsia="Arial" w:hAnsi="Arial"/>
            <w:sz w:val="18"/>
            <w:szCs w:val="18"/>
            <w:u w:val="single" w:color="auto"/>
            <w:color w:val="0000FF"/>
          </w:rPr>
          <w:t>Sixth Amendment to Regional Lease, dated as of September 30, 2020, by and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among the entities listed on Schedules A and B thereto</w:t>
        </w:r>
      </w:hyperlink>
    </w:p>
    <w:p>
      <w:pPr>
        <w:spacing w:after="0" w:line="54" w:lineRule="exact"/>
        <w:rPr>
          <w:rFonts w:ascii="Arial" w:cs="Arial" w:eastAsia="Arial" w:hAnsi="Arial"/>
          <w:sz w:val="18"/>
          <w:szCs w:val="18"/>
          <w:u w:val="single" w:color="auto"/>
          <w:color w:val="0000FF"/>
        </w:rPr>
      </w:pPr>
    </w:p>
    <w:p>
      <w:pPr>
        <w:ind w:left="1000" w:right="20" w:hanging="714"/>
        <w:spacing w:after="0" w:line="235" w:lineRule="auto"/>
        <w:tabs>
          <w:tab w:leader="none" w:pos="980" w:val="left"/>
        </w:tabs>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w:anchor="page160">
        <w:r>
          <w:rPr>
            <w:rFonts w:ascii="Arial" w:cs="Arial" w:eastAsia="Arial" w:hAnsi="Arial"/>
            <w:sz w:val="18"/>
            <w:szCs w:val="18"/>
            <w:u w:val="single" w:color="auto"/>
            <w:color w:val="0000FF"/>
          </w:rPr>
          <w:t>Seventh Amendment to Regional Lease, dated as of November 18, 2020, by and</w:t>
        </w:r>
      </w:hyperlink>
      <w:r>
        <w:rPr>
          <w:rFonts w:ascii="Arial" w:cs="Arial" w:eastAsia="Arial" w:hAnsi="Arial"/>
          <w:sz w:val="18"/>
          <w:szCs w:val="18"/>
          <w:u w:val="single" w:color="auto"/>
          <w:color w:val="0000FF"/>
        </w:rPr>
        <w:t xml:space="preserve"> </w:t>
      </w:r>
      <w:hyperlink w:anchor="page160">
        <w:r>
          <w:rPr>
            <w:rFonts w:ascii="Arial" w:cs="Arial" w:eastAsia="Arial" w:hAnsi="Arial"/>
            <w:sz w:val="18"/>
            <w:szCs w:val="18"/>
            <w:u w:val="single" w:color="auto"/>
            <w:color w:val="0000FF"/>
          </w:rPr>
          <w:t>among the entities listed on Schedules A and B thereto</w:t>
        </w:r>
      </w:hyperlink>
    </w:p>
    <w:p>
      <w:pPr>
        <w:spacing w:after="0" w:line="54" w:lineRule="exact"/>
        <w:rPr>
          <w:rFonts w:ascii="Arial" w:cs="Arial" w:eastAsia="Arial" w:hAnsi="Arial"/>
          <w:sz w:val="18"/>
          <w:szCs w:val="18"/>
          <w:u w:val="single" w:color="auto"/>
          <w:color w:val="0000FF"/>
        </w:rPr>
      </w:pPr>
    </w:p>
    <w:p>
      <w:pPr>
        <w:ind w:left="1000" w:right="20" w:hanging="765"/>
        <w:spacing w:after="0" w:line="289" w:lineRule="auto"/>
        <w:tabs>
          <w:tab w:leader="none" w:pos="980" w:val="left"/>
        </w:tabs>
        <w:rPr>
          <w:rFonts w:ascii="Arial" w:cs="Arial" w:eastAsia="Arial" w:hAnsi="Arial"/>
          <w:sz w:val="16"/>
          <w:szCs w:val="16"/>
          <w:u w:val="single" w:color="auto"/>
          <w:color w:val="0000FF"/>
        </w:rPr>
      </w:pPr>
      <w:hyperlink r:id="rId110">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10">
        <w:r>
          <w:rPr>
            <w:rFonts w:ascii="Arial" w:cs="Arial" w:eastAsia="Arial" w:hAnsi="Arial"/>
            <w:sz w:val="16"/>
            <w:szCs w:val="16"/>
            <w:u w:val="single" w:color="auto"/>
            <w:color w:val="0000FF"/>
          </w:rPr>
          <w:t>Second Amendment to Lease (Joliet), dated as of July 20, 2020, by and between</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Harrah’s Joliet Landco LLC and Des Plaines Development Limited Partnership</w:t>
        </w:r>
      </w:hyperlink>
    </w:p>
    <w:p>
      <w:pPr>
        <w:spacing w:after="0" w:line="16" w:lineRule="exact"/>
        <w:rPr>
          <w:rFonts w:ascii="Arial" w:cs="Arial" w:eastAsia="Arial" w:hAnsi="Arial"/>
          <w:sz w:val="18"/>
          <w:szCs w:val="18"/>
          <w:u w:val="single" w:color="auto"/>
          <w:color w:val="0000FF"/>
        </w:rPr>
      </w:pPr>
    </w:p>
    <w:p>
      <w:pPr>
        <w:jc w:val="both"/>
        <w:ind w:left="1000" w:right="320" w:hanging="714"/>
        <w:spacing w:after="0" w:line="224" w:lineRule="auto"/>
        <w:tabs>
          <w:tab w:leader="none" w:pos="98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Third Amendment to Lease (Joliet), dated as of September 30, 2020, by and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Partnership</w:t>
        </w:r>
      </w:hyperlink>
    </w:p>
    <w:p>
      <w:pPr>
        <w:spacing w:after="0" w:line="55" w:lineRule="exact"/>
        <w:rPr>
          <w:rFonts w:ascii="Arial" w:cs="Arial" w:eastAsia="Arial" w:hAnsi="Arial"/>
          <w:sz w:val="18"/>
          <w:szCs w:val="18"/>
          <w:u w:val="single" w:color="auto"/>
          <w:color w:val="0000FF"/>
        </w:rPr>
      </w:pPr>
    </w:p>
    <w:p>
      <w:pPr>
        <w:jc w:val="both"/>
        <w:ind w:left="1000" w:right="260" w:hanging="714"/>
        <w:spacing w:after="0" w:line="224" w:lineRule="auto"/>
        <w:tabs>
          <w:tab w:leader="none" w:pos="980" w:val="left"/>
        </w:tabs>
        <w:rPr>
          <w:rFonts w:ascii="Arial" w:cs="Arial" w:eastAsia="Arial" w:hAnsi="Arial"/>
          <w:sz w:val="18"/>
          <w:szCs w:val="18"/>
          <w:u w:val="single" w:color="auto"/>
          <w:color w:val="0000FF"/>
        </w:rPr>
      </w:pPr>
      <w:hyperlink w:anchor="page198">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w:anchor="page198">
        <w:r>
          <w:rPr>
            <w:rFonts w:ascii="Arial" w:cs="Arial" w:eastAsia="Arial" w:hAnsi="Arial"/>
            <w:sz w:val="18"/>
            <w:szCs w:val="18"/>
            <w:u w:val="single" w:color="auto"/>
            <w:color w:val="0000FF"/>
          </w:rPr>
          <w:t>Fourth Amendment to Lease (Joliet), dated as of November 18, 2020, by and</w:t>
        </w:r>
      </w:hyperlink>
      <w:r>
        <w:rPr>
          <w:rFonts w:ascii="Arial" w:cs="Arial" w:eastAsia="Arial" w:hAnsi="Arial"/>
          <w:sz w:val="18"/>
          <w:szCs w:val="18"/>
          <w:u w:val="single" w:color="auto"/>
          <w:color w:val="0000FF"/>
        </w:rPr>
        <w:t xml:space="preserve"> </w:t>
      </w:r>
      <w:hyperlink w:anchor="page198">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w:anchor="page198">
        <w:r>
          <w:rPr>
            <w:rFonts w:ascii="Arial" w:cs="Arial" w:eastAsia="Arial" w:hAnsi="Arial"/>
            <w:sz w:val="18"/>
            <w:szCs w:val="18"/>
            <w:u w:val="single" w:color="auto"/>
            <w:color w:val="0000FF"/>
          </w:rPr>
          <w:t>Partnership</w:t>
        </w:r>
      </w:hyperlink>
    </w:p>
    <w:p>
      <w:pPr>
        <w:spacing w:after="0" w:line="55" w:lineRule="exact"/>
        <w:rPr>
          <w:rFonts w:ascii="Arial" w:cs="Arial" w:eastAsia="Arial" w:hAnsi="Arial"/>
          <w:sz w:val="18"/>
          <w:szCs w:val="18"/>
          <w:u w:val="single" w:color="auto"/>
          <w:color w:val="0000FF"/>
        </w:rPr>
      </w:pPr>
    </w:p>
    <w:p>
      <w:pPr>
        <w:ind w:left="240"/>
        <w:spacing w:after="0"/>
        <w:tabs>
          <w:tab w:leader="none" w:pos="980" w:val="left"/>
        </w:tabs>
        <w:rPr>
          <w:rFonts w:ascii="Arial" w:cs="Arial" w:eastAsia="Arial" w:hAnsi="Arial"/>
          <w:sz w:val="16"/>
          <w:szCs w:val="16"/>
          <w:u w:val="single" w:color="auto"/>
          <w:color w:val="0000FF"/>
        </w:rPr>
      </w:pPr>
      <w:hyperlink r:id="rId112">
        <w:r>
          <w:rPr>
            <w:rFonts w:ascii="Arial" w:cs="Arial" w:eastAsia="Arial" w:hAnsi="Arial"/>
            <w:sz w:val="18"/>
            <w:szCs w:val="18"/>
            <w:u w:val="single" w:color="auto"/>
            <w:color w:val="0000FF"/>
          </w:rPr>
          <w:t>10.</w:t>
        </w:r>
      </w:hyperlink>
      <w:hyperlink r:id="rId113">
        <w:r>
          <w:rPr>
            <w:rFonts w:ascii="Arial" w:cs="Arial" w:eastAsia="Arial" w:hAnsi="Arial"/>
            <w:sz w:val="18"/>
            <w:szCs w:val="18"/>
            <w:u w:val="single" w:color="auto"/>
            <w:color w:val="0000FF"/>
          </w:rPr>
          <w:t>10</w:t>
        </w:r>
      </w:hyperlink>
      <w:r>
        <w:rPr>
          <w:rFonts w:ascii="Arial" w:cs="Arial" w:eastAsia="Arial" w:hAnsi="Arial"/>
          <w:sz w:val="18"/>
          <w:szCs w:val="18"/>
          <w:u w:val="single" w:color="auto"/>
          <w:color w:val="0000FF"/>
        </w:rPr>
        <w:tab/>
      </w:r>
      <w:hyperlink r:id="rId113">
        <w:r>
          <w:rPr>
            <w:rFonts w:ascii="Arial" w:cs="Arial" w:eastAsia="Arial" w:hAnsi="Arial"/>
            <w:sz w:val="16"/>
            <w:szCs w:val="16"/>
            <w:u w:val="single" w:color="auto"/>
            <w:color w:val="0000FF"/>
          </w:rPr>
          <w:t>Amended and Restated Omnibus Amendment to Leases, dated October 27, 2020</w:t>
        </w:r>
      </w:hyperlink>
    </w:p>
    <w:p>
      <w:pPr>
        <w:spacing w:after="0" w:line="77" w:lineRule="exact"/>
        <w:rPr>
          <w:rFonts w:ascii="Arial" w:cs="Arial" w:eastAsia="Arial" w:hAnsi="Arial"/>
          <w:sz w:val="18"/>
          <w:szCs w:val="18"/>
          <w:u w:val="single" w:color="auto"/>
          <w:color w:val="0000FF"/>
        </w:rPr>
      </w:pPr>
    </w:p>
    <w:p>
      <w:pPr>
        <w:ind w:left="1000" w:right="80" w:hanging="756"/>
        <w:spacing w:after="0" w:line="216" w:lineRule="auto"/>
        <w:tabs>
          <w:tab w:leader="none" w:pos="980" w:val="left"/>
        </w:tabs>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114">
        <w:r>
          <w:rPr>
            <w:rFonts w:ascii="Arial" w:cs="Arial" w:eastAsia="Arial" w:hAnsi="Arial"/>
            <w:sz w:val="18"/>
            <w:szCs w:val="18"/>
            <w:u w:val="single" w:color="auto"/>
            <w:color w:val="0000FF"/>
          </w:rPr>
          <w:t>Second Amendment, dated as of July 20, 2020, to Golf Course Use Agreement,</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dated as of October 6, 2017, by and among Rio Secco LLC, Cascata LLC,</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Chariot Run LLC, Grand Bear LLC, Caesars Enterprise Services, LLC, CEOC,</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LLC and, solely for purposes of Section 2.1(c) thereof, Caesars License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Company, LLC</w:t>
        </w:r>
      </w:hyperlink>
    </w:p>
    <w:p>
      <w:pPr>
        <w:spacing w:after="0" w:line="54" w:lineRule="exact"/>
        <w:rPr>
          <w:rFonts w:ascii="Arial" w:cs="Arial" w:eastAsia="Arial" w:hAnsi="Arial"/>
          <w:sz w:val="18"/>
          <w:szCs w:val="18"/>
          <w:u w:val="single" w:color="auto"/>
          <w:color w:val="0000FF"/>
        </w:rPr>
      </w:pPr>
    </w:p>
    <w:p>
      <w:pPr>
        <w:jc w:val="both"/>
        <w:ind w:left="1000" w:right="280" w:hanging="760"/>
        <w:spacing w:after="0" w:line="232" w:lineRule="auto"/>
        <w:tabs>
          <w:tab w:leader="none" w:pos="980" w:val="left"/>
        </w:tabs>
        <w:rPr>
          <w:rFonts w:ascii="Arial" w:cs="Arial" w:eastAsia="Arial" w:hAnsi="Arial"/>
          <w:sz w:val="17"/>
          <w:szCs w:val="17"/>
          <w:u w:val="single" w:color="auto"/>
          <w:color w:val="0000FF"/>
        </w:rPr>
      </w:pPr>
      <w:hyperlink r:id="rId115">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15">
        <w:r>
          <w:rPr>
            <w:rFonts w:ascii="Arial" w:cs="Arial" w:eastAsia="Arial" w:hAnsi="Arial"/>
            <w:sz w:val="17"/>
            <w:szCs w:val="17"/>
            <w:u w:val="single" w:color="auto"/>
            <w:color w:val="0000FF"/>
          </w:rPr>
          <w:t>Guaranty of Lease entered into as of July 20, 2020 by and between Eldorado</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Resorts, Inc. (to be renamed Caesars Entertainment, Inc. and converted to a</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Delaware corporation on the date thereof), CPLV Property Owner LLC, and</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Claudine Propco LLC (Las Vegas Master Lease)</w:t>
        </w:r>
      </w:hyperlink>
    </w:p>
    <w:p>
      <w:pPr>
        <w:spacing w:after="0" w:line="54" w:lineRule="exact"/>
        <w:rPr>
          <w:rFonts w:ascii="Arial" w:cs="Arial" w:eastAsia="Arial" w:hAnsi="Arial"/>
          <w:sz w:val="17"/>
          <w:szCs w:val="17"/>
          <w:u w:val="single" w:color="auto"/>
          <w:color w:val="0000FF"/>
        </w:rPr>
      </w:pPr>
    </w:p>
    <w:p>
      <w:pPr>
        <w:ind w:left="1000" w:right="120" w:hanging="760"/>
        <w:spacing w:after="0" w:line="219" w:lineRule="auto"/>
        <w:tabs>
          <w:tab w:leader="none" w:pos="980" w:val="left"/>
        </w:tabs>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16">
        <w:r>
          <w:rPr>
            <w:rFonts w:ascii="Arial" w:cs="Arial" w:eastAsia="Arial" w:hAnsi="Arial"/>
            <w:sz w:val="18"/>
            <w:szCs w:val="18"/>
            <w:u w:val="single" w:color="auto"/>
            <w:color w:val="0000FF"/>
          </w:rPr>
          <w:t>Guaranty of Lease entered into as of July 20, 2020 by and between Eldorado</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Resorts, Inc. (to be renamed Caesars Entertainment, Inc. and converted to a</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Delaware corporation on the date thereof) and the entities listed on Schedule A</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thereto (Regional Lease)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6"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11/26/2019</w:t>
            </w:r>
          </w:p>
        </w:tc>
      </w:tr>
      <w:tr>
        <w:trPr>
          <w:trHeight w:val="634"/>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2/20/2020</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40"/>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729"/>
        </w:trPr>
        <w:tc>
          <w:tcPr>
            <w:tcW w:w="1640" w:type="dxa"/>
            <w:vAlign w:val="bottom"/>
          </w:tcPr>
          <w:p>
            <w:pPr>
              <w:jc w:val="center"/>
              <w:ind w:left="5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634"/>
        </w:trPr>
        <w:tc>
          <w:tcPr>
            <w:tcW w:w="1640" w:type="dxa"/>
            <w:vAlign w:val="bottom"/>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34"/>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40"/>
        </w:trPr>
        <w:tc>
          <w:tcPr>
            <w:tcW w:w="1640" w:type="dxa"/>
            <w:vAlign w:val="bottom"/>
          </w:tcPr>
          <w:p>
            <w:pPr>
              <w:jc w:val="center"/>
              <w:ind w:left="5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459"/>
        </w:trPr>
        <w:tc>
          <w:tcPr>
            <w:tcW w:w="1640" w:type="dxa"/>
            <w:vAlign w:val="bottom"/>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53"/>
        </w:trPr>
        <w:tc>
          <w:tcPr>
            <w:tcW w:w="1640" w:type="dxa"/>
            <w:vAlign w:val="bottom"/>
          </w:tcPr>
          <w:p>
            <w:pPr>
              <w:jc w:val="center"/>
              <w:ind w:left="5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635"/>
        </w:trPr>
        <w:tc>
          <w:tcPr>
            <w:tcW w:w="1640" w:type="dxa"/>
            <w:vAlign w:val="bottom"/>
          </w:tcPr>
          <w:p>
            <w:pPr>
              <w:spacing w:after="0"/>
              <w:rPr>
                <w:sz w:val="20"/>
                <w:szCs w:val="20"/>
                <w:color w:val="auto"/>
              </w:rPr>
            </w:pPr>
            <w:r>
              <w:rPr>
                <w:rFonts w:ascii="Arial" w:cs="Arial" w:eastAsia="Arial" w:hAnsi="Arial"/>
                <w:sz w:val="18"/>
                <w:szCs w:val="18"/>
                <w:color w:val="auto"/>
              </w:rPr>
              <w:t>X</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1640" w:type="dxa"/>
            <w:vAlign w:val="bottom"/>
          </w:tcPr>
          <w:p>
            <w:pPr>
              <w:jc w:val="center"/>
              <w:ind w:left="53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635"/>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91"/>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10"/>
        </w:trPr>
        <w:tc>
          <w:tcPr>
            <w:tcW w:w="1640" w:type="dxa"/>
            <w:vAlign w:val="bottom"/>
          </w:tcPr>
          <w:p>
            <w:pPr>
              <w:jc w:val="center"/>
              <w:ind w:left="51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bl>
    <w:p>
      <w:pPr>
        <w:sectPr>
          <w:pgSz w:w="11900" w:h="16838" w:orient="portrait"/>
          <w:cols w:equalWidth="0" w:num="2">
            <w:col w:w="6800" w:space="520"/>
            <w:col w:w="3740"/>
          </w:cols>
          <w:pgMar w:left="320" w:top="476" w:right="51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1000" w:right="1020" w:hanging="760"/>
        <w:spacing w:after="0" w:line="219" w:lineRule="auto"/>
        <w:tabs>
          <w:tab w:leader="none" w:pos="980" w:val="left"/>
        </w:tabs>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18">
        <w:r>
          <w:rPr>
            <w:rFonts w:ascii="Arial" w:cs="Arial" w:eastAsia="Arial" w:hAnsi="Arial"/>
            <w:sz w:val="18"/>
            <w:szCs w:val="18"/>
            <w:u w:val="single" w:color="auto"/>
            <w:color w:val="0000FF"/>
          </w:rPr>
          <w:t>Guaranty of Lease entered into as of July 20, 2020 by and between Eldorado</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Resorts, Inc. (to be renamed Caesars Entertainment, Inc. and converted to a</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Delaware corporation on the date thereof) and Harrah’s Joliet Landco LLC</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(Joliet Lease)</w:t>
        </w:r>
      </w:hyperlink>
    </w:p>
    <w:p>
      <w:pPr>
        <w:spacing w:after="0" w:line="55" w:lineRule="exact"/>
        <w:rPr>
          <w:rFonts w:ascii="Arial" w:cs="Arial" w:eastAsia="Arial" w:hAnsi="Arial"/>
          <w:sz w:val="18"/>
          <w:szCs w:val="18"/>
          <w:u w:val="single" w:color="auto"/>
          <w:color w:val="0000FF"/>
        </w:rPr>
      </w:pPr>
    </w:p>
    <w:p>
      <w:pPr>
        <w:jc w:val="both"/>
        <w:ind w:left="1000" w:right="920" w:hanging="760"/>
        <w:spacing w:after="0" w:line="224" w:lineRule="auto"/>
        <w:tabs>
          <w:tab w:leader="none" w:pos="980" w:val="left"/>
        </w:tabs>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119">
        <w:r>
          <w:rPr>
            <w:rFonts w:ascii="Arial" w:cs="Arial" w:eastAsia="Arial" w:hAnsi="Arial"/>
            <w:sz w:val="18"/>
            <w:szCs w:val="18"/>
            <w:u w:val="single" w:color="auto"/>
            <w:color w:val="0000FF"/>
          </w:rPr>
          <w:t>Second Amended and Restated Lease Agreement, dated April 3, 2020, by and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among Jazz Casino Company, L.L.C., New Orleans Building Corporation and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the City of New Orleans</w:t>
        </w:r>
      </w:hyperlink>
    </w:p>
    <w:p>
      <w:pPr>
        <w:spacing w:after="0" w:line="55" w:lineRule="exact"/>
        <w:rPr>
          <w:rFonts w:ascii="Arial" w:cs="Arial" w:eastAsia="Arial" w:hAnsi="Arial"/>
          <w:sz w:val="18"/>
          <w:szCs w:val="18"/>
          <w:u w:val="single" w:color="auto"/>
          <w:color w:val="0000FF"/>
        </w:rPr>
      </w:pPr>
    </w:p>
    <w:p>
      <w:pPr>
        <w:ind w:left="1000" w:right="1180" w:hanging="760"/>
        <w:spacing w:after="0" w:line="235" w:lineRule="auto"/>
        <w:tabs>
          <w:tab w:leader="none" w:pos="980" w:val="left"/>
        </w:tabs>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120">
        <w:r>
          <w:rPr>
            <w:rFonts w:ascii="Arial" w:cs="Arial" w:eastAsia="Arial" w:hAnsi="Arial"/>
            <w:sz w:val="18"/>
            <w:szCs w:val="18"/>
            <w:u w:val="single" w:color="auto"/>
            <w:color w:val="0000FF"/>
          </w:rPr>
          <w:t>Put-Call Right Agreement entered into as of July 20, 2020 by and between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Centaur Propco LLC and Caesars Resort Collection, LLC</w:t>
        </w:r>
      </w:hyperlink>
    </w:p>
    <w:p>
      <w:pPr>
        <w:spacing w:after="0" w:line="54" w:lineRule="exact"/>
        <w:rPr>
          <w:rFonts w:ascii="Arial" w:cs="Arial" w:eastAsia="Arial" w:hAnsi="Arial"/>
          <w:sz w:val="18"/>
          <w:szCs w:val="18"/>
          <w:u w:val="single" w:color="auto"/>
          <w:color w:val="0000FF"/>
        </w:rPr>
      </w:pPr>
    </w:p>
    <w:p>
      <w:pPr>
        <w:ind w:left="1000" w:right="1080" w:hanging="760"/>
        <w:spacing w:after="0" w:line="224" w:lineRule="auto"/>
        <w:tabs>
          <w:tab w:leader="none" w:pos="980" w:val="left"/>
        </w:tabs>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121">
        <w:r>
          <w:rPr>
            <w:rFonts w:ascii="Arial" w:cs="Arial" w:eastAsia="Arial" w:hAnsi="Arial"/>
            <w:sz w:val="18"/>
            <w:szCs w:val="18"/>
            <w:u w:val="single" w:color="auto"/>
            <w:color w:val="0000FF"/>
          </w:rPr>
          <w:t>Second Amended and Restated Put-Call Right Agreement entered into as of</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September 18, 2020 by and among Claudine Propco LLC and Caesars</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Convention Center Owner, LLC</w:t>
        </w:r>
      </w:hyperlink>
    </w:p>
    <w:p>
      <w:pPr>
        <w:spacing w:after="0" w:line="55" w:lineRule="exact"/>
        <w:rPr>
          <w:rFonts w:ascii="Arial" w:cs="Arial" w:eastAsia="Arial" w:hAnsi="Arial"/>
          <w:sz w:val="18"/>
          <w:szCs w:val="18"/>
          <w:u w:val="single" w:color="auto"/>
          <w:color w:val="0000FF"/>
        </w:rPr>
      </w:pPr>
    </w:p>
    <w:p>
      <w:pPr>
        <w:ind w:left="1000" w:right="820" w:hanging="760"/>
        <w:spacing w:after="0" w:line="219" w:lineRule="auto"/>
        <w:tabs>
          <w:tab w:leader="none" w:pos="980" w:val="left"/>
        </w:tabs>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22">
        <w:r>
          <w:rPr>
            <w:rFonts w:ascii="Arial" w:cs="Arial" w:eastAsia="Arial" w:hAnsi="Arial"/>
            <w:sz w:val="18"/>
            <w:szCs w:val="18"/>
            <w:u w:val="single" w:color="auto"/>
            <w:color w:val="0000FF"/>
          </w:rPr>
          <w:t>Right of First Refusal Agreement entered into as of July 20, 2020 by and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between Eldorado Resorts, Inc. (to be renamed Caesars Entertainment, Inc. and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converted to a Delaware corporation on the date thereof) and VICI Properties</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L.P. (Las Vegas Strip Assets)</w:t>
        </w:r>
      </w:hyperlink>
    </w:p>
    <w:p>
      <w:pPr>
        <w:spacing w:after="0" w:line="55" w:lineRule="exact"/>
        <w:rPr>
          <w:rFonts w:ascii="Arial" w:cs="Arial" w:eastAsia="Arial" w:hAnsi="Arial"/>
          <w:sz w:val="18"/>
          <w:szCs w:val="18"/>
          <w:u w:val="single" w:color="auto"/>
          <w:color w:val="0000FF"/>
        </w:rPr>
      </w:pPr>
    </w:p>
    <w:p>
      <w:pPr>
        <w:ind w:left="1000" w:right="820" w:hanging="760"/>
        <w:spacing w:after="0" w:line="219" w:lineRule="auto"/>
        <w:tabs>
          <w:tab w:leader="none" w:pos="98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Right of First Refusal Agreement entered into as of July 20, 2020 by and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between Eldorado Resorts, Inc. (to be renamed Caesars Entertainment, Inc. and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converted to a Delaware corporation on the date thereof) and VICI Properties</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L.P. (Horseshoe Baltimore)</w:t>
        </w:r>
      </w:hyperlink>
    </w:p>
    <w:p>
      <w:pPr>
        <w:spacing w:after="0" w:line="55" w:lineRule="exact"/>
        <w:rPr>
          <w:rFonts w:ascii="Arial" w:cs="Arial" w:eastAsia="Arial" w:hAnsi="Arial"/>
          <w:sz w:val="18"/>
          <w:szCs w:val="18"/>
          <w:u w:val="single" w:color="auto"/>
          <w:color w:val="0000FF"/>
        </w:rPr>
      </w:pPr>
    </w:p>
    <w:p>
      <w:pPr>
        <w:ind w:left="1000" w:right="820" w:hanging="760"/>
        <w:spacing w:after="0" w:line="224" w:lineRule="auto"/>
        <w:tabs>
          <w:tab w:leader="none" w:pos="980" w:val="left"/>
        </w:tabs>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124">
        <w:r>
          <w:rPr>
            <w:rFonts w:ascii="Arial" w:cs="Arial" w:eastAsia="Arial" w:hAnsi="Arial"/>
            <w:sz w:val="18"/>
            <w:szCs w:val="18"/>
            <w:u w:val="single" w:color="auto"/>
            <w:color w:val="0000FF"/>
          </w:rPr>
          <w:t>Tax Matters Agreement, dated as of October 6, 2017, by and among Caesars</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Entertainment Corporation, CEOC, LLC, VICI Properties Inc., VICI Properties</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L.P. and CPLV Property Owner LLC.</w:t>
        </w:r>
      </w:hyperlink>
    </w:p>
    <w:p>
      <w:pPr>
        <w:spacing w:after="0" w:line="55" w:lineRule="exact"/>
        <w:rPr>
          <w:rFonts w:ascii="Arial" w:cs="Arial" w:eastAsia="Arial" w:hAnsi="Arial"/>
          <w:sz w:val="18"/>
          <w:szCs w:val="18"/>
          <w:u w:val="single" w:color="auto"/>
          <w:color w:val="0000FF"/>
        </w:rPr>
      </w:pPr>
    </w:p>
    <w:p>
      <w:pPr>
        <w:ind w:left="1000" w:right="720" w:hanging="760"/>
        <w:spacing w:after="0" w:line="216" w:lineRule="auto"/>
        <w:tabs>
          <w:tab w:leader="none" w:pos="980" w:val="left"/>
        </w:tabs>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125">
        <w:r>
          <w:rPr>
            <w:rFonts w:ascii="Arial" w:cs="Arial" w:eastAsia="Arial" w:hAnsi="Arial"/>
            <w:sz w:val="18"/>
            <w:szCs w:val="18"/>
            <w:u w:val="single" w:color="auto"/>
            <w:color w:val="0000FF"/>
          </w:rPr>
          <w:t>Amended and Restated Credit Agreement among VICI Properties 1 LLC,</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Goldman Sachs Bank USA, as administrative agent, and the other lenders party</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thereto (Exhibit A to Amendment No. 3 to Credit Agreement by and among</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VICI Properties 1 LLC, Goldman Sachs Bank USA, as administrative agent, and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the other loan parties thereto).</w:t>
        </w:r>
      </w:hyperlink>
    </w:p>
    <w:p>
      <w:pPr>
        <w:spacing w:after="0" w:line="54" w:lineRule="exact"/>
        <w:rPr>
          <w:rFonts w:ascii="Arial" w:cs="Arial" w:eastAsia="Arial" w:hAnsi="Arial"/>
          <w:sz w:val="18"/>
          <w:szCs w:val="18"/>
          <w:u w:val="single" w:color="auto"/>
          <w:color w:val="0000FF"/>
        </w:rPr>
      </w:pPr>
    </w:p>
    <w:p>
      <w:pPr>
        <w:ind w:left="1000" w:right="960" w:hanging="760"/>
        <w:spacing w:after="0" w:line="224" w:lineRule="auto"/>
        <w:tabs>
          <w:tab w:leader="none" w:pos="980" w:val="left"/>
        </w:tabs>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26">
        <w:r>
          <w:rPr>
            <w:rFonts w:ascii="Arial" w:cs="Arial" w:eastAsia="Arial" w:hAnsi="Arial"/>
            <w:sz w:val="18"/>
            <w:szCs w:val="18"/>
            <w:u w:val="single" w:color="auto"/>
            <w:color w:val="0000FF"/>
          </w:rPr>
          <w:t>First Amendment to Amended and Restated Credit Agreement, dated January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24, 2020, among VICI Properties 1 LLC, the lenders named therein and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Goldman Sachs Bank USA, as administrative agent.</w:t>
        </w:r>
      </w:hyperlink>
    </w:p>
    <w:p>
      <w:pPr>
        <w:spacing w:after="0" w:line="55" w:lineRule="exact"/>
        <w:rPr>
          <w:rFonts w:ascii="Arial" w:cs="Arial" w:eastAsia="Arial" w:hAnsi="Arial"/>
          <w:sz w:val="18"/>
          <w:szCs w:val="18"/>
          <w:u w:val="single" w:color="auto"/>
          <w:color w:val="0000FF"/>
        </w:rPr>
      </w:pPr>
    </w:p>
    <w:p>
      <w:pPr>
        <w:ind w:left="1000" w:right="980" w:hanging="760"/>
        <w:spacing w:after="0" w:line="235" w:lineRule="auto"/>
        <w:tabs>
          <w:tab w:leader="none" w:pos="98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Amended and Restated Agreement of Limited Partnership of VICI Properties</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L.P.</w:t>
        </w:r>
      </w:hyperlink>
    </w:p>
    <w:p>
      <w:pPr>
        <w:spacing w:after="0" w:line="54" w:lineRule="exact"/>
        <w:rPr>
          <w:rFonts w:ascii="Arial" w:cs="Arial" w:eastAsia="Arial" w:hAnsi="Arial"/>
          <w:sz w:val="18"/>
          <w:szCs w:val="18"/>
          <w:u w:val="single" w:color="auto"/>
          <w:color w:val="0000FF"/>
        </w:rPr>
      </w:pPr>
    </w:p>
    <w:p>
      <w:pPr>
        <w:ind w:left="1000" w:right="1200" w:hanging="760"/>
        <w:spacing w:after="0" w:line="235" w:lineRule="auto"/>
        <w:tabs>
          <w:tab w:leader="none" w:pos="980" w:val="left"/>
        </w:tabs>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128">
        <w:r>
          <w:rPr>
            <w:rFonts w:ascii="Arial" w:cs="Arial" w:eastAsia="Arial" w:hAnsi="Arial"/>
            <w:sz w:val="18"/>
            <w:szCs w:val="18"/>
            <w:u w:val="single" w:color="auto"/>
            <w:color w:val="0000FF"/>
          </w:rPr>
          <w:t>Form of Indemnification Agreement, between VICI Properties Inc. and its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directors and officers.</w:t>
        </w:r>
      </w:hyperlink>
    </w:p>
    <w:p>
      <w:pPr>
        <w:spacing w:after="0" w:line="38" w:lineRule="exact"/>
        <w:rPr>
          <w:rFonts w:ascii="Arial" w:cs="Arial" w:eastAsia="Arial" w:hAnsi="Arial"/>
          <w:sz w:val="18"/>
          <w:szCs w:val="18"/>
          <w:u w:val="single" w:color="auto"/>
          <w:color w:val="0000FF"/>
        </w:rPr>
      </w:pPr>
    </w:p>
    <w:p>
      <w:pPr>
        <w:ind w:left="200"/>
        <w:spacing w:after="0"/>
        <w:tabs>
          <w:tab w:leader="none" w:pos="980" w:val="left"/>
        </w:tabs>
        <w:rPr>
          <w:rFonts w:ascii="Arial" w:cs="Arial" w:eastAsia="Arial" w:hAnsi="Arial"/>
          <w:sz w:val="16"/>
          <w:szCs w:val="16"/>
          <w:u w:val="single" w:color="auto"/>
          <w:color w:val="0000FF"/>
        </w:rPr>
      </w:pPr>
      <w:hyperlink r:id="rId129">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29">
        <w:r>
          <w:rPr>
            <w:rFonts w:ascii="Arial" w:cs="Arial" w:eastAsia="Arial" w:hAnsi="Arial"/>
            <w:sz w:val="16"/>
            <w:szCs w:val="16"/>
            <w:u w:val="single" w:color="auto"/>
            <w:color w:val="0000FF"/>
          </w:rPr>
          <w:t>Amended and Restated Employment Agreement, dated as of September 25,</w:t>
        </w:r>
      </w:hyperlink>
    </w:p>
    <w:p>
      <w:pPr>
        <w:ind w:left="1000"/>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2019, by and between VICI Properties Inc., VICI Properties L.P. and John Payne</w:t>
        </w:r>
      </w:hyperlink>
    </w:p>
    <w:p>
      <w:pPr>
        <w:spacing w:after="0" w:line="84" w:lineRule="exact"/>
        <w:rPr>
          <w:sz w:val="20"/>
          <w:szCs w:val="20"/>
          <w:color w:val="auto"/>
        </w:rPr>
      </w:pPr>
    </w:p>
    <w:p>
      <w:pPr>
        <w:ind w:left="1000" w:right="980" w:hanging="804"/>
        <w:spacing w:after="0" w:line="224" w:lineRule="auto"/>
        <w:tabs>
          <w:tab w:leader="none" w:pos="980" w:val="left"/>
        </w:tabs>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30">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2019, by and between VICI Properties Inc., VICI Properties L.P. and Edward</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Pitoniak</w:t>
        </w:r>
      </w:hyperlink>
    </w:p>
    <w:p>
      <w:pPr>
        <w:spacing w:after="0" w:line="55" w:lineRule="exact"/>
        <w:rPr>
          <w:rFonts w:ascii="Arial" w:cs="Arial" w:eastAsia="Arial" w:hAnsi="Arial"/>
          <w:sz w:val="18"/>
          <w:szCs w:val="18"/>
          <w:u w:val="single" w:color="auto"/>
          <w:color w:val="0000FF"/>
        </w:rPr>
      </w:pPr>
    </w:p>
    <w:p>
      <w:pPr>
        <w:jc w:val="both"/>
        <w:ind w:left="1000" w:right="1100" w:hanging="804"/>
        <w:spacing w:after="0" w:line="224" w:lineRule="auto"/>
        <w:tabs>
          <w:tab w:leader="none" w:pos="980" w:val="left"/>
        </w:tabs>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31">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2019, by and between VICI Properties Inc., VICI Properties L.P. and David</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Kieske</w:t>
        </w:r>
      </w:hyperlink>
    </w:p>
    <w:p>
      <w:pPr>
        <w:spacing w:after="0" w:line="55" w:lineRule="exact"/>
        <w:rPr>
          <w:rFonts w:ascii="Arial" w:cs="Arial" w:eastAsia="Arial" w:hAnsi="Arial"/>
          <w:sz w:val="18"/>
          <w:szCs w:val="18"/>
          <w:u w:val="single" w:color="auto"/>
          <w:color w:val="0000FF"/>
        </w:rPr>
      </w:pPr>
    </w:p>
    <w:p>
      <w:pPr>
        <w:ind w:left="1000" w:right="840" w:hanging="804"/>
        <w:spacing w:after="0" w:line="224" w:lineRule="auto"/>
        <w:tabs>
          <w:tab w:leader="none" w:pos="980" w:val="left"/>
        </w:tabs>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32">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2019, by and between VICI Properties Inc., VICI Properties L.P. and Samantha</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Gallagher</w:t>
        </w:r>
      </w:hyperlink>
    </w:p>
    <w:p>
      <w:pPr>
        <w:spacing w:after="0" w:line="55" w:lineRule="exact"/>
        <w:rPr>
          <w:rFonts w:ascii="Arial" w:cs="Arial" w:eastAsia="Arial" w:hAnsi="Arial"/>
          <w:sz w:val="18"/>
          <w:szCs w:val="18"/>
          <w:u w:val="single" w:color="auto"/>
          <w:color w:val="0000FF"/>
        </w:rPr>
      </w:pPr>
    </w:p>
    <w:p>
      <w:pPr>
        <w:ind w:left="200"/>
        <w:spacing w:after="0"/>
        <w:tabs>
          <w:tab w:leader="none" w:pos="980" w:val="left"/>
        </w:tabs>
        <w:rPr>
          <w:rFonts w:ascii="Arial" w:cs="Arial" w:eastAsia="Arial" w:hAnsi="Arial"/>
          <w:sz w:val="16"/>
          <w:szCs w:val="16"/>
          <w:u w:val="single" w:color="auto"/>
          <w:color w:val="0000FF"/>
        </w:rPr>
      </w:pPr>
      <w:hyperlink r:id="rId133">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33">
        <w:r>
          <w:rPr>
            <w:rFonts w:ascii="Arial" w:cs="Arial" w:eastAsia="Arial" w:hAnsi="Arial"/>
            <w:sz w:val="16"/>
            <w:szCs w:val="16"/>
            <w:u w:val="single" w:color="auto"/>
            <w:color w:val="0000FF"/>
          </w:rPr>
          <w:t>VICI Properties Inc. 2017 Stock Incentive Plan.</w:t>
        </w:r>
      </w:hyperlink>
    </w:p>
    <w:p>
      <w:pPr>
        <w:spacing w:after="0" w:line="77"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hyperlink r:id="rId134">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34">
        <w:r>
          <w:rPr>
            <w:rFonts w:ascii="Arial" w:cs="Arial" w:eastAsia="Arial" w:hAnsi="Arial"/>
            <w:sz w:val="16"/>
            <w:szCs w:val="16"/>
            <w:u w:val="single" w:color="auto"/>
            <w:color w:val="0000FF"/>
          </w:rPr>
          <w:t>Amendment No. 1 to VICI Properties Inc. 2017 Stock Incentive Plan</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729"/>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4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53"/>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9/18/2020</w:t>
            </w:r>
          </w:p>
        </w:tc>
      </w:tr>
      <w:tr>
        <w:trPr>
          <w:trHeight w:val="715"/>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1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10.11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729"/>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10/11/2017</w:t>
            </w:r>
          </w:p>
        </w:tc>
      </w:tr>
      <w:tr>
        <w:trPr>
          <w:trHeight w:val="81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5/16/2019</w:t>
            </w:r>
          </w:p>
        </w:tc>
      </w:tr>
      <w:tr>
        <w:trPr>
          <w:trHeight w:val="81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1/24/2020</w:t>
            </w:r>
          </w:p>
        </w:tc>
      </w:tr>
      <w:tr>
        <w:trPr>
          <w:trHeight w:val="54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10/11/2017</w:t>
            </w:r>
          </w:p>
        </w:tc>
      </w:tr>
      <w:tr>
        <w:trPr>
          <w:trHeight w:val="459"/>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9/28/2017</w:t>
            </w:r>
          </w:p>
        </w:tc>
      </w:tr>
      <w:tr>
        <w:trPr>
          <w:trHeight w:val="459"/>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553"/>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635"/>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635"/>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459"/>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10/11/2017</w:t>
            </w:r>
          </w:p>
        </w:tc>
      </w:tr>
      <w:tr>
        <w:trPr>
          <w:trHeight w:val="283"/>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10.52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2/14/2019</w:t>
            </w:r>
          </w:p>
        </w:tc>
      </w:tr>
    </w:tbl>
    <w:p>
      <w:pPr>
        <w:sectPr>
          <w:pgSz w:w="11900" w:h="16838" w:orient="portrait"/>
          <w:cols w:equalWidth="0" w:num="2">
            <w:col w:w="7540" w:space="720"/>
            <w:col w:w="2800"/>
          </w:cols>
          <w:pgMar w:left="320" w:top="476" w:right="51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020"/>
          </w:cols>
          <w:pgMar w:left="320" w:top="476" w:right="5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hyperlink r:id="rId136">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36">
        <w:r>
          <w:rPr>
            <w:rFonts w:ascii="Arial" w:cs="Arial" w:eastAsia="Arial" w:hAnsi="Arial"/>
            <w:sz w:val="16"/>
            <w:szCs w:val="16"/>
            <w:u w:val="single" w:color="auto"/>
            <w:color w:val="0000FF"/>
          </w:rPr>
          <w:t>Form of Restricted Stock Grant</w:t>
        </w:r>
      </w:hyperlink>
    </w:p>
    <w:p>
      <w:pPr>
        <w:spacing w:after="0" w:line="77"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hyperlink r:id="rId137">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37">
        <w:r>
          <w:rPr>
            <w:rFonts w:ascii="Arial" w:cs="Arial" w:eastAsia="Arial" w:hAnsi="Arial"/>
            <w:sz w:val="16"/>
            <w:szCs w:val="16"/>
            <w:u w:val="single" w:color="auto"/>
            <w:color w:val="0000FF"/>
          </w:rPr>
          <w:t>Form of LTIP Time-Based Restricted Stock Grant Agreement</w:t>
        </w:r>
      </w:hyperlink>
    </w:p>
    <w:p>
      <w:pPr>
        <w:spacing w:after="0" w:line="77"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FF"/>
        </w:rPr>
      </w:pPr>
      <w:hyperlink r:id="rId138">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38">
        <w:r>
          <w:rPr>
            <w:rFonts w:ascii="Arial" w:cs="Arial" w:eastAsia="Arial" w:hAnsi="Arial"/>
            <w:sz w:val="16"/>
            <w:szCs w:val="16"/>
            <w:u w:val="single" w:color="auto"/>
            <w:color w:val="0000FF"/>
          </w:rPr>
          <w:t>Form of LTIP Performance-Based Restricted Stock Unit Agreement</w:t>
        </w:r>
      </w:hyperlink>
    </w:p>
    <w:p>
      <w:pPr>
        <w:spacing w:after="0" w:line="77" w:lineRule="exact"/>
        <w:rPr>
          <w:sz w:val="20"/>
          <w:szCs w:val="20"/>
          <w:color w:val="auto"/>
        </w:rPr>
      </w:pPr>
    </w:p>
    <w:p>
      <w:pPr>
        <w:ind w:left="280"/>
        <w:spacing w:after="0"/>
        <w:tabs>
          <w:tab w:leader="none" w:pos="980" w:val="left"/>
        </w:tabs>
        <w:rPr>
          <w:rFonts w:ascii="Arial" w:cs="Arial" w:eastAsia="Arial" w:hAnsi="Arial"/>
          <w:sz w:val="16"/>
          <w:szCs w:val="16"/>
          <w:u w:val="single" w:color="auto"/>
          <w:color w:val="0000FF"/>
        </w:rPr>
      </w:pPr>
      <w:hyperlink w:anchor="page208">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208">
        <w:r>
          <w:rPr>
            <w:rFonts w:ascii="Arial" w:cs="Arial" w:eastAsia="Arial" w:hAnsi="Arial"/>
            <w:sz w:val="16"/>
            <w:szCs w:val="16"/>
            <w:u w:val="single" w:color="auto"/>
            <w:color w:val="0000FF"/>
          </w:rPr>
          <w:t>Subsidiaries of VICI Properties Inc.</w:t>
        </w:r>
      </w:hyperlink>
    </w:p>
    <w:p>
      <w:pPr>
        <w:spacing w:after="0" w:line="77" w:lineRule="exact"/>
        <w:rPr>
          <w:sz w:val="20"/>
          <w:szCs w:val="20"/>
          <w:color w:val="auto"/>
        </w:rPr>
      </w:pPr>
    </w:p>
    <w:p>
      <w:pPr>
        <w:ind w:left="280"/>
        <w:spacing w:after="0"/>
        <w:tabs>
          <w:tab w:leader="none" w:pos="980" w:val="left"/>
        </w:tabs>
        <w:rPr>
          <w:rFonts w:ascii="Arial" w:cs="Arial" w:eastAsia="Arial" w:hAnsi="Arial"/>
          <w:sz w:val="16"/>
          <w:szCs w:val="16"/>
          <w:u w:val="single" w:color="auto"/>
          <w:color w:val="0000FF"/>
        </w:rPr>
      </w:pPr>
      <w:hyperlink w:anchor="page210">
        <w:r>
          <w:rPr>
            <w:rFonts w:ascii="Arial" w:cs="Arial" w:eastAsia="Arial" w:hAnsi="Arial"/>
            <w:sz w:val="18"/>
            <w:szCs w:val="18"/>
            <w:u w:val="single" w:color="auto"/>
            <w:color w:val="0000FF"/>
          </w:rPr>
          <w:t>23.1</w:t>
        </w:r>
      </w:hyperlink>
      <w:r>
        <w:rPr>
          <w:rFonts w:ascii="Arial" w:cs="Arial" w:eastAsia="Arial" w:hAnsi="Arial"/>
          <w:sz w:val="18"/>
          <w:szCs w:val="18"/>
          <w:color w:val="0000FF"/>
        </w:rPr>
        <w:tab/>
      </w:r>
      <w:hyperlink w:anchor="page210">
        <w:r>
          <w:rPr>
            <w:rFonts w:ascii="Arial" w:cs="Arial" w:eastAsia="Arial" w:hAnsi="Arial"/>
            <w:sz w:val="16"/>
            <w:szCs w:val="16"/>
            <w:u w:val="single" w:color="auto"/>
            <w:color w:val="0000FF"/>
          </w:rPr>
          <w:t>Consent of Deloitte &amp; Touche LLP for VICI Properties Inc</w:t>
        </w:r>
        <w:r>
          <w:rPr>
            <w:rFonts w:ascii="Arial" w:cs="Arial" w:eastAsia="Arial" w:hAnsi="Arial"/>
            <w:sz w:val="16"/>
            <w:szCs w:val="16"/>
            <w:color w:val="0000FF"/>
          </w:rPr>
          <w:t>.</w:t>
        </w:r>
      </w:hyperlink>
    </w:p>
    <w:p>
      <w:pPr>
        <w:spacing w:after="0" w:line="77" w:lineRule="exact"/>
        <w:rPr>
          <w:sz w:val="20"/>
          <w:szCs w:val="20"/>
          <w:color w:val="auto"/>
        </w:rPr>
      </w:pPr>
    </w:p>
    <w:p>
      <w:pPr>
        <w:ind w:left="280"/>
        <w:spacing w:after="0"/>
        <w:tabs>
          <w:tab w:leader="none" w:pos="980" w:val="left"/>
        </w:tabs>
        <w:rPr>
          <w:rFonts w:ascii="Arial" w:cs="Arial" w:eastAsia="Arial" w:hAnsi="Arial"/>
          <w:sz w:val="16"/>
          <w:szCs w:val="16"/>
          <w:u w:val="single" w:color="auto"/>
          <w:color w:val="0000FF"/>
        </w:rPr>
      </w:pPr>
      <w:hyperlink w:anchor="page79">
        <w:r>
          <w:rPr>
            <w:rFonts w:ascii="Arial" w:cs="Arial" w:eastAsia="Arial" w:hAnsi="Arial"/>
            <w:sz w:val="18"/>
            <w:szCs w:val="18"/>
            <w:u w:val="single" w:color="auto"/>
            <w:color w:val="0000FF"/>
          </w:rPr>
          <w:t>24.1</w:t>
        </w:r>
      </w:hyperlink>
      <w:r>
        <w:rPr>
          <w:rFonts w:ascii="Arial" w:cs="Arial" w:eastAsia="Arial" w:hAnsi="Arial"/>
          <w:sz w:val="18"/>
          <w:szCs w:val="18"/>
          <w:u w:val="single" w:color="auto"/>
          <w:color w:val="0000FF"/>
        </w:rPr>
        <w:tab/>
      </w:r>
      <w:hyperlink w:anchor="page79">
        <w:r>
          <w:rPr>
            <w:rFonts w:ascii="Arial" w:cs="Arial" w:eastAsia="Arial" w:hAnsi="Arial"/>
            <w:sz w:val="16"/>
            <w:szCs w:val="16"/>
            <w:u w:val="single" w:color="auto"/>
            <w:color w:val="0000FF"/>
          </w:rPr>
          <w:t>Power of Attorney (included on signature page)</w:t>
        </w:r>
      </w:hyperlink>
    </w:p>
    <w:p>
      <w:pPr>
        <w:spacing w:after="0" w:line="77" w:lineRule="exact"/>
        <w:rPr>
          <w:sz w:val="20"/>
          <w:szCs w:val="20"/>
          <w:color w:val="auto"/>
        </w:rPr>
      </w:pPr>
    </w:p>
    <w:p>
      <w:pPr>
        <w:ind w:left="1000" w:right="260" w:hanging="714"/>
        <w:spacing w:after="0" w:line="235" w:lineRule="auto"/>
        <w:tabs>
          <w:tab w:leader="none" w:pos="980" w:val="left"/>
        </w:tabs>
        <w:rPr>
          <w:rFonts w:ascii="Arial" w:cs="Arial" w:eastAsia="Arial" w:hAnsi="Arial"/>
          <w:sz w:val="18"/>
          <w:szCs w:val="18"/>
          <w:u w:val="single" w:color="auto"/>
          <w:color w:val="0000FF"/>
        </w:rPr>
      </w:pPr>
      <w:hyperlink w:anchor="page211">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211">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211">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00" w:right="300" w:hanging="714"/>
        <w:spacing w:after="0" w:line="235" w:lineRule="auto"/>
        <w:tabs>
          <w:tab w:leader="none" w:pos="980" w:val="left"/>
        </w:tabs>
        <w:rPr>
          <w:rFonts w:ascii="Arial" w:cs="Arial" w:eastAsia="Arial" w:hAnsi="Arial"/>
          <w:sz w:val="18"/>
          <w:szCs w:val="18"/>
          <w:u w:val="single" w:color="auto"/>
          <w:color w:val="0000FF"/>
        </w:rPr>
      </w:pPr>
      <w:hyperlink w:anchor="page212">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212">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212">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00" w:right="260" w:hanging="714"/>
        <w:spacing w:after="0" w:line="235" w:lineRule="auto"/>
        <w:tabs>
          <w:tab w:leader="none" w:pos="980" w:val="left"/>
        </w:tabs>
        <w:rPr>
          <w:rFonts w:ascii="Arial" w:cs="Arial" w:eastAsia="Arial" w:hAnsi="Arial"/>
          <w:sz w:val="18"/>
          <w:szCs w:val="18"/>
          <w:u w:val="single" w:color="auto"/>
          <w:color w:val="0000FF"/>
        </w:rPr>
      </w:pPr>
      <w:hyperlink w:anchor="page213">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213">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213">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00" w:right="300" w:hanging="714"/>
        <w:spacing w:after="0" w:line="235" w:lineRule="auto"/>
        <w:tabs>
          <w:tab w:leader="none" w:pos="980" w:val="left"/>
        </w:tabs>
        <w:rPr>
          <w:rFonts w:ascii="Arial" w:cs="Arial" w:eastAsia="Arial" w:hAnsi="Arial"/>
          <w:sz w:val="18"/>
          <w:szCs w:val="18"/>
          <w:u w:val="single" w:color="auto"/>
          <w:color w:val="0000FF"/>
        </w:rPr>
      </w:pPr>
      <w:hyperlink w:anchor="page214">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214">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214">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1000" w:right="160" w:hanging="829"/>
        <w:spacing w:after="0" w:line="224" w:lineRule="auto"/>
        <w:tabs>
          <w:tab w:leader="none" w:pos="98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55" w:lineRule="exact"/>
        <w:rPr>
          <w:rFonts w:ascii="Arial" w:cs="Arial" w:eastAsia="Arial" w:hAnsi="Arial"/>
          <w:sz w:val="18"/>
          <w:szCs w:val="18"/>
          <w:u w:val="single" w:color="auto"/>
          <w:color w:val="0000FF"/>
        </w:rPr>
      </w:pPr>
    </w:p>
    <w:p>
      <w:pPr>
        <w:ind w:left="140"/>
        <w:spacing w:after="0"/>
        <w:tabs>
          <w:tab w:leader="none" w:pos="98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00" w:lineRule="exact"/>
        <w:rPr>
          <w:rFonts w:ascii="Arial" w:cs="Arial" w:eastAsia="Arial" w:hAnsi="Arial"/>
          <w:sz w:val="18"/>
          <w:szCs w:val="18"/>
          <w:u w:val="single" w:color="auto"/>
          <w:color w:val="0000FF"/>
        </w:rPr>
      </w:pPr>
    </w:p>
    <w:p>
      <w:pPr>
        <w:ind w:left="140"/>
        <w:spacing w:after="0"/>
        <w:tabs>
          <w:tab w:leader="none" w:pos="98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00" w:lineRule="exact"/>
        <w:rPr>
          <w:rFonts w:ascii="Arial" w:cs="Arial" w:eastAsia="Arial" w:hAnsi="Arial"/>
          <w:sz w:val="18"/>
          <w:szCs w:val="18"/>
          <w:u w:val="single" w:color="auto"/>
          <w:color w:val="0000FF"/>
        </w:rPr>
      </w:pPr>
    </w:p>
    <w:p>
      <w:pPr>
        <w:ind w:left="140"/>
        <w:spacing w:after="0"/>
        <w:tabs>
          <w:tab w:leader="none" w:pos="98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100" w:lineRule="exact"/>
        <w:rPr>
          <w:rFonts w:ascii="Arial" w:cs="Arial" w:eastAsia="Arial" w:hAnsi="Arial"/>
          <w:sz w:val="18"/>
          <w:szCs w:val="18"/>
          <w:u w:val="single" w:color="auto"/>
          <w:color w:val="0000FF"/>
        </w:rPr>
      </w:pPr>
    </w:p>
    <w:p>
      <w:pPr>
        <w:ind w:left="140"/>
        <w:spacing w:after="0"/>
        <w:tabs>
          <w:tab w:leader="none" w:pos="98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100" w:lineRule="exact"/>
        <w:rPr>
          <w:rFonts w:ascii="Arial" w:cs="Arial" w:eastAsia="Arial" w:hAnsi="Arial"/>
          <w:sz w:val="18"/>
          <w:szCs w:val="18"/>
          <w:u w:val="single" w:color="auto"/>
          <w:color w:val="0000FF"/>
        </w:rPr>
      </w:pPr>
    </w:p>
    <w:p>
      <w:pPr>
        <w:ind w:left="140"/>
        <w:spacing w:after="0"/>
        <w:tabs>
          <w:tab w:leader="none" w:pos="98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00" w:lineRule="exact"/>
        <w:rPr>
          <w:rFonts w:ascii="Arial" w:cs="Arial" w:eastAsia="Arial" w:hAnsi="Arial"/>
          <w:sz w:val="18"/>
          <w:szCs w:val="18"/>
          <w:u w:val="single" w:color="auto"/>
          <w:color w:val="0000FF"/>
        </w:rPr>
      </w:pPr>
    </w:p>
    <w:p>
      <w:pPr>
        <w:ind w:left="1000" w:right="20" w:hanging="682"/>
        <w:spacing w:after="0" w:line="235"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98"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940" w:type="dxa"/>
        <w:tblCellMar>
          <w:top w:w="0" w:type="dxa"/>
          <w:left w:w="0" w:type="dxa"/>
          <w:bottom w:w="0" w:type="dxa"/>
          <w:right w:w="0" w:type="dxa"/>
        </w:tblCellMar>
      </w:tblPr>
      <w:tr>
        <w:trPr>
          <w:trHeight w:val="230"/>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10.39</w:t>
            </w:r>
          </w:p>
        </w:tc>
        <w:tc>
          <w:tcPr>
            <w:tcW w:w="1020" w:type="dxa"/>
            <w:vAlign w:val="bottom"/>
          </w:tcPr>
          <w:p>
            <w:pPr>
              <w:jc w:val="right"/>
              <w:spacing w:after="0"/>
              <w:rPr>
                <w:sz w:val="20"/>
                <w:szCs w:val="20"/>
                <w:color w:val="auto"/>
              </w:rPr>
            </w:pPr>
            <w:r>
              <w:rPr>
                <w:rFonts w:ascii="Arial" w:cs="Arial" w:eastAsia="Arial" w:hAnsi="Arial"/>
                <w:sz w:val="18"/>
                <w:szCs w:val="18"/>
                <w:color w:val="auto"/>
              </w:rPr>
              <w:t>3/28/2018</w:t>
            </w:r>
          </w:p>
        </w:tc>
      </w:tr>
      <w:tr>
        <w:trPr>
          <w:trHeight w:val="284"/>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8/30/2018</w:t>
            </w:r>
          </w:p>
        </w:tc>
      </w:tr>
      <w:tr>
        <w:trPr>
          <w:trHeight w:val="283"/>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8/30/2018</w:t>
            </w:r>
          </w:p>
        </w:tc>
      </w:tr>
    </w:tbl>
    <w:p>
      <w:pPr>
        <w:spacing w:after="0" w:line="5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5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34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575" w:lineRule="exact"/>
        <w:rPr>
          <w:rFonts w:ascii="Arial" w:cs="Arial" w:eastAsia="Arial" w:hAnsi="Arial"/>
          <w:sz w:val="18"/>
          <w:szCs w:val="18"/>
          <w:u w:val="single" w:color="auto"/>
          <w:color w:val="0000FF"/>
        </w:rPr>
      </w:pPr>
    </w:p>
    <w:p>
      <w:pPr>
        <w:sectPr>
          <w:pgSz w:w="11900" w:h="16838" w:orient="portrait"/>
          <w:cols w:equalWidth="0" w:num="2">
            <w:col w:w="6600" w:space="720"/>
            <w:col w:w="3700"/>
          </w:cols>
          <w:pgMar w:left="320" w:top="476" w:right="559" w:bottom="1440" w:gutter="0" w:footer="0" w:header="0"/>
          <w:type w:val="continuous"/>
        </w:sect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Management contracts and compensation plans and arrangements.</w:t>
      </w:r>
    </w:p>
    <w:p>
      <w:pPr>
        <w:spacing w:after="0" w:line="1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 Portions of the exhibits have been redacted because such information is (i) not material and (ii) could be competitively harmful if publicly disclosed.</w:t>
      </w:r>
    </w:p>
    <w:p>
      <w:pPr>
        <w:spacing w:after="0" w:line="275" w:lineRule="exact"/>
        <w:rPr>
          <w:rFonts w:ascii="Arial" w:cs="Arial" w:eastAsia="Arial" w:hAnsi="Arial"/>
          <w:sz w:val="18"/>
          <w:szCs w:val="18"/>
          <w:u w:val="single" w:color="auto"/>
          <w:color w:val="0000FF"/>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7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476" w:right="55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97" w:lineRule="exact"/>
        <w:rPr>
          <w:sz w:val="20"/>
          <w:szCs w:val="20"/>
          <w:color w:val="auto"/>
        </w:rPr>
      </w:pPr>
    </w:p>
    <w:p>
      <w:pPr>
        <w:ind w:left="60"/>
        <w:spacing w:after="0"/>
        <w:tabs>
          <w:tab w:leader="none" w:pos="4760" w:val="left"/>
          <w:tab w:leader="none" w:pos="7160" w:val="left"/>
        </w:tabs>
        <w:rPr>
          <w:sz w:val="20"/>
          <w:szCs w:val="20"/>
          <w:color w:val="auto"/>
        </w:rPr>
      </w:pPr>
      <w:r>
        <w:rPr>
          <w:rFonts w:ascii="Arial" w:cs="Arial" w:eastAsia="Arial" w:hAnsi="Arial"/>
          <w:sz w:val="18"/>
          <w:szCs w:val="18"/>
          <w:color w:val="auto"/>
        </w:rPr>
        <w:t>February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630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2"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officers and directors of VICI Properties Inc.,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R. ABRAHAMSON</w:t>
            </w:r>
          </w:p>
        </w:tc>
        <w:tc>
          <w:tcPr>
            <w:tcW w:w="12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 of the Board of Directors</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James R. Abrahamson</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DIANA F. CANTOR</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3"/>
              </w:rPr>
              <w:t>Diana F. Cantor</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MONICA H. DOUGLAS</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1"/>
              </w:rPr>
              <w:t>Monica H. Douglas</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ELIZABETH I. HOLLAND</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4"/>
              </w:rPr>
              <w:t>Elizabeth I. Holland</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CRAIG MACNAB</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4"/>
              </w:rPr>
              <w:t>Craig Macnab</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D. RUMBOLZ</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18, 2021</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D. Rumbolz</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0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580" w:type="dxa"/>
            <w:vAlign w:val="bottom"/>
            <w:gridSpan w:val="2"/>
          </w:tcPr>
          <w:p>
            <w:pPr>
              <w:jc w:val="right"/>
              <w:ind w:right="31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95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 xml:space="preserve">Table </w:t>
              </w:r>
            </w:hyperlink>
            <w:r>
              <w:rPr>
                <w:rFonts w:ascii="Arial" w:cs="Arial" w:eastAsia="Arial" w:hAnsi="Arial"/>
                <w:sz w:val="18"/>
                <w:szCs w:val="18"/>
                <w:color w:val="0000FF"/>
              </w:rPr>
              <w:t xml:space="preserve">of </w:t>
            </w:r>
            <w:hyperlink w:anchor="page1">
              <w:r>
                <w:rPr>
                  <w:rFonts w:ascii="Arial" w:cs="Arial" w:eastAsia="Arial" w:hAnsi="Arial"/>
                  <w:sz w:val="18"/>
                  <w:szCs w:val="18"/>
                  <w:color w:val="0000FF"/>
                </w:rPr>
                <w:t>Contents</w:t>
              </w:r>
            </w:hyperlink>
          </w:p>
        </w:tc>
        <w:tc>
          <w:tcPr>
            <w:tcW w:w="166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8300" w:type="dxa"/>
            <w:vAlign w:val="bottom"/>
          </w:tcPr>
          <w:p>
            <w:pPr>
              <w:jc w:val="center"/>
              <w:ind w:left="290"/>
              <w:spacing w:after="0"/>
              <w:rPr>
                <w:sz w:val="20"/>
                <w:szCs w:val="20"/>
                <w:color w:val="auto"/>
              </w:rPr>
            </w:pPr>
            <w:r>
              <w:rPr>
                <w:rFonts w:ascii="Arial" w:cs="Arial" w:eastAsia="Arial" w:hAnsi="Arial"/>
                <w:sz w:val="18"/>
                <w:szCs w:val="18"/>
                <w:b w:val="1"/>
                <w:bCs w:val="1"/>
                <w:color w:val="auto"/>
              </w:rPr>
              <w:t>INDEX TO CONSOLIDATED FINANCIAL STATEMENTS AND SCHEDULE</w:t>
            </w:r>
          </w:p>
        </w:tc>
        <w:tc>
          <w:tcPr>
            <w:tcW w:w="1660" w:type="dxa"/>
            <w:vAlign w:val="bottom"/>
          </w:tcPr>
          <w:p>
            <w:pPr>
              <w:spacing w:after="0"/>
              <w:rPr>
                <w:sz w:val="24"/>
                <w:szCs w:val="24"/>
                <w:color w:val="auto"/>
              </w:rPr>
            </w:pPr>
          </w:p>
        </w:tc>
      </w:tr>
      <w:tr>
        <w:trPr>
          <w:trHeight w:val="270"/>
        </w:trPr>
        <w:tc>
          <w:tcPr>
            <w:tcW w:w="9580" w:type="dxa"/>
            <w:vAlign w:val="bottom"/>
            <w:gridSpan w:val="2"/>
          </w:tcPr>
          <w:p>
            <w:pPr>
              <w:spacing w:after="0"/>
              <w:rPr>
                <w:sz w:val="23"/>
                <w:szCs w:val="23"/>
                <w:color w:val="auto"/>
              </w:rPr>
            </w:pPr>
          </w:p>
        </w:tc>
        <w:tc>
          <w:tcPr>
            <w:tcW w:w="1660" w:type="dxa"/>
            <w:vAlign w:val="bottom"/>
          </w:tcPr>
          <w:p>
            <w:pPr>
              <w:spacing w:after="0"/>
              <w:rPr>
                <w:sz w:val="23"/>
                <w:szCs w:val="23"/>
                <w:color w:val="auto"/>
              </w:rPr>
            </w:pPr>
          </w:p>
        </w:tc>
      </w:tr>
      <w:tr>
        <w:trPr>
          <w:trHeight w:val="230"/>
        </w:trPr>
        <w:tc>
          <w:tcPr>
            <w:tcW w:w="9580" w:type="dxa"/>
            <w:vAlign w:val="bottom"/>
            <w:gridSpan w:val="2"/>
            <w:shd w:val="clear" w:color="auto" w:fill="CCEEFF"/>
          </w:tcPr>
          <w:p>
            <w:pPr>
              <w:ind w:left="3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Reports of Independent Registered Public Accounting Firm</w:t>
              </w:r>
            </w:hyperlink>
          </w:p>
        </w:tc>
        <w:tc>
          <w:tcPr>
            <w:tcW w:w="1660" w:type="dxa"/>
            <w:vAlign w:val="bottom"/>
            <w:shd w:val="clear" w:color="auto" w:fill="CCEEFF"/>
          </w:tcPr>
          <w:p>
            <w:pPr>
              <w:jc w:val="center"/>
              <w:ind w:left="470"/>
              <w:spacing w:after="0"/>
              <w:rPr>
                <w:rFonts w:ascii="Arial" w:cs="Arial" w:eastAsia="Arial" w:hAnsi="Arial"/>
                <w:sz w:val="18"/>
                <w:szCs w:val="18"/>
                <w:u w:val="single" w:color="auto"/>
                <w:color w:val="0000FF"/>
                <w:w w:val="91"/>
              </w:rPr>
            </w:pPr>
            <w:hyperlink w:anchor="page81">
              <w:r>
                <w:rPr>
                  <w:rFonts w:ascii="Arial" w:cs="Arial" w:eastAsia="Arial" w:hAnsi="Arial"/>
                  <w:sz w:val="18"/>
                  <w:szCs w:val="18"/>
                  <w:u w:val="single" w:color="auto"/>
                  <w:color w:val="0000FF"/>
                  <w:w w:val="91"/>
                </w:rPr>
                <w:t>F - 2</w:t>
              </w:r>
            </w:hyperlink>
          </w:p>
        </w:tc>
      </w:tr>
      <w:tr>
        <w:trPr>
          <w:trHeight w:val="229"/>
        </w:trPr>
        <w:tc>
          <w:tcPr>
            <w:tcW w:w="9580" w:type="dxa"/>
            <w:vAlign w:val="bottom"/>
            <w:gridSpan w:val="2"/>
          </w:tcPr>
          <w:p>
            <w:pPr>
              <w:ind w:left="3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Consolidated Balance Sheets as of December 31, 2020 and 2019</w:t>
              </w:r>
            </w:hyperlink>
          </w:p>
        </w:tc>
        <w:tc>
          <w:tcPr>
            <w:tcW w:w="1660" w:type="dxa"/>
            <w:vAlign w:val="bottom"/>
          </w:tcPr>
          <w:p>
            <w:pPr>
              <w:jc w:val="center"/>
              <w:ind w:left="470"/>
              <w:spacing w:after="0"/>
              <w:rPr>
                <w:rFonts w:ascii="Arial" w:cs="Arial" w:eastAsia="Arial" w:hAnsi="Arial"/>
                <w:sz w:val="18"/>
                <w:szCs w:val="18"/>
                <w:u w:val="single" w:color="auto"/>
                <w:color w:val="0000FF"/>
                <w:w w:val="91"/>
              </w:rPr>
            </w:pPr>
            <w:hyperlink w:anchor="page85">
              <w:r>
                <w:rPr>
                  <w:rFonts w:ascii="Arial" w:cs="Arial" w:eastAsia="Arial" w:hAnsi="Arial"/>
                  <w:sz w:val="18"/>
                  <w:szCs w:val="18"/>
                  <w:u w:val="single" w:color="auto"/>
                  <w:color w:val="0000FF"/>
                  <w:w w:val="91"/>
                </w:rPr>
                <w:t>F - 6</w:t>
              </w:r>
            </w:hyperlink>
          </w:p>
        </w:tc>
      </w:tr>
      <w:tr>
        <w:trPr>
          <w:trHeight w:val="229"/>
        </w:trPr>
        <w:tc>
          <w:tcPr>
            <w:tcW w:w="9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Year Ended December 31, 2020, 2019 and 2018</w:t>
            </w:r>
          </w:p>
        </w:tc>
        <w:tc>
          <w:tcPr>
            <w:tcW w:w="1660" w:type="dxa"/>
            <w:vAlign w:val="bottom"/>
            <w:shd w:val="clear" w:color="auto" w:fill="CCEEFF"/>
          </w:tcPr>
          <w:p>
            <w:pPr>
              <w:spacing w:after="0"/>
              <w:rPr>
                <w:sz w:val="19"/>
                <w:szCs w:val="19"/>
                <w:color w:val="auto"/>
              </w:rPr>
            </w:pPr>
          </w:p>
        </w:tc>
      </w:tr>
      <w:tr>
        <w:trPr>
          <w:trHeight w:val="230"/>
        </w:trPr>
        <w:tc>
          <w:tcPr>
            <w:tcW w:w="9580" w:type="dxa"/>
            <w:vAlign w:val="bottom"/>
            <w:gridSpan w:val="2"/>
          </w:tcPr>
          <w:p>
            <w:pPr>
              <w:ind w:left="76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Consolidated Statements of Operations and Comprehensive Income</w:t>
              </w:r>
            </w:hyperlink>
          </w:p>
        </w:tc>
        <w:tc>
          <w:tcPr>
            <w:tcW w:w="1660" w:type="dxa"/>
            <w:vAlign w:val="bottom"/>
          </w:tcPr>
          <w:p>
            <w:pPr>
              <w:jc w:val="center"/>
              <w:ind w:left="470"/>
              <w:spacing w:after="0"/>
              <w:rPr>
                <w:rFonts w:ascii="Arial" w:cs="Arial" w:eastAsia="Arial" w:hAnsi="Arial"/>
                <w:sz w:val="18"/>
                <w:szCs w:val="18"/>
                <w:u w:val="single" w:color="auto"/>
                <w:color w:val="0000FF"/>
                <w:w w:val="91"/>
              </w:rPr>
            </w:pPr>
            <w:hyperlink w:anchor="page86">
              <w:r>
                <w:rPr>
                  <w:rFonts w:ascii="Arial" w:cs="Arial" w:eastAsia="Arial" w:hAnsi="Arial"/>
                  <w:sz w:val="18"/>
                  <w:szCs w:val="18"/>
                  <w:u w:val="single" w:color="auto"/>
                  <w:color w:val="0000FF"/>
                  <w:w w:val="91"/>
                </w:rPr>
                <w:t>F - 7</w:t>
              </w:r>
            </w:hyperlink>
          </w:p>
        </w:tc>
      </w:tr>
      <w:tr>
        <w:trPr>
          <w:trHeight w:val="229"/>
        </w:trPr>
        <w:tc>
          <w:tcPr>
            <w:tcW w:w="9580" w:type="dxa"/>
            <w:vAlign w:val="bottom"/>
            <w:gridSpan w:val="2"/>
            <w:shd w:val="clear" w:color="auto" w:fill="CCEEFF"/>
          </w:tcPr>
          <w:p>
            <w:pPr>
              <w:ind w:left="76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Consolidated Statements of Stockholders’ Equity</w:t>
              </w:r>
            </w:hyperlink>
          </w:p>
        </w:tc>
        <w:tc>
          <w:tcPr>
            <w:tcW w:w="1660" w:type="dxa"/>
            <w:vAlign w:val="bottom"/>
            <w:shd w:val="clear" w:color="auto" w:fill="CCEEFF"/>
          </w:tcPr>
          <w:p>
            <w:pPr>
              <w:jc w:val="center"/>
              <w:ind w:left="470"/>
              <w:spacing w:after="0"/>
              <w:rPr>
                <w:rFonts w:ascii="Arial" w:cs="Arial" w:eastAsia="Arial" w:hAnsi="Arial"/>
                <w:sz w:val="18"/>
                <w:szCs w:val="18"/>
                <w:u w:val="single" w:color="auto"/>
                <w:color w:val="0000FF"/>
                <w:w w:val="91"/>
              </w:rPr>
            </w:pPr>
            <w:hyperlink w:anchor="page87">
              <w:r>
                <w:rPr>
                  <w:rFonts w:ascii="Arial" w:cs="Arial" w:eastAsia="Arial" w:hAnsi="Arial"/>
                  <w:sz w:val="18"/>
                  <w:szCs w:val="18"/>
                  <w:u w:val="single" w:color="auto"/>
                  <w:color w:val="0000FF"/>
                  <w:w w:val="91"/>
                </w:rPr>
                <w:t>F - 8</w:t>
              </w:r>
            </w:hyperlink>
          </w:p>
        </w:tc>
      </w:tr>
      <w:tr>
        <w:trPr>
          <w:trHeight w:val="229"/>
        </w:trPr>
        <w:tc>
          <w:tcPr>
            <w:tcW w:w="9580" w:type="dxa"/>
            <w:vAlign w:val="bottom"/>
            <w:gridSpan w:val="2"/>
          </w:tcPr>
          <w:p>
            <w:pPr>
              <w:ind w:left="76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Consolidated Statements of Cash Flows</w:t>
              </w:r>
            </w:hyperlink>
          </w:p>
        </w:tc>
        <w:tc>
          <w:tcPr>
            <w:tcW w:w="1660" w:type="dxa"/>
            <w:vAlign w:val="bottom"/>
          </w:tcPr>
          <w:p>
            <w:pPr>
              <w:jc w:val="center"/>
              <w:ind w:left="470"/>
              <w:spacing w:after="0"/>
              <w:rPr>
                <w:rFonts w:ascii="Arial" w:cs="Arial" w:eastAsia="Arial" w:hAnsi="Arial"/>
                <w:sz w:val="18"/>
                <w:szCs w:val="18"/>
                <w:u w:val="single" w:color="auto"/>
                <w:color w:val="0000FF"/>
                <w:w w:val="91"/>
              </w:rPr>
            </w:pPr>
            <w:hyperlink w:anchor="page88">
              <w:r>
                <w:rPr>
                  <w:rFonts w:ascii="Arial" w:cs="Arial" w:eastAsia="Arial" w:hAnsi="Arial"/>
                  <w:sz w:val="18"/>
                  <w:szCs w:val="18"/>
                  <w:u w:val="single" w:color="auto"/>
                  <w:color w:val="0000FF"/>
                  <w:w w:val="91"/>
                </w:rPr>
                <w:t>F - 9</w:t>
              </w:r>
            </w:hyperlink>
          </w:p>
        </w:tc>
      </w:tr>
      <w:tr>
        <w:trPr>
          <w:trHeight w:val="230"/>
        </w:trPr>
        <w:tc>
          <w:tcPr>
            <w:tcW w:w="9580" w:type="dxa"/>
            <w:vAlign w:val="bottom"/>
            <w:gridSpan w:val="2"/>
            <w:shd w:val="clear" w:color="auto" w:fill="CCEEFF"/>
          </w:tcPr>
          <w:p>
            <w:pPr>
              <w:ind w:left="3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Notes to Consolidated Financial Statements</w:t>
              </w:r>
            </w:hyperlink>
          </w:p>
        </w:tc>
        <w:tc>
          <w:tcPr>
            <w:tcW w:w="1660" w:type="dxa"/>
            <w:vAlign w:val="bottom"/>
            <w:shd w:val="clear" w:color="auto" w:fill="CCEEFF"/>
          </w:tcPr>
          <w:p>
            <w:pPr>
              <w:jc w:val="center"/>
              <w:ind w:left="47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F-11</w:t>
              </w:r>
            </w:hyperlink>
          </w:p>
        </w:tc>
      </w:tr>
      <w:tr>
        <w:trPr>
          <w:trHeight w:val="230"/>
        </w:trPr>
        <w:tc>
          <w:tcPr>
            <w:tcW w:w="9580" w:type="dxa"/>
            <w:vAlign w:val="bottom"/>
            <w:gridSpan w:val="2"/>
          </w:tcPr>
          <w:p>
            <w:pPr>
              <w:ind w:left="3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Schedule I - Condensed Financial Information of Registrant Parent Company Only</w:t>
              </w:r>
            </w:hyperlink>
          </w:p>
        </w:tc>
        <w:tc>
          <w:tcPr>
            <w:tcW w:w="1660" w:type="dxa"/>
            <w:vAlign w:val="bottom"/>
          </w:tcPr>
          <w:p>
            <w:pPr>
              <w:jc w:val="center"/>
              <w:ind w:left="470"/>
              <w:spacing w:after="0"/>
              <w:rPr>
                <w:rFonts w:ascii="Arial" w:cs="Arial" w:eastAsia="Arial" w:hAnsi="Arial"/>
                <w:sz w:val="18"/>
                <w:szCs w:val="18"/>
                <w:u w:val="single" w:color="auto"/>
                <w:color w:val="0000FF"/>
                <w:w w:val="89"/>
              </w:rPr>
            </w:pPr>
            <w:hyperlink w:anchor="page135">
              <w:r>
                <w:rPr>
                  <w:rFonts w:ascii="Arial" w:cs="Arial" w:eastAsia="Arial" w:hAnsi="Arial"/>
                  <w:sz w:val="18"/>
                  <w:szCs w:val="18"/>
                  <w:u w:val="single" w:color="auto"/>
                  <w:color w:val="0000FF"/>
                  <w:w w:val="89"/>
                </w:rPr>
                <w:t>S - 1</w:t>
              </w:r>
            </w:hyperlink>
          </w:p>
        </w:tc>
      </w:tr>
      <w:tr>
        <w:trPr>
          <w:trHeight w:val="809"/>
        </w:trPr>
        <w:tc>
          <w:tcPr>
            <w:tcW w:w="1280" w:type="dxa"/>
            <w:vAlign w:val="bottom"/>
          </w:tcPr>
          <w:p>
            <w:pPr>
              <w:spacing w:after="0"/>
              <w:rPr>
                <w:sz w:val="24"/>
                <w:szCs w:val="24"/>
                <w:color w:val="auto"/>
              </w:rPr>
            </w:pPr>
          </w:p>
        </w:tc>
        <w:tc>
          <w:tcPr>
            <w:tcW w:w="8300" w:type="dxa"/>
            <w:vAlign w:val="bottom"/>
          </w:tcPr>
          <w:p>
            <w:pPr>
              <w:jc w:val="center"/>
              <w:ind w:left="310"/>
              <w:spacing w:after="0"/>
              <w:rPr>
                <w:sz w:val="20"/>
                <w:szCs w:val="20"/>
                <w:color w:val="auto"/>
              </w:rPr>
            </w:pPr>
            <w:r>
              <w:rPr>
                <w:rFonts w:ascii="Arial" w:cs="Arial" w:eastAsia="Arial" w:hAnsi="Arial"/>
                <w:sz w:val="18"/>
                <w:szCs w:val="18"/>
                <w:color w:val="auto"/>
                <w:w w:val="91"/>
              </w:rPr>
              <w:t>F - 1</w:t>
            </w:r>
          </w:p>
        </w:tc>
        <w:tc>
          <w:tcPr>
            <w:tcW w:w="166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5060"/>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VICI Properties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VICI Properties Inc. and subsidiaries (the "Company") as of December 31, 2020 and 2019, the related consolidated statements of operations and comprehensive income, stockholders' equity, and cash flows,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18, 2021,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3 to the financial statements, effective January 1, 2020, the Company adopted Accounting Standard Update No. 2016-13 -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(Topic 326) </w:t>
      </w:r>
      <w:r>
        <w:rPr>
          <w:rFonts w:ascii="Arial" w:cs="Arial" w:eastAsia="Arial" w:hAnsi="Arial"/>
          <w:sz w:val="18"/>
          <w:szCs w:val="18"/>
          <w:color w:val="auto"/>
        </w:rPr>
        <w:t>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ind w:right="1700"/>
        <w:spacing w:after="0" w:line="438" w:lineRule="auto"/>
        <w:rPr>
          <w:sz w:val="20"/>
          <w:szCs w:val="20"/>
          <w:color w:val="auto"/>
        </w:rPr>
      </w:pPr>
      <w:r>
        <w:rPr>
          <w:rFonts w:ascii="Arial" w:cs="Arial" w:eastAsia="Arial" w:hAnsi="Arial"/>
          <w:sz w:val="18"/>
          <w:szCs w:val="18"/>
          <w:b w:val="1"/>
          <w:bCs w:val="1"/>
          <w:i w:val="1"/>
          <w:iCs w:val="1"/>
          <w:color w:val="auto"/>
        </w:rPr>
        <w:t xml:space="preserve">Gain upon lease modification in connection with the Eldorado Transaction— Refer to Notes 2 and 10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20, 2020 (the “Modification Date”), in connection with the Eldorado Transaction, the Company modified its Caesars Lease Agreements, which included amending certain lease terms resulting in a lease modification in accordance with Accounting Standards Codification Topic 842- Leases. Accordingly, the Company reassessed the lease classification of the Caesars Lease Agreements, which were previously classified as direct financing and operating leases and determined that the leases met the definition of a sales-type lease. As a result, the Company reclassified the Caesars Lease Agreements to sales-type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leases, recorded the associated real estate assets at their estimated fair values as of the Modification Date, and recognized a gain equal to the difference in the fair value of the assets and their carrying amounts immediately prior to the Modification Date.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valuation methodology used rent multiples taking into consideration a variety of factors, including (i) asset quality and location, (ii) property operating performance and (iii) supply and demand dynamics of each property’s respective market.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significant judgments made by the Company to estimate the fair value of its real estate assets as of the Modification Date, performing audit procedures to evaluate the reasonableness of the rent multiples required a high degree of auditor judgment and increased effort, including the need to involve our fair value specialists.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the rent multiples used by management to estimate the fair value of the real estate assets as of the Modification Date, included the following, among others:</w:t>
      </w:r>
    </w:p>
    <w:p>
      <w:pPr>
        <w:spacing w:after="0" w:line="116" w:lineRule="exact"/>
        <w:rPr>
          <w:sz w:val="20"/>
          <w:szCs w:val="20"/>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estimation of fair value of real estate assets upon the Modification Date, including management’s controls related to the determination of rent multiples.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valuation methodology and rent multiples by: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Assessing the reasonableness of management’s valuation methodology to estimate the fair value of real estate assets.</w:t>
      </w:r>
    </w:p>
    <w:p>
      <w:pPr>
        <w:spacing w:after="0" w:line="117"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Assessing the impact of asset quality and location by comparing the multiples to observable market transactions of similar real estate assets.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Tracing property operating performance to executed lease agreements and operational data.</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Assessing the impact of supply and demand dynamics by evaluating gaming competition in certain markets.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Testing the mathematical calculation of the valuation schedules.</w:t>
      </w:r>
    </w:p>
    <w:p>
      <w:pPr>
        <w:spacing w:after="0" w:line="225" w:lineRule="exact"/>
        <w:rPr>
          <w:sz w:val="20"/>
          <w:szCs w:val="20"/>
          <w:color w:val="auto"/>
        </w:rPr>
      </w:pPr>
    </w:p>
    <w:p>
      <w:pPr>
        <w:ind w:right="5260"/>
        <w:spacing w:after="0" w:line="438" w:lineRule="auto"/>
        <w:rPr>
          <w:sz w:val="20"/>
          <w:szCs w:val="20"/>
          <w:color w:val="auto"/>
        </w:rPr>
      </w:pPr>
      <w:r>
        <w:rPr>
          <w:rFonts w:ascii="Arial" w:cs="Arial" w:eastAsia="Arial" w:hAnsi="Arial"/>
          <w:sz w:val="18"/>
          <w:szCs w:val="18"/>
          <w:b w:val="1"/>
          <w:bCs w:val="1"/>
          <w:i w:val="1"/>
          <w:iCs w:val="1"/>
          <w:color w:val="auto"/>
        </w:rPr>
        <w:t xml:space="preserve">Allowance for Credit Losses— Refer to Notes 2 and 6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2020, the Company adopted Accounting Standard Codification Topic 326- Credit Losses, which requires the Company to measure and record current expected credit losses (“CECL”) for its leases and loans. The Company elected to use a discounted cash flow model, which requires management to develop cash flows that project estimated credit losses over the life of the lease or loan and discount these cash flows at the asset’s effective interest rate to estimate the CECL allowance.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Expected losses within the Company’s cash flows are determined by estimating the probability of default (“PD”) and loss given default (“LGD”) of its tenants over the life of each lease and loan by using a model from an independent third-party provider. The PD and LGD are estimated during a reasonable and supportable period which is developed by using the current financial condition of the tenant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Company’s tenants and their parent guarantors. Significant inputs to the Company’s forecasting methods include the tenants’ short-term and long-term PD and LGD based on the tenant’s credit profile as well as the cash flows from each lease and loan.</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significant amount of judgment required by management to estimate the allowance for credit losses, performing audit procedures to evaluate the reasonableness of the estimated allowance for credit losses on the Company’s portfolio of leases and loans required a high degree of auditor judgment and increased effort, including the need to involve our credit specialists.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allowance for credit losses for the Company’s investments in leases and loans included the following, among others:</w:t>
      </w:r>
    </w:p>
    <w:p>
      <w:pPr>
        <w:spacing w:after="0" w:line="14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tested the effectiveness of controls over the allowance for credit losses, including management’s controls over the data used in the model.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the assistance of our credit specialists, we evaluated the reasonableness of the methodology and assumptions around PD and LGD.</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tested the inputs used to determine the short-term and long-term PD and LGD of the tenants by agreeing the respective credit rating and equity value of each tenant to independent data.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reconciled the cash flow inputs used in the CECL model by agreeing them to the respective contractual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VICI Properties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VICI Properties Inc.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2020, of the Company and our report dated February 18, 2021, expressed an unqualified opinion on those financial statements and included an explanatory paragraph regarding the Company’s adoption of Accounting Standard Update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8"/>
                <w:szCs w:val="18"/>
                <w:color w:val="auto"/>
              </w:rPr>
            </w:pPr>
          </w:p>
        </w:tc>
        <w:tc>
          <w:tcPr>
            <w:tcW w:w="1760" w:type="dxa"/>
            <w:vAlign w:val="bottom"/>
          </w:tcPr>
          <w:p>
            <w:pPr>
              <w:jc w:val="right"/>
              <w:ind w:right="250"/>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and direct financing,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10,734,245</w:t>
            </w:r>
          </w:p>
        </w:tc>
        <w:tc>
          <w:tcPr>
            <w:tcW w:w="0" w:type="dxa"/>
            <w:vAlign w:val="bottom"/>
          </w:tcPr>
          <w:p>
            <w:pPr>
              <w:spacing w:after="0"/>
              <w:rPr>
                <w:sz w:val="1"/>
                <w:szCs w:val="1"/>
                <w:color w:val="auto"/>
              </w:rPr>
            </w:pP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operating</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loans,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94,711</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1,101,893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188,638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13,265,619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Debt,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6,765,532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4,791,563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Deferred financing liability</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70,340</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176,992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137,056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123,918</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7,569,868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5,216,630</w:t>
            </w: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Contingencies (Note 11)</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 $0.01 par value, 700,000,000 shares authorized and 536,669,722 and</w:t>
            </w: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461,004,742 shares issued and outstanding at December 31, 2020 and December 31, 2019,</w:t>
            </w:r>
          </w:p>
        </w:tc>
        <w:tc>
          <w:tcPr>
            <w:tcW w:w="22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20" w:type="dxa"/>
            <w:vAlign w:val="bottom"/>
          </w:tcPr>
          <w:p>
            <w:pPr>
              <w:spacing w:after="0"/>
              <w:rPr>
                <w:sz w:val="15"/>
                <w:szCs w:val="15"/>
                <w:color w:val="auto"/>
              </w:rPr>
            </w:pPr>
          </w:p>
        </w:tc>
        <w:tc>
          <w:tcPr>
            <w:tcW w:w="1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December 31, 2020 and 2019</w:t>
            </w:r>
          </w:p>
        </w:tc>
        <w:tc>
          <w:tcPr>
            <w:tcW w:w="22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9,363,539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7,817,582</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(65,078)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208,069</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VICI stockholders’ equity</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9,415,839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7,965,183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9,493,745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8,048,989</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13,265,619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December 31, 2020, our Investments in leases - sales-type and direct financing, Investments in leases - financing receivables, Investments in loans and Other assets (sales-type sub-leases) are net of $454.2 million, $91.0 million, $1.8 million and $6.9 million of Allowance for credit losses, respectively. ASC 326 “Credit Losses” does not require retrospective application and as such there is no corresponding allowance as of December 31, 2019. Refer to </w:t>
      </w:r>
      <w:hyperlink w:anchor="page116">
        <w:r>
          <w:rPr>
            <w:rFonts w:ascii="Arial" w:cs="Arial" w:eastAsia="Arial" w:hAnsi="Arial"/>
            <w:sz w:val="14"/>
            <w:szCs w:val="14"/>
            <w:i w:val="1"/>
            <w:iCs w:val="1"/>
            <w:u w:val="single" w:color="auto"/>
            <w:color w:val="0000FF"/>
          </w:rPr>
          <w:t>Note 6 -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0"/>
        </w:trPr>
        <w:tc>
          <w:tcPr>
            <w:tcW w:w="50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2018</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1,007,508</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822,205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741,564</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153,017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81,240</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revenues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27,201</w:t>
            </w:r>
          </w:p>
        </w:tc>
      </w:tr>
      <w:tr>
        <w:trPr>
          <w:trHeight w:val="223"/>
        </w:trPr>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894,798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897,977</w:t>
            </w:r>
          </w:p>
        </w:tc>
      </w:tr>
      <w:tr>
        <w:trPr>
          <w:trHeight w:val="250"/>
        </w:trPr>
        <w:tc>
          <w:tcPr>
            <w:tcW w:w="5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24,429</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81,810</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expenses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244,517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impairment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140,023</w:t>
            </w:r>
          </w:p>
        </w:tc>
      </w:tr>
      <w:tr>
        <w:trPr>
          <w:trHeight w:val="250"/>
        </w:trPr>
        <w:tc>
          <w:tcPr>
            <w:tcW w:w="5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(212,663)</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11,307</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extinguishment of debt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Gain upon lease modification</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897,039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555,986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533,558</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532,117</w:t>
            </w:r>
          </w:p>
        </w:tc>
      </w:tr>
      <w:tr>
        <w:trPr>
          <w:trHeight w:val="230"/>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523,619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162"/>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506,140,642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435,071,096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367,226,395</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510,908,755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439,152,946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367,316,901</w:t>
            </w:r>
          </w:p>
        </w:tc>
      </w:tr>
      <w:tr>
        <w:trPr>
          <w:trHeight w:val="162"/>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523,619</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cash flow hedges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864,231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501,495</w:t>
            </w:r>
          </w:p>
        </w:tc>
      </w:tr>
      <w:tr>
        <w:trPr>
          <w:trHeight w:val="20"/>
        </w:trPr>
        <w:tc>
          <w:tcPr>
            <w:tcW w:w="5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 VICI</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Stockholders’</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20" w:type="dxa"/>
            <w:vAlign w:val="bottom"/>
            <w:vMerge w:val="restart"/>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1200" w:type="dxa"/>
            <w:vAlign w:val="bottom"/>
            <w:gridSpan w:val="3"/>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in Capital</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0"/>
              </w:rPr>
              <w:t>Balance as of December 31, 2017</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4,645,824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523,619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523,619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532,117</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w:t>
            </w:r>
          </w:p>
        </w:tc>
        <w:tc>
          <w:tcPr>
            <w:tcW w:w="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1,306,424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1,307,119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Public Offering</w:t>
            </w:r>
          </w:p>
        </w:tc>
        <w:tc>
          <w:tcPr>
            <w:tcW w:w="3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from</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693,844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694,189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694,189</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follow-on offering</w:t>
            </w: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non-controlling</w:t>
            </w:r>
          </w:p>
        </w:tc>
        <w:tc>
          <w:tcPr>
            <w:tcW w:w="3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($0.9975 per</w:t>
            </w:r>
          </w:p>
        </w:tc>
        <w:tc>
          <w:tcPr>
            <w:tcW w:w="38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(379,185)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(379,185)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(379,185)</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common share)</w:t>
            </w:r>
          </w:p>
        </w:tc>
        <w:tc>
          <w:tcPr>
            <w:tcW w:w="3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Stock-based compensation, net of</w:t>
            </w:r>
          </w:p>
        </w:tc>
        <w:tc>
          <w:tcPr>
            <w:tcW w:w="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w:t>
            </w:r>
          </w:p>
        </w:tc>
        <w:tc>
          <w:tcPr>
            <w:tcW w:w="3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Unrealized loss on cash flow</w:t>
            </w:r>
          </w:p>
        </w:tc>
        <w:tc>
          <w:tcPr>
            <w:tcW w:w="38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(22,124)</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hedges</w:t>
            </w:r>
          </w:p>
        </w:tc>
        <w:tc>
          <w:tcPr>
            <w:tcW w:w="3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2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Balance as of</w:t>
            </w:r>
          </w:p>
        </w:tc>
        <w:tc>
          <w:tcPr>
            <w:tcW w:w="3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6,648,430</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187,096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6,817,449</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83,573</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545,964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545,964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554,281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1,164,545</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38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(8,084)</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interest</w:t>
            </w:r>
          </w:p>
        </w:tc>
        <w:tc>
          <w:tcPr>
            <w:tcW w:w="3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($1.1700 per</w:t>
            </w:r>
          </w:p>
        </w:tc>
        <w:tc>
          <w:tcPr>
            <w:tcW w:w="3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4"/>
              </w:rPr>
              <w:t>Stock-based compensation, net of</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5,170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forfeitures</w:t>
            </w: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Unrealized loss on cash flow</w:t>
            </w:r>
          </w:p>
        </w:tc>
        <w:tc>
          <w:tcPr>
            <w:tcW w:w="3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hedges</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as of</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7,817,582</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(65,078)</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208,069</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7,965,183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83,806</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Cumulative effect of adoption of</w:t>
            </w:r>
          </w:p>
        </w:tc>
        <w:tc>
          <w:tcPr>
            <w:tcW w:w="3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(307,114)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 326</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891,674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896,208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1,538,778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1,539,533</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38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(8,186)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(8,186)</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interest</w:t>
            </w:r>
          </w:p>
        </w:tc>
        <w:tc>
          <w:tcPr>
            <w:tcW w:w="3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($1.2550 per</w:t>
            </w:r>
          </w:p>
        </w:tc>
        <w:tc>
          <w:tcPr>
            <w:tcW w:w="3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(653,175)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(653,175)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(653,175)</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4"/>
              </w:rPr>
              <w:t>Stock-based compensation, net of</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7,179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7,181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7,181</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forfeitures</w:t>
            </w: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Unrealized loss on cash flow</w:t>
            </w:r>
          </w:p>
        </w:tc>
        <w:tc>
          <w:tcPr>
            <w:tcW w:w="3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(27,443)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(27,443)</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hedges</w:t>
            </w:r>
          </w:p>
        </w:tc>
        <w:tc>
          <w:tcPr>
            <w:tcW w:w="3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as of</w:t>
            </w:r>
          </w:p>
        </w:tc>
        <w:tc>
          <w:tcPr>
            <w:tcW w:w="380" w:type="dxa"/>
            <w:vAlign w:val="bottom"/>
            <w:tcBorders>
              <w:top w:val="single" w:sz="8" w:color="auto"/>
            </w:tcBorders>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5,367</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9,363,539</w:t>
            </w:r>
          </w:p>
        </w:tc>
        <w:tc>
          <w:tcPr>
            <w:tcW w:w="100" w:type="dxa"/>
            <w:vAlign w:val="bottom"/>
          </w:tcPr>
          <w:p>
            <w:pPr>
              <w:spacing w:after="0"/>
              <w:rPr>
                <w:sz w:val="12"/>
                <w:szCs w:val="12"/>
                <w:color w:val="auto"/>
              </w:rPr>
            </w:pPr>
          </w:p>
        </w:tc>
        <w:tc>
          <w:tcPr>
            <w:tcW w:w="42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(92,521)</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139,454</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77,906</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07"/>
        </w:trPr>
        <w:tc>
          <w:tcPr>
            <w:tcW w:w="6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2018</w:t>
            </w:r>
          </w:p>
        </w:tc>
      </w:tr>
      <w:tr>
        <w:trPr>
          <w:trHeight w:val="215"/>
        </w:trPr>
        <w:tc>
          <w:tcPr>
            <w:tcW w:w="64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896,208</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532,117</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w w:val="94"/>
              </w:rPr>
              <w:t>Adjustments to reconcile net income to cash flows provided by operating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leasing and financing adjustments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(45,404)</w:t>
            </w:r>
          </w:p>
        </w:tc>
      </w:tr>
      <w:tr>
        <w:trPr>
          <w:trHeight w:val="229"/>
        </w:trPr>
        <w:tc>
          <w:tcPr>
            <w:tcW w:w="646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30"/>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r>
      <w:tr>
        <w:trPr>
          <w:trHeight w:val="229"/>
        </w:trPr>
        <w:tc>
          <w:tcPr>
            <w:tcW w:w="6460" w:type="dxa"/>
            <w:vAlign w:val="bottom"/>
          </w:tcPr>
          <w:p>
            <w:pPr>
              <w:ind w:left="460"/>
              <w:spacing w:after="0"/>
              <w:rPr>
                <w:sz w:val="20"/>
                <w:szCs w:val="20"/>
                <w:color w:val="auto"/>
              </w:rPr>
            </w:pPr>
            <w:r>
              <w:rPr>
                <w:rFonts w:ascii="Arial" w:cs="Arial" w:eastAsia="Arial" w:hAnsi="Arial"/>
                <w:sz w:val="18"/>
                <w:szCs w:val="18"/>
                <w:color w:val="auto"/>
              </w:rPr>
              <w:t>Amortization of debt issuance costs and original issue discount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5,976</w:t>
            </w: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allowance for credit losses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460"/>
              <w:spacing w:after="0"/>
              <w:rPr>
                <w:sz w:val="20"/>
                <w:szCs w:val="20"/>
                <w:color w:val="auto"/>
              </w:rPr>
            </w:pPr>
            <w:r>
              <w:rPr>
                <w:rFonts w:ascii="Arial" w:cs="Arial" w:eastAsia="Arial" w:hAnsi="Arial"/>
                <w:sz w:val="18"/>
                <w:szCs w:val="18"/>
                <w:color w:val="auto"/>
              </w:rPr>
              <w:t>Loss on impairment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12,334</w:t>
            </w: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w:t>
            </w:r>
          </w:p>
        </w:tc>
      </w:tr>
      <w:tr>
        <w:trPr>
          <w:trHeight w:val="230"/>
        </w:trPr>
        <w:tc>
          <w:tcPr>
            <w:tcW w:w="6460" w:type="dxa"/>
            <w:vAlign w:val="bottom"/>
          </w:tcPr>
          <w:p>
            <w:pPr>
              <w:ind w:left="460"/>
              <w:spacing w:after="0"/>
              <w:rPr>
                <w:sz w:val="20"/>
                <w:szCs w:val="20"/>
                <w:color w:val="auto"/>
              </w:rPr>
            </w:pPr>
            <w:r>
              <w:rPr>
                <w:rFonts w:ascii="Arial" w:cs="Arial" w:eastAsia="Arial" w:hAnsi="Arial"/>
                <w:sz w:val="18"/>
                <w:szCs w:val="18"/>
                <w:color w:val="auto"/>
              </w:rPr>
              <w:t>Gain upon lease modification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(22,945)</w:t>
            </w:r>
          </w:p>
        </w:tc>
      </w:tr>
      <w:tr>
        <w:trPr>
          <w:trHeight w:val="229"/>
        </w:trPr>
        <w:tc>
          <w:tcPr>
            <w:tcW w:w="6460" w:type="dxa"/>
            <w:vAlign w:val="bottom"/>
          </w:tcPr>
          <w:p>
            <w:pPr>
              <w:ind w:left="46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(7,411)</w:t>
            </w: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(24,512)</w:t>
            </w:r>
          </w:p>
        </w:tc>
      </w:tr>
      <w:tr>
        <w:trPr>
          <w:trHeight w:val="230"/>
        </w:trPr>
        <w:tc>
          <w:tcPr>
            <w:tcW w:w="64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25,207</w:t>
            </w:r>
          </w:p>
        </w:tc>
      </w:tr>
      <w:tr>
        <w:trPr>
          <w:trHeight w:val="223"/>
        </w:trPr>
        <w:tc>
          <w:tcPr>
            <w:tcW w:w="6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504,082</w:t>
            </w:r>
          </w:p>
        </w:tc>
      </w:tr>
      <w:tr>
        <w:trPr>
          <w:trHeight w:val="237"/>
        </w:trPr>
        <w:tc>
          <w:tcPr>
            <w:tcW w:w="6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Investments in leases - sales-type and direct financing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(1,407,260)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(1,812,404)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(771,507)</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(2,694,503)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Investments in loans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(535,476)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Lease modification fee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159,000</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transaction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Investments in short-term investments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(942,311)</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421,434</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Proceeds from sale of real estate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23"/>
        </w:trPr>
        <w:tc>
          <w:tcPr>
            <w:tcW w:w="646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(4,548,759)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(1,361,379)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1,539,748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1,164,307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2,001,493</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February 2020 Senior Unsecured Notes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Proceeds from November 2019 Senior Unsecured Notes</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Second Lien Notes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(290,058)</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Payment of CPLV CMBS Debt</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(1,663,544)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Term Loan B Facility</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Payment of Revolving Credit Facility</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CPLV CMBS Debt prepayment penalty reimbursement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(262,682)</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1,037,836</w:t>
            </w:r>
          </w:p>
        </w:tc>
        <w:tc>
          <w:tcPr>
            <w:tcW w:w="0" w:type="dxa"/>
            <w:vAlign w:val="bottom"/>
          </w:tcPr>
          <w:p>
            <w:pPr>
              <w:spacing w:after="0"/>
              <w:rPr>
                <w:sz w:val="1"/>
                <w:szCs w:val="1"/>
                <w:color w:val="auto"/>
              </w:rPr>
            </w:pPr>
          </w:p>
        </w:tc>
      </w:tr>
      <w:tr>
        <w:trPr>
          <w:trHeight w:val="250"/>
        </w:trPr>
        <w:tc>
          <w:tcPr>
            <w:tcW w:w="6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503,446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401,041</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197,406</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598,447</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213,309</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Dividends declared, not paid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177,894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137,149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116,503</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w w:val="90"/>
              </w:rPr>
              <w:t>Transfer of Investments in leases - operating to Investments in leases - sales-type and</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w w:val="93"/>
              </w:rPr>
              <w:t>direct financing due to modification of the Caesars Lease Agreements in connection</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1,023,179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with the Eldorado Transaction</w:t>
            </w:r>
          </w:p>
        </w:tc>
        <w:tc>
          <w:tcPr>
            <w:tcW w:w="4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Transfer of Investments in leases - operating to Land due to modification of the</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Caesars Lease Agreements in connection with the Eldorado Transaction</w:t>
            </w:r>
          </w:p>
        </w:tc>
        <w:tc>
          <w:tcPr>
            <w:tcW w:w="4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Transfer of Investments in leases - operating to Land</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22,189</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Transfer of Investments in leases - sales-type and direct financing to Investments in</w:t>
            </w:r>
          </w:p>
        </w:tc>
        <w:tc>
          <w:tcPr>
            <w:tcW w:w="4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leases - operating</w:t>
            </w:r>
          </w:p>
        </w:tc>
        <w:tc>
          <w:tcPr>
            <w:tcW w:w="4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w w:val="97"/>
              </w:rPr>
              <w:t>CPLV CMBS Debt prepayment penalty reimbursement receivable from Eldorado</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as the context requires, its subsidiaries. CEOC was a subsidiary of Pre-Merger Caesars, and following the consummation of the Eldorado/Caesars Merger, is a subsidiary of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 a wholly owned subsidiary of Caesars (which changed its name from Eldorado in connection with the closing of the Eldorado/Caesars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“Lease Agreements” refer collectively to the Caesars Lease Agreements, the Penn National Lease Agreements, the Hard Rock Cincinnati Lease Agreement, the Century Portfolio Lease Agreement and the JACK Cleveland/Thistledown Lease Agreement, unless the context otherwise requires.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or “MTA” refers to the master transaction agreement with Eldorado relating to the Eldorado Transaction.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 refers collectively to the November 2019 Senior Unsecured Notes and the February 2020 Senior Unsecured Notes.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Maryland corporation that is primarily engaged in the business of owning and acquiring gaming, hospitality and entertainment destinations, subject to long-term triple net leases. As of December 31, 2020, our national, geographically diverse portfolio consisted of 28 market-leading properties, including Caesars Palace Las Vegas and Harrah’s Las Vegas. Our properties are leased to, and our tenants are, subsidiaries of Caesars, Penn National, Hard Rock, Century Casinos and JACK Entertainment. We also own and operate four championship golf courses located near certain of our properties.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(“TRS”), VICI Golf.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11, 2020, the World Health Organization declared COVID-19 a pandemic, and on March 13, 2020, the United States declared a national emergency. Among the broader public health, societal and global impacts, the COVID-19 pandemic resulted in state governments and/or regulatory authorities issuing various directives, mandates, orders or similar actions, resulting in temporary closures of our tenants’ operations at all of our properties. Our golf course business has also been impacted, with all four courses temporarily ceasing operations in March 2020 as a result of the COVID-19 pandemic, although our golf courses were subsequently reopened in early to mid-May 2020 in compliance with applicable regulations and restrictions. Although the operations of all of our properties are currently open, they remain subject to any current or future operating limitations or closures imposed by state and local governments and/or regulatory authorities. As a result, our tenants’ facilities at our properties are generally operating at reduced capacity and subject to additional operating restrictions, and we cannot predict how long they will be required to operate subject to such operating restrictions, or whether they will be subject to additional restrictions or forced to close again in the future.</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full extent to which the COVID-19 pandemic continues to adversely affect our tenants, and ultimately impacts us, depends on future developments, which are highly uncertain and cannot be predicted with confidence, including the scope, severity and duration of the pandemic, the actions taken to contain the pandemic or mitigate its impact, including the availability and efficacy of one or more approved vaccines, and the direct and indirect economic effects of the pandemic and containment measures on our tenants, including our tenants’ financial performance and the duration and extent of operating limitations, reduced capacity requirements and any additional required closures. We continue to closely monitor the impact of the COVID-19 pandemic on us and our tenants. All of our tenants have fulfilled their rent obligations in full through February 2021 and we continue to engage with our tenants in connection with the ongoing COVID-19 pandemic and its impact on their operations, liquidity and financial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as set forth in the Accounting Standards Codification (“ASC”), as published by the Financial Accounting Standards Board (“FASB”), and with the applicable rules and regulations of the Securities and Exchange Commission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property and is the lessor under the related Joliet Lease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real estate lending activities and represents the substantial majority of our business. The golf course business segment consists of four golf courses, each of which is an operating segment and is aggregated into one reportable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overhead costs are allocated to reportable segments based upon revenue or headcount. Management believes that the assumptions and methodologies used in the allocation of such expenses are reasonable.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with an original maturity of greater than three months and less than one year from the date of purchase are considered short-term investments and are stated at fair value.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$20.0 million and $59.5 million of short-term investments as of December 31, 2020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and Direct Financing, Net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adoption of ASC 842 on January 1, 2019, we made an accounting policy election to use a package of practical expedients that, among other things, allow us to not reassess prior lease classifications or initial direct costs for leases that existed as of the balance sheet date. As such, we did not reassess the classification of our Caesars Lease Agreements, as these leases existed prior to our adoption of ASC 842.</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consummation of the Eldorado Transaction, the Caesars Lease Agreements continued to be accounted for as direct financing leases and were included within Investments in leases - sales-type and direct financing, net on the Balance Sheet, with the exception of the land component of Caesars Palace Las Vegas, which was determined to be an operating lease and was included in Investments in leases - operating on the Balance Sheet. The income recognition for our direct financing leases recognized under ASC 840 “Leases” (“ASC 840”) was consistent with the income recognition for our sales-type lease under ASC 842.</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the consummation of the Eldorado Transaction on July 20, 2020, we modified the CPLV Lease Agreement, HLV Lease Agreement, Non-CPLV Lease Agreement and Joliet Lease Agreement, which included amending certain of the lease terms, and combining the CPLV Lease Agreement and HLV Lease Agreement into the Las Vegas Master Lease Agreement and replacing the Non-CPLV Lease Agreement with the Regional Master Lease Agreement. Upon modification, we reassessed the lease classification of the Las Vegas Master Lease Agreement, Regional Master Lease Agreement and Joliet Lease Agreement and determined the leases meet the definition of a sales-type lease, including the land component of Caesars Palace Las Vegas. Accordingly, we reclassified the land component of Caesars Palace Las Vegas from Investments in leases - operating to Investments in leases - sales-type and direct financing. Further, as a result of the reclassifications of the Caesars Lease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Agreements from direct financing and operating leases to sales-type leases we recorded the investments at their estimated fair values as of the modification date and recognized a net gain equal to the difference in fair value of the assets and their carrying values immediately prior to the modification. Such gain is recognized in our Statement of Operations as Gain upon lease modification. Subsequent to the consummation of the Eldorado Transaction, we no longer have any leases classified as operating or direct financing and, as such, there is no longer any income recorded through Investments in leases - operating. Refer to </w:t>
      </w:r>
      <w:hyperlink w:anchor="page101">
        <w:r>
          <w:rPr>
            <w:rFonts w:ascii="Arial" w:cs="Arial" w:eastAsia="Arial" w:hAnsi="Arial"/>
            <w:sz w:val="17"/>
            <w:szCs w:val="17"/>
            <w:u w:val="single" w:color="auto"/>
            <w:color w:val="0000FF"/>
          </w:rPr>
          <w:t>Note 4 - Property Transactions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surrounding the lease modifications.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determined that the land and building components of the Margaritaville Lease Agreement, the Greektown Lease Agreement, the Hard Rock Cincinnati Lease Agreement and the Century Portfolio Lease Agreement meet the definition of a sales-type lease under ASC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38" w:lineRule="exact"/>
        <w:rPr>
          <w:sz w:val="20"/>
          <w:szCs w:val="20"/>
          <w:color w:val="auto"/>
        </w:rPr>
      </w:pPr>
    </w:p>
    <w:p>
      <w:pPr>
        <w:jc w:val="both"/>
        <w:spacing w:after="0" w:line="272" w:lineRule="auto"/>
        <w:rPr>
          <w:rFonts w:ascii="Arial" w:cs="Arial" w:eastAsia="Arial" w:hAnsi="Arial"/>
          <w:sz w:val="17"/>
          <w:szCs w:val="17"/>
          <w:color w:val="0000FF"/>
        </w:rPr>
      </w:pPr>
      <w:r>
        <w:rPr>
          <w:rFonts w:ascii="Arial" w:cs="Arial" w:eastAsia="Arial" w:hAnsi="Arial"/>
          <w:sz w:val="17"/>
          <w:szCs w:val="17"/>
          <w:color w:val="auto"/>
        </w:rPr>
        <w:t xml:space="preserve">Upon the consummation of the Eldorado Transaction on July 20, 2020, and reassessment of the classification of the Caesars Lease Agreements, as described above, we determined that the MTA Properties Acquisitions (as defined in </w:t>
      </w:r>
      <w:hyperlink w:anchor="page101">
        <w:r>
          <w:rPr>
            <w:rFonts w:ascii="Arial" w:cs="Arial" w:eastAsia="Arial" w:hAnsi="Arial"/>
            <w:sz w:val="17"/>
            <w:szCs w:val="17"/>
            <w:u w:val="single" w:color="auto"/>
            <w:color w:val="0000FF"/>
          </w:rPr>
          <w:t>Note 4 - Property Transactions</w:t>
        </w:r>
      </w:hyperlink>
      <w:r>
        <w:rPr>
          <w:rFonts w:ascii="Arial" w:cs="Arial" w:eastAsia="Arial" w:hAnsi="Arial"/>
          <w:sz w:val="17"/>
          <w:szCs w:val="17"/>
          <w:color w:val="auto"/>
        </w:rPr>
        <w:t xml:space="preserve">) meet the definition of a separate contract under ASC 842. In accordance with this guidance, we are required to separately assess the lease classification apart from the other assets in the </w:t>
      </w:r>
      <w:hyperlink w:anchor="page101">
        <w:r>
          <w:rPr>
            <w:rFonts w:ascii="Arial" w:cs="Arial" w:eastAsia="Arial" w:hAnsi="Arial"/>
            <w:sz w:val="17"/>
            <w:szCs w:val="17"/>
            <w:color w:val="auto"/>
          </w:rPr>
          <w:t xml:space="preserve">Regional Master Lease Agreement. We determined that the land and building components of the MTA Properties (as defined in </w:t>
        </w:r>
        <w:r>
          <w:rPr>
            <w:rFonts w:ascii="Arial" w:cs="Arial" w:eastAsia="Arial" w:hAnsi="Arial"/>
            <w:sz w:val="17"/>
            <w:szCs w:val="17"/>
            <w:u w:val="single" w:color="auto"/>
            <w:color w:val="0000FF"/>
          </w:rPr>
          <w:t>Note 4 - Property</w:t>
        </w:r>
      </w:hyperlink>
      <w:r>
        <w:rPr>
          <w:rFonts w:ascii="Arial" w:cs="Arial" w:eastAsia="Arial" w:hAnsi="Arial"/>
          <w:sz w:val="17"/>
          <w:szCs w:val="17"/>
          <w:color w:val="auto"/>
        </w:rPr>
        <w:t xml:space="preserve"> </w:t>
      </w:r>
      <w:hyperlink w:anchor="page101">
        <w:r>
          <w:rPr>
            <w:rFonts w:ascii="Arial" w:cs="Arial" w:eastAsia="Arial" w:hAnsi="Arial"/>
            <w:sz w:val="17"/>
            <w:szCs w:val="17"/>
            <w:u w:val="single" w:color="auto"/>
            <w:color w:val="0000FF"/>
          </w:rPr>
          <w:t>Transactions</w:t>
        </w:r>
        <w:r>
          <w:rPr>
            <w:rFonts w:ascii="Arial" w:cs="Arial" w:eastAsia="Arial" w:hAnsi="Arial"/>
            <w:sz w:val="17"/>
            <w:szCs w:val="17"/>
            <w:color w:val="000000"/>
          </w:rPr>
          <w:t>) meet the definition of a sales-type lease and, since we purchased and leased the assets back to Caesars, control is not considered to have</w:t>
        </w:r>
      </w:hyperlink>
      <w:r>
        <w:rPr>
          <w:rFonts w:ascii="Arial" w:cs="Arial" w:eastAsia="Arial" w:hAnsi="Arial"/>
          <w:sz w:val="17"/>
          <w:szCs w:val="17"/>
          <w:color w:val="0000FF"/>
        </w:rPr>
        <w:t xml:space="preserve"> </w:t>
      </w:r>
      <w:r>
        <w:rPr>
          <w:rFonts w:ascii="Arial" w:cs="Arial" w:eastAsia="Arial" w:hAnsi="Arial"/>
          <w:sz w:val="17"/>
          <w:szCs w:val="17"/>
          <w:color w:val="000000"/>
        </w:rPr>
        <w:t>transferred to us under GAAP. Accordingly, the MTA Properties are accounted for as Investments in leases - financing receivables on our Balance Sheet, net of allowance for credit losses, in accordance with ASC 310.</w:t>
      </w:r>
    </w:p>
    <w:p>
      <w:pPr>
        <w:spacing w:after="0" w:line="12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rFonts w:ascii="Arial" w:cs="Arial" w:eastAsia="Arial" w:hAnsi="Arial"/>
          <w:sz w:val="17"/>
          <w:szCs w:val="17"/>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22"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rFonts w:ascii="Arial" w:cs="Arial" w:eastAsia="Arial" w:hAnsi="Arial"/>
          <w:sz w:val="17"/>
          <w:szCs w:val="17"/>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net of unamortized loan origination costs and fees and allowances for credit losses. Income is recognized on an effective interest basis at a constant rate of return over the life of the related loan.</w:t>
      </w:r>
    </w:p>
    <w:p>
      <w:pPr>
        <w:spacing w:after="0" w:line="11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71" w:lineRule="exact"/>
        <w:rPr>
          <w:rFonts w:ascii="Arial" w:cs="Arial" w:eastAsia="Arial" w:hAnsi="Arial"/>
          <w:sz w:val="17"/>
          <w:szCs w:val="17"/>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sales-type leases, direct financing leases and lease financing receivables on an effective interest basis at a constant rate of return over the terms of the applicable leases. As a result, the cash payments accounted for under sales-type leases, direct financing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and direct financing, net or Investments in leases - financing receivables, net, as applicable.</w:t>
      </w:r>
    </w:p>
    <w:p>
      <w:pPr>
        <w:spacing w:after="0" w:line="107" w:lineRule="exact"/>
        <w:rPr>
          <w:rFonts w:ascii="Arial" w:cs="Arial" w:eastAsia="Arial" w:hAnsi="Arial"/>
          <w:sz w:val="17"/>
          <w:szCs w:val="17"/>
          <w:color w:val="auto"/>
        </w:rPr>
      </w:pPr>
    </w:p>
    <w:p>
      <w:pPr>
        <w:jc w:val="both"/>
        <w:spacing w:after="0" w:line="27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w:t>
      </w:r>
    </w:p>
    <w:p>
      <w:pPr>
        <w:spacing w:after="0" w:line="200" w:lineRule="exact"/>
        <w:rPr>
          <w:rFonts w:ascii="Arial" w:cs="Arial" w:eastAsia="Arial" w:hAnsi="Arial"/>
          <w:sz w:val="17"/>
          <w:szCs w:val="17"/>
          <w:color w:val="auto"/>
        </w:rPr>
      </w:pPr>
    </w:p>
    <w:p>
      <w:pPr>
        <w:spacing w:after="0" w:line="34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leases or direct financing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In connection with the reassessment of the lease classification and mark to fair value of the Caesars Lease Agreements, any initial direct costs capitalized prior to the Eldorado Transaction were written off as part of the gain upon lease modification.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“Credit Losses” (“ASC 326”), which requires that we measure and record current expected credit losses (“CECL”) for the majority of our investments, the scope of which includes our Investments in leases - sales-type and direct financing,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were unable to use our historical data to estimate losses as we have no loss history to date.</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sales-type and direct financing,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The CECL allowance related to these future commitments is recorded as a component of Other liabilities on our Balance Sheet.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year ended December 31, 2020.</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16">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land are held at historical cost and comprised of the following:</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Las Vegas Land. </w:t>
      </w:r>
      <w:r>
        <w:rPr>
          <w:rFonts w:ascii="Arial" w:cs="Arial" w:eastAsia="Arial" w:hAnsi="Arial"/>
          <w:sz w:val="18"/>
          <w:szCs w:val="18"/>
          <w:color w:val="auto"/>
        </w:rPr>
        <w:t>We own certain underdeveloped or undeveloped land adjacent to the Las Vegas strip.</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Vacant, Non-Operating Land. </w:t>
      </w:r>
      <w:r>
        <w:rPr>
          <w:rFonts w:ascii="Arial" w:cs="Arial" w:eastAsia="Arial" w:hAnsi="Arial"/>
          <w:sz w:val="18"/>
          <w:szCs w:val="18"/>
          <w:color w:val="auto"/>
        </w:rPr>
        <w:t>We own certain vacant, non-operating land parcels located outside of Las Vegas.</w:t>
      </w:r>
    </w:p>
    <w:p>
      <w:pPr>
        <w:spacing w:after="0" w:line="117" w:lineRule="exact"/>
        <w:rPr>
          <w:rFonts w:ascii="Arial" w:cs="Arial" w:eastAsia="Arial" w:hAnsi="Arial"/>
          <w:sz w:val="18"/>
          <w:szCs w:val="18"/>
          <w:i w:val="1"/>
          <w:iCs w:val="1"/>
          <w:color w:val="auto"/>
        </w:rPr>
      </w:pPr>
    </w:p>
    <w:p>
      <w:pPr>
        <w:jc w:val="both"/>
        <w:ind w:left="660" w:hanging="328"/>
        <w:spacing w:after="0" w:line="301" w:lineRule="auto"/>
        <w:tabs>
          <w:tab w:leader="none" w:pos="655"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Eastside Property. </w:t>
      </w:r>
      <w:r>
        <w:rPr>
          <w:rFonts w:ascii="Arial" w:cs="Arial" w:eastAsia="Arial" w:hAnsi="Arial"/>
          <w:sz w:val="16"/>
          <w:szCs w:val="16"/>
          <w:color w:val="auto"/>
        </w:rPr>
        <w:t>In 2017, we sold 18.4 acres of property located in Las Vegas, Nevada, east of Harrah’s Las Vegas, known as the Eastside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to Caesars for a sales price of $73.6 million. It was determined that the transaction did not meet the requirements of a completed sale for accounting purposes due to a put/call option on the land parcels and the Caesars Forum Convention Center. The amount of $73.6 million is presented as Land with a corresponding amount of $73.6 million recorded as Deferred financing liability in our Consolidated Balance Sheet.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Used in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used in operations is included within Other assets on our Balance Sheet and represents assets primarily related to VICI Golf, our golf operations. We assign lives to our assets based on our standard policy, which is established by management as representative of the useful life of each category of asset.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80" w:type="dxa"/>
            <w:vAlign w:val="bottom"/>
          </w:tcPr>
          <w:p>
            <w:pPr>
              <w:spacing w:after="0"/>
              <w:rPr>
                <w:sz w:val="20"/>
                <w:szCs w:val="20"/>
                <w:color w:val="auto"/>
              </w:rPr>
            </w:pPr>
            <w:r>
              <w:rPr>
                <w:rFonts w:ascii="Arial" w:cs="Arial" w:eastAsia="Arial" w:hAnsi="Arial"/>
                <w:sz w:val="18"/>
                <w:szCs w:val="18"/>
                <w:color w:val="auto"/>
                <w:w w:val="91"/>
              </w:rPr>
              <w:t>Depreciation is calculated using the straight-line method over the shorter of the estimated useful life of the asset or the related lease as follows:</w:t>
            </w:r>
          </w:p>
        </w:tc>
        <w:tc>
          <w:tcPr>
            <w:tcW w:w="860" w:type="dxa"/>
            <w:vAlign w:val="bottom"/>
          </w:tcPr>
          <w:p>
            <w:pPr>
              <w:spacing w:after="0"/>
              <w:rPr>
                <w:sz w:val="20"/>
                <w:szCs w:val="20"/>
                <w:color w:val="auto"/>
              </w:rPr>
            </w:pPr>
          </w:p>
        </w:tc>
      </w:tr>
      <w:tr>
        <w:trPr>
          <w:trHeight w:val="135"/>
        </w:trPr>
        <w:tc>
          <w:tcPr>
            <w:tcW w:w="10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9"/>
        </w:trPr>
        <w:tc>
          <w:tcPr>
            <w:tcW w:w="10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Depreciable land improvements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2-50 years</w:t>
            </w:r>
          </w:p>
        </w:tc>
      </w:tr>
      <w:tr>
        <w:trPr>
          <w:trHeight w:val="230"/>
        </w:trPr>
        <w:tc>
          <w:tcPr>
            <w:tcW w:w="10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5-25 years</w:t>
            </w:r>
          </w:p>
        </w:tc>
      </w:tr>
      <w:tr>
        <w:trPr>
          <w:trHeight w:val="230"/>
        </w:trPr>
        <w:tc>
          <w:tcPr>
            <w:tcW w:w="10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primarily represents sub-lease income related to certain ground and use leases, the cost of which is passed to our tenants through the Lease Agreements, which require the tenants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recorded the sub-lease income as a component of General and administrative expenses on a net basis with the sub-lease expense. Beginning with the three months ended March 31, 2020, we re-classified these amounts to be presented gross in Other income with an offsetting amount in Other expenses within the Statement of Operations. For the year ended December 31, 2019, such amounts, included net in General and administrative expenses, were $2.9 million.</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2018, Other income and Other expense represents real estate taxes paid directly by our tenants to taxing authorities which were required to be recorded gross on our Balance Sheets and Income Statements, as we concluded we are the primary obligor. Upon adoption of ASC 842, “Leases” (“ASC 842”) in 2019, such amounts are presented net, as the tenants pay the real estate taxes directly to the applicable taxing authority.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11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24">
        <w:r>
          <w:rPr>
            <w:rFonts w:ascii="Arial" w:cs="Arial" w:eastAsia="Arial" w:hAnsi="Arial"/>
            <w:sz w:val="18"/>
            <w:szCs w:val="18"/>
            <w:u w:val="single" w:color="auto"/>
            <w:color w:val="0000FF"/>
          </w:rPr>
          <w:t>Note 10 -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Other comprehensive income on our consolidated financial statements.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Subsidiaries of VICI Golf and subsidiaries of Caesars are party to a golf course use agreement (the “Golf Course Use Agreement”), whereby the subsidiaries of Caesars are granted certain priority rights and privileges with respect to access and use of certain golf course properties. For the year ended December 31, 2020, payments under the Golf Course Use Agreement were comprised of a $10.3 million annual membership fee, $3.2 million of use fees and approximately $1.3 million of minimum rounds fees. The annual membership fee, use fees and minimum round fees are subject to an annual escalator beginning at the times provided under the Golf Course Use Agreement. Revenue from the Golf Course Use Agreement is recognized in accordance with ASC 606, “Revenue From Contracts With Customers” and recognized ratably over the performance period.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Code provisions, we also would be disqualified from re-electing to be taxed as a REIT for the four taxable years following the year in which we failed to qualify to be taxed as a REIT.</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The provision for income taxes includes current and deferred portions. The current income tax provision differs from the amount of income tax currently payable because of temporary differences in the recognition of certain income and expense items between financial reporting and income tax reporting.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 Accordingly, a deferred tax asset or liability for each temporary difference is determined based on enacted tax rates that we expect to be in effect when the underlying items of income and expense are realized and the differences reverse.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recognize any interest and penalties, as incurred, in general and administrative expenses in our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issuance costs are deferred and amortized to interest expense over the contractual term of the underlying indebtedness. We present unamortized deferred financing costs as a direct deduction from the carrying amount of the associated debt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and acquisition-related expenses that are not capitalizable under GAAP, including most leasing costs under ASC 842, are expensed in the period they occur. Transaction and acquisition expenses also include dead deal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account for stock-based compensation under ASC 718, Compensation - Stock Compensation (“ASC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 10-day volume weighted average price using the 10 trading days ending on the grant date. For non-vested share awards that vest based on market conditions, we use a Monte Carlo simulation (risk-neutral approach) to determine the value of each tranche.</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unrecognized compensation relating to awards under our stock incentive plan will be amortized to general and administrative expense over the awards’ remaining vesting periods. Vesting periods for award of equity instruments range from zero to four years.</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31">
        <w:r>
          <w:rPr>
            <w:rFonts w:ascii="Arial" w:cs="Arial" w:eastAsia="Arial" w:hAnsi="Arial"/>
            <w:sz w:val="18"/>
            <w:szCs w:val="18"/>
            <w:u w:val="single" w:color="auto"/>
            <w:color w:val="0000FF"/>
          </w:rPr>
          <w:t>Note 14—Stock-Based Compensation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related to the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Earnings per share (”EPS”) is calculated in accordance with ASC 260, “Earnings Per Share”. Basic EPS is computed by dividing net income applicable to common stockholders by the weighted-average number of shares of common stock outstanding during the period. Diluted EPS reflects the additional dilution for all potentially dilutive securities including those from our stock incentive plan.</w:t>
      </w:r>
    </w:p>
    <w:p>
      <w:pPr>
        <w:spacing w:after="0" w:line="7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30">
        <w:r>
          <w:rPr>
            <w:rFonts w:ascii="Arial" w:cs="Arial" w:eastAsia="Arial" w:hAnsi="Arial"/>
            <w:sz w:val="18"/>
            <w:szCs w:val="18"/>
            <w:u w:val="single" w:color="auto"/>
            <w:color w:val="0000FF"/>
          </w:rPr>
          <w:t>Note 13—Earnings Per Share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detailed EPS calculation.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Commissions and Offering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and offering costs incurred in connection with common stock offerings are reflected as a reduction of additional paid-in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that are not directly associated with the completion of a common stock offering are expensed when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Caesars is the guarantor of all the lease payment obligations of the tenants under the respective leases of the properties that it leases from us. Revenue from the Caesars Lease Agreements represented 84%, 93% and 100% of our lease revenues for the years ended December 31, 2020, 2019 and 2018, respectively. Additionally, our properties on the Las Vegas Strip generated approximately 30%, 33% and 36% of our lease revenues for the years ended December 31, 2020, 2019 and 2018, respectively. We do not believe there are any other significant concentrations of credit risk.</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Caesars is a publicly traded company that is subject to the informational filing requirements of the Securities Exchange Act of 1934, as amended, and is required to file periodic reports on Form 10-K and Form 10-Q and current reports on Form 8-K with the SEC. Caesars’ SEC filings are available to the public from the SEC’s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We make no representation as to the accuracy or completeness of the information regarding Caesars that is available through the SEC’s website or otherwise made available by Caesars or any third party, and none of such information is incorporated by reference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Accounting Standard Update (“ASU”) No. 2016-13 -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Financial Instruments-Credit Losses (Topic 326) - June 2016 (as amended through February 2020)</w:t>
      </w:r>
      <w:r>
        <w:rPr>
          <w:rFonts w:ascii="Arial" w:cs="Arial" w:eastAsia="Arial" w:hAnsi="Arial"/>
          <w:sz w:val="18"/>
          <w:szCs w:val="18"/>
          <w:i w:val="1"/>
          <w:iCs w:val="1"/>
          <w:color w:val="auto"/>
        </w:rPr>
        <w:t>:</w:t>
      </w:r>
      <w:r>
        <w:rPr>
          <w:rFonts w:ascii="Arial" w:cs="Arial" w:eastAsia="Arial" w:hAnsi="Arial"/>
          <w:sz w:val="18"/>
          <w:szCs w:val="18"/>
          <w:color w:val="auto"/>
        </w:rPr>
        <w:t xml:space="preserve"> This amended guidance changes how entities measure credit losses for most financial assets and certain other instruments, including sales-type and direct financing leases, that are not measured at fair value through net income. The guidance replaces the current “incurred loss” model with an “expected loss” approach, which will generally result in earlier recognition of allowance for credit losses.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guidance, we are required to estimate and record non-cash credit losses related to our Investments in leases - sales-type and direct financing, Investments in lease - financing receivables and loans and expand our credit quality disclosures. The new standard did not materially impact any of our other financial assets or instruments that we currently have on our Balance Sheet.</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adopted the guidance on January 1, 2020 using the modified retrospective approach method of adoption. Under this method we recorded a cumulative-effect adjustment to our opening Balance Sheet as a reduction in our Investments in leases - sales-type and direct financing and a corresponding charge to retained (deficit) earnings. Such amount was determined by applying our methodology for estimating allowances for credit losses to our existing Investments in leases - sales-type and direct financing as of January 1, 2020, which resulted in a $309.4 million cumulative adjustment, representing a 2.88% credit allowance upon adoption. Periods prior to the adoption date that are presented for comparative purposes are not adjusted.</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time we enter into a new sales-type or direct financing lease, lease financing receivable or loan, we will be required to estimate a credit allowance which will result in a non-cash charge to the Statement of Operations and a corresponding reduction in our net investment in the asset. Finally, each reporting period we are required to update the estimated allowance for any estimated changes in the credit loss, with the resulting change being recorded on the Statement of Operations and a corresponding change in our net investment in the asset.</w:t>
      </w:r>
    </w:p>
    <w:p>
      <w:pPr>
        <w:spacing w:after="0" w:line="13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16">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Recent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Southern Indiana Lease Agreement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24, 2020, in connection with the Eastern Band of Cherokee Indians’ (“EBCI”) agreement to acquire the operations of Caesars Southern Indiana from Caesars, we agreed to enter into a triple-net lease agreement with EBCI with respect to the real property associated with Caesars Southern Indiana, at the closing of EBCI’s acquisition. In addition, as part of the transaction, the parties have agreed to negotiate a right of first refusal for VICI Properties on the real property associated with the development of a new casino resort in Danville, Virginia. Initial total annual rent under the lease with EBCI will be $32.5 million. The lease will have an initial term of 15 years, with four 5-year tenant renewal options. The tenant’s obligations under the lease will be guaranteed by EBCI. Annual base rent payments under the Regional Master Lease Agreement will be reduced by $32.5 million upon completion of EBCI’s acquisition of the operations of Caesars Southern Indiana and the execution of the lease between us and EBCI. The property is expected to retain the Caesars brand name and to continue to be a part of the Caesars Rewards loyalty program in accordance with the terms of a licensing agreement negotiated between EBCI and Caesars. The transaction is subject to customary regulatory and other approvals and is expected to be completed in the second half of 2021. The transaction is subject to customary regulatory and other approvals (and, with respect to the right of first refusal, negotiation of definitive documentation and applicable regulatory and other governmental approvals) and are expected to be completed in the third quarter of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18, 2020, we and Caesars closed on the previously announced transaction to sell Bally’s Atlantic City Hotel &amp; Casino for $25.0 million to Bally’s Corporation. We received approximately $19.0 million of the proceeds from the sale and Caesars received approximately $6.0 million of the proceeds. We did not recognize any gain or loss on the sale of Bally’s Atlantic City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We did not recognize any gain or loss on the sale of Harrah’s Reno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18, 2020, we entered into a mortgage loan agreement with a subsidiary of Caesars (the “Forum Convention Center Borrower”) pursuant to which we loaned $400.0 million to the Forum Convention Center Borrower for a term of five years, with such loan secured by, among other things, a first priority fee mortgage on the Caesars Forum Convention Center (the “Forum Convention Center Mortgage Loan”).</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interest rate on the Forum Convention Center Mortgage Loan is initially 7.7% per annum, with annual interest payments subject to 2.0% annual escalation (resulting in year two annual interest of $31.4 million based on a year two interest rate of 7.854%), with interest paid monthly in cash in arrears. Except as provided below, no prepayments are permitted during the first two years of the term of the Forum Convention Center Mortgage Loan. During the third and fourth years of the term of the Forum Convention Center Mortgage Loan, the Forum Convention Center Borrower may prepay the Forum Convention Center Mortgage Loan, in each case in full but not in part, at 102% of par in year three and 101% of par in year four. During the fifth year of the term of the Forum Convention Center Mortgage Loan, the Forum Convention Center Borrower may prepay the Forum Convention Center Mortgage Loan in full but not in part at par. However, the Forum Convention Center Mortgage Loan may be prepaid at any time at par, without penalty or make-whole, in connection with our acquisition of the Caesars Forum Convention Center and an OpCo sale and conversion to an OpCo/PropCo structure, subject to our consent, which may be withheld in our sole discretion.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Forum Convention Center Mortgage Loan is secured by a first priority mortgage on the Caesars Forum Convention Center, as well as a first priority lien on the equity interests in the Forum Convention Center Borrower, a first priority security interest in all of the Forum Convention Center Borrower’s interest in furniture, fixtures and equipment used, owned or related to the operation of the Caesars Forum Convention Center, and a first priority assignment of the Forum Convention Center Borrower’s interest in leases and rents, including a collateral assignment of the Forum Convention Center Borrower’s interest in the lease on the Caesars Forum Convention Center pursuant to which the Forum Convention Center Borrower leases the Caesars Forum Convention Center to another subsidiary of Caesars (the “Caesars Tenant”), which lease is fully subordinate to the Forum Convention Center Mortgage Loan. In addition, if the Forum Convention Center Borrower defaults on the Forum Convention Center Mortgage Loan and we take title to the Caesars Forum Convention Center, we may, at our option under certain circumstances, keep the lease with the Caesars Tenant in effect (which lease is guaranteed by Caesars and has an initial annual rent of $33.9 million, subject to annual increases equal to the greater of 2% and the annual consumer price index increase).</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in connection with the consummation of the Forum Convention Center Mortgage Loan, we and Caesars waived the conditionality of the consummation of such loan transaction on the consummation of the potential acquisition of approximately 23 acres of land in the vicinity of, or adjacent to, The LINQ Hotel &amp; Casino, Bally’s Las Vegas, Paris Las Vegas and Planet Hollywood gaming facilities (the “Las Vegas Land”) as initially contemplated by the letter of intent. While the parties may evaluate the potential transaction involving the Las Vegas Land in the future, the parties are not actively pursuing consummation of the transaction at this time and we are under no obligation to purchase the Las Vegas Land, and, as such, there can be no assurances that the Las Vegas Land acquisition will close on the contemplated terms or at all.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18, 2020, concurrent with the entry into the Forum Convention Center Mortgage Loan and in accordance with the LOI,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3, 2020, we and Caesars entered into definitive agreements to sell Harrah’s Louisiana Downs Casino for $22.0 million to Rubico Acquisition Corp. We are entitled to receive $5.5 million of the proceeds from the sale and Caesars is entitled to $16.5 million of the proceeds. The annual rent payments under the Regional Master Lease Agreement will remain unchanged following completion of the disposition, which we anticipate will close in the first half of 2021 and remains subject to regulatory approval and customary closing conditions.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December 31, 2020), subject to certain conditions. The Chelsea Piers Mortgage Loan bears interest at a rate of 7.0% per annum, with a term of 7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1"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July 20, 2020, concurrent with the consummation of the Eldorado/Caesars Merger, we consummated the Eldorado Transaction contemplated by the MTA and the MTA Property Purchase Agreements (as defined below). We funded the Eldorado Transaction with a combination of cash on hand, the proceeds from the physical settlement of the June 2019 Forward Sale Agreements on June 2, 2020, as described in </w:t>
      </w:r>
      <w:hyperlink w:anchor="page128">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and the proceeds from our February 2020 Senior Unsecured Notes offering previously held in escrow. Any references to Caesars in the subsequent transaction discussion refer to the combined Eldorado/Caesars subsequent to the consummation of the Eldorado/Caesars Merger.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1" w:lineRule="exact"/>
        <w:rPr>
          <w:sz w:val="20"/>
          <w:szCs w:val="20"/>
          <w:color w:val="auto"/>
        </w:rPr>
      </w:pPr>
    </w:p>
    <w:p>
      <w:pPr>
        <w:jc w:val="both"/>
        <w:ind w:left="740" w:hanging="368"/>
        <w:spacing w:after="0" w:line="285" w:lineRule="auto"/>
        <w:tabs>
          <w:tab w:leader="none" w:pos="73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acquired all of the land and real estate assets associated with Harrah’s New Orleans, Harrah’s Laughlin</w:t>
      </w:r>
      <w:r>
        <w:rPr>
          <w:rFonts w:ascii="Arial" w:cs="Arial" w:eastAsia="Arial" w:hAnsi="Arial"/>
          <w:sz w:val="16"/>
          <w:szCs w:val="16"/>
          <w:i w:val="1"/>
          <w:iCs w:val="1"/>
          <w:color w:val="auto"/>
        </w:rPr>
        <w:t xml:space="preserve"> </w:t>
      </w:r>
      <w:r>
        <w:rPr>
          <w:rFonts w:ascii="Arial" w:cs="Arial" w:eastAsia="Arial" w:hAnsi="Arial"/>
          <w:sz w:val="16"/>
          <w:szCs w:val="16"/>
          <w:color w:val="auto"/>
        </w:rPr>
        <w:t>and Harrah’s Atlantic City (collectively, the “MTA Properties”) for an aggregate purchase price of $1,823.5 million (the “MTA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MTA Properties being included in the Regional Master Lease Agreement as further described in “—Lease Amendments and Terminations” below. We completed the MTA Properties Acquisitions pursuant to the following agreements: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(“Harrah’s New Orleans”) for a cash purchase price of $789.5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$599.3 million; and (iii) a Purchase and Sale Agreement (the “Harrah’s Laughlin Purchase Agreement” and, collectively with the Harrah’s New Orleans Purchase Agreement and the Harrah’s Atlantic City Purchase Agreement, the “MTA Property Purchase Agreements”) pursuant to which we agreed to acquire, and Eldorado agreed to cause to be sold, all of the equity interests in a newly formed entity that acquired the land and real property improvements associated with Harrah’s Laughlin Hotel &amp; Casino in Laughlin, Nevada for a cash purchase price of $434.8 million. Each of our call options on the MTA Properties terminated upon the closing of the MTA Properties Acquisitions.</w:t>
      </w:r>
    </w:p>
    <w:p>
      <w:pPr>
        <w:spacing w:after="0" w:line="119" w:lineRule="exact"/>
        <w:rPr>
          <w:rFonts w:ascii="Arial" w:cs="Arial" w:eastAsia="Arial" w:hAnsi="Arial"/>
          <w:sz w:val="16"/>
          <w:szCs w:val="16"/>
          <w:color w:val="auto"/>
        </w:rPr>
      </w:pPr>
    </w:p>
    <w:p>
      <w:pPr>
        <w:jc w:val="both"/>
        <w:ind w:left="740"/>
        <w:spacing w:after="0" w:line="293" w:lineRule="auto"/>
        <w:rPr>
          <w:rFonts w:ascii="Arial" w:cs="Arial" w:eastAsia="Arial" w:hAnsi="Arial"/>
          <w:sz w:val="16"/>
          <w:szCs w:val="16"/>
          <w:color w:val="auto"/>
        </w:rPr>
      </w:pPr>
      <w:r>
        <w:rPr>
          <w:rFonts w:ascii="Arial" w:cs="Arial" w:eastAsia="Arial" w:hAnsi="Arial"/>
          <w:sz w:val="16"/>
          <w:szCs w:val="16"/>
          <w:color w:val="auto"/>
        </w:rPr>
        <w:t>On July 20, 2020, in connection with the completion of the purchase of Harrah’s New Orleans, the tenant’s leasehold interest in that certain Second Amended and Restated Lease Agreement (the “HNO Ground Lease”) dated as of April 3, 2020, by and among Jazz Casino Company, L.L.C., a Louisiana limited liability company (“JCC”), New Orleans Building Corporation (“NOBC”) and the City of New Orleans, was assigned by JCC to us. The HNO Ground Lease sets forth the terms and conditions pursuant to which we lease from NOBC a portion of the land upon which Harrah’s New Orleans is located. Simultaneous with entering into the assignment of the HNO Ground Lease, we subleased our interest in the HNO Ground Lease to Caesars in accordance with the terms and conditions of the Regional Master Lease Agreement.</w:t>
      </w:r>
    </w:p>
    <w:p>
      <w:pPr>
        <w:spacing w:after="0" w:line="110" w:lineRule="exact"/>
        <w:rPr>
          <w:rFonts w:ascii="Arial" w:cs="Arial" w:eastAsia="Arial" w:hAnsi="Arial"/>
          <w:sz w:val="16"/>
          <w:szCs w:val="16"/>
          <w:color w:val="auto"/>
        </w:rPr>
      </w:pPr>
    </w:p>
    <w:p>
      <w:pPr>
        <w:jc w:val="both"/>
        <w:ind w:left="740"/>
        <w:spacing w:after="0" w:line="273" w:lineRule="auto"/>
        <w:rPr>
          <w:rFonts w:ascii="Arial" w:cs="Arial" w:eastAsia="Arial" w:hAnsi="Arial"/>
          <w:sz w:val="16"/>
          <w:szCs w:val="16"/>
          <w:color w:val="auto"/>
        </w:rPr>
      </w:pPr>
      <w:r>
        <w:rPr>
          <w:rFonts w:ascii="Arial" w:cs="Arial" w:eastAsia="Arial" w:hAnsi="Arial"/>
          <w:sz w:val="17"/>
          <w:szCs w:val="17"/>
          <w:color w:val="auto"/>
        </w:rPr>
        <w:t>Pursuant to the Regional Master Lease Agreement, Caesars is required to perform our obligations as tenant under the HNO Ground Lease, which include the obligation to construct a new hotel intended to be located on the ground-leased premises and to expend at least $325.0 million in connection with the construction of such hotel. The HNO Ground Lease contains certain rights in our favor should Caesars fail to perform our obligations thereunder, including providing us with additional cure periods to cure defaults. If we are unable to cure a Caesars default during any such additional cure period, then, subject to certain conditions more particularly set forth in the HNO Ground Lease, we will have a further additional period (up to 12-24 months) to seek to terminate Caesars as tenant and to enter into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replacement sublease with a new operator with respect to the leased premises. If we fail to cure such default at the end of such additional cure period, NOBC would have the right to exercise remedies, including termination of the HNO Ground Lease, in which case we would no longer have any right, title or interest to the leased premises or the improvements located thereon.</w:t>
      </w:r>
    </w:p>
    <w:p>
      <w:pPr>
        <w:spacing w:after="0" w:line="130" w:lineRule="exact"/>
        <w:rPr>
          <w:sz w:val="20"/>
          <w:szCs w:val="20"/>
          <w:color w:val="auto"/>
        </w:rPr>
      </w:pPr>
    </w:p>
    <w:p>
      <w:pPr>
        <w:jc w:val="both"/>
        <w:ind w:left="740" w:hanging="368"/>
        <w:spacing w:after="0" w:line="270" w:lineRule="auto"/>
        <w:tabs>
          <w:tab w:leader="none" w:pos="735"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Creation of Las Vegas Master Lease. </w:t>
      </w:r>
      <w:r>
        <w:rPr>
          <w:rFonts w:ascii="Arial" w:cs="Arial" w:eastAsia="Arial" w:hAnsi="Arial"/>
          <w:sz w:val="17"/>
          <w:szCs w:val="17"/>
          <w:color w:val="auto"/>
        </w:rPr>
        <w:t>In consideration of a payment by us to (i) the tenant under the CPLV Lease Agreement of $1,189.9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“CPLV Lease Amendment Payment”) and (ii) the tenant under the HLV Lease 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26" w:lineRule="exact"/>
        <w:rPr>
          <w:rFonts w:ascii="Arial" w:cs="Arial" w:eastAsia="Arial" w:hAnsi="Arial"/>
          <w:sz w:val="17"/>
          <w:szCs w:val="17"/>
          <w:color w:val="auto"/>
        </w:rPr>
      </w:pPr>
    </w:p>
    <w:p>
      <w:pPr>
        <w:jc w:val="both"/>
        <w:ind w:left="740" w:hanging="368"/>
        <w:spacing w:after="0" w:line="284" w:lineRule="auto"/>
        <w:tabs>
          <w:tab w:leader="none" w:pos="73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Lease Amendments and Terminations. </w:t>
      </w:r>
      <w:r>
        <w:rPr>
          <w:rFonts w:ascii="Arial" w:cs="Arial" w:eastAsia="Arial" w:hAnsi="Arial"/>
          <w:sz w:val="16"/>
          <w:szCs w:val="16"/>
          <w:color w:val="auto"/>
        </w:rPr>
        <w:t>Each of the Caesars Lease Agreements was amended to, among other things, (i) remove the rent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floors, which coverage floors served to reduce the rent escalators under such leases in the event that the “EBITDAR to Rent Ratio” (as defined in the applicable Caesars Lease Agreements) coverage was below the stated floor and (ii) extend the term of each such lease by such additional period of time as necessary to ensure that each lease will have a full 15-year initial lease term following the consummation of the Eldorado Transaction. The Regional Master Lease Agreement was also amended to, among other things: (a) permit the tenant under the Regional Master Lease Agreement to cause facilities subject to the Regional Master Lease Agreement that in the aggregate represent up to five percent of the aggregate EBITDAR of (A) all of the facilities under such Regional Master Lease Agreement and (B) the Harrah’s Joliet facility, for the 2018 fiscal year (defined as the “2018 EBITDAR Pool” in the Regional Master Lease Agreement, without giving effect to any increase in the 2018 EBITDAR Pool as a result of a facility being added to the Regional Master Lease Agreement) to be sold (whereby the tenant and landlord under the Regional Master Lease Agreement would sell the operations and real estate, respectively, with respect to such facility), provided, among other things, that (1) we and Caesars mutually agree to the split of proceeds from such sales, (2) such sales do not result in any impairment(s)/asset write down(s) by us, (3) rent under the Regional Master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Regional Master Lease Agreement may only sell such properties if certain terms and conditions are met, including that replacement tenants meet certain criteria provided in the Regional Master Lease Agreement; and (c) require that the tenant under the Regional Master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27" w:lineRule="exact"/>
        <w:rPr>
          <w:rFonts w:ascii="Arial" w:cs="Arial" w:eastAsia="Arial" w:hAnsi="Arial"/>
          <w:sz w:val="16"/>
          <w:szCs w:val="16"/>
          <w:color w:val="auto"/>
        </w:rPr>
      </w:pPr>
    </w:p>
    <w:p>
      <w:pPr>
        <w:jc w:val="both"/>
        <w:ind w:left="740"/>
        <w:spacing w:after="0" w:line="291" w:lineRule="auto"/>
        <w:rPr>
          <w:rFonts w:ascii="Arial" w:cs="Arial" w:eastAsia="Arial" w:hAnsi="Arial"/>
          <w:sz w:val="16"/>
          <w:szCs w:val="16"/>
          <w:color w:val="auto"/>
        </w:rPr>
      </w:pPr>
      <w:r>
        <w:rPr>
          <w:rFonts w:ascii="Arial" w:cs="Arial" w:eastAsia="Arial" w:hAnsi="Arial"/>
          <w:sz w:val="16"/>
          <w:szCs w:val="16"/>
          <w:color w:val="auto"/>
        </w:rPr>
        <w:t>Caesars has executed new guaranties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112" w:lineRule="exact"/>
        <w:rPr>
          <w:rFonts w:ascii="Arial" w:cs="Arial" w:eastAsia="Arial" w:hAnsi="Arial"/>
          <w:sz w:val="16"/>
          <w:szCs w:val="16"/>
          <w:color w:val="auto"/>
        </w:rPr>
      </w:pPr>
    </w:p>
    <w:p>
      <w:pPr>
        <w:jc w:val="both"/>
        <w:ind w:left="740"/>
        <w:spacing w:after="0" w:line="263" w:lineRule="auto"/>
        <w:rPr>
          <w:rFonts w:ascii="Arial" w:cs="Arial" w:eastAsia="Arial" w:hAnsi="Arial"/>
          <w:sz w:val="16"/>
          <w:szCs w:val="16"/>
          <w:color w:val="auto"/>
        </w:rPr>
      </w:pPr>
      <w:r>
        <w:rPr>
          <w:rFonts w:ascii="Arial" w:cs="Arial" w:eastAsia="Arial" w:hAnsi="Arial"/>
          <w:sz w:val="18"/>
          <w:szCs w:val="18"/>
          <w:color w:val="auto"/>
        </w:rPr>
        <w:t>In connection with entering into the amendments to the Caesars Lease Agreements and the Caesars Guaranties described above, we and Caesars terminated the Management and Lease Support Agreements, dated as of October 6, 2017, with respect to each of the Caesars Lease Agreements, pursuant to which, among other things, Pre-Merger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Caesars previously guaranteed the tenants’ monetary obligations under the Caesars Lease Agreements and the Guaranty of Lease dated as of December 22, 2017 pursuant to which, among other things, a subsidiary of Pre-Merger Caesars guaranteed the tenant’s obligations under the HLV Lease Agreement.</w:t>
      </w:r>
    </w:p>
    <w:p>
      <w:pPr>
        <w:spacing w:after="0" w:line="130" w:lineRule="exact"/>
        <w:rPr>
          <w:sz w:val="20"/>
          <w:szCs w:val="20"/>
          <w:color w:val="auto"/>
        </w:rPr>
      </w:pPr>
    </w:p>
    <w:p>
      <w:pPr>
        <w:jc w:val="both"/>
        <w:ind w:left="740" w:hanging="368"/>
        <w:spacing w:after="0" w:line="268" w:lineRule="auto"/>
        <w:tabs>
          <w:tab w:leader="none" w:pos="735" w:val="left"/>
        </w:tabs>
        <w:numPr>
          <w:ilvl w:val="1"/>
          <w:numId w:val="48"/>
        </w:numPr>
        <w:rPr>
          <w:rFonts w:ascii="Arial" w:cs="Arial" w:eastAsia="Arial" w:hAnsi="Arial"/>
          <w:sz w:val="17"/>
          <w:szCs w:val="17"/>
          <w:i w:val="1"/>
          <w:iCs w:val="1"/>
          <w:color w:val="auto"/>
        </w:rPr>
      </w:pPr>
      <w:r>
        <w:rPr>
          <w:rFonts w:ascii="Arial" w:cs="Arial" w:eastAsia="Arial" w:hAnsi="Arial"/>
          <w:sz w:val="17"/>
          <w:szCs w:val="17"/>
          <w:i w:val="1"/>
          <w:iCs w:val="1"/>
          <w:color w:val="auto"/>
        </w:rPr>
        <w:t>Centaur Properties Put-Call Agreement</w:t>
      </w:r>
      <w:r>
        <w:rPr>
          <w:rFonts w:ascii="Arial" w:cs="Arial" w:eastAsia="Arial" w:hAnsi="Arial"/>
          <w:sz w:val="17"/>
          <w:szCs w:val="17"/>
          <w:color w:val="auto"/>
        </w:rPr>
        <w:t>. Prior to the consummation of the Eldorado Transaction, we were party to a right of first refusal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affiliates of Pre-Merger Caesars with respect to two gaming facilities in Indiana - Harrah’s Hoosier Park and Indiana Grand (together, the “Centaur Properties”). Upon the consummation of the Eldorado Transaction, the Second Amended and Restated Right of First Refusal Agreement between us and Pre-Merger Caesars terminated in accordance with its terms, which included the right of first refusal that we had with respect to the Centaur Properties, and we entered into a Put-Call Right Agreement with Caesars (the “Centaur Put-Call Agreement”), whereby (i) we have the right to acquire all of the land and real estate assets associated with the Centaur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Centaur Properties at a price equal to 12.5x the initial annual rent of each facility, and to simultaneously lease back each such Centaur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Centaur Put-Call Agreement provides that the leaseback of the Centaur Properties will be implemented through the addition of the Centaur Properties to the Regional Master Lease Agreement.</w:t>
      </w:r>
    </w:p>
    <w:p>
      <w:pPr>
        <w:spacing w:after="0" w:line="130" w:lineRule="exact"/>
        <w:rPr>
          <w:rFonts w:ascii="Arial" w:cs="Arial" w:eastAsia="Arial" w:hAnsi="Arial"/>
          <w:sz w:val="17"/>
          <w:szCs w:val="17"/>
          <w:i w:val="1"/>
          <w:iCs w:val="1"/>
          <w:color w:val="auto"/>
        </w:rPr>
      </w:pPr>
    </w:p>
    <w:p>
      <w:pPr>
        <w:jc w:val="both"/>
        <w:ind w:left="740" w:hanging="368"/>
        <w:spacing w:after="0" w:line="279" w:lineRule="auto"/>
        <w:tabs>
          <w:tab w:leader="none" w:pos="735"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117" w:lineRule="exact"/>
        <w:rPr>
          <w:rFonts w:ascii="Arial" w:cs="Arial" w:eastAsia="Arial" w:hAnsi="Arial"/>
          <w:sz w:val="17"/>
          <w:szCs w:val="17"/>
          <w:color w:val="auto"/>
        </w:rPr>
      </w:pPr>
    </w:p>
    <w:p>
      <w:pPr>
        <w:jc w:val="both"/>
        <w:ind w:left="740" w:hanging="368"/>
        <w:spacing w:after="0" w:line="270" w:lineRule="auto"/>
        <w:tabs>
          <w:tab w:leader="none" w:pos="735"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6" w:lineRule="exact"/>
        <w:rPr>
          <w:rFonts w:ascii="Arial" w:cs="Arial" w:eastAsia="Arial" w:hAnsi="Arial"/>
          <w:sz w:val="17"/>
          <w:szCs w:val="17"/>
          <w:color w:val="auto"/>
        </w:rPr>
      </w:pPr>
    </w:p>
    <w:p>
      <w:pPr>
        <w:jc w:val="both"/>
        <w:ind w:left="740" w:hanging="368"/>
        <w:spacing w:after="0" w:line="311" w:lineRule="auto"/>
        <w:tabs>
          <w:tab w:leader="none" w:pos="735" w:val="left"/>
        </w:tabs>
        <w:numPr>
          <w:ilvl w:val="1"/>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4" w:lineRule="exact"/>
        <w:rPr>
          <w:rFonts w:ascii="Arial" w:cs="Arial" w:eastAsia="Arial" w:hAnsi="Arial"/>
          <w:sz w:val="16"/>
          <w:szCs w:val="16"/>
          <w:color w:val="auto"/>
        </w:rPr>
      </w:pPr>
    </w:p>
    <w:p>
      <w:pPr>
        <w:jc w:val="both"/>
        <w:ind w:left="740" w:hanging="408"/>
        <w:spacing w:after="0" w:line="286" w:lineRule="auto"/>
        <w:tabs>
          <w:tab w:leader="none" w:pos="735"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were obligated to cause the CPLV CMBS Debt to be repaid in full prior to the consummation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Eldorado/Caesars Merger. In November 2019, we repaid the CPLV CMBS Debt in full resulting in a prepayment penalty of $110.8 million, of which $55.4 million was reimbursed by Caesars upon the consummation of the Eldorado Transaction in accordance with the MTA.</w:t>
      </w:r>
    </w:p>
    <w:p>
      <w:pPr>
        <w:spacing w:after="0" w:line="111" w:lineRule="exact"/>
        <w:rPr>
          <w:rFonts w:ascii="Arial" w:cs="Arial" w:eastAsia="Arial" w:hAnsi="Arial"/>
          <w:sz w:val="17"/>
          <w:szCs w:val="17"/>
          <w:color w:val="auto"/>
        </w:rPr>
      </w:pPr>
    </w:p>
    <w:p>
      <w:pPr>
        <w:jc w:val="both"/>
        <w:ind w:left="740" w:hanging="408"/>
        <w:spacing w:after="0" w:line="273" w:lineRule="auto"/>
        <w:tabs>
          <w:tab w:leader="none" w:pos="735"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Eldorado Bridge Facilities</w:t>
      </w:r>
      <w:r>
        <w:rPr>
          <w:rFonts w:ascii="Arial" w:cs="Arial" w:eastAsia="Arial" w:hAnsi="Arial"/>
          <w:sz w:val="17"/>
          <w:szCs w:val="17"/>
          <w:color w:val="auto"/>
        </w:rPr>
        <w:t>. On June 24, 2019, in connection with the Eldorado Transaction, VICI PropCo entered into a commitment letter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Letter”) with Deutsche Bank Securities Inc. and Deutsche Bank AG Cayman Islands Branch (collectively, the “Bridge Lender”), pursuant to which and subject to the terms and conditions set forth therein, the Bridge Lender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80" w:firstLine="729"/>
        <w:spacing w:after="0" w:line="438" w:lineRule="auto"/>
        <w:rPr>
          <w:sz w:val="20"/>
          <w:szCs w:val="20"/>
          <w:color w:val="auto"/>
        </w:rPr>
      </w:pPr>
      <w:r>
        <w:rPr>
          <w:rFonts w:ascii="Arial" w:cs="Arial" w:eastAsia="Arial" w:hAnsi="Arial"/>
          <w:sz w:val="18"/>
          <w:szCs w:val="18"/>
          <w:color w:val="auto"/>
        </w:rPr>
        <w:t xml:space="preserve">fund the Eldorado Transaction. The commitments under the Bridge Facilities were fully terminated at our election in June 2020. </w:t>
      </w:r>
      <w:r>
        <w:rPr>
          <w:rFonts w:ascii="Arial" w:cs="Arial" w:eastAsia="Arial" w:hAnsi="Arial"/>
          <w:sz w:val="18"/>
          <w:szCs w:val="18"/>
          <w:b w:val="1"/>
          <w:bCs w:val="1"/>
          <w:i w:val="1"/>
          <w:iCs w:val="1"/>
          <w:color w:val="auto"/>
        </w:rPr>
        <w:t>JACK Lease Agreement Amendment and Amended and Restated ROV Loan</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16, 2020, we and JACK Entertainment entered into an amendment to the JACK Cleveland/Thistledown Lease Agreement (the “JACK Lease Agreement Amendment”), pursuant to which, among other things, we agreed to fund $18.0 million for the construction of a new gaming patio amenity at JACK Thistledown Racino, which will be leased by JACK Entertainment pursuant to the JACK Lease Agreement Amendment. In connection with the construction of the gaming patio, commencing on April 1, 2022, rent under the JACK Cleveland/Thistledown Lease Agreement (as amended by the JACK Lease Agreement Amendment) will be increased by an incremental $1.8 million. The JACK Lease Agreement Amendment also provides for relief with respect to certain existing covenants through March 31, 2022, adds an additional 5 years to the initial lease term, with the tenant under the JACK Cleveland/Thistledown Lease Agreement having three (rather than four) five-year renewal options as a result of such extension of the initial lease term, and provides for rent escalation to begin in 2022 rather than 2021. The JACK Lease Agreement Amendment does not provide for a reduction or deferral of the tenant’s rent obligations. The tenant’s obligations under the JACK Lease Agreement Amendment are guaranteed by Rock Ohio Ventures LLC (“Rock Ohio Ventures”). Pursuant to the Jack Lease Agreement Amendment, the relief provided thereunder is conditioned upon (i) the tenant’s timely payment of rent obligations under the JACK Cleveland/Thistledown Lease Agreement and (ii) no tenant event of default occurring under the JACK Cleveland/Thistledown Lease Agreement during the compliance period set forth in the JACK Lease Agreement Amendment.</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Simultaneously with entry into the JACK Lease Agreement Amendment, we and affiliates of Rock Ohio Ventures entered into an amendment and restatement of our existing $50.0 million term loan agreement with such affiliates of Rock Ohio Ventures (the “Amended and Restated ROV Loan”), pursuant to which, among other things, we increased our existing term loan to $70.0 million (the “ROV Term Loan”) which bears interest at a rate of 9.0% per annum (which interest, at the option of JACK Entertainment, may be paid-in-kind through April 30, 2021 with any paid-in-kind interest required to be paid in cash in eleven equal monthly installments ending March 31, 2022), and added a $25.0 million revolving credit facility (the “ROV Credit Facility”), which bears interest at a rate of LIBOR plus 2.75% per annum. A commitment fee of 0.50% per annum calculated on the unused portion of the ROV Credit Facility is payable quarterly. The Amended and Restated ROV Loan, which includes the ROV Term Loan and ROV Credit Facility, matures in January 2025 which maturity date may be extended at the borrower’s election for up to two additional years if certain conditions are satisfied. In connection with the amendment and restatement, we received additional collateral, including an additional land parcel in proximity to JACK Cleveland so that the loan is now secured by a first priority lien on substantially all gaming and non-gaming real and personal property of JACK Entertainment, including the furniture, fixtures and equipment associated with the properties. The amendment and restatement also provides the obligors with relief with respect to certain existing financial covenants through March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Capex Amendments to Caesars Leases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 2020, we entered into an Omnibus Amendment to Leases (the “Omnibus Amendment”) with Pre-Merger Caesars. Pursuant to the Omnibus Amendment, Caesars has been granted certain relief with respect to a portion of their capital expenditure obligations under the Caesars Lease Agreements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Omnibus Amendment, and (iii) no tenant event of default occurring under any of the Caesars Lease Agreements during the compliance period set forth in the Omnibus Amendment. Caesars will receive credit for certain deemed capital expenditure amounts, which credit may 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set forth in the Caesars Lease Agreements or, in certain cases, to deposit amounts in respect thereof into a capital expenditure reserve in accordance with the Omnibus Amendment.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27, 2020, we and Caesars entered into an Amended and Restated Omnibus Amendment to Leases, which provides for a proportionate adjustment to certain relief previously granted under the Omnibus Amendment with respect to a portion of the capital expenditure obligations of Caesars under the Caesars Lease Agreements in order to account for the addition of the MTA Properties to the Regional Master Lease Agreement pursuant to the MTA Properties Acquisitions on July 20,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JACK Cleveland/Thistledown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24, 2020, we completed the acquisition of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Additionally, we made a $50.0 million loan (the “ROV Loan”) to affiliates of Rock Ohio Ventures secured by, among other things, certain non-gaming real estate assets owned by such affiliates and guaranteed by Rock Ohio Ventures. The terms of the JACK Cleveland/Thistledown Lease Agreement and the ROV Loan were subsequently amended on July 16, 2020 as described above under “— JACK Lease Agreement Amendment and Amended and Restated ROV Loan.”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Century Portfolio</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6, 2019, we completed the acquisition of the Century Portfolio, comprised of the land and real estate assets of (i) Mountaineer Casino, Racetrack &amp; Resort located in New Cumberland, West Virginia, (ii) Lady Luck Casino Caruthersville located in Caruthersville, Missouri, and (iii) Isle Casino Cape Girardeau located in Cape Girardeau, Missouri from affiliates of Eldorado, for approximately $277.8 million, and a subsidiary of Century Casinos acquired the operating assets of the Century Portfolio for approximately $107.2 million (together, the “Century Portfolio Acquisition”). Simultaneous with the closing of the Century Portfolio Acquisition, we entered into a master triple-net lease agreement for the Century Portfolio with a subsidiary of Century Casinos. The Century Portfolio Lease Agreement has an aggregate initial total annual rent of $25.0 million and an initial term of 15 years, with four five-year tenant renewal options. The tenants’ obligations under the Century Portfolio Lease Agreement are guaranteed by Century Casinos. We determined that the land and building components of the Century Portfolio Lease Agreement meet the definition of a sales-type lease and have recorded the corresponding asset, including related transaction and acquisition expenses, in Investments in leases - sales-type and direct financing on our Balance Sheet.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Hard Rock Cincinnati</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20, 2019, we completed the acquisition of the casino-entitled land and real estate and related assets of Hard Rock Cincinnati, located in Cincinnati, Ohio from affiliates of JACK Entertainment LLC, for approximately $558.3 million, and a subsidiary of Hard Rock acquired the operating assets of the Hard Rock Cincinnati Casino for $186.5 million (together, the “Hard Rock Cincinnati Acquisition”). Simultaneous with the closing of the Hard Rock Cincinnati Acquisition, we entered into a triple-net lease agreement for Hard Rock Cincinnati with a subsidiary of Hard Rock. The Hard Rock Cincinnati Lease Agreement has an initial total annual rent of $42.8 million and an initial term of 15 years, with four five-year tenant renewal options. The tenant’s obligations under the Hard Rock Cincinnati Lease Agreement are guaranteed by Seminole Hard Rock. We determined that the land and building components of the Hard Rock Cincinnati Lease Agreement meet the definition of a sales-type lease and have recorded the corresponding asset, including related acquisition and transaction costs, in Investments in leases - sales-type and direct financing on our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Greektown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23, 2019, we completed the acquisition from affiliates of JACK Entertainment LLC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Greektown Lease Agreement has an initial total annual rent of $55.6 million and an initial term of 15 years, with four five-year tenant renewal options. The tenant’s obligations under the Greektown Lease Agreement are guaranteed by Penn National and certain of its subsidiaries. We determined that the land and building components of the Greektown Lease Agreement meet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definition of a sales-type lease and have recorded the corresponding asset, including related acquisition and transaction costs, in Investments in leases - sales-type and direct financing on our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Margaritaville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 2019, we completed the acquisition of the land and real estate assets of Margaritaville for $261.1 million. Penn National acquired the operating assets of Margaritaville for $114.9 million. Simultaneous with the closing of this transaction, we entered into a triple-net lease agreement with a subsidiary of Penn National. The Margaritaville Lease Agreement has an initial annual rent of $23.2 million and an initial term of 15 years, with four five-year tenant renewal options. The tenant’s obligations under the Margaritaville Lease Agreement are guaranteed by Penn National and certain of its subsidiaries. We determined that the land and building components of the Margaritaville Lease Agreement meet the definition of a sales-type lease and have recorded the corresponding asset, including related acquisition and transaction costs, in Investments in leases - sales-type and direct financing on our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real estate portfolio consisted of the following:</w:t>
      </w:r>
    </w:p>
    <w:p>
      <w:pPr>
        <w:spacing w:after="0" w:line="117" w:lineRule="exact"/>
        <w:rPr>
          <w:sz w:val="20"/>
          <w:szCs w:val="20"/>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 net basis to our tenants, Caesars, Penn National, Hard Rock and Century Casinos, under seven separate lease agreements;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 net basis to our tenants, Caesars and JACK Entertainment, under two separate lease agreements;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Amended and Restated ROV Loan, Chelsea Piers Mortgage Loan and Forum Convention Center Mortgage Loan;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20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Pr>
          <w:p>
            <w:pPr>
              <w:spacing w:after="0"/>
              <w:rPr>
                <w:sz w:val="16"/>
                <w:szCs w:val="16"/>
                <w:color w:val="auto"/>
              </w:rPr>
            </w:pPr>
          </w:p>
        </w:tc>
        <w:tc>
          <w:tcPr>
            <w:tcW w:w="1920" w:type="dxa"/>
            <w:vAlign w:val="bottom"/>
          </w:tcPr>
          <w:p>
            <w:pPr>
              <w:jc w:val="right"/>
              <w:ind w:right="351"/>
              <w:spacing w:after="0"/>
              <w:rPr>
                <w:sz w:val="20"/>
                <w:szCs w:val="20"/>
                <w:color w:val="auto"/>
              </w:rPr>
            </w:pPr>
            <w:r>
              <w:rPr>
                <w:rFonts w:ascii="Arial" w:cs="Arial" w:eastAsia="Arial" w:hAnsi="Arial"/>
                <w:sz w:val="16"/>
                <w:szCs w:val="16"/>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w w:val="99"/>
              </w:rPr>
              <w:t xml:space="preserve">Minimum lease payments receivable under sales-type and direct financing leases </w:t>
            </w:r>
            <w:r>
              <w:rPr>
                <w:rFonts w:ascii="Arial" w:cs="Arial" w:eastAsia="Arial" w:hAnsi="Arial"/>
                <w:sz w:val="23"/>
                <w:szCs w:val="23"/>
                <w:i w:val="1"/>
                <w:iCs w:val="1"/>
                <w:color w:val="auto"/>
                <w:w w:val="99"/>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31,460,712</w:t>
            </w:r>
          </w:p>
        </w:tc>
      </w:tr>
      <w:tr>
        <w:trPr>
          <w:trHeight w:val="229"/>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Estimated residual values of leased property (not guaranteed)</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2,525,469</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 sales-type and direct financing leases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33,986,181</w:t>
            </w: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Unamortized initial direct costs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23,764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42,819</w:t>
            </w: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income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(35,390,353)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(23,294,755)</w:t>
            </w: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and direct financing, net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10,734,245</w:t>
            </w: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Investments in leases - operating </w:t>
            </w:r>
            <w:r>
              <w:rPr>
                <w:rFonts w:ascii="Arial" w:cs="Arial" w:eastAsia="Arial" w:hAnsi="Arial"/>
                <w:sz w:val="23"/>
                <w:szCs w:val="23"/>
                <w:i w:val="1"/>
                <w:iCs w:val="1"/>
                <w:color w:val="auto"/>
                <w:vertAlign w:val="superscript"/>
              </w:rPr>
              <w:t>(2)</w:t>
            </w:r>
          </w:p>
        </w:tc>
        <w:tc>
          <w:tcPr>
            <w:tcW w:w="260" w:type="dxa"/>
            <w:vAlign w:val="bottom"/>
          </w:tcPr>
          <w:p>
            <w:pPr>
              <w:spacing w:after="0"/>
              <w:rPr>
                <w:sz w:val="19"/>
                <w:szCs w:val="19"/>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1,086,658</w:t>
            </w: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financing receivables, net</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Total investments in leases, net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15,646,206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11,820,903</w:t>
            </w: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 net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real estate portfolio</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16,341,117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11,915,614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jc w:val="both"/>
        <w:ind w:firstLine="8"/>
        <w:spacing w:after="0" w:line="248" w:lineRule="auto"/>
        <w:tabs>
          <w:tab w:leader="none" w:pos="207"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Upon modification of the Caesars Lease Agreements, we reassessed the lease classification of the Las Vegas Master Lease Agreement, Regional Master Lease Agreement (excluding the MTA Properties) and Joliet Lease Agreement and determined that the leases meet the definition of a sales-type lease, including the land component of Caesars Palace Las Vegas. Accordingly, we reclassified the land component of Caesars Palace Las Vegas from Investments in leases - operating to Investments in leases - sales-type.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sales-type, direct financing and operating leases and lease financing receivables: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1"/>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1"/>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1"/>
              <w:spacing w:after="0" w:line="17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10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from sales-type and direct financing leases, excluding</w:t>
            </w: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1,007,193</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822,205</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741,564</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4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(2)</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43,653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47,972</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(3)</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Total revenue, excluding contingent rent</w:t>
            </w: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1,170,001</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865,858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789,536</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Total lease revenue</w:t>
            </w: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1,170,316</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865,858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789,536</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(4)</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(45,404)</w:t>
            </w:r>
          </w:p>
        </w:tc>
        <w:tc>
          <w:tcPr>
            <w:tcW w:w="0" w:type="dxa"/>
            <w:vAlign w:val="bottom"/>
          </w:tcPr>
          <w:p>
            <w:pPr>
              <w:spacing w:after="0"/>
              <w:rPr>
                <w:sz w:val="1"/>
                <w:szCs w:val="1"/>
                <w:color w:val="auto"/>
              </w:rPr>
            </w:pPr>
          </w:p>
        </w:tc>
      </w:tr>
      <w:tr>
        <w:trPr>
          <w:trHeight w:val="223"/>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Total contractual lease revenue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866,097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firstLine="8"/>
        <w:spacing w:after="0" w:line="241" w:lineRule="auto"/>
        <w:tabs>
          <w:tab w:leader="none" w:pos="207"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(or ASC 840),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December 31, 2020, we have only recognized contingent rent on our Margaritaville Lease Agreement in relation to the variable rent portion of the lease. Refer to the Lease Provisions section below for information regarding contingent rent on each lease.</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4"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1" w:lineRule="exact"/>
        <w:rPr>
          <w:rFonts w:ascii="Arial" w:cs="Arial" w:eastAsia="Arial" w:hAnsi="Arial"/>
          <w:sz w:val="14"/>
          <w:szCs w:val="14"/>
          <w:i w:val="1"/>
          <w:iCs w:val="1"/>
          <w:color w:val="auto"/>
        </w:rPr>
      </w:pPr>
    </w:p>
    <w:p>
      <w:pPr>
        <w:jc w:val="both"/>
        <w:ind w:right="20" w:firstLine="8"/>
        <w:spacing w:after="0" w:line="241" w:lineRule="auto"/>
        <w:tabs>
          <w:tab w:leader="none" w:pos="227"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MTA Properties and the JACK Cleveland/Thistledown Lease Agreement,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7"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sales-type leases, direct financing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December 31, 2020, minimum lease payments owed to us for each of the five succeeding years under sales-type leases and our leases accounted for as financing receivables,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 xml:space="preserve">Minimum Lease Payments </w:t>
            </w:r>
            <w:r>
              <w:rPr>
                <w:rFonts w:ascii="Arial" w:cs="Arial" w:eastAsia="Arial" w:hAnsi="Arial"/>
                <w:sz w:val="23"/>
                <w:szCs w:val="23"/>
                <w:b w:val="1"/>
                <w:bCs w:val="1"/>
                <w:i w:val="1"/>
                <w:iCs w:val="1"/>
                <w:color w:val="auto"/>
                <w:vertAlign w:val="superscript"/>
              </w:rPr>
              <w:t>(1) (2)</w:t>
            </w:r>
          </w:p>
        </w:tc>
        <w:tc>
          <w:tcPr>
            <w:tcW w:w="5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Investments in Leases</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8"/>
                <w:szCs w:val="18"/>
                <w:color w:val="auto"/>
              </w:rPr>
            </w:pPr>
          </w:p>
        </w:tc>
        <w:tc>
          <w:tcPr>
            <w:tcW w:w="1980" w:type="dxa"/>
            <w:vAlign w:val="bottom"/>
            <w:gridSpan w:val="2"/>
          </w:tcPr>
          <w:p>
            <w:pPr>
              <w:ind w:left="300"/>
              <w:spacing w:after="0"/>
              <w:rPr>
                <w:sz w:val="20"/>
                <w:szCs w:val="20"/>
                <w:color w:val="auto"/>
              </w:rPr>
            </w:pPr>
            <w:r>
              <w:rPr>
                <w:rFonts w:ascii="Arial" w:cs="Arial" w:eastAsia="Arial" w:hAnsi="Arial"/>
                <w:sz w:val="18"/>
                <w:szCs w:val="18"/>
                <w:b w:val="1"/>
                <w:bCs w:val="1"/>
                <w:color w:val="auto"/>
              </w:rPr>
              <w:t>Sales-Type</w:t>
            </w:r>
          </w:p>
        </w:tc>
        <w:tc>
          <w:tcPr>
            <w:tcW w:w="200" w:type="dxa"/>
            <w:vAlign w:val="bottom"/>
          </w:tcPr>
          <w:p>
            <w:pPr>
              <w:spacing w:after="0"/>
              <w:rPr>
                <w:sz w:val="18"/>
                <w:szCs w:val="18"/>
                <w:color w:val="auto"/>
              </w:rPr>
            </w:pPr>
          </w:p>
        </w:tc>
        <w:tc>
          <w:tcPr>
            <w:tcW w:w="326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Financing Receivables</w:t>
            </w:r>
          </w:p>
        </w:tc>
        <w:tc>
          <w:tcPr>
            <w:tcW w:w="540" w:type="dxa"/>
            <w:vAlign w:val="bottom"/>
          </w:tcPr>
          <w:p>
            <w:pPr>
              <w:spacing w:after="0"/>
              <w:rPr>
                <w:sz w:val="18"/>
                <w:szCs w:val="18"/>
                <w:color w:val="auto"/>
              </w:rPr>
            </w:pPr>
          </w:p>
        </w:tc>
        <w:tc>
          <w:tcPr>
            <w:tcW w:w="1720" w:type="dxa"/>
            <w:vAlign w:val="bottom"/>
          </w:tcPr>
          <w:p>
            <w:pPr>
              <w:jc w:val="right"/>
              <w:ind w:right="85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222,581</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1,284,954</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1,075,944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227,017</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1,302,961</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231,332</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1,326,128</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1,112,711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235,421</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1,348,132</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237,826</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1,364,652</w:t>
            </w:r>
          </w:p>
        </w:tc>
      </w:tr>
      <w:tr>
        <w:trPr>
          <w:trHeight w:val="230"/>
        </w:trPr>
        <w:tc>
          <w:tcPr>
            <w:tcW w:w="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40,027,610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8,239,619</w:t>
            </w:r>
          </w:p>
        </w:tc>
        <w:tc>
          <w:tcPr>
            <w:tcW w:w="1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48,267,229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45,500,260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9,393,796</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54,894,056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r>
      <w:tr>
        <w:trPr>
          <w:trHeight w:val="209"/>
        </w:trPr>
        <w:tc>
          <w:tcPr>
            <w:tcW w:w="31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ind w:left="220" w:hanging="212"/>
        <w:spacing w:after="0"/>
        <w:tabs>
          <w:tab w:leader="none" w:pos="2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right="20" w:firstLine="8"/>
        <w:spacing w:after="0" w:line="293" w:lineRule="auto"/>
        <w:tabs>
          <w:tab w:leader="none" w:pos="211"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 Upon the consummation of the Eldorado Transaction, the lease term was extended by approximately three years and, as such, the weighted average lease term has increased accordingly.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Caesars Lease Agreements (both prior and subsequent to the modifications that occurred on July 20, 2020 as a result of the consummation of the Eldorado Transaction):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7"/>
              </w:rPr>
              <w:t>Non-CPLV Lease Agreement</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Regional Master Lease</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CPLV Lease</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HLV Lease</w:t>
            </w:r>
          </w:p>
        </w:tc>
        <w:tc>
          <w:tcPr>
            <w:tcW w:w="1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Las Vegas Master Lease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21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Agreement and Joliet Lease</w:t>
            </w:r>
          </w:p>
        </w:tc>
        <w:tc>
          <w:tcPr>
            <w:tcW w:w="15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2"/>
              </w:rPr>
              <w:t>and Joliet Lease Agreement</w:t>
            </w:r>
          </w:p>
        </w:tc>
        <w:tc>
          <w:tcPr>
            <w:tcW w:w="100" w:type="dxa"/>
            <w:vAlign w:val="bottom"/>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Agreement</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8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158"/>
        </w:trPr>
        <w:tc>
          <w:tcPr>
            <w:tcW w:w="18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21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Prior to Amendment</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As Amended</w:t>
            </w:r>
          </w:p>
        </w:tc>
        <w:tc>
          <w:tcPr>
            <w:tcW w:w="14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4"/>
              </w:rPr>
              <w:t>Prior to</w:t>
            </w:r>
          </w:p>
        </w:tc>
        <w:tc>
          <w:tcPr>
            <w:tcW w:w="1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8"/>
              </w:rPr>
              <w:t>Prior to</w:t>
            </w:r>
          </w:p>
        </w:tc>
        <w:tc>
          <w:tcPr>
            <w:tcW w:w="8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As Amended</w:t>
            </w:r>
          </w:p>
        </w:tc>
        <w:tc>
          <w:tcPr>
            <w:tcW w:w="0" w:type="dxa"/>
            <w:vAlign w:val="bottom"/>
          </w:tcPr>
          <w:p>
            <w:pPr>
              <w:spacing w:after="0"/>
              <w:rPr>
                <w:sz w:val="1"/>
                <w:szCs w:val="1"/>
                <w:color w:val="auto"/>
              </w:rPr>
            </w:pPr>
          </w:p>
        </w:tc>
      </w:tr>
      <w:tr>
        <w:trPr>
          <w:trHeight w:val="216"/>
        </w:trPr>
        <w:tc>
          <w:tcPr>
            <w:tcW w:w="1820" w:type="dxa"/>
            <w:vAlign w:val="bottom"/>
            <w:gridSpan w:val="3"/>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Amendment</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Amendment</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Initial Term </w:t>
            </w:r>
            <w:r>
              <w:rPr>
                <w:rFonts w:ascii="Arial" w:cs="Arial" w:eastAsia="Arial" w:hAnsi="Arial"/>
                <w:sz w:val="23"/>
                <w:szCs w:val="23"/>
                <w:i w:val="1"/>
                <w:iCs w:val="1"/>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175"/>
        </w:trPr>
        <w:tc>
          <w:tcPr>
            <w:tcW w:w="18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Initial Term maturity</w:t>
            </w:r>
          </w:p>
        </w:tc>
        <w:tc>
          <w:tcPr>
            <w:tcW w:w="2060" w:type="dxa"/>
            <w:vAlign w:val="bottom"/>
            <w:vMerge w:val="restart"/>
          </w:tcPr>
          <w:p>
            <w:pPr>
              <w:ind w:left="20"/>
              <w:spacing w:after="0"/>
              <w:rPr>
                <w:sz w:val="20"/>
                <w:szCs w:val="20"/>
                <w:color w:val="auto"/>
              </w:rPr>
            </w:pPr>
            <w:r>
              <w:rPr>
                <w:rFonts w:ascii="Arial" w:cs="Arial" w:eastAsia="Arial" w:hAnsi="Arial"/>
                <w:sz w:val="18"/>
                <w:szCs w:val="18"/>
                <w:color w:val="auto"/>
              </w:rPr>
              <w:t>10/31/2032</w:t>
            </w:r>
          </w:p>
        </w:tc>
        <w:tc>
          <w:tcPr>
            <w:tcW w:w="100" w:type="dxa"/>
            <w:vAlign w:val="bottom"/>
          </w:tcPr>
          <w:p>
            <w:pPr>
              <w:spacing w:after="0"/>
              <w:rPr>
                <w:sz w:val="15"/>
                <w:szCs w:val="15"/>
                <w:color w:val="auto"/>
              </w:rPr>
            </w:pPr>
          </w:p>
        </w:tc>
        <w:tc>
          <w:tcPr>
            <w:tcW w:w="2060" w:type="dxa"/>
            <w:vAlign w:val="bottom"/>
            <w:vMerge w:val="restart"/>
          </w:tcPr>
          <w:p>
            <w:pPr>
              <w:ind w:left="20"/>
              <w:spacing w:after="0"/>
              <w:rPr>
                <w:sz w:val="20"/>
                <w:szCs w:val="20"/>
                <w:color w:val="auto"/>
              </w:rPr>
            </w:pPr>
            <w:r>
              <w:rPr>
                <w:rFonts w:ascii="Arial" w:cs="Arial" w:eastAsia="Arial" w:hAnsi="Arial"/>
                <w:sz w:val="18"/>
                <w:szCs w:val="18"/>
                <w:color w:val="auto"/>
              </w:rPr>
              <w:t>7/31/2035</w:t>
            </w:r>
          </w:p>
        </w:tc>
        <w:tc>
          <w:tcPr>
            <w:tcW w:w="100" w:type="dxa"/>
            <w:vAlign w:val="bottom"/>
          </w:tcPr>
          <w:p>
            <w:pPr>
              <w:spacing w:after="0"/>
              <w:rPr>
                <w:sz w:val="15"/>
                <w:szCs w:val="15"/>
                <w:color w:val="auto"/>
              </w:rPr>
            </w:pPr>
          </w:p>
        </w:tc>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10/31/2032</w:t>
            </w:r>
          </w:p>
        </w:tc>
        <w:tc>
          <w:tcPr>
            <w:tcW w:w="100" w:type="dxa"/>
            <w:vAlign w:val="bottom"/>
          </w:tcPr>
          <w:p>
            <w:pPr>
              <w:spacing w:after="0"/>
              <w:rPr>
                <w:sz w:val="15"/>
                <w:szCs w:val="15"/>
                <w:color w:val="auto"/>
              </w:rPr>
            </w:pPr>
          </w:p>
        </w:tc>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12/31/2032</w:t>
            </w:r>
          </w:p>
        </w:tc>
        <w:tc>
          <w:tcPr>
            <w:tcW w:w="80" w:type="dxa"/>
            <w:vAlign w:val="bottom"/>
          </w:tcPr>
          <w:p>
            <w:pPr>
              <w:spacing w:after="0"/>
              <w:rPr>
                <w:sz w:val="15"/>
                <w:szCs w:val="15"/>
                <w:color w:val="auto"/>
              </w:rPr>
            </w:pPr>
          </w:p>
        </w:tc>
        <w:tc>
          <w:tcPr>
            <w:tcW w:w="1980" w:type="dxa"/>
            <w:vAlign w:val="bottom"/>
            <w:vMerge w:val="restart"/>
          </w:tcPr>
          <w:p>
            <w:pPr>
              <w:ind w:left="20"/>
              <w:spacing w:after="0"/>
              <w:rPr>
                <w:sz w:val="20"/>
                <w:szCs w:val="20"/>
                <w:color w:val="auto"/>
              </w:rPr>
            </w:pPr>
            <w:r>
              <w:rPr>
                <w:rFonts w:ascii="Arial" w:cs="Arial" w:eastAsia="Arial" w:hAnsi="Arial"/>
                <w:sz w:val="18"/>
                <w:szCs w:val="18"/>
                <w:color w:val="auto"/>
              </w:rPr>
              <w:t>7/31/2035</w:t>
            </w:r>
          </w:p>
        </w:tc>
        <w:tc>
          <w:tcPr>
            <w:tcW w:w="0" w:type="dxa"/>
            <w:vAlign w:val="bottom"/>
          </w:tcPr>
          <w:p>
            <w:pPr>
              <w:spacing w:after="0"/>
              <w:rPr>
                <w:sz w:val="1"/>
                <w:szCs w:val="1"/>
                <w:color w:val="auto"/>
              </w:rPr>
            </w:pPr>
          </w:p>
        </w:tc>
      </w:tr>
      <w:tr>
        <w:trPr>
          <w:trHeight w:val="155"/>
        </w:trPr>
        <w:tc>
          <w:tcPr>
            <w:tcW w:w="720" w:type="dxa"/>
            <w:vAlign w:val="bottom"/>
          </w:tcPr>
          <w:p>
            <w:pPr>
              <w:ind w:left="20"/>
              <w:spacing w:after="0"/>
              <w:rPr>
                <w:sz w:val="20"/>
                <w:szCs w:val="20"/>
                <w:color w:val="auto"/>
              </w:rPr>
            </w:pPr>
            <w:r>
              <w:rPr>
                <w:rFonts w:ascii="Arial" w:cs="Arial" w:eastAsia="Arial" w:hAnsi="Arial"/>
                <w:sz w:val="12"/>
                <w:szCs w:val="12"/>
                <w:i w:val="1"/>
                <w:iCs w:val="1"/>
                <w:color w:val="auto"/>
              </w:rPr>
              <w:t>(2)</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Renewal Terms</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15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Four, five-year</w:t>
            </w:r>
          </w:p>
        </w:tc>
        <w:tc>
          <w:tcPr>
            <w:tcW w:w="15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Four, five-year</w:t>
            </w: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135"/>
        </w:trPr>
        <w:tc>
          <w:tcPr>
            <w:tcW w:w="1820" w:type="dxa"/>
            <w:vAlign w:val="bottom"/>
            <w:gridSpan w:val="3"/>
            <w:vMerge w:val="continue"/>
            <w:shd w:val="clear" w:color="auto" w:fill="CCEEFF"/>
          </w:tcPr>
          <w:p>
            <w:pPr>
              <w:spacing w:after="0"/>
              <w:rPr>
                <w:sz w:val="11"/>
                <w:szCs w:val="11"/>
                <w:color w:val="auto"/>
              </w:rPr>
            </w:pPr>
          </w:p>
        </w:tc>
        <w:tc>
          <w:tcPr>
            <w:tcW w:w="2160" w:type="dxa"/>
            <w:vAlign w:val="bottom"/>
            <w:gridSpan w:val="2"/>
            <w:vMerge w:val="continue"/>
            <w:shd w:val="clear" w:color="auto" w:fill="CCEEFF"/>
          </w:tcPr>
          <w:p>
            <w:pPr>
              <w:spacing w:after="0"/>
              <w:rPr>
                <w:sz w:val="11"/>
                <w:szCs w:val="11"/>
                <w:color w:val="auto"/>
              </w:rPr>
            </w:pPr>
          </w:p>
        </w:tc>
        <w:tc>
          <w:tcPr>
            <w:tcW w:w="2160" w:type="dxa"/>
            <w:vAlign w:val="bottom"/>
            <w:gridSpan w:val="2"/>
            <w:vMerge w:val="continue"/>
            <w:shd w:val="clear" w:color="auto" w:fill="CCEEFF"/>
          </w:tcPr>
          <w:p>
            <w:pPr>
              <w:spacing w:after="0"/>
              <w:rPr>
                <w:sz w:val="11"/>
                <w:szCs w:val="11"/>
                <w:color w:val="auto"/>
              </w:rPr>
            </w:pP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terms</w:t>
            </w:r>
          </w:p>
        </w:tc>
        <w:tc>
          <w:tcPr>
            <w:tcW w:w="1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7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560" w:type="dxa"/>
            <w:vAlign w:val="bottom"/>
            <w:gridSpan w:val="2"/>
            <w:vMerge w:val="continue"/>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20" w:type="dxa"/>
            <w:vAlign w:val="bottom"/>
            <w:gridSpan w:val="3"/>
          </w:tcPr>
          <w:p>
            <w:pPr>
              <w:ind w:left="20"/>
              <w:spacing w:after="0" w:line="230" w:lineRule="exact"/>
              <w:rPr>
                <w:sz w:val="20"/>
                <w:szCs w:val="20"/>
                <w:color w:val="auto"/>
              </w:rPr>
            </w:pPr>
            <w:r>
              <w:rPr>
                <w:rFonts w:ascii="Arial" w:cs="Arial" w:eastAsia="Arial" w:hAnsi="Arial"/>
                <w:sz w:val="18"/>
                <w:szCs w:val="18"/>
                <w:color w:val="auto"/>
                <w:w w:val="99"/>
              </w:rPr>
              <w:t xml:space="preserve">Current annual rent </w:t>
            </w:r>
            <w:r>
              <w:rPr>
                <w:rFonts w:ascii="Arial" w:cs="Arial" w:eastAsia="Arial" w:hAnsi="Arial"/>
                <w:sz w:val="23"/>
                <w:szCs w:val="23"/>
                <w:i w:val="1"/>
                <w:iCs w:val="1"/>
                <w:color w:val="auto"/>
                <w:w w:val="99"/>
                <w:vertAlign w:val="superscript"/>
              </w:rPr>
              <w:t>(3)</w:t>
            </w:r>
          </w:p>
        </w:tc>
        <w:tc>
          <w:tcPr>
            <w:tcW w:w="2060" w:type="dxa"/>
            <w:vAlign w:val="bottom"/>
          </w:tcPr>
          <w:p>
            <w:pPr>
              <w:ind w:left="20"/>
              <w:spacing w:after="0"/>
              <w:rPr>
                <w:sz w:val="20"/>
                <w:szCs w:val="20"/>
                <w:color w:val="auto"/>
              </w:rPr>
            </w:pPr>
            <w:r>
              <w:rPr>
                <w:rFonts w:ascii="Arial" w:cs="Arial" w:eastAsia="Arial" w:hAnsi="Arial"/>
                <w:sz w:val="18"/>
                <w:szCs w:val="18"/>
                <w:color w:val="auto"/>
              </w:rPr>
              <w:t>$508,534</w:t>
            </w:r>
          </w:p>
        </w:tc>
        <w:tc>
          <w:tcPr>
            <w:tcW w:w="10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$672,472</w:t>
            </w:r>
          </w:p>
        </w:tc>
        <w:tc>
          <w:tcPr>
            <w:tcW w:w="100" w:type="dxa"/>
            <w:vAlign w:val="bottom"/>
          </w:tcPr>
          <w:p>
            <w:pPr>
              <w:spacing w:after="0"/>
              <w:rPr>
                <w:sz w:val="19"/>
                <w:szCs w:val="19"/>
                <w:color w:val="auto"/>
              </w:rPr>
            </w:pPr>
          </w:p>
        </w:tc>
        <w:tc>
          <w:tcPr>
            <w:tcW w:w="1460" w:type="dxa"/>
            <w:vAlign w:val="bottom"/>
          </w:tcPr>
          <w:p>
            <w:pPr>
              <w:ind w:left="20"/>
              <w:spacing w:after="0"/>
              <w:rPr>
                <w:sz w:val="20"/>
                <w:szCs w:val="20"/>
                <w:color w:val="auto"/>
              </w:rPr>
            </w:pPr>
            <w:r>
              <w:rPr>
                <w:rFonts w:ascii="Arial" w:cs="Arial" w:eastAsia="Arial" w:hAnsi="Arial"/>
                <w:sz w:val="18"/>
                <w:szCs w:val="18"/>
                <w:color w:val="auto"/>
              </w:rPr>
              <w:t>$207,745</w:t>
            </w:r>
          </w:p>
        </w:tc>
        <w:tc>
          <w:tcPr>
            <w:tcW w:w="10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$89,157</w:t>
            </w:r>
          </w:p>
        </w:tc>
        <w:tc>
          <w:tcPr>
            <w:tcW w:w="8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$402,609</w:t>
            </w: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2-5 - 1.5%</w:t>
            </w: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2-5 -</w:t>
            </w: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0"/>
              </w:rPr>
              <w:t>Escalator</w:t>
            </w:r>
          </w:p>
        </w:tc>
        <w:tc>
          <w:tcPr>
            <w:tcW w:w="1000" w:type="dxa"/>
            <w:vAlign w:val="bottom"/>
            <w:shd w:val="clear" w:color="auto" w:fill="CCEEFF"/>
          </w:tcPr>
          <w:p>
            <w:pPr>
              <w:jc w:val="right"/>
              <w:ind w:right="782"/>
              <w:spacing w:after="0"/>
              <w:rPr>
                <w:sz w:val="20"/>
                <w:szCs w:val="20"/>
                <w:color w:val="auto"/>
              </w:rPr>
            </w:pPr>
            <w:r>
              <w:rPr>
                <w:rFonts w:ascii="Arial" w:cs="Arial" w:eastAsia="Arial" w:hAnsi="Arial"/>
                <w:sz w:val="12"/>
                <w:szCs w:val="12"/>
                <w:i w:val="1"/>
                <w:iCs w:val="1"/>
                <w:color w:val="auto"/>
                <w:w w:val="95"/>
              </w:rPr>
              <w:t>(4)</w:t>
            </w:r>
          </w:p>
        </w:tc>
        <w:tc>
          <w:tcPr>
            <w:tcW w:w="10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years 6-15 -</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years 2-5 - 1.5%</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&gt; 2.0% / Change in</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20" w:type="dxa"/>
            <w:vAlign w:val="bottom"/>
            <w:vMerge w:val="continue"/>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Consumer price index</w:t>
            </w:r>
          </w:p>
        </w:tc>
        <w:tc>
          <w:tcPr>
            <w:tcW w:w="216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Lease years 6-end of term -</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CPI</w:t>
            </w:r>
          </w:p>
        </w:tc>
        <w:tc>
          <w:tcPr>
            <w:tcW w:w="3540" w:type="dxa"/>
            <w:vAlign w:val="bottom"/>
            <w:gridSpan w:val="3"/>
            <w:shd w:val="clear" w:color="auto" w:fill="CCEEFF"/>
          </w:tcPr>
          <w:p>
            <w:pPr>
              <w:ind w:left="20"/>
              <w:spacing w:after="0" w:line="95" w:lineRule="exact"/>
              <w:rPr>
                <w:sz w:val="20"/>
                <w:szCs w:val="20"/>
                <w:color w:val="auto"/>
              </w:rPr>
            </w:pPr>
            <w:r>
              <w:rPr>
                <w:rFonts w:ascii="Arial" w:cs="Arial" w:eastAsia="Arial" w:hAnsi="Arial"/>
                <w:sz w:val="10"/>
                <w:szCs w:val="10"/>
                <w:color w:val="auto"/>
              </w:rPr>
              <w:t>Lease years 6-15 -   &gt; 2.0% / change in CPI</w:t>
            </w:r>
          </w:p>
        </w:tc>
        <w:tc>
          <w:tcPr>
            <w:tcW w:w="0" w:type="dxa"/>
            <w:vAlign w:val="bottom"/>
          </w:tcPr>
          <w:p>
            <w:pPr>
              <w:spacing w:after="0"/>
              <w:rPr>
                <w:sz w:val="1"/>
                <w:szCs w:val="1"/>
                <w:color w:val="auto"/>
              </w:rPr>
            </w:pPr>
          </w:p>
        </w:tc>
      </w:tr>
      <w:tr>
        <w:trPr>
          <w:trHeight w:val="136"/>
        </w:trPr>
        <w:tc>
          <w:tcPr>
            <w:tcW w:w="7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(“CPI”) subject to 2.0%</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CPI subject to 2.0% floor</w:t>
            </w:r>
          </w:p>
        </w:tc>
        <w:tc>
          <w:tcPr>
            <w:tcW w:w="1560" w:type="dxa"/>
            <w:vAlign w:val="bottom"/>
            <w:gridSpan w:val="2"/>
            <w:vMerge w:val="continue"/>
            <w:shd w:val="clear" w:color="auto" w:fill="CCEEFF"/>
          </w:tcPr>
          <w:p>
            <w:pPr>
              <w:spacing w:after="0"/>
              <w:rPr>
                <w:sz w:val="11"/>
                <w:szCs w:val="11"/>
                <w:color w:val="auto"/>
              </w:rPr>
            </w:pPr>
          </w:p>
        </w:tc>
        <w:tc>
          <w:tcPr>
            <w:tcW w:w="15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&gt; 2.0% floor /</w:t>
            </w:r>
          </w:p>
        </w:tc>
        <w:tc>
          <w:tcPr>
            <w:tcW w:w="1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gridSpan w:val="2"/>
            <w:vMerge w:val="continue"/>
            <w:shd w:val="clear" w:color="auto" w:fill="CCEEFF"/>
          </w:tcPr>
          <w:p>
            <w:pPr>
              <w:spacing w:after="0"/>
              <w:rPr>
                <w:sz w:val="3"/>
                <w:szCs w:val="3"/>
                <w:color w:val="auto"/>
              </w:rPr>
            </w:pPr>
          </w:p>
        </w:tc>
        <w:tc>
          <w:tcPr>
            <w:tcW w:w="2160" w:type="dxa"/>
            <w:vAlign w:val="bottom"/>
            <w:gridSpan w:val="2"/>
            <w:vMerge w:val="continue"/>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60" w:type="dxa"/>
            <w:vAlign w:val="bottom"/>
            <w:gridSpan w:val="2"/>
            <w:vMerge w:val="continue"/>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floor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CPI</w:t>
            </w: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EBITDAR to Rent</w:t>
            </w:r>
          </w:p>
        </w:tc>
        <w:tc>
          <w:tcPr>
            <w:tcW w:w="2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1.2x commencing lease</w:t>
            </w:r>
          </w:p>
        </w:tc>
        <w:tc>
          <w:tcPr>
            <w:tcW w:w="2160" w:type="dxa"/>
            <w:vAlign w:val="bottom"/>
            <w:gridSpan w:val="2"/>
            <w:vMerge w:val="restart"/>
          </w:tcPr>
          <w:p>
            <w:pPr>
              <w:ind w:left="20"/>
              <w:spacing w:after="0"/>
              <w:rPr>
                <w:sz w:val="20"/>
                <w:szCs w:val="20"/>
                <w:color w:val="auto"/>
              </w:rPr>
            </w:pPr>
            <w:r>
              <w:rPr>
                <w:rFonts w:ascii="Arial" w:cs="Arial" w:eastAsia="Arial" w:hAnsi="Arial"/>
                <w:sz w:val="18"/>
                <w:szCs w:val="18"/>
                <w:color w:val="auto"/>
              </w:rPr>
              <w:t>None</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1.7x commencing</w:t>
            </w: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1.6x commencing</w:t>
            </w:r>
          </w:p>
        </w:tc>
        <w:tc>
          <w:tcPr>
            <w:tcW w:w="1980" w:type="dxa"/>
            <w:vAlign w:val="bottom"/>
            <w:vMerge w:val="restart"/>
          </w:tcPr>
          <w:p>
            <w:pPr>
              <w:ind w:lef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35"/>
        </w:trPr>
        <w:tc>
          <w:tcPr>
            <w:tcW w:w="1820" w:type="dxa"/>
            <w:vAlign w:val="bottom"/>
            <w:gridSpan w:val="3"/>
            <w:vMerge w:val="restart"/>
          </w:tcPr>
          <w:p>
            <w:pPr>
              <w:ind w:left="20"/>
              <w:spacing w:after="0"/>
              <w:rPr>
                <w:sz w:val="20"/>
                <w:szCs w:val="20"/>
                <w:color w:val="auto"/>
              </w:rPr>
            </w:pPr>
            <w:r>
              <w:rPr>
                <w:rFonts w:ascii="Arial" w:cs="Arial" w:eastAsia="Arial" w:hAnsi="Arial"/>
                <w:sz w:val="18"/>
                <w:szCs w:val="18"/>
                <w:color w:val="auto"/>
              </w:rPr>
              <w:t>Ratio floor</w:t>
            </w:r>
          </w:p>
        </w:tc>
        <w:tc>
          <w:tcPr>
            <w:tcW w:w="2160" w:type="dxa"/>
            <w:vAlign w:val="bottom"/>
            <w:gridSpan w:val="2"/>
            <w:vMerge w:val="restart"/>
          </w:tcPr>
          <w:p>
            <w:pPr>
              <w:ind w:left="20"/>
              <w:spacing w:after="0"/>
              <w:rPr>
                <w:sz w:val="20"/>
                <w:szCs w:val="20"/>
                <w:color w:val="auto"/>
              </w:rPr>
            </w:pPr>
            <w:r>
              <w:rPr>
                <w:rFonts w:ascii="Arial" w:cs="Arial" w:eastAsia="Arial" w:hAnsi="Arial"/>
                <w:sz w:val="18"/>
                <w:szCs w:val="18"/>
                <w:color w:val="auto"/>
              </w:rPr>
              <w:t>year 8</w:t>
            </w:r>
          </w:p>
        </w:tc>
        <w:tc>
          <w:tcPr>
            <w:tcW w:w="2160" w:type="dxa"/>
            <w:vAlign w:val="bottom"/>
            <w:gridSpan w:val="2"/>
            <w:vMerge w:val="continue"/>
          </w:tcPr>
          <w:p>
            <w:pPr>
              <w:spacing w:after="0"/>
              <w:rPr>
                <w:sz w:val="11"/>
                <w:szCs w:val="11"/>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lease year 8</w:t>
            </w: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color w:val="auto"/>
              </w:rPr>
              <w:t>lease year 6</w:t>
            </w: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20" w:type="dxa"/>
            <w:vAlign w:val="bottom"/>
            <w:gridSpan w:val="3"/>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w:t>
            </w:r>
          </w:p>
        </w:tc>
        <w:tc>
          <w:tcPr>
            <w:tcW w:w="2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w w:val="99"/>
              </w:rPr>
              <w:t xml:space="preserve">Years </w:t>
            </w:r>
            <w:r>
              <w:rPr>
                <w:rFonts w:ascii="Arial" w:cs="Arial" w:eastAsia="Arial" w:hAnsi="Arial"/>
                <w:sz w:val="18"/>
                <w:szCs w:val="18"/>
                <w:color w:val="auto"/>
                <w:w w:val="99"/>
              </w:rPr>
              <w:t>8</w:t>
            </w:r>
            <w:r>
              <w:rPr>
                <w:rFonts w:ascii="Arial" w:cs="Arial" w:eastAsia="Arial" w:hAnsi="Arial"/>
                <w:sz w:val="18"/>
                <w:szCs w:val="18"/>
                <w:b w:val="1"/>
                <w:bCs w:val="1"/>
                <w:color w:val="auto"/>
                <w:w w:val="99"/>
              </w:rPr>
              <w:t xml:space="preserve"> &amp; 11</w:t>
            </w:r>
            <w:r>
              <w:rPr>
                <w:rFonts w:ascii="Arial" w:cs="Arial" w:eastAsia="Arial" w:hAnsi="Arial"/>
                <w:sz w:val="18"/>
                <w:szCs w:val="18"/>
                <w:color w:val="auto"/>
                <w:w w:val="99"/>
              </w:rPr>
              <w:t>: 80%</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Year 8 &amp; 11</w:t>
            </w:r>
            <w:r>
              <w:rPr>
                <w:rFonts w:ascii="Arial" w:cs="Arial" w:eastAsia="Arial" w:hAnsi="Arial"/>
                <w:sz w:val="18"/>
                <w:szCs w:val="18"/>
                <w:color w:val="auto"/>
              </w:rPr>
              <w:t>: 80%</w:t>
            </w: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Years </w:t>
            </w:r>
            <w:r>
              <w:rPr>
                <w:rFonts w:ascii="Arial" w:cs="Arial" w:eastAsia="Arial" w:hAnsi="Arial"/>
                <w:sz w:val="18"/>
                <w:szCs w:val="18"/>
                <w:color w:val="auto"/>
              </w:rPr>
              <w:t>8</w:t>
            </w:r>
            <w:r>
              <w:rPr>
                <w:rFonts w:ascii="Arial" w:cs="Arial" w:eastAsia="Arial" w:hAnsi="Arial"/>
                <w:sz w:val="18"/>
                <w:szCs w:val="18"/>
                <w:b w:val="1"/>
                <w:bCs w:val="1"/>
                <w:color w:val="auto"/>
              </w:rPr>
              <w:t>, 11 &amp; 16</w:t>
            </w:r>
            <w:r>
              <w:rPr>
                <w:rFonts w:ascii="Arial" w:cs="Arial" w:eastAsia="Arial" w:hAnsi="Arial"/>
                <w:sz w:val="18"/>
                <w:szCs w:val="18"/>
                <w:color w:val="auto"/>
              </w:rPr>
              <w:t>: 80%</w:t>
            </w:r>
          </w:p>
        </w:tc>
        <w:tc>
          <w:tcPr>
            <w:tcW w:w="0" w:type="dxa"/>
            <w:vAlign w:val="bottom"/>
          </w:tcPr>
          <w:p>
            <w:pPr>
              <w:spacing w:after="0"/>
              <w:rPr>
                <w:sz w:val="1"/>
                <w:szCs w:val="1"/>
                <w:color w:val="auto"/>
              </w:rPr>
            </w:pPr>
          </w:p>
        </w:tc>
      </w:tr>
      <w:tr>
        <w:trPr>
          <w:trHeight w:val="81"/>
        </w:trPr>
        <w:tc>
          <w:tcPr>
            <w:tcW w:w="1820" w:type="dxa"/>
            <w:vAlign w:val="bottom"/>
            <w:gridSpan w:val="3"/>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Rent</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30% variable rent</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30% variable rent</w:t>
            </w:r>
          </w:p>
        </w:tc>
        <w:tc>
          <w:tcPr>
            <w:tcW w:w="15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20" w:type="dxa"/>
            <w:vAlign w:val="bottom"/>
            <w:gridSpan w:val="3"/>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5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base rent / 20%</w:t>
            </w:r>
          </w:p>
        </w:tc>
        <w:tc>
          <w:tcPr>
            <w:tcW w:w="15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base rent / 20%</w:t>
            </w:r>
          </w:p>
        </w:tc>
        <w:tc>
          <w:tcPr>
            <w:tcW w:w="198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base rent / 20% variable</w:t>
            </w:r>
          </w:p>
        </w:tc>
        <w:tc>
          <w:tcPr>
            <w:tcW w:w="0" w:type="dxa"/>
            <w:vAlign w:val="bottom"/>
          </w:tcPr>
          <w:p>
            <w:pPr>
              <w:spacing w:after="0"/>
              <w:rPr>
                <w:sz w:val="1"/>
                <w:szCs w:val="1"/>
                <w:color w:val="auto"/>
              </w:rPr>
            </w:pPr>
          </w:p>
        </w:tc>
      </w:tr>
      <w:tr>
        <w:trPr>
          <w:trHeight w:val="81"/>
        </w:trPr>
        <w:tc>
          <w:tcPr>
            <w:tcW w:w="1820" w:type="dxa"/>
            <w:vAlign w:val="bottom"/>
            <w:gridSpan w:val="3"/>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80% base rent /</w:t>
            </w:r>
          </w:p>
        </w:tc>
        <w:tc>
          <w:tcPr>
            <w:tcW w:w="216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Years 11 &amp; 16</w:t>
            </w:r>
            <w:r>
              <w:rPr>
                <w:rFonts w:ascii="Arial" w:cs="Arial" w:eastAsia="Arial" w:hAnsi="Arial"/>
                <w:sz w:val="18"/>
                <w:szCs w:val="18"/>
                <w:color w:val="auto"/>
              </w:rPr>
              <w:t>: 80% base</w:t>
            </w:r>
          </w:p>
        </w:tc>
        <w:tc>
          <w:tcPr>
            <w:tcW w:w="1560" w:type="dxa"/>
            <w:vAlign w:val="bottom"/>
            <w:gridSpan w:val="2"/>
            <w:vMerge w:val="continue"/>
            <w:shd w:val="clear" w:color="auto" w:fill="CCEEFF"/>
          </w:tcPr>
          <w:p>
            <w:pPr>
              <w:spacing w:after="0"/>
              <w:rPr>
                <w:sz w:val="7"/>
                <w:szCs w:val="7"/>
                <w:color w:val="auto"/>
              </w:rPr>
            </w:pPr>
          </w:p>
        </w:tc>
        <w:tc>
          <w:tcPr>
            <w:tcW w:w="1560" w:type="dxa"/>
            <w:vAlign w:val="bottom"/>
            <w:gridSpan w:val="2"/>
            <w:vMerge w:val="continue"/>
            <w:shd w:val="clear" w:color="auto" w:fill="CCEEFF"/>
          </w:tcPr>
          <w:p>
            <w:pPr>
              <w:spacing w:after="0"/>
              <w:rPr>
                <w:sz w:val="7"/>
                <w:szCs w:val="7"/>
                <w:color w:val="auto"/>
              </w:rPr>
            </w:pPr>
          </w:p>
        </w:tc>
        <w:tc>
          <w:tcPr>
            <w:tcW w:w="19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20" w:type="dxa"/>
            <w:vAlign w:val="bottom"/>
            <w:gridSpan w:val="3"/>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variable rent</w:t>
            </w:r>
          </w:p>
        </w:tc>
        <w:tc>
          <w:tcPr>
            <w:tcW w:w="1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variable rent</w:t>
            </w:r>
          </w:p>
        </w:tc>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136"/>
        </w:trPr>
        <w:tc>
          <w:tcPr>
            <w:tcW w:w="7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20% variable rent</w:t>
            </w:r>
          </w:p>
        </w:tc>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rent / 20% variable rent</w:t>
            </w:r>
          </w:p>
        </w:tc>
        <w:tc>
          <w:tcPr>
            <w:tcW w:w="1560" w:type="dxa"/>
            <w:vAlign w:val="bottom"/>
            <w:gridSpan w:val="2"/>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2160" w:type="dxa"/>
            <w:vAlign w:val="bottom"/>
            <w:gridSpan w:val="2"/>
            <w:vMerge w:val="continue"/>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0" w:right="160"/>
        <w:spacing w:after="0" w:line="196" w:lineRule="auto"/>
        <w:rPr>
          <w:sz w:val="20"/>
          <w:szCs w:val="20"/>
          <w:color w:val="auto"/>
        </w:rPr>
      </w:pPr>
      <w:r>
        <w:rPr>
          <w:rFonts w:ascii="Arial" w:cs="Arial" w:eastAsia="Arial" w:hAnsi="Arial"/>
          <w:sz w:val="16"/>
          <w:szCs w:val="16"/>
          <w:color w:val="auto"/>
        </w:rPr>
        <w:t>Variable Rent adjustment calculation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(5)</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160" w:type="dxa"/>
            <w:vAlign w:val="bottom"/>
            <w:gridSpan w:val="3"/>
            <w:vMerge w:val="restart"/>
          </w:tcPr>
          <w:p>
            <w:pPr>
              <w:spacing w:after="0"/>
              <w:rPr>
                <w:sz w:val="20"/>
                <w:szCs w:val="20"/>
                <w:color w:val="auto"/>
              </w:rPr>
            </w:pPr>
            <w:r>
              <w:rPr>
                <w:rFonts w:ascii="Arial" w:cs="Arial" w:eastAsia="Arial" w:hAnsi="Arial"/>
                <w:sz w:val="18"/>
                <w:szCs w:val="18"/>
                <w:color w:val="auto"/>
              </w:rPr>
              <w:t>4% of revenue</w:t>
            </w:r>
          </w:p>
        </w:tc>
        <w:tc>
          <w:tcPr>
            <w:tcW w:w="2160" w:type="dxa"/>
            <w:vAlign w:val="bottom"/>
            <w:gridSpan w:val="3"/>
          </w:tcPr>
          <w:p>
            <w:pPr>
              <w:spacing w:after="0" w:line="189" w:lineRule="exact"/>
              <w:rPr>
                <w:sz w:val="20"/>
                <w:szCs w:val="20"/>
                <w:color w:val="auto"/>
              </w:rPr>
            </w:pPr>
            <w:r>
              <w:rPr>
                <w:rFonts w:ascii="Arial" w:cs="Arial" w:eastAsia="Arial" w:hAnsi="Arial"/>
                <w:sz w:val="18"/>
                <w:szCs w:val="18"/>
                <w:color w:val="auto"/>
              </w:rPr>
              <w:t>4% of revenue</w:t>
            </w:r>
          </w:p>
        </w:tc>
        <w:tc>
          <w:tcPr>
            <w:tcW w:w="1420" w:type="dxa"/>
            <w:vAlign w:val="bottom"/>
            <w:gridSpan w:val="3"/>
          </w:tcPr>
          <w:p>
            <w:pPr>
              <w:spacing w:after="0" w:line="189" w:lineRule="exact"/>
              <w:rPr>
                <w:sz w:val="20"/>
                <w:szCs w:val="20"/>
                <w:color w:val="auto"/>
              </w:rPr>
            </w:pPr>
            <w:r>
              <w:rPr>
                <w:rFonts w:ascii="Arial" w:cs="Arial" w:eastAsia="Arial" w:hAnsi="Arial"/>
                <w:sz w:val="18"/>
                <w:szCs w:val="18"/>
                <w:color w:val="auto"/>
              </w:rPr>
              <w:t>4% of revenue</w:t>
            </w:r>
          </w:p>
        </w:tc>
        <w:tc>
          <w:tcPr>
            <w:tcW w:w="0" w:type="dxa"/>
            <w:vAlign w:val="bottom"/>
          </w:tcPr>
          <w:p>
            <w:pPr>
              <w:spacing w:after="0"/>
              <w:rPr>
                <w:sz w:val="1"/>
                <w:szCs w:val="1"/>
                <w:color w:val="auto"/>
              </w:rPr>
            </w:pPr>
          </w:p>
        </w:tc>
      </w:tr>
      <w:tr>
        <w:trPr>
          <w:trHeight w:val="155"/>
        </w:trPr>
        <w:tc>
          <w:tcPr>
            <w:tcW w:w="2160" w:type="dxa"/>
            <w:vAlign w:val="bottom"/>
            <w:gridSpan w:val="3"/>
            <w:vMerge w:val="continue"/>
          </w:tcPr>
          <w:p>
            <w:pPr>
              <w:spacing w:after="0"/>
              <w:rPr>
                <w:sz w:val="13"/>
                <w:szCs w:val="13"/>
                <w:color w:val="auto"/>
              </w:rPr>
            </w:pPr>
          </w:p>
        </w:tc>
        <w:tc>
          <w:tcPr>
            <w:tcW w:w="104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Borders>
              <w:bottom w:val="single" w:sz="8" w:color="auto"/>
            </w:tcBorders>
          </w:tcPr>
          <w:p>
            <w:pPr>
              <w:spacing w:after="0" w:line="155" w:lineRule="exact"/>
              <w:rPr>
                <w:sz w:val="20"/>
                <w:szCs w:val="20"/>
                <w:color w:val="auto"/>
              </w:rPr>
            </w:pPr>
            <w:r>
              <w:rPr>
                <w:rFonts w:ascii="Arial" w:cs="Arial" w:eastAsia="Arial" w:hAnsi="Arial"/>
                <w:sz w:val="17"/>
                <w:szCs w:val="17"/>
                <w:color w:val="auto"/>
                <w:w w:val="70"/>
              </w:rPr>
              <w:t>increase/decrease:</w:t>
            </w:r>
          </w:p>
        </w:tc>
        <w:tc>
          <w:tcPr>
            <w:tcW w:w="260" w:type="dxa"/>
            <w:vAlign w:val="bottom"/>
            <w:tcBorders>
              <w:bottom w:val="single" w:sz="8" w:color="auto"/>
            </w:tcBorders>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216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 years 5-7</w:t>
            </w:r>
          </w:p>
        </w:tc>
        <w:tc>
          <w:tcPr>
            <w:tcW w:w="130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w:t>
            </w: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60" w:type="dxa"/>
            <w:vAlign w:val="bottom"/>
            <w:gridSpan w:val="3"/>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w:t>
            </w:r>
          </w:p>
        </w:tc>
        <w:tc>
          <w:tcPr>
            <w:tcW w:w="2160" w:type="dxa"/>
            <w:vAlign w:val="bottom"/>
            <w:gridSpan w:val="3"/>
          </w:tcPr>
          <w:p>
            <w:pPr>
              <w:spacing w:after="0" w:line="142" w:lineRule="exact"/>
              <w:rPr>
                <w:sz w:val="20"/>
                <w:szCs w:val="20"/>
                <w:color w:val="auto"/>
              </w:rPr>
            </w:pPr>
            <w:r>
              <w:rPr>
                <w:rFonts w:ascii="Arial" w:cs="Arial" w:eastAsia="Arial" w:hAnsi="Arial"/>
                <w:sz w:val="16"/>
                <w:szCs w:val="16"/>
                <w:color w:val="auto"/>
              </w:rPr>
              <w:t>less avg. of years 0-2</w:t>
            </w:r>
          </w:p>
        </w:tc>
        <w:tc>
          <w:tcPr>
            <w:tcW w:w="1420" w:type="dxa"/>
            <w:vAlign w:val="bottom"/>
            <w:gridSpan w:val="3"/>
          </w:tcPr>
          <w:p>
            <w:pPr>
              <w:spacing w:after="0" w:line="142" w:lineRule="exact"/>
              <w:rPr>
                <w:sz w:val="20"/>
                <w:szCs w:val="20"/>
                <w:color w:val="auto"/>
              </w:rPr>
            </w:pPr>
            <w:r>
              <w:rPr>
                <w:rFonts w:ascii="Arial" w:cs="Arial" w:eastAsia="Arial" w:hAnsi="Arial"/>
                <w:sz w:val="16"/>
                <w:szCs w:val="16"/>
                <w:color w:val="auto"/>
              </w:rPr>
              <w:t>years 5-7 less avg.</w:t>
            </w:r>
          </w:p>
        </w:tc>
        <w:tc>
          <w:tcPr>
            <w:tcW w:w="0" w:type="dxa"/>
            <w:vAlign w:val="bottom"/>
          </w:tcPr>
          <w:p>
            <w:pPr>
              <w:spacing w:after="0"/>
              <w:rPr>
                <w:sz w:val="1"/>
                <w:szCs w:val="1"/>
                <w:color w:val="auto"/>
              </w:rPr>
            </w:pPr>
          </w:p>
        </w:tc>
      </w:tr>
      <w:tr>
        <w:trPr>
          <w:trHeight w:val="175"/>
        </w:trPr>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less avg. of years 0-2</w:t>
            </w:r>
          </w:p>
        </w:tc>
        <w:tc>
          <w:tcPr>
            <w:tcW w:w="2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7"/>
              </w:rPr>
              <w:t>Year 11</w:t>
            </w:r>
            <w:r>
              <w:rPr>
                <w:rFonts w:ascii="Arial" w:cs="Arial" w:eastAsia="Arial" w:hAnsi="Arial"/>
                <w:sz w:val="18"/>
                <w:szCs w:val="18"/>
                <w:color w:val="auto"/>
                <w:w w:val="97"/>
              </w:rPr>
              <w:t>: Avg. of years 8-10</w:t>
            </w:r>
          </w:p>
        </w:tc>
        <w:tc>
          <w:tcPr>
            <w:tcW w:w="1420" w:type="dxa"/>
            <w:vAlign w:val="bottom"/>
            <w:gridSpan w:val="3"/>
          </w:tcPr>
          <w:p>
            <w:pPr>
              <w:spacing w:after="0" w:line="176" w:lineRule="exact"/>
              <w:rPr>
                <w:sz w:val="20"/>
                <w:szCs w:val="20"/>
                <w:color w:val="auto"/>
              </w:rPr>
            </w:pPr>
            <w:r>
              <w:rPr>
                <w:rFonts w:ascii="Arial" w:cs="Arial" w:eastAsia="Arial" w:hAnsi="Arial"/>
                <w:sz w:val="18"/>
                <w:szCs w:val="18"/>
                <w:color w:val="auto"/>
              </w:rPr>
              <w:t>of years 0-2</w:t>
            </w:r>
          </w:p>
        </w:tc>
        <w:tc>
          <w:tcPr>
            <w:tcW w:w="0" w:type="dxa"/>
            <w:vAlign w:val="bottom"/>
          </w:tcPr>
          <w:p>
            <w:pPr>
              <w:spacing w:after="0"/>
              <w:rPr>
                <w:sz w:val="1"/>
                <w:szCs w:val="1"/>
                <w:color w:val="auto"/>
              </w:rPr>
            </w:pPr>
          </w:p>
        </w:tc>
      </w:tr>
      <w:tr>
        <w:trPr>
          <w:trHeight w:val="175"/>
        </w:trPr>
        <w:tc>
          <w:tcPr>
            <w:tcW w:w="2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7"/>
              </w:rPr>
              <w:t>Year 11</w:t>
            </w:r>
            <w:r>
              <w:rPr>
                <w:rFonts w:ascii="Arial" w:cs="Arial" w:eastAsia="Arial" w:hAnsi="Arial"/>
                <w:sz w:val="18"/>
                <w:szCs w:val="18"/>
                <w:color w:val="auto"/>
                <w:w w:val="97"/>
              </w:rPr>
              <w:t>: Avg. of years 8-10</w:t>
            </w:r>
          </w:p>
        </w:tc>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less avg. of years 5-7</w:t>
            </w:r>
          </w:p>
        </w:tc>
        <w:tc>
          <w:tcPr>
            <w:tcW w:w="14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0" w:type="dxa"/>
            <w:vAlign w:val="bottom"/>
          </w:tcPr>
          <w:p>
            <w:pPr>
              <w:spacing w:after="0"/>
              <w:rPr>
                <w:sz w:val="1"/>
                <w:szCs w:val="1"/>
                <w:color w:val="auto"/>
              </w:rPr>
            </w:pPr>
          </w:p>
        </w:tc>
      </w:tr>
      <w:tr>
        <w:trPr>
          <w:trHeight w:val="176"/>
        </w:trPr>
        <w:tc>
          <w:tcPr>
            <w:tcW w:w="2160" w:type="dxa"/>
            <w:vAlign w:val="bottom"/>
            <w:gridSpan w:val="3"/>
          </w:tcPr>
          <w:p>
            <w:pPr>
              <w:spacing w:after="0" w:line="176" w:lineRule="exact"/>
              <w:rPr>
                <w:sz w:val="20"/>
                <w:szCs w:val="20"/>
                <w:color w:val="auto"/>
              </w:rPr>
            </w:pPr>
            <w:r>
              <w:rPr>
                <w:rFonts w:ascii="Arial" w:cs="Arial" w:eastAsia="Arial" w:hAnsi="Arial"/>
                <w:sz w:val="18"/>
                <w:szCs w:val="18"/>
                <w:color w:val="auto"/>
              </w:rPr>
              <w:t>less avg. of years 5-7</w:t>
            </w:r>
          </w:p>
        </w:tc>
        <w:tc>
          <w:tcPr>
            <w:tcW w:w="21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16</w:t>
            </w:r>
            <w:r>
              <w:rPr>
                <w:rFonts w:ascii="Arial" w:cs="Arial" w:eastAsia="Arial" w:hAnsi="Arial"/>
                <w:sz w:val="18"/>
                <w:szCs w:val="18"/>
                <w:color w:val="auto"/>
              </w:rPr>
              <w:t>: Avg. of years 13-</w:t>
            </w:r>
          </w:p>
        </w:tc>
        <w:tc>
          <w:tcPr>
            <w:tcW w:w="1420" w:type="dxa"/>
            <w:vAlign w:val="bottom"/>
            <w:gridSpan w:val="3"/>
          </w:tcPr>
          <w:p>
            <w:pPr>
              <w:spacing w:after="0" w:line="176" w:lineRule="exact"/>
              <w:rPr>
                <w:sz w:val="20"/>
                <w:szCs w:val="20"/>
                <w:color w:val="auto"/>
              </w:rPr>
            </w:pPr>
            <w:r>
              <w:rPr>
                <w:rFonts w:ascii="Arial" w:cs="Arial" w:eastAsia="Arial" w:hAnsi="Arial"/>
                <w:sz w:val="18"/>
                <w:szCs w:val="18"/>
                <w:color w:val="auto"/>
                <w:w w:val="86"/>
              </w:rPr>
              <w:t>years 8-10 less avg.</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15 less avg. of years 8-10</w:t>
            </w:r>
          </w:p>
        </w:tc>
        <w:tc>
          <w:tcPr>
            <w:tcW w:w="1420" w:type="dxa"/>
            <w:vAlign w:val="bottom"/>
            <w:gridSpan w:val="3"/>
          </w:tcPr>
          <w:p>
            <w:pPr>
              <w:spacing w:after="0"/>
              <w:rPr>
                <w:sz w:val="20"/>
                <w:szCs w:val="20"/>
                <w:color w:val="auto"/>
              </w:rPr>
            </w:pPr>
            <w:r>
              <w:rPr>
                <w:rFonts w:ascii="Arial" w:cs="Arial" w:eastAsia="Arial" w:hAnsi="Arial"/>
                <w:sz w:val="18"/>
                <w:szCs w:val="18"/>
                <w:color w:val="auto"/>
              </w:rPr>
              <w:t>of years 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60" w:type="dxa"/>
            <w:vAlign w:val="bottom"/>
            <w:gridSpan w:val="3"/>
          </w:tcPr>
          <w:p>
            <w:pPr>
              <w:spacing w:after="0" w:line="189" w:lineRule="exact"/>
              <w:rPr>
                <w:sz w:val="20"/>
                <w:szCs w:val="20"/>
                <w:color w:val="auto"/>
              </w:rPr>
            </w:pPr>
            <w:r>
              <w:rPr>
                <w:rFonts w:ascii="Arial" w:cs="Arial" w:eastAsia="Arial" w:hAnsi="Arial"/>
                <w:sz w:val="18"/>
                <w:szCs w:val="18"/>
                <w:color w:val="auto"/>
              </w:rPr>
              <w:t>4% of revenue</w:t>
            </w:r>
          </w:p>
        </w:tc>
        <w:tc>
          <w:tcPr>
            <w:tcW w:w="1940" w:type="dxa"/>
            <w:vAlign w:val="bottom"/>
            <w:gridSpan w:val="3"/>
          </w:tcPr>
          <w:p>
            <w:pPr>
              <w:spacing w:after="0" w:line="189" w:lineRule="exact"/>
              <w:rPr>
                <w:sz w:val="20"/>
                <w:szCs w:val="20"/>
                <w:color w:val="auto"/>
              </w:rPr>
            </w:pPr>
            <w:r>
              <w:rPr>
                <w:rFonts w:ascii="Arial" w:cs="Arial" w:eastAsia="Arial" w:hAnsi="Arial"/>
                <w:sz w:val="18"/>
                <w:szCs w:val="18"/>
                <w:color w:val="auto"/>
              </w:rPr>
              <w:t>4% of revenue</w:t>
            </w:r>
          </w:p>
        </w:tc>
      </w:tr>
      <w:tr>
        <w:trPr>
          <w:trHeight w:val="155"/>
        </w:trPr>
        <w:tc>
          <w:tcPr>
            <w:tcW w:w="10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7"/>
                <w:szCs w:val="17"/>
                <w:color w:val="auto"/>
                <w:w w:val="72"/>
              </w:rPr>
              <w:t>increase/decrease:</w:t>
            </w:r>
          </w:p>
        </w:tc>
        <w:tc>
          <w:tcPr>
            <w:tcW w:w="2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7"/>
                <w:szCs w:val="17"/>
                <w:color w:val="auto"/>
                <w:w w:val="72"/>
              </w:rPr>
              <w:t>increase/decrease:</w:t>
            </w:r>
          </w:p>
        </w:tc>
        <w:tc>
          <w:tcPr>
            <w:tcW w:w="26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r>
      <w:tr>
        <w:trPr>
          <w:trHeight w:val="142"/>
        </w:trPr>
        <w:tc>
          <w:tcPr>
            <w:tcW w:w="130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w:t>
            </w:r>
          </w:p>
        </w:tc>
        <w:tc>
          <w:tcPr>
            <w:tcW w:w="26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w:t>
            </w:r>
          </w:p>
        </w:tc>
      </w:tr>
      <w:tr>
        <w:trPr>
          <w:trHeight w:val="175"/>
        </w:trPr>
        <w:tc>
          <w:tcPr>
            <w:tcW w:w="1560" w:type="dxa"/>
            <w:vAlign w:val="bottom"/>
            <w:gridSpan w:val="3"/>
          </w:tcPr>
          <w:p>
            <w:pPr>
              <w:spacing w:after="0" w:line="176" w:lineRule="exact"/>
              <w:rPr>
                <w:sz w:val="20"/>
                <w:szCs w:val="20"/>
                <w:color w:val="auto"/>
              </w:rPr>
            </w:pPr>
            <w:r>
              <w:rPr>
                <w:rFonts w:ascii="Arial" w:cs="Arial" w:eastAsia="Arial" w:hAnsi="Arial"/>
                <w:sz w:val="18"/>
                <w:szCs w:val="18"/>
                <w:color w:val="auto"/>
              </w:rPr>
              <w:t>years 5-7 less avg.</w:t>
            </w:r>
          </w:p>
        </w:tc>
        <w:tc>
          <w:tcPr>
            <w:tcW w:w="1940" w:type="dxa"/>
            <w:vAlign w:val="bottom"/>
            <w:gridSpan w:val="3"/>
          </w:tcPr>
          <w:p>
            <w:pPr>
              <w:spacing w:after="0" w:line="176" w:lineRule="exact"/>
              <w:rPr>
                <w:sz w:val="20"/>
                <w:szCs w:val="20"/>
                <w:color w:val="auto"/>
              </w:rPr>
            </w:pPr>
            <w:r>
              <w:rPr>
                <w:rFonts w:ascii="Arial" w:cs="Arial" w:eastAsia="Arial" w:hAnsi="Arial"/>
                <w:sz w:val="18"/>
                <w:szCs w:val="18"/>
                <w:color w:val="auto"/>
              </w:rPr>
              <w:t>less avg. of years 0-2</w:t>
            </w:r>
          </w:p>
        </w:tc>
      </w:tr>
      <w:tr>
        <w:trPr>
          <w:trHeight w:val="175"/>
        </w:trPr>
        <w:tc>
          <w:tcPr>
            <w:tcW w:w="1560" w:type="dxa"/>
            <w:vAlign w:val="bottom"/>
            <w:gridSpan w:val="3"/>
          </w:tcPr>
          <w:p>
            <w:pPr>
              <w:spacing w:after="0" w:line="176" w:lineRule="exact"/>
              <w:rPr>
                <w:sz w:val="20"/>
                <w:szCs w:val="20"/>
                <w:color w:val="auto"/>
              </w:rPr>
            </w:pPr>
            <w:r>
              <w:rPr>
                <w:rFonts w:ascii="Arial" w:cs="Arial" w:eastAsia="Arial" w:hAnsi="Arial"/>
                <w:sz w:val="18"/>
                <w:szCs w:val="18"/>
                <w:color w:val="auto"/>
              </w:rPr>
              <w:t>of years 0-2</w:t>
            </w:r>
          </w:p>
        </w:tc>
        <w:tc>
          <w:tcPr>
            <w:tcW w:w="1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5"/>
              </w:rPr>
              <w:t>Year 11</w:t>
            </w:r>
            <w:r>
              <w:rPr>
                <w:rFonts w:ascii="Arial" w:cs="Arial" w:eastAsia="Arial" w:hAnsi="Arial"/>
                <w:sz w:val="18"/>
                <w:szCs w:val="18"/>
                <w:color w:val="auto"/>
                <w:w w:val="95"/>
              </w:rPr>
              <w:t>: Avg. of years 8-</w:t>
            </w:r>
          </w:p>
        </w:tc>
      </w:tr>
      <w:tr>
        <w:trPr>
          <w:trHeight w:val="175"/>
        </w:trPr>
        <w:tc>
          <w:tcPr>
            <w:tcW w:w="15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1940" w:type="dxa"/>
            <w:vAlign w:val="bottom"/>
            <w:gridSpan w:val="3"/>
          </w:tcPr>
          <w:p>
            <w:pPr>
              <w:spacing w:after="0" w:line="176" w:lineRule="exact"/>
              <w:rPr>
                <w:sz w:val="20"/>
                <w:szCs w:val="20"/>
                <w:color w:val="auto"/>
              </w:rPr>
            </w:pPr>
            <w:r>
              <w:rPr>
                <w:rFonts w:ascii="Arial" w:cs="Arial" w:eastAsia="Arial" w:hAnsi="Arial"/>
                <w:sz w:val="18"/>
                <w:szCs w:val="18"/>
                <w:color w:val="auto"/>
                <w:w w:val="97"/>
              </w:rPr>
              <w:t>10 less avg. of years 5-7</w:t>
            </w:r>
          </w:p>
        </w:tc>
      </w:tr>
      <w:tr>
        <w:trPr>
          <w:trHeight w:val="176"/>
        </w:trPr>
        <w:tc>
          <w:tcPr>
            <w:tcW w:w="1560" w:type="dxa"/>
            <w:vAlign w:val="bottom"/>
            <w:gridSpan w:val="3"/>
          </w:tcPr>
          <w:p>
            <w:pPr>
              <w:spacing w:after="0" w:line="176" w:lineRule="exact"/>
              <w:rPr>
                <w:sz w:val="20"/>
                <w:szCs w:val="20"/>
                <w:color w:val="auto"/>
              </w:rPr>
            </w:pPr>
            <w:r>
              <w:rPr>
                <w:rFonts w:ascii="Arial" w:cs="Arial" w:eastAsia="Arial" w:hAnsi="Arial"/>
                <w:sz w:val="18"/>
                <w:szCs w:val="18"/>
                <w:color w:val="auto"/>
                <w:w w:val="95"/>
              </w:rPr>
              <w:t>years 8-10 less avg.</w:t>
            </w:r>
          </w:p>
        </w:tc>
        <w:tc>
          <w:tcPr>
            <w:tcW w:w="1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1"/>
              </w:rPr>
              <w:t>Year 16</w:t>
            </w:r>
            <w:r>
              <w:rPr>
                <w:rFonts w:ascii="Arial" w:cs="Arial" w:eastAsia="Arial" w:hAnsi="Arial"/>
                <w:sz w:val="18"/>
                <w:szCs w:val="18"/>
                <w:color w:val="auto"/>
                <w:w w:val="91"/>
              </w:rPr>
              <w:t>: Avg. of years 13-</w:t>
            </w:r>
          </w:p>
        </w:tc>
      </w:tr>
      <w:tr>
        <w:trPr>
          <w:trHeight w:val="230"/>
        </w:trPr>
        <w:tc>
          <w:tcPr>
            <w:tcW w:w="1560" w:type="dxa"/>
            <w:vAlign w:val="bottom"/>
            <w:gridSpan w:val="3"/>
          </w:tcPr>
          <w:p>
            <w:pPr>
              <w:spacing w:after="0"/>
              <w:rPr>
                <w:sz w:val="20"/>
                <w:szCs w:val="20"/>
                <w:color w:val="auto"/>
              </w:rPr>
            </w:pPr>
            <w:r>
              <w:rPr>
                <w:rFonts w:ascii="Arial" w:cs="Arial" w:eastAsia="Arial" w:hAnsi="Arial"/>
                <w:sz w:val="18"/>
                <w:szCs w:val="18"/>
                <w:color w:val="auto"/>
              </w:rPr>
              <w:t>of years 5-7</w:t>
            </w:r>
          </w:p>
        </w:tc>
        <w:tc>
          <w:tcPr>
            <w:tcW w:w="1940" w:type="dxa"/>
            <w:vAlign w:val="bottom"/>
            <w:gridSpan w:val="3"/>
          </w:tcPr>
          <w:p>
            <w:pPr>
              <w:spacing w:after="0"/>
              <w:rPr>
                <w:sz w:val="20"/>
                <w:szCs w:val="20"/>
                <w:color w:val="auto"/>
              </w:rPr>
            </w:pPr>
            <w:r>
              <w:rPr>
                <w:rFonts w:ascii="Arial" w:cs="Arial" w:eastAsia="Arial" w:hAnsi="Arial"/>
                <w:sz w:val="18"/>
                <w:szCs w:val="18"/>
                <w:color w:val="auto"/>
                <w:w w:val="93"/>
              </w:rPr>
              <w:t>15 less avg. of years 8-10</w:t>
            </w:r>
          </w:p>
        </w:tc>
      </w:tr>
    </w:tbl>
    <w:p>
      <w:pPr>
        <w:spacing w:after="0" w:line="262" w:lineRule="exact"/>
        <w:rPr>
          <w:sz w:val="20"/>
          <w:szCs w:val="20"/>
          <w:color w:val="auto"/>
        </w:rPr>
      </w:pPr>
    </w:p>
    <w:p>
      <w:pPr>
        <w:sectPr>
          <w:pgSz w:w="11900" w:h="16838" w:orient="portrait"/>
          <w:cols w:equalWidth="0" w:num="3">
            <w:col w:w="1800" w:space="40"/>
            <w:col w:w="5740" w:space="140"/>
            <w:col w:w="3520"/>
          </w:cols>
          <w:pgMar w:left="320" w:top="179" w:right="339" w:bottom="1440" w:gutter="0" w:footer="0" w:header="0"/>
          <w:type w:val="continuous"/>
        </w:sectPr>
      </w:pPr>
    </w:p>
    <w:p>
      <w:pPr>
        <w:ind w:left="220" w:hanging="212"/>
        <w:spacing w:after="0"/>
        <w:tabs>
          <w:tab w:leader="none" w:pos="2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Upon the consummation of the Eldorado Transaction, the Caesars Lease Agreements were extended such that each lease has a full 15-year initial term.</w:t>
      </w:r>
    </w:p>
    <w:p>
      <w:pPr>
        <w:spacing w:after="0" w:line="1" w:lineRule="exact"/>
        <w:rPr>
          <w:rFonts w:ascii="Arial" w:cs="Arial" w:eastAsia="Arial" w:hAnsi="Arial"/>
          <w:sz w:val="14"/>
          <w:szCs w:val="14"/>
          <w:i w:val="1"/>
          <w:iCs w:val="1"/>
          <w:color w:val="auto"/>
        </w:rPr>
      </w:pPr>
    </w:p>
    <w:p>
      <w:pPr>
        <w:jc w:val="both"/>
        <w:ind w:firstLine="8"/>
        <w:spacing w:after="0" w:line="260" w:lineRule="auto"/>
        <w:tabs>
          <w:tab w:leader="none" w:pos="212" w:val="left"/>
        </w:tabs>
        <w:numPr>
          <w:ilvl w:val="0"/>
          <w:numId w:val="53"/>
        </w:numPr>
        <w:rPr>
          <w:rFonts w:ascii="Arial" w:cs="Arial" w:eastAsia="Arial" w:hAnsi="Arial"/>
          <w:sz w:val="13"/>
          <w:szCs w:val="13"/>
          <w:i w:val="1"/>
          <w:iCs w:val="1"/>
          <w:color w:val="auto"/>
        </w:rPr>
      </w:pPr>
      <w:r>
        <w:rPr>
          <w:rFonts w:ascii="Arial" w:cs="Arial" w:eastAsia="Arial" w:hAnsi="Arial"/>
          <w:sz w:val="13"/>
          <w:szCs w:val="13"/>
          <w:i w:val="1"/>
          <w:iCs w:val="1"/>
          <w:color w:val="auto"/>
        </w:rPr>
        <w:t>Prior to amendment, with respect to the Non-CPLV Lease Agreement, Joliet Lease Agreement and CPLV Lease Agreement, the amount represents the annual base rent payable for the then current lease year, which was the period from November 1, 2019 through October 31, 2020. In relation to the HLV Lease Agreement, prior to its termination and the inclusion of the Harrah’s Las Vegas and Caesars Palace Las Vegas assets in the Las Vegas Master Lease Agreement, the amount represents annual base rent payable for the then current lease year, which was the period from January 1, 2020 through December 31, 2020. Subsequent to the consummation of the Eldorado Transaction and the amendments in connection therewith, (i) with respect to the Regional Master Lease Agreement, the amounts represent the current annual base rent payable for the current lease year, which is the period from November 1, 2020 through October 31, 2021, inclusive of the additional rent associated with the MTA Properties and (ii) with respect to the Las Vegas Master Lease Agreement, the amounts represent the current annual base rent payable for the current lease year, which is the period from November 1, 2020 through October 31, 2021, inclusive of the CPLV Additional Rent Acquisition and HLV Additional Rent Acquisition.</w:t>
      </w:r>
    </w:p>
    <w:p>
      <w:pPr>
        <w:ind w:firstLine="8"/>
        <w:spacing w:after="0" w:line="241" w:lineRule="auto"/>
        <w:tabs>
          <w:tab w:leader="none" w:pos="213"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Any amounts representing rents in excess of the CPI floors specified above are considered contingent rent in accordance with GAAP. No such rent has been recognized for the </w:t>
      </w:r>
      <w:r>
        <w:rPr>
          <w:rFonts w:ascii="Arial" w:cs="Arial" w:eastAsia="Arial" w:hAnsi="Arial"/>
          <w:sz w:val="14"/>
          <w:szCs w:val="14"/>
          <w:color w:val="auto"/>
        </w:rPr>
        <w:t>years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2020, 2019 and 2018</w:t>
      </w:r>
      <w:r>
        <w:rPr>
          <w:rFonts w:ascii="Arial" w:cs="Arial" w:eastAsia="Arial" w:hAnsi="Arial"/>
          <w:sz w:val="14"/>
          <w:szCs w:val="14"/>
          <w:i w:val="1"/>
          <w:iCs w:val="1"/>
          <w:color w:val="auto"/>
        </w:rPr>
        <w:t>.</w:t>
      </w:r>
    </w:p>
    <w:p>
      <w:pPr>
        <w:ind w:left="220" w:hanging="212"/>
        <w:spacing w:after="0"/>
        <w:tabs>
          <w:tab w:leader="none" w:pos="2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provisions of the Penn National Lease Agreements: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3840" w:type="dxa"/>
            <w:vAlign w:val="bottom"/>
            <w:gridSpan w:val="2"/>
          </w:tcPr>
          <w:p>
            <w:pPr>
              <w:ind w:left="740"/>
              <w:spacing w:after="0"/>
              <w:rPr>
                <w:sz w:val="20"/>
                <w:szCs w:val="20"/>
                <w:color w:val="auto"/>
              </w:rPr>
            </w:pPr>
            <w:r>
              <w:rPr>
                <w:rFonts w:ascii="Arial" w:cs="Arial" w:eastAsia="Arial" w:hAnsi="Arial"/>
                <w:sz w:val="16"/>
                <w:szCs w:val="16"/>
                <w:b w:val="1"/>
                <w:bCs w:val="1"/>
                <w:color w:val="auto"/>
              </w:rPr>
              <w:t>Margaritaville Lease Agreement</w:t>
            </w:r>
          </w:p>
        </w:tc>
        <w:tc>
          <w:tcPr>
            <w:tcW w:w="3760" w:type="dxa"/>
            <w:vAlign w:val="bottom"/>
          </w:tcPr>
          <w:p>
            <w:pPr>
              <w:ind w:left="880"/>
              <w:spacing w:after="0"/>
              <w:rPr>
                <w:sz w:val="20"/>
                <w:szCs w:val="20"/>
                <w:color w:val="auto"/>
              </w:rPr>
            </w:pPr>
            <w:r>
              <w:rPr>
                <w:rFonts w:ascii="Arial" w:cs="Arial" w:eastAsia="Arial" w:hAnsi="Arial"/>
                <w:sz w:val="16"/>
                <w:szCs w:val="16"/>
                <w:b w:val="1"/>
                <w:bCs w:val="1"/>
                <w:color w:val="auto"/>
              </w:rPr>
              <w:t>Greektown Lease Agreement</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3740" w:type="dxa"/>
            <w:vAlign w:val="bottom"/>
          </w:tcPr>
          <w:p>
            <w:pPr>
              <w:ind w:left="20"/>
              <w:spacing w:after="0"/>
              <w:rPr>
                <w:sz w:val="20"/>
                <w:szCs w:val="20"/>
                <w:color w:val="auto"/>
              </w:rPr>
            </w:pPr>
            <w:r>
              <w:rPr>
                <w:rFonts w:ascii="Arial" w:cs="Arial" w:eastAsia="Arial" w:hAnsi="Arial"/>
                <w:sz w:val="18"/>
                <w:szCs w:val="18"/>
                <w:color w:val="auto"/>
              </w:rPr>
              <w:t>1/31/2034</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5/23/2034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3740" w:type="dxa"/>
            <w:vAlign w:val="bottom"/>
          </w:tcPr>
          <w:p>
            <w:pPr>
              <w:ind w:left="20"/>
              <w:spacing w:after="0"/>
              <w:rPr>
                <w:sz w:val="20"/>
                <w:szCs w:val="20"/>
                <w:color w:val="auto"/>
              </w:rPr>
            </w:pPr>
            <w:r>
              <w:rPr>
                <w:rFonts w:ascii="Arial" w:cs="Arial" w:eastAsia="Arial" w:hAnsi="Arial"/>
                <w:sz w:val="18"/>
                <w:szCs w:val="18"/>
                <w:color w:val="auto"/>
              </w:rPr>
              <w:t>$23,462</w:t>
            </w:r>
          </w:p>
        </w:tc>
        <w:tc>
          <w:tcPr>
            <w:tcW w:w="10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$55,556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Escalation commencement </w:t>
            </w:r>
            <w:r>
              <w:rPr>
                <w:rFonts w:ascii="Arial" w:cs="Arial" w:eastAsia="Arial" w:hAnsi="Arial"/>
                <w:sz w:val="23"/>
                <w:szCs w:val="23"/>
                <w:i w:val="1"/>
                <w:iCs w:val="1"/>
                <w:color w:val="auto"/>
                <w:vertAlign w:val="superscript"/>
              </w:rPr>
              <w:t>(2)</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four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3"/>
            <w:vMerge w:val="restart"/>
          </w:tcPr>
          <w:p>
            <w:pPr>
              <w:ind w:left="120"/>
              <w:spacing w:after="0"/>
              <w:rPr>
                <w:sz w:val="20"/>
                <w:szCs w:val="20"/>
                <w:color w:val="auto"/>
              </w:rPr>
            </w:pPr>
            <w:r>
              <w:rPr>
                <w:rFonts w:ascii="Arial" w:cs="Arial" w:eastAsia="Arial" w:hAnsi="Arial"/>
                <w:sz w:val="18"/>
                <w:szCs w:val="18"/>
                <w:color w:val="auto"/>
              </w:rPr>
              <w:t>Escalation</w:t>
            </w:r>
          </w:p>
        </w:tc>
        <w:tc>
          <w:tcPr>
            <w:tcW w:w="3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 of Building base rent, subject to the net</w:t>
            </w:r>
          </w:p>
        </w:tc>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2.0% of Building base rent, subject to the net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gridSpan w:val="3"/>
            <w:vMerge w:val="continue"/>
          </w:tcPr>
          <w:p>
            <w:pPr>
              <w:spacing w:after="0"/>
              <w:rPr>
                <w:sz w:val="11"/>
                <w:szCs w:val="11"/>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to rent ratio floor</w:t>
            </w:r>
          </w:p>
        </w:tc>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revenue to rent ratio floor</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40" w:type="dxa"/>
            <w:vAlign w:val="bottom"/>
            <w:gridSpan w:val="2"/>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60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Performance to rent ratio floor </w:t>
            </w:r>
            <w:r>
              <w:rPr>
                <w:rFonts w:ascii="Arial" w:cs="Arial" w:eastAsia="Arial" w:hAnsi="Arial"/>
                <w:sz w:val="23"/>
                <w:szCs w:val="23"/>
                <w:i w:val="1"/>
                <w:iCs w:val="1"/>
                <w:color w:val="auto"/>
                <w:vertAlign w:val="superscript"/>
              </w:rPr>
              <w:t>(2)</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6.1x net revenue commencing lease year two</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revenue ratio to be mutually agreed upon prior</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to the commencement of lease year four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9" w:right="339" w:bottom="1440" w:gutter="0" w:footer="0" w:header="0"/>
        </w:sect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Percentage rent multiplier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8"/>
          <w:szCs w:val="18"/>
          <w:color w:val="auto"/>
        </w:rPr>
        <w:t>$3,000 (fixed for lease year one and two)</w:t>
      </w:r>
      <w:r>
        <w:rPr>
          <w:sz w:val="20"/>
          <w:szCs w:val="20"/>
          <w:color w:val="auto"/>
        </w:rPr>
        <w:tab/>
      </w:r>
      <w:r>
        <w:rPr>
          <w:rFonts w:ascii="Arial" w:cs="Arial" w:eastAsia="Arial" w:hAnsi="Arial"/>
          <w:sz w:val="16"/>
          <w:szCs w:val="16"/>
          <w:color w:val="auto"/>
        </w:rPr>
        <w:t>$6,384 (fixed for lease year one and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14605</wp:posOffset>
            </wp:positionV>
            <wp:extent cx="7115175"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spacing w:after="0"/>
        <w:tabs>
          <w:tab w:leader="none" w:pos="3820" w:val="left"/>
        </w:tabs>
        <w:rPr>
          <w:sz w:val="20"/>
          <w:szCs w:val="20"/>
          <w:color w:val="auto"/>
        </w:rPr>
      </w:pPr>
      <w:r>
        <w:rPr>
          <w:rFonts w:ascii="Arial" w:cs="Arial" w:eastAsia="Arial" w:hAnsi="Arial"/>
          <w:sz w:val="18"/>
          <w:szCs w:val="18"/>
          <w:color w:val="auto"/>
        </w:rPr>
        <w:t>Lease year three and each and every other lease</w:t>
      </w:r>
      <w:r>
        <w:rPr>
          <w:sz w:val="20"/>
          <w:szCs w:val="20"/>
          <w:color w:val="auto"/>
        </w:rPr>
        <w:tab/>
      </w:r>
      <w:r>
        <w:rPr>
          <w:rFonts w:ascii="Arial" w:cs="Arial" w:eastAsia="Arial" w:hAnsi="Arial"/>
          <w:sz w:val="15"/>
          <w:szCs w:val="15"/>
          <w:color w:val="auto"/>
        </w:rPr>
        <w:t>Lease year three and each and every other lease</w:t>
      </w:r>
    </w:p>
    <w:p>
      <w:pPr>
        <w:spacing w:after="0"/>
        <w:tabs>
          <w:tab w:leader="none" w:pos="3820" w:val="left"/>
        </w:tabs>
        <w:rPr>
          <w:sz w:val="20"/>
          <w:szCs w:val="20"/>
          <w:color w:val="auto"/>
        </w:rPr>
      </w:pPr>
      <w:r>
        <w:rPr>
          <w:rFonts w:ascii="Arial" w:cs="Arial" w:eastAsia="Arial" w:hAnsi="Arial"/>
          <w:sz w:val="18"/>
          <w:szCs w:val="18"/>
          <w:color w:val="auto"/>
        </w:rPr>
        <w:t>year thereafter</w:t>
      </w:r>
      <w:r>
        <w:rPr>
          <w:sz w:val="20"/>
          <w:szCs w:val="20"/>
          <w:color w:val="auto"/>
        </w:rPr>
        <w:tab/>
      </w:r>
      <w:r>
        <w:rPr>
          <w:rFonts w:ascii="Arial" w:cs="Arial" w:eastAsia="Arial" w:hAnsi="Arial"/>
          <w:sz w:val="15"/>
          <w:szCs w:val="15"/>
          <w:color w:val="auto"/>
        </w:rPr>
        <w:t>year thereafter</w:t>
      </w:r>
    </w:p>
    <w:p>
      <w:pPr>
        <w:spacing w:after="0"/>
        <w:tabs>
          <w:tab w:leader="none" w:pos="3820" w:val="left"/>
        </w:tabs>
        <w:rPr>
          <w:sz w:val="20"/>
          <w:szCs w:val="20"/>
          <w:color w:val="auto"/>
        </w:rPr>
      </w:pPr>
      <w:r>
        <w:rPr>
          <w:rFonts w:ascii="Arial" w:cs="Arial" w:eastAsia="Arial" w:hAnsi="Arial"/>
          <w:sz w:val="18"/>
          <w:szCs w:val="18"/>
          <w:color w:val="auto"/>
        </w:rPr>
        <w:t>The product of (i) 4% and (ii) the excess (if any) of</w:t>
      </w:r>
      <w:r>
        <w:rPr>
          <w:sz w:val="20"/>
          <w:szCs w:val="20"/>
          <w:color w:val="auto"/>
        </w:rPr>
        <w:tab/>
      </w:r>
      <w:r>
        <w:rPr>
          <w:rFonts w:ascii="Arial" w:cs="Arial" w:eastAsia="Arial" w:hAnsi="Arial"/>
          <w:sz w:val="16"/>
          <w:szCs w:val="16"/>
          <w:color w:val="auto"/>
        </w:rPr>
        <w:t>The product of (i) 4% and (ii) the excess (if any) of</w:t>
      </w:r>
    </w:p>
    <w:p>
      <w:pPr>
        <w:spacing w:after="0" w:line="229" w:lineRule="auto"/>
        <w:tabs>
          <w:tab w:leader="none" w:pos="3820" w:val="left"/>
        </w:tabs>
        <w:rPr>
          <w:sz w:val="20"/>
          <w:szCs w:val="20"/>
          <w:color w:val="auto"/>
        </w:rPr>
      </w:pPr>
      <w:r>
        <w:rPr>
          <w:rFonts w:ascii="Arial" w:cs="Arial" w:eastAsia="Arial" w:hAnsi="Arial"/>
          <w:sz w:val="18"/>
          <w:szCs w:val="18"/>
          <w:color w:val="auto"/>
        </w:rPr>
        <w:t>(a) the average annual net revenue of a trailing</w:t>
      </w:r>
      <w:r>
        <w:rPr>
          <w:sz w:val="20"/>
          <w:szCs w:val="20"/>
          <w:color w:val="auto"/>
        </w:rPr>
        <w:tab/>
      </w:r>
      <w:r>
        <w:rPr>
          <w:rFonts w:ascii="Arial" w:cs="Arial" w:eastAsia="Arial" w:hAnsi="Arial"/>
          <w:sz w:val="16"/>
          <w:szCs w:val="16"/>
          <w:color w:val="auto"/>
        </w:rPr>
        <w:t>(a) the average annual net revenue of a trailing</w:t>
      </w:r>
    </w:p>
    <w:p>
      <w:pPr>
        <w:spacing w:after="0" w:line="229" w:lineRule="auto"/>
        <w:tabs>
          <w:tab w:leader="none" w:pos="3820" w:val="left"/>
        </w:tabs>
        <w:rPr>
          <w:sz w:val="20"/>
          <w:szCs w:val="20"/>
          <w:color w:val="auto"/>
        </w:rPr>
      </w:pPr>
      <w:r>
        <w:rPr>
          <w:rFonts w:ascii="Arial" w:cs="Arial" w:eastAsia="Arial" w:hAnsi="Arial"/>
          <w:sz w:val="18"/>
          <w:szCs w:val="18"/>
          <w:color w:val="auto"/>
        </w:rPr>
        <w:t>two-year period preceding such reset year over (b)</w:t>
      </w:r>
      <w:r>
        <w:rPr>
          <w:sz w:val="20"/>
          <w:szCs w:val="20"/>
          <w:color w:val="auto"/>
        </w:rPr>
        <w:tab/>
      </w:r>
      <w:r>
        <w:rPr>
          <w:rFonts w:ascii="Arial" w:cs="Arial" w:eastAsia="Arial" w:hAnsi="Arial"/>
          <w:sz w:val="16"/>
          <w:szCs w:val="16"/>
          <w:color w:val="auto"/>
        </w:rPr>
        <w:t>two-year period preceding such reset year over (b)</w:t>
      </w:r>
    </w:p>
    <w:p>
      <w:pPr>
        <w:spacing w:after="0" w:line="228" w:lineRule="auto"/>
        <w:tabs>
          <w:tab w:leader="none" w:pos="3820" w:val="left"/>
        </w:tabs>
        <w:rPr>
          <w:sz w:val="20"/>
          <w:szCs w:val="20"/>
          <w:color w:val="auto"/>
        </w:rPr>
      </w:pPr>
      <w:r>
        <w:rPr>
          <w:rFonts w:ascii="Arial" w:cs="Arial" w:eastAsia="Arial" w:hAnsi="Arial"/>
          <w:sz w:val="18"/>
          <w:szCs w:val="18"/>
          <w:color w:val="auto"/>
        </w:rPr>
        <w:t>a threshold amount (defined as 50% of LTM net</w:t>
      </w:r>
      <w:r>
        <w:rPr>
          <w:sz w:val="20"/>
          <w:szCs w:val="20"/>
          <w:color w:val="auto"/>
        </w:rPr>
        <w:tab/>
      </w:r>
      <w:r>
        <w:rPr>
          <w:rFonts w:ascii="Arial" w:cs="Arial" w:eastAsia="Arial" w:hAnsi="Arial"/>
          <w:sz w:val="16"/>
          <w:szCs w:val="16"/>
          <w:color w:val="auto"/>
        </w:rPr>
        <w:t>a threshold amount (defined as 50% of LTM net</w:t>
      </w:r>
    </w:p>
    <w:p>
      <w:pPr>
        <w:spacing w:after="0"/>
        <w:tabs>
          <w:tab w:leader="none" w:pos="382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311" w:lineRule="exact"/>
        <w:rPr>
          <w:sz w:val="20"/>
          <w:szCs w:val="20"/>
          <w:color w:val="auto"/>
        </w:rPr>
      </w:pPr>
    </w:p>
    <w:p>
      <w:pPr>
        <w:sectPr>
          <w:pgSz w:w="11900" w:h="16838" w:orient="portrait"/>
          <w:cols w:equalWidth="0" w:num="2">
            <w:col w:w="2920" w:space="720"/>
            <w:col w:w="7600"/>
          </w:cols>
          <w:pgMar w:left="320" w:top="179" w:right="339" w:bottom="1440" w:gutter="0" w:footer="0" w:header="0"/>
          <w:type w:val="continuous"/>
        </w:sectPr>
      </w:pPr>
    </w:p>
    <w:p>
      <w:pPr>
        <w:jc w:val="both"/>
        <w:ind w:firstLine="8"/>
        <w:spacing w:after="0" w:line="241" w:lineRule="auto"/>
        <w:tabs>
          <w:tab w:leader="none" w:pos="217"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2021 through January 31, 2022. In relation to the Greektown Lease Agreement, the amount represents current annual base rent payable for the current lease year, which is the period from June 1, 2020 through May 31, 2021.</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1"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In relation to the Greektown Lease Agreement, in May 2020, the lease was adjusted to remove the escalation for lease years 2 and 3 and to provide for a net revenue to rent ratio coverage floor to be mutually agreed upon by both parties prior to the commencement of lease year four.</w:t>
      </w:r>
    </w:p>
    <w:p>
      <w:pPr>
        <w:spacing w:after="0" w:line="1" w:lineRule="exact"/>
        <w:rPr>
          <w:rFonts w:ascii="Arial" w:cs="Arial" w:eastAsia="Arial" w:hAnsi="Arial"/>
          <w:sz w:val="14"/>
          <w:szCs w:val="14"/>
          <w:i w:val="1"/>
          <w:iCs w:val="1"/>
          <w:color w:val="auto"/>
        </w:rPr>
      </w:pPr>
    </w:p>
    <w:p>
      <w:pPr>
        <w:jc w:val="both"/>
        <w:ind w:firstLine="8"/>
        <w:spacing w:after="0" w:line="246" w:lineRule="auto"/>
        <w:tabs>
          <w:tab w:leader="none" w:pos="2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During the year ended December 31, 2020, we recognized approximately $0.3 million, in contingent rent in relation to the Margaritaville Lease Agreement escalation. No such rent has been recognized for the years ended December 31, 2019 and 2018. In relation to the Greektown Lease Agreement, no such rent has been recognized for the years ended December 31, 2020, 2019 and 2018.</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Hard Rock Cincinnati Lease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9/30/2034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$43,391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w w:val="90"/>
              </w:rPr>
              <w:t>Lease years 5-15 - The greater of 2.0% or the change in CPI unless the change in CPI is less than 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in which case there is no escalation in rent for such lease year</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35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October 1, 2020 through September 30,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3"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2020, 2019 and 2018.</w:t>
      </w:r>
    </w:p>
    <w:p>
      <w:pPr>
        <w:ind w:right="20" w:firstLine="8"/>
        <w:spacing w:after="0" w:line="255" w:lineRule="auto"/>
        <w:tabs>
          <w:tab w:leader="none" w:pos="211"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Century Portfolio Lease Agreement: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3"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Escalator commencement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revenue to rent ratio floor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9" w:hanging="229"/>
        <w:spacing w:after="0"/>
        <w:tabs>
          <w:tab w:leader="none" w:pos="229" w:val="left"/>
        </w:tabs>
        <w:numPr>
          <w:ilvl w:val="0"/>
          <w:numId w:val="56"/>
        </w:numPr>
        <w:rPr>
          <w:rFonts w:ascii="Arial" w:cs="Arial" w:eastAsia="Arial" w:hAnsi="Arial"/>
          <w:sz w:val="18"/>
          <w:szCs w:val="18"/>
          <w:color w:val="auto"/>
        </w:rPr>
      </w:pPr>
      <w:r>
        <w:rPr>
          <w:rFonts w:ascii="Arial" w:cs="Arial" w:eastAsia="Arial" w:hAnsi="Arial"/>
          <w:sz w:val="18"/>
          <w:szCs w:val="18"/>
          <w:color w:val="auto"/>
        </w:rPr>
        <w:t>years</w:t>
      </w:r>
    </w:p>
    <w:p>
      <w:pPr>
        <w:spacing w:after="0" w:line="23" w:lineRule="exact"/>
        <w:rPr>
          <w:rFonts w:ascii="Arial" w:cs="Arial" w:eastAsia="Arial" w:hAnsi="Arial"/>
          <w:sz w:val="18"/>
          <w:szCs w:val="18"/>
          <w:color w:val="auto"/>
        </w:rPr>
      </w:pPr>
    </w:p>
    <w:p>
      <w:pPr>
        <w:ind w:left="9"/>
        <w:spacing w:after="0"/>
        <w:rPr>
          <w:rFonts w:ascii="Arial" w:cs="Arial" w:eastAsia="Arial" w:hAnsi="Arial"/>
          <w:sz w:val="18"/>
          <w:szCs w:val="18"/>
          <w:color w:val="auto"/>
        </w:rPr>
      </w:pPr>
      <w:r>
        <w:rPr>
          <w:rFonts w:ascii="Arial" w:cs="Arial" w:eastAsia="Arial" w:hAnsi="Arial"/>
          <w:sz w:val="18"/>
          <w:szCs w:val="18"/>
          <w:color w:val="auto"/>
        </w:rPr>
        <w:t>12/31/2034</w:t>
      </w:r>
    </w:p>
    <w:p>
      <w:pPr>
        <w:spacing w:after="0" w:line="22" w:lineRule="exact"/>
        <w:rPr>
          <w:rFonts w:ascii="Arial" w:cs="Arial" w:eastAsia="Arial" w:hAnsi="Arial"/>
          <w:sz w:val="18"/>
          <w:szCs w:val="18"/>
          <w:color w:val="auto"/>
        </w:rPr>
      </w:pPr>
    </w:p>
    <w:p>
      <w:pPr>
        <w:ind w:left="9" w:right="6060"/>
        <w:spacing w:after="0" w:line="266" w:lineRule="auto"/>
        <w:rPr>
          <w:rFonts w:ascii="Arial" w:cs="Arial" w:eastAsia="Arial" w:hAnsi="Arial"/>
          <w:sz w:val="18"/>
          <w:szCs w:val="18"/>
          <w:color w:val="auto"/>
        </w:rPr>
      </w:pPr>
      <w:r>
        <w:rPr>
          <w:rFonts w:ascii="Arial" w:cs="Arial" w:eastAsia="Arial" w:hAnsi="Arial"/>
          <w:sz w:val="18"/>
          <w:szCs w:val="18"/>
          <w:color w:val="auto"/>
        </w:rPr>
        <w:t>Four, five-year terms $25,250</w:t>
      </w:r>
    </w:p>
    <w:p>
      <w:pPr>
        <w:ind w:left="9"/>
        <w:spacing w:after="0"/>
        <w:rPr>
          <w:rFonts w:ascii="Arial" w:cs="Arial" w:eastAsia="Arial" w:hAnsi="Arial"/>
          <w:sz w:val="18"/>
          <w:szCs w:val="18"/>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-422275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-130810</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9"/>
        <w:spacing w:after="0"/>
        <w:rPr>
          <w:sz w:val="20"/>
          <w:szCs w:val="20"/>
          <w:color w:val="auto"/>
        </w:rPr>
      </w:pPr>
      <w:r>
        <w:rPr>
          <w:rFonts w:ascii="Arial" w:cs="Arial" w:eastAsia="Arial" w:hAnsi="Arial"/>
          <w:sz w:val="18"/>
          <w:szCs w:val="18"/>
          <w:color w:val="auto"/>
        </w:rPr>
        <w:t>Lease years 2-3 - 1.0%</w:t>
      </w:r>
    </w:p>
    <w:p>
      <w:pPr>
        <w:ind w:left="9"/>
        <w:spacing w:after="0"/>
        <w:rPr>
          <w:sz w:val="20"/>
          <w:szCs w:val="20"/>
          <w:color w:val="auto"/>
        </w:rPr>
      </w:pPr>
      <w:r>
        <w:rPr>
          <w:rFonts w:ascii="Arial" w:cs="Arial" w:eastAsia="Arial" w:hAnsi="Arial"/>
          <w:sz w:val="18"/>
          <w:szCs w:val="18"/>
          <w:color w:val="auto"/>
        </w:rPr>
        <w:t>Lease years 4-15 - The greater of 1.25% or the change in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4445</wp:posOffset>
            </wp:positionV>
            <wp:extent cx="713232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9" w:right="22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1" w:lineRule="exact"/>
        <w:rPr>
          <w:sz w:val="20"/>
          <w:szCs w:val="20"/>
          <w:color w:val="auto"/>
        </w:rPr>
      </w:pPr>
    </w:p>
    <w:p>
      <w:pPr>
        <w:sectPr>
          <w:pgSz w:w="11900" w:h="16838" w:orient="portrait"/>
          <w:cols w:equalWidth="0" w:num="2">
            <w:col w:w="2951" w:space="720"/>
            <w:col w:w="7569"/>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Variable rent commencement/reset</w:t>
            </w:r>
          </w:p>
        </w:tc>
        <w:tc>
          <w:tcPr>
            <w:tcW w:w="8140" w:type="dxa"/>
            <w:vAlign w:val="bottom"/>
          </w:tcPr>
          <w:p>
            <w:pPr>
              <w:ind w:left="580"/>
              <w:spacing w:after="0"/>
              <w:rPr>
                <w:sz w:val="20"/>
                <w:szCs w:val="20"/>
                <w:color w:val="auto"/>
              </w:rPr>
            </w:pPr>
            <w:r>
              <w:rPr>
                <w:rFonts w:ascii="Arial" w:cs="Arial" w:eastAsia="Arial" w:hAnsi="Arial"/>
                <w:sz w:val="18"/>
                <w:szCs w:val="18"/>
                <w:color w:val="auto"/>
              </w:rPr>
              <w:t>Lease year 8 and 11</w:t>
            </w: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80% Base Rent and 20% Variable Rent</w:t>
            </w:r>
          </w:p>
        </w:tc>
      </w:tr>
      <w:tr>
        <w:trPr>
          <w:trHeight w:val="304"/>
        </w:trPr>
        <w:tc>
          <w:tcPr>
            <w:tcW w:w="3100" w:type="dxa"/>
            <w:vAlign w:val="bottom"/>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8140" w:type="dxa"/>
            <w:vAlign w:val="bottom"/>
          </w:tcPr>
          <w:p>
            <w:pPr>
              <w:ind w:left="580"/>
              <w:spacing w:after="0"/>
              <w:rPr>
                <w:sz w:val="20"/>
                <w:szCs w:val="20"/>
                <w:color w:val="auto"/>
              </w:rPr>
            </w:pPr>
            <w:r>
              <w:rPr>
                <w:rFonts w:ascii="Arial" w:cs="Arial" w:eastAsia="Arial" w:hAnsi="Arial"/>
                <w:sz w:val="18"/>
                <w:szCs w:val="18"/>
                <w:color w:val="auto"/>
              </w:rPr>
              <w:t>4%</w:t>
            </w: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____________________</w:t>
            </w:r>
          </w:p>
        </w:tc>
        <w:tc>
          <w:tcPr>
            <w:tcW w:w="8140" w:type="dxa"/>
            <w:vAlign w:val="bottom"/>
          </w:tcPr>
          <w:p>
            <w:pPr>
              <w:spacing w:after="0"/>
              <w:rPr>
                <w:sz w:val="19"/>
                <w:szCs w:val="19"/>
                <w:color w:val="auto"/>
              </w:rPr>
            </w:pPr>
          </w:p>
        </w:tc>
      </w:tr>
    </w:tbl>
    <w:p>
      <w:pPr>
        <w:ind w:left="220" w:hanging="212"/>
        <w:spacing w:after="0"/>
        <w:tabs>
          <w:tab w:leader="none" w:pos="22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1, 2020 through December 31,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3"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2020, 2019 and 2018.</w:t>
      </w:r>
    </w:p>
    <w:p>
      <w:pPr>
        <w:jc w:val="both"/>
        <w:ind w:firstLine="8"/>
        <w:spacing w:after="0" w:line="248" w:lineRule="auto"/>
        <w:tabs>
          <w:tab w:leader="none" w:pos="204"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material lease provisions of our JACK Cleveland/Thistledown Lease Agreement, as amended on July 16,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40" w:type="dxa"/>
            <w:vAlign w:val="bottom"/>
            <w:tcBorders>
              <w:top w:val="single" w:sz="8" w:color="CCEEFF"/>
            </w:tcBorders>
            <w:shd w:val="clear" w:color="auto" w:fill="CCEEFF"/>
          </w:tcPr>
          <w:p>
            <w:pPr>
              <w:spacing w:after="0"/>
              <w:rPr>
                <w:sz w:val="19"/>
                <w:szCs w:val="19"/>
                <w:color w:val="auto"/>
              </w:rPr>
            </w:pPr>
          </w:p>
        </w:tc>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580" w:type="dxa"/>
            <w:vAlign w:val="bottom"/>
          </w:tcPr>
          <w:p>
            <w:pPr>
              <w:ind w:left="20"/>
              <w:spacing w:after="0"/>
              <w:rPr>
                <w:sz w:val="20"/>
                <w:szCs w:val="20"/>
                <w:color w:val="auto"/>
              </w:rPr>
            </w:pPr>
            <w:r>
              <w:rPr>
                <w:rFonts w:ascii="Arial" w:cs="Arial" w:eastAsia="Arial" w:hAnsi="Arial"/>
                <w:sz w:val="18"/>
                <w:szCs w:val="18"/>
                <w:color w:val="auto"/>
              </w:rPr>
              <w:t>1/31/2040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color w:val="auto"/>
                <w:vertAlign w:val="superscript"/>
              </w:rPr>
              <w:t>(1)</w:t>
            </w:r>
          </w:p>
        </w:tc>
        <w:tc>
          <w:tcPr>
            <w:tcW w:w="7580" w:type="dxa"/>
            <w:vAlign w:val="bottom"/>
          </w:tcPr>
          <w:p>
            <w:pPr>
              <w:ind w:left="20"/>
              <w:spacing w:after="0"/>
              <w:rPr>
                <w:sz w:val="20"/>
                <w:szCs w:val="20"/>
                <w:color w:val="auto"/>
              </w:rPr>
            </w:pPr>
            <w:r>
              <w:rPr>
                <w:rFonts w:ascii="Arial" w:cs="Arial" w:eastAsia="Arial" w:hAnsi="Arial"/>
                <w:sz w:val="18"/>
                <w:szCs w:val="18"/>
                <w:color w:val="auto"/>
              </w:rPr>
              <w:t>$65,880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Escalator commencement</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three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3"/>
            <w:vMerge w:val="restart"/>
          </w:tcPr>
          <w:p>
            <w:pPr>
              <w:ind w:left="1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3-4 - 1.0%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3"/>
            <w:vMerge w:val="continue"/>
          </w:tcPr>
          <w:p>
            <w:pPr>
              <w:spacing w:after="0"/>
              <w:rPr>
                <w:sz w:val="15"/>
                <w:szCs w:val="15"/>
                <w:color w:val="auto"/>
              </w:rPr>
            </w:pPr>
          </w:p>
        </w:tc>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Lease years 5-7 - 1.5%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Lease years 8-15 - The greater of 1.5% or the change in CPI capped at 2.5%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64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Net revenue to rent ratio floor</w:t>
            </w:r>
          </w:p>
        </w:tc>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4.9x in any lease year (commencing in lease year 6) - if the coverage ratio is below the stated amount,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40" w:type="dxa"/>
            <w:vAlign w:val="bottom"/>
            <w:gridSpan w:val="3"/>
            <w:vMerge w:val="continue"/>
            <w:shd w:val="clear" w:color="auto" w:fill="CCEEFF"/>
          </w:tcPr>
          <w:p>
            <w:pPr>
              <w:spacing w:after="0"/>
              <w:rPr>
                <w:sz w:val="11"/>
                <w:szCs w:val="11"/>
                <w:color w:val="auto"/>
              </w:rPr>
            </w:pPr>
          </w:p>
        </w:tc>
        <w:tc>
          <w:tcPr>
            <w:tcW w:w="7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there is no escalation in rent for such lease year</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 8, 11 and 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352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February 1, 2021 through January 31, 2022.</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3"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2020, 2019 and 2018.</w:t>
      </w:r>
    </w:p>
    <w:p>
      <w:pPr>
        <w:jc w:val="both"/>
        <w:ind w:firstLine="8"/>
        <w:spacing w:after="0" w:line="246" w:lineRule="auto"/>
        <w:tabs>
          <w:tab w:leader="none" w:pos="205"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(i) for lease year 8 as an increase or decrease of the average of net revenues for lease years 5 through 7 compared to the average net revenue for lease years 1 through 3, (ii) for lease year 11 as an increase or decrease of the average of net revenues for lease years 8 through 10 compared to the average net revenue for lease years 5 through 7, and (iii) for lease year 16 as an increase or decrease of the average of net revenues for lease years 13 through 15 compared to the average net revenue for lease years 8 through 10, in each case multiplied by the Variable rent percentage.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capital expenditure requirements of the respective tenants under the Caesars Lease Agreements, as amended following</w:t>
      </w:r>
    </w:p>
    <w:p>
      <w:pPr>
        <w:spacing w:after="0" w:line="46" w:lineRule="exact"/>
        <w:rPr>
          <w:sz w:val="20"/>
          <w:szCs w:val="20"/>
          <w:color w:val="auto"/>
        </w:rPr>
      </w:pPr>
    </w:p>
    <w:p>
      <w:pPr>
        <w:ind w:firstLine="8"/>
        <w:spacing w:after="0" w:line="260" w:lineRule="auto"/>
        <w:tabs>
          <w:tab w:leader="none" w:pos="22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consummation of the Eldorado Transaction, which amendments increased the existing capital expenditure requirements in proportion to the overall increase in the tenant’s net revenue arising from the MTA Properties and (ii) the sale of Harrah’s Reno:</w:t>
      </w:r>
    </w:p>
    <w:p>
      <w:pPr>
        <w:sectPr>
          <w:pgSz w:w="11900" w:h="16838" w:orient="portrait"/>
          <w:cols w:equalWidth="0" w:num="1">
            <w:col w:w="11240"/>
          </w:cols>
          <w:pgMar w:left="320" w:top="179" w:right="339" w:bottom="1440" w:gutter="0" w:footer="0" w:header="0"/>
        </w:sectPr>
      </w:pPr>
    </w:p>
    <w:tbl>
      <w:tblPr>
        <w:tblLayout w:type="fixed"/>
        <w:tblInd w:w="0" w:type="dxa"/>
        <w:tblCellMar>
          <w:top w:w="0" w:type="dxa"/>
          <w:left w:w="0" w:type="dxa"/>
          <w:bottom w:w="0" w:type="dxa"/>
          <w:right w:w="0" w:type="dxa"/>
        </w:tblCellMar>
      </w:tblPr>
      <w:tr>
        <w:trPr>
          <w:trHeight w:val="186"/>
        </w:trPr>
        <w:tc>
          <w:tcPr>
            <w:tcW w:w="324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6"/>
                <w:szCs w:val="16"/>
                <w:color w:val="auto"/>
              </w:rPr>
            </w:pPr>
          </w:p>
        </w:tc>
        <w:tc>
          <w:tcPr>
            <w:tcW w:w="36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89"/>
              </w:rPr>
              <w:t>Regional Master Lease Agreement and Joliet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37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Yearly minimum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0" w:type="dxa"/>
            <w:vAlign w:val="bottom"/>
          </w:tcPr>
          <w:p>
            <w:pPr>
              <w:spacing w:after="0"/>
              <w:rPr>
                <w:sz w:val="1"/>
                <w:szCs w:val="1"/>
                <w:color w:val="auto"/>
              </w:rPr>
            </w:pPr>
          </w:p>
        </w:tc>
      </w:tr>
      <w:tr>
        <w:trPr>
          <w:trHeight w:val="254"/>
        </w:trPr>
        <w:tc>
          <w:tcPr>
            <w:tcW w:w="3340" w:type="dxa"/>
            <w:vAlign w:val="bottom"/>
            <w:gridSpan w:val="2"/>
          </w:tcPr>
          <w:p>
            <w:pPr>
              <w:ind w:left="20"/>
              <w:spacing w:after="0" w:line="254"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$311 million</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Initial minimum capital expenditure</w:t>
            </w:r>
          </w:p>
        </w:tc>
        <w:tc>
          <w:tcPr>
            <w:tcW w:w="36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Las Vegas Master Lease Agreement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 of net revenues for CPLV (commencing in 2022 with</w:t>
      </w:r>
    </w:p>
    <w:p>
      <w:pPr>
        <w:jc w:val="center"/>
        <w:ind w:right="20"/>
        <w:spacing w:after="0" w:line="218" w:lineRule="auto"/>
        <w:rPr>
          <w:sz w:val="20"/>
          <w:szCs w:val="20"/>
          <w:color w:val="auto"/>
        </w:rPr>
      </w:pPr>
      <w:r>
        <w:rPr>
          <w:rFonts w:ascii="Arial" w:cs="Arial" w:eastAsia="Arial" w:hAnsi="Arial"/>
          <w:sz w:val="18"/>
          <w:szCs w:val="18"/>
          <w:color w:val="auto"/>
        </w:rPr>
        <w:t xml:space="preserve">respect to HLV) </w:t>
      </w:r>
      <w:r>
        <w:rPr>
          <w:rFonts w:ascii="Arial" w:cs="Arial" w:eastAsia="Arial" w:hAnsi="Arial"/>
          <w:sz w:val="23"/>
          <w:szCs w:val="23"/>
          <w:i w:val="1"/>
          <w:iCs w:val="1"/>
          <w:color w:val="auto"/>
          <w:vertAlign w:val="superscript"/>
        </w:rPr>
        <w:t>(1)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 million</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$171 million (2017 - 2021) (with respect solely to HLV)</w:t>
      </w:r>
    </w:p>
    <w:p>
      <w:pPr>
        <w:spacing w:after="0" w:line="285" w:lineRule="exact"/>
        <w:rPr>
          <w:sz w:val="20"/>
          <w:szCs w:val="20"/>
          <w:color w:val="auto"/>
        </w:rPr>
      </w:pPr>
    </w:p>
    <w:p>
      <w:pPr>
        <w:sectPr>
          <w:pgSz w:w="11900" w:h="16838" w:orient="portrait"/>
          <w:cols w:equalWidth="0" w:num="2">
            <w:col w:w="6980" w:space="120"/>
            <w:col w:w="4140"/>
          </w:cols>
          <w:pgMar w:left="320" w:top="179" w:right="339" w:bottom="1440" w:gutter="0" w:footer="0" w:header="0"/>
          <w:type w:val="continuous"/>
        </w:sectPr>
      </w:pPr>
    </w:p>
    <w:p>
      <w:pPr>
        <w:ind w:firstLine="8"/>
        <w:spacing w:after="0" w:line="250" w:lineRule="auto"/>
        <w:tabs>
          <w:tab w:leader="none" w:pos="218"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agreements require a $114.5 million floor on annual capital expenditures for CPLV, Joliet and the Regional Master Lease Agreement properties in the aggregate. Additionally, annual building &amp; improvement capital improvements must be equal to or greater than 1% of prior year net revenues.</w:t>
      </w:r>
    </w:p>
    <w:p>
      <w:pPr>
        <w:jc w:val="both"/>
        <w:ind w:firstLine="8"/>
        <w:spacing w:after="0" w:line="244" w:lineRule="auto"/>
        <w:tabs>
          <w:tab w:leader="none" w:pos="216"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Certain tenants under the Caesars Lease Agreements, as applicable, are required to spend $405.2 million on capital expenditures (excluding gaming equipment) over a rolling three-year period, with $311.0 million allocated to the regional assets, $84.0 million allocated to Caesars Palace Las Vegas and the remaining balance of $10.2 million to facilities (other than the Harrah’s Las Vegas Facility) covered by any Caesars Lease Agreement in such proportion as such tenants may elect. Additionally, the tenants under the Regional Master Lease Agreement and Joliet Lease Agreement are required to expend a minimum of $566.7 million on capital expenditures (including gaming equipment) across certain of its affiliates and other assets, together with the $405.2 million requirement.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ongoing COVID-19 pandemic and its impact on operations and financial performance, we agreed with Caesars, to provide limited relief with respect to a portion of their capital expenditure obligations under the Las Vegas Master Lease Agreement, the Regional Master Lease Agreement and the Joliet Lease Agreement (which relief was subsequently adjusted on October 27, 2020 to provide for a proportionate adjustment to account for the addition of the MTA Properties to the Regional Master Lease Agreement). This relief is conditioned upon (i) expenditures by Caesars of certain minimum capital expenditures, (ii) timely payment of Caesars’ rent obligations under the Caesars Lease Agreements and (iii) no event of default occurring under any of the Caesars Lease Agreements during the applicable compliance period. If Caesars fails to satisfy any of the foregoing conditions, Caesars will be required to satisfy the capital expenditure obligations currently set forth in the Las Vegas Master Lease Agreement, the Regional Master Lease Agreement and the Joliet Lease Agreement.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capital expenditure requirements of the respective tenants under the Penn National Lease Agreements, Hard Rock Cincinnati Lease Agreement, Century Portfolio Lease Agreement and JACK Cleveland/Thistledown Lease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Penn National Lease</w:t>
            </w: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Hard Rock Cincinnati</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Century Portfolio Lease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JACK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Cleveland/Thistledown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Agreements</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Initial minimum of $30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1% of net gaming</w:t>
            </w:r>
          </w:p>
        </w:tc>
        <w:tc>
          <w:tcPr>
            <w:tcW w:w="188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 xml:space="preserve">million </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19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based on rolling four-</w:t>
            </w:r>
          </w:p>
        </w:tc>
        <w:tc>
          <w:tcPr>
            <w:tcW w:w="1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940" w:type="dxa"/>
            <w:vAlign w:val="bottom"/>
            <w:gridSpan w:val="2"/>
            <w:vMerge w:val="continue"/>
            <w:shd w:val="clear" w:color="auto" w:fill="CCEEFF"/>
          </w:tcPr>
          <w:p>
            <w:pPr>
              <w:spacing w:after="0"/>
              <w:rPr>
                <w:sz w:val="7"/>
                <w:szCs w:val="7"/>
                <w:color w:val="auto"/>
              </w:rPr>
            </w:pP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Thereafter - 1% of net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46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960" w:type="dxa"/>
            <w:vAlign w:val="bottom"/>
            <w:gridSpan w:val="2"/>
            <w:vMerge w:val="continue"/>
            <w:shd w:val="clear" w:color="auto" w:fill="CCEEFF"/>
          </w:tcPr>
          <w:p>
            <w:pPr>
              <w:spacing w:after="0"/>
              <w:rPr>
                <w:sz w:val="15"/>
                <w:szCs w:val="15"/>
                <w:color w:val="auto"/>
              </w:rPr>
            </w:pPr>
          </w:p>
        </w:tc>
        <w:tc>
          <w:tcPr>
            <w:tcW w:w="19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6"/>
                <w:szCs w:val="16"/>
                <w:color w:val="auto"/>
                <w:w w:val="94"/>
              </w:rPr>
              <w:t xml:space="preserve">revenues </w:t>
            </w:r>
            <w:r>
              <w:rPr>
                <w:rFonts w:ascii="Arial" w:cs="Arial" w:eastAsia="Arial" w:hAnsi="Arial"/>
                <w:sz w:val="20"/>
                <w:szCs w:val="20"/>
                <w:color w:val="auto"/>
                <w:w w:val="94"/>
                <w:vertAlign w:val="superscript"/>
              </w:rPr>
              <w:t>(1)</w:t>
            </w: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gridSpan w:val="2"/>
            <w:shd w:val="clear" w:color="auto" w:fill="CCEEFF"/>
          </w:tcPr>
          <w:p>
            <w:pPr>
              <w:jc w:val="center"/>
              <w:ind w:right="100"/>
              <w:spacing w:after="0" w:line="95" w:lineRule="exact"/>
              <w:rPr>
                <w:sz w:val="20"/>
                <w:szCs w:val="20"/>
                <w:color w:val="auto"/>
              </w:rPr>
            </w:pPr>
            <w:r>
              <w:rPr>
                <w:rFonts w:ascii="Arial" w:cs="Arial" w:eastAsia="Arial" w:hAnsi="Arial"/>
                <w:sz w:val="10"/>
                <w:szCs w:val="10"/>
                <w:color w:val="auto"/>
              </w:rPr>
              <w:t>year basis</w:t>
            </w:r>
          </w:p>
        </w:tc>
        <w:tc>
          <w:tcPr>
            <w:tcW w:w="1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80" w:type="dxa"/>
            <w:vAlign w:val="bottom"/>
            <w:shd w:val="clear" w:color="auto" w:fill="CCEEFF"/>
          </w:tcPr>
          <w:p>
            <w:pPr>
              <w:jc w:val="center"/>
              <w:spacing w:after="0" w:line="95" w:lineRule="exact"/>
              <w:rPr>
                <w:sz w:val="20"/>
                <w:szCs w:val="20"/>
                <w:color w:val="auto"/>
              </w:rPr>
            </w:pPr>
            <w:r>
              <w:rPr>
                <w:rFonts w:ascii="Arial" w:cs="Arial" w:eastAsia="Arial" w:hAnsi="Arial"/>
                <w:sz w:val="10"/>
                <w:szCs w:val="10"/>
                <w:color w:val="auto"/>
              </w:rPr>
              <w:t>revenues on a rolling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three-year basis</w:t>
            </w:r>
          </w:p>
        </w:tc>
        <w:tc>
          <w:tcPr>
            <w:tcW w:w="0" w:type="dxa"/>
            <w:vAlign w:val="bottom"/>
          </w:tcPr>
          <w:p>
            <w:pPr>
              <w:spacing w:after="0"/>
              <w:rPr>
                <w:sz w:val="1"/>
                <w:szCs w:val="1"/>
                <w:color w:val="auto"/>
              </w:rPr>
            </w:pPr>
          </w:p>
        </w:tc>
      </w:tr>
      <w:tr>
        <w:trPr>
          <w:trHeight w:val="290"/>
        </w:trPr>
        <w:tc>
          <w:tcPr>
            <w:tcW w:w="3400" w:type="dxa"/>
            <w:vAlign w:val="bottom"/>
            <w:gridSpan w:val="2"/>
          </w:tcPr>
          <w:p>
            <w:pPr>
              <w:jc w:val="right"/>
              <w:ind w:right="1510"/>
              <w:spacing w:after="0"/>
              <w:rPr>
                <w:sz w:val="20"/>
                <w:szCs w:val="20"/>
                <w:color w:val="auto"/>
              </w:rPr>
            </w:pPr>
            <w:r>
              <w:rPr>
                <w:rFonts w:ascii="Arial" w:cs="Arial" w:eastAsia="Arial" w:hAnsi="Arial"/>
                <w:sz w:val="18"/>
                <w:szCs w:val="18"/>
                <w:color w:val="auto"/>
                <w:w w:val="88"/>
              </w:rPr>
              <w:t>____________________</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8"/>
        <w:spacing w:after="0" w:line="241" w:lineRule="auto"/>
        <w:tabs>
          <w:tab w:leader="none" w:pos="21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 In May 2020, in connection with the ongoing COVID-19 pandemic and its impact on operations and financial performance, we agreed to waive Century’s capital expenditure requirements for 2020 and defer to not later than December 31, 2021 certain other expenditures contemplated in connection with the underwriting of the acquired casino properties, conditioned upon (i) Century’s timely payment of rent obligations under the Century Portfolio Lease Agreement during the compliance period set forth in the amendment and (ii) no tenant event of default occurring under the Century Portfolio Lease Agreement during the compliance period set forth in the amendment. If Century fails to satisfy any of the foregoing conditions, Century will be required to satisfy the capital expenditure obligations set forth in the Century Portfolio Lease Agreement or, in certain cases, to deposit amounts in respect thereof into a capital expenditure reserve for expenditure in accordance with the amendment.</w:t>
      </w:r>
    </w:p>
    <w:p>
      <w:pPr>
        <w:spacing w:after="0" w:line="2" w:lineRule="exact"/>
        <w:rPr>
          <w:rFonts w:ascii="Arial" w:cs="Arial" w:eastAsia="Arial" w:hAnsi="Arial"/>
          <w:sz w:val="14"/>
          <w:szCs w:val="14"/>
          <w:i w:val="1"/>
          <w:iCs w:val="1"/>
          <w:color w:val="auto"/>
        </w:rPr>
      </w:pPr>
    </w:p>
    <w:p>
      <w:pPr>
        <w:ind w:firstLine="8"/>
        <w:spacing w:after="0" w:line="255" w:lineRule="auto"/>
        <w:tabs>
          <w:tab w:leader="none" w:pos="218"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 which includes $18.0 million to be advanced by us and expended by JACK Entertainment for the construction of the new gaming patio amenity at JACK Thistledown Racino.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December 31,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Principal</w:t>
            </w:r>
          </w:p>
        </w:tc>
        <w:tc>
          <w:tcPr>
            <w:tcW w:w="180" w:type="dxa"/>
            <w:vAlign w:val="bottom"/>
          </w:tcPr>
          <w:p>
            <w:pPr>
              <w:spacing w:after="0" w:line="20" w:lineRule="exact"/>
              <w:rPr>
                <w:sz w:val="1"/>
                <w:szCs w:val="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line="20" w:lineRule="exact"/>
              <w:rPr>
                <w:sz w:val="1"/>
                <w:szCs w:val="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Future Funding</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Final</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vMerge w:val="restart"/>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3"/>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200"/>
              <w:spacing w:after="0" w:line="216" w:lineRule="exact"/>
              <w:rPr>
                <w:sz w:val="20"/>
                <w:szCs w:val="20"/>
                <w:color w:val="auto"/>
              </w:rPr>
            </w:pPr>
            <w:r>
              <w:rPr>
                <w:rFonts w:ascii="Arial" w:cs="Arial" w:eastAsia="Arial" w:hAnsi="Arial"/>
                <w:sz w:val="16"/>
                <w:szCs w:val="16"/>
                <w:b w:val="1"/>
                <w:bCs w:val="1"/>
                <w:color w:val="auto"/>
              </w:rPr>
              <w:t>Maturity</w:t>
            </w:r>
            <w:r>
              <w:rPr>
                <w:rFonts w:ascii="Arial" w:cs="Arial" w:eastAsia="Arial" w:hAnsi="Arial"/>
                <w:sz w:val="21"/>
                <w:szCs w:val="21"/>
                <w:b w:val="1"/>
                <w:bCs w:val="1"/>
                <w:i w:val="1"/>
                <w:iCs w:val="1"/>
                <w:color w:val="auto"/>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Senior Secured</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w w:val="89"/>
              </w:rPr>
              <w:t>9/18/2025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Chelsea Piers Mortgage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Amended and Restated ROV Loan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ROV Term Loan</w:t>
            </w: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ROV Credit Facility</w:t>
            </w:r>
          </w:p>
        </w:tc>
        <w:tc>
          <w:tcPr>
            <w:tcW w:w="172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Senior Secured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1/24/2027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06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loan origination costs and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4"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2.0% annual escalation (resulting in a year two interest rate of 7.854%).</w:t>
      </w:r>
    </w:p>
    <w:p>
      <w:pPr>
        <w:ind w:left="220" w:hanging="212"/>
        <w:spacing w:after="0"/>
        <w:tabs>
          <w:tab w:leader="none" w:pos="22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Impairment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September 30, 2018 we undertook a short-term strategic initiative to monetize certain vacant, non-operating land parcels included in Land on our Balance Sheet. In relation to this initiative, we determined that the fair value of these certain land parcels was lower than their current carrying values and recognized an impairment charge of $12.3 million, based on the anticipated sales prices or sales comparison approach. The impairment loss recorded was the result of various factors including changes in market conditions, strategic assessment and environmental and zoning issues that were identified during the sales process.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Allowance for Credit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2020, we adopted ASC 326 and, as a result, we are required to estimate and record non-cash credit losses related to our historical and any future investments in sales-type and direct financing leases, lease financing receivables and loans. Upon adoption, we recorded a $309.4 million cumulative adjustment, representing a 2.88% CECL allowance. Such amount was recorded as a cumulative-effect adjustment to our opening balance sheet with a reduction in our Investments in leases - sales-type and direct financing and a corresponding charge to retained (deficit) earnings. Periods prior to the adoption date that are presented for comparative purposes are not adjusted or disclosed.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December 31, 2020, we recognized a $244.5 million increase in our allowance for credit losses primarily driven by the increase in investment balances subject to CECL. Specifically, the increase was primarily attributable to (i) the increase in investment balances resulting from the Eldorado Transaction, which includes (A) an initial CECL allowance on our $1.8 billion investment in the MTA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our existing Caesars Lease Agreements as a result of the mark to fair value in connection with the reassessment of lease classification, (ii) an increase related to our initial investment in JACK Cleveland/Thistledown and the ROV Loan in January 2020, (iii) an increase in the R&amp;S Period PD of Caesars as a result of the Eldorado/Caesars Merger and (iv) an increase in the Long-term Period PD of our tenants due to downgrades on certain of the credit ratings of our tenants’ senior secured debt in connection with the COVID-19 pandemic. The credit loss standard does not require retrospective application and as such there is no corresponding charge for the years ended December 31, 2019 and 2018.</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and 2019, and since our Formation Date, all of our Lease Agreements and loan investments are current in payment of their obligations to us and no investments are on non-accrual status. Additionally, to the best of our knowledge, none of our tenants were in contravention of any of the Lease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the allowance for credit losses included as a component in our Investments in leases - sales-type and direct 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leases - financing receivables and Investments in loans as of December 31, 2020 and January 1, 2020, the date of adoption: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840"/>
              <w:spacing w:after="0"/>
              <w:rPr>
                <w:sz w:val="20"/>
                <w:szCs w:val="20"/>
                <w:color w:val="auto"/>
              </w:rPr>
            </w:pPr>
            <w:r>
              <w:rPr>
                <w:rFonts w:ascii="Arial" w:cs="Arial" w:eastAsia="Arial" w:hAnsi="Arial"/>
                <w:sz w:val="16"/>
                <w:szCs w:val="16"/>
                <w:b w:val="1"/>
                <w:bCs w:val="1"/>
                <w:color w:val="auto"/>
              </w:rPr>
              <w:t>December 31, 2020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Allowance</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Investment</w:t>
            </w:r>
          </w:p>
        </w:tc>
        <w:tc>
          <w:tcPr>
            <w:tcW w:w="192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2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 and direct financing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2,709,520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277,482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16,460,409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F-36</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January 1, 2020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Allowance</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Investment</w:t>
            </w:r>
          </w:p>
        </w:tc>
        <w:tc>
          <w:tcPr>
            <w:tcW w:w="192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2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 and direct financing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10,424,883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10,734,245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10,424,883</w:t>
            </w:r>
          </w:p>
        </w:tc>
        <w:tc>
          <w:tcPr>
            <w:tcW w:w="10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reflects the roll-forward of the allowance for credit losses on our real estate portfolio for the year ended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2640" w:type="dxa"/>
            <w:vAlign w:val="bottom"/>
          </w:tcPr>
          <w:p>
            <w:pPr>
              <w:jc w:val="right"/>
              <w:ind w:right="271"/>
              <w:spacing w:after="0"/>
              <w:rPr>
                <w:sz w:val="20"/>
                <w:szCs w:val="20"/>
                <w:color w:val="auto"/>
              </w:rPr>
            </w:pPr>
            <w:r>
              <w:rPr>
                <w:rFonts w:ascii="Arial" w:cs="Arial" w:eastAsia="Arial" w:hAnsi="Arial"/>
                <w:sz w:val="16"/>
                <w:szCs w:val="16"/>
                <w:b w:val="1"/>
                <w:bCs w:val="1"/>
                <w:color w:val="auto"/>
                <w:w w:val="95"/>
              </w:rPr>
              <w:t>Year Ended 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Initial allowance upon adoption</w:t>
            </w:r>
          </w:p>
        </w:tc>
        <w:tc>
          <w:tcPr>
            <w:tcW w:w="24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309,362</w:t>
            </w:r>
          </w:p>
        </w:tc>
      </w:tr>
      <w:tr>
        <w:trPr>
          <w:trHeight w:val="230"/>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allowance from current period investments</w:t>
            </w: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90,368</w:t>
            </w: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Current period change in credit allowance</w:t>
            </w:r>
          </w:p>
        </w:tc>
        <w:tc>
          <w:tcPr>
            <w:tcW w:w="24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154,149</w:t>
            </w: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Recoveries</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December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January 1, 2020, the date of adoption: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20320</wp:posOffset>
            </wp:positionV>
            <wp:extent cx="57518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2620" w:val="left"/>
          <w:tab w:leader="none" w:pos="3900" w:val="left"/>
          <w:tab w:leader="none" w:pos="5240" w:val="left"/>
          <w:tab w:leader="none" w:pos="6560" w:val="left"/>
          <w:tab w:leader="none" w:pos="7860" w:val="left"/>
          <w:tab w:leader="none" w:pos="9060" w:val="left"/>
          <w:tab w:leader="none" w:pos="10400" w:val="left"/>
        </w:tabs>
        <w:rPr>
          <w:sz w:val="20"/>
          <w:szCs w:val="20"/>
          <w:color w:val="auto"/>
        </w:rPr>
      </w:pPr>
      <w:r>
        <w:rPr>
          <w:rFonts w:ascii="Arial" w:cs="Arial" w:eastAsia="Arial" w:hAnsi="Arial"/>
          <w:sz w:val="14"/>
          <w:szCs w:val="14"/>
          <w:b w:val="1"/>
          <w:bCs w:val="1"/>
          <w:i w:val="1"/>
          <w:iCs w:val="1"/>
          <w:u w:val="single" w:color="auto"/>
          <w:color w:val="auto"/>
        </w:rPr>
        <w:t>(In thousands)</w:t>
      </w:r>
      <w:r>
        <w:rPr>
          <w:sz w:val="20"/>
          <w:szCs w:val="20"/>
          <w:color w:val="auto"/>
        </w:rPr>
        <w:tab/>
      </w:r>
      <w:r>
        <w:rPr>
          <w:rFonts w:ascii="Arial" w:cs="Arial" w:eastAsia="Arial" w:hAnsi="Arial"/>
          <w:sz w:val="16"/>
          <w:szCs w:val="16"/>
          <w:b w:val="1"/>
          <w:bCs w:val="1"/>
          <w:color w:val="auto"/>
        </w:rPr>
        <w:t>Ba2</w:t>
      </w:r>
      <w:r>
        <w:rPr>
          <w:sz w:val="20"/>
          <w:szCs w:val="20"/>
          <w:color w:val="auto"/>
        </w:rPr>
        <w:tab/>
      </w:r>
      <w:r>
        <w:rPr>
          <w:rFonts w:ascii="Arial" w:cs="Arial" w:eastAsia="Arial" w:hAnsi="Arial"/>
          <w:sz w:val="16"/>
          <w:szCs w:val="16"/>
          <w:b w:val="1"/>
          <w:bCs w:val="1"/>
          <w:color w:val="auto"/>
        </w:rPr>
        <w:t>Ba3</w:t>
      </w:r>
      <w:r>
        <w:rPr>
          <w:sz w:val="20"/>
          <w:szCs w:val="20"/>
          <w:color w:val="auto"/>
        </w:rPr>
        <w:tab/>
      </w:r>
      <w:r>
        <w:rPr>
          <w:rFonts w:ascii="Arial" w:cs="Arial" w:eastAsia="Arial" w:hAnsi="Arial"/>
          <w:sz w:val="16"/>
          <w:szCs w:val="16"/>
          <w:b w:val="1"/>
          <w:bCs w:val="1"/>
          <w:color w:val="auto"/>
        </w:rPr>
        <w:t>B1</w:t>
      </w:r>
      <w:r>
        <w:rPr>
          <w:sz w:val="20"/>
          <w:szCs w:val="20"/>
          <w:color w:val="auto"/>
        </w:rPr>
        <w:tab/>
      </w:r>
      <w:r>
        <w:rPr>
          <w:rFonts w:ascii="Arial" w:cs="Arial" w:eastAsia="Arial" w:hAnsi="Arial"/>
          <w:sz w:val="16"/>
          <w:szCs w:val="16"/>
          <w:b w:val="1"/>
          <w:bCs w:val="1"/>
          <w:color w:val="auto"/>
        </w:rPr>
        <w:t>B2</w:t>
      </w:r>
      <w:r>
        <w:rPr>
          <w:sz w:val="20"/>
          <w:szCs w:val="20"/>
          <w:color w:val="auto"/>
        </w:rPr>
        <w:tab/>
      </w:r>
      <w:r>
        <w:rPr>
          <w:rFonts w:ascii="Arial" w:cs="Arial" w:eastAsia="Arial" w:hAnsi="Arial"/>
          <w:sz w:val="16"/>
          <w:szCs w:val="16"/>
          <w:b w:val="1"/>
          <w:bCs w:val="1"/>
          <w:color w:val="auto"/>
        </w:rPr>
        <w:t>B3</w:t>
      </w:r>
      <w:r>
        <w:rPr>
          <w:sz w:val="20"/>
          <w:szCs w:val="20"/>
          <w:color w:val="auto"/>
        </w:rPr>
        <w:tab/>
      </w:r>
      <w:r>
        <w:rPr>
          <w:rFonts w:ascii="Arial" w:cs="Arial" w:eastAsia="Arial" w:hAnsi="Arial"/>
          <w:sz w:val="16"/>
          <w:szCs w:val="16"/>
          <w:b w:val="1"/>
          <w:bCs w:val="1"/>
          <w:color w:val="auto"/>
        </w:rPr>
        <w:t>N/A</w:t>
      </w:r>
      <w:r>
        <w:rPr>
          <w:rFonts w:ascii="Arial" w:cs="Arial" w:eastAsia="Arial" w:hAnsi="Arial"/>
          <w:sz w:val="21"/>
          <w:szCs w:val="21"/>
          <w:b w:val="1"/>
          <w:bCs w:val="1"/>
          <w:i w:val="1"/>
          <w:iCs w:val="1"/>
          <w:color w:val="auto"/>
          <w:vertAlign w:val="superscript"/>
        </w:rPr>
        <w:t>(1)</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5911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tbl>
      <w:tblPr>
        <w:tblLayout w:type="fixed"/>
        <w:tblInd w:w="20" w:type="dxa"/>
        <w:tblCellMar>
          <w:top w:w="0" w:type="dxa"/>
          <w:left w:w="0" w:type="dxa"/>
          <w:bottom w:w="0" w:type="dxa"/>
          <w:right w:w="0" w:type="dxa"/>
        </w:tblCellMar>
      </w:tblPr>
      <w:tr>
        <w:trPr>
          <w:trHeight w:val="160"/>
        </w:trPr>
        <w:tc>
          <w:tcPr>
            <w:tcW w:w="2140" w:type="dxa"/>
            <w:vAlign w:val="bottom"/>
          </w:tcPr>
          <w:p>
            <w:pPr>
              <w:spacing w:after="0" w:line="160" w:lineRule="exact"/>
              <w:rPr>
                <w:sz w:val="20"/>
                <w:szCs w:val="20"/>
                <w:color w:val="auto"/>
              </w:rPr>
            </w:pPr>
            <w:r>
              <w:rPr>
                <w:rFonts w:ascii="Arial" w:cs="Arial" w:eastAsia="Arial" w:hAnsi="Arial"/>
                <w:sz w:val="18"/>
                <w:szCs w:val="18"/>
                <w:color w:val="auto"/>
                <w:w w:val="89"/>
              </w:rPr>
              <w:t>Investments in leases - sales-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line="176" w:lineRule="exact"/>
              <w:rPr>
                <w:sz w:val="20"/>
                <w:szCs w:val="20"/>
                <w:color w:val="auto"/>
              </w:rPr>
            </w:pPr>
            <w:r>
              <w:rPr>
                <w:rFonts w:ascii="Arial" w:cs="Arial" w:eastAsia="Arial" w:hAnsi="Arial"/>
                <w:sz w:val="18"/>
                <w:szCs w:val="18"/>
                <w:color w:val="auto"/>
              </w:rPr>
              <w:t>type, direct financing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line="176" w:lineRule="exact"/>
              <w:rPr>
                <w:sz w:val="20"/>
                <w:szCs w:val="20"/>
                <w:color w:val="auto"/>
              </w:rPr>
            </w:pPr>
            <w:r>
              <w:rPr>
                <w:rFonts w:ascii="Arial" w:cs="Arial" w:eastAsia="Arial" w:hAnsi="Arial"/>
                <w:sz w:val="18"/>
                <w:szCs w:val="18"/>
                <w:color w:val="auto"/>
              </w:rPr>
              <w:t>financing receivable,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Pr>
          <w:p>
            <w:pPr>
              <w:spacing w:after="0" w:line="176" w:lineRule="exact"/>
              <w:rPr>
                <w:sz w:val="20"/>
                <w:szCs w:val="20"/>
                <w:color w:val="auto"/>
              </w:rPr>
            </w:pPr>
            <w:r>
              <w:rPr>
                <w:rFonts w:ascii="Arial" w:cs="Arial" w:eastAsia="Arial" w:hAnsi="Arial"/>
                <w:sz w:val="18"/>
                <w:szCs w:val="18"/>
                <w:color w:val="auto"/>
              </w:rPr>
              <w:t>Investments in loans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 w:leader="none" w:pos="1260" w:val="left"/>
          <w:tab w:leader="none" w:pos="1640" w:val="left"/>
          <w:tab w:leader="none" w:pos="1980" w:val="left"/>
          <w:tab w:leader="none" w:pos="2980" w:val="left"/>
          <w:tab w:leader="none" w:pos="3500" w:val="left"/>
          <w:tab w:leader="none" w:pos="4280" w:val="left"/>
          <w:tab w:leader="none" w:pos="4800" w:val="left"/>
          <w:tab w:leader="none" w:pos="5580" w:val="left"/>
          <w:tab w:leader="none" w:pos="6180" w:val="left"/>
          <w:tab w:leader="none" w:pos="6860" w:val="left"/>
          <w:tab w:leader="none" w:pos="72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tab/>
        <w:t>15,733,402</w:t>
        <w:tab/>
        <w:t>$</w:t>
      </w:r>
      <w:r>
        <w:rPr>
          <w:sz w:val="20"/>
          <w:szCs w:val="20"/>
          <w:color w:val="auto"/>
        </w:rPr>
        <w:tab/>
      </w:r>
      <w:r>
        <w:rPr>
          <w:rFonts w:ascii="Arial" w:cs="Arial" w:eastAsia="Arial" w:hAnsi="Arial"/>
          <w:sz w:val="18"/>
          <w:szCs w:val="18"/>
          <w:color w:val="auto"/>
        </w:rPr>
        <w:t>934,628</w:t>
        <w:tab/>
        <w:t>$</w:t>
      </w:r>
      <w:r>
        <w:rPr>
          <w:sz w:val="20"/>
          <w:szCs w:val="20"/>
          <w:color w:val="auto"/>
        </w:rPr>
        <w:tab/>
      </w:r>
      <w:r>
        <w:rPr>
          <w:rFonts w:ascii="Arial" w:cs="Arial" w:eastAsia="Arial" w:hAnsi="Arial"/>
          <w:sz w:val="18"/>
          <w:szCs w:val="18"/>
          <w:color w:val="auto"/>
        </w:rPr>
        <w:t>281,246</w:t>
        <w:tab/>
        <w:t>$</w:t>
      </w:r>
      <w:r>
        <w:rPr>
          <w:sz w:val="20"/>
          <w:szCs w:val="20"/>
          <w:color w:val="auto"/>
        </w:rPr>
        <w:tab/>
      </w:r>
      <w:r>
        <w:rPr>
          <w:rFonts w:ascii="Arial" w:cs="Arial" w:eastAsia="Arial" w:hAnsi="Arial"/>
          <w:sz w:val="18"/>
          <w:szCs w:val="18"/>
          <w:color w:val="auto"/>
        </w:rPr>
        <w:t>65,012</w:t>
        <w:tab/>
        <w:t>$</w:t>
      </w:r>
      <w:r>
        <w:rPr>
          <w:sz w:val="20"/>
          <w:szCs w:val="20"/>
          <w:color w:val="auto"/>
        </w:rPr>
        <w:tab/>
      </w:r>
      <w:r>
        <w:rPr>
          <w:rFonts w:ascii="Arial" w:cs="Arial" w:eastAsia="Arial" w:hAnsi="Arial"/>
          <w:sz w:val="15"/>
          <w:szCs w:val="15"/>
          <w:color w:val="auto"/>
        </w:rPr>
        <w:t>17,014,288</w:t>
      </w:r>
    </w:p>
    <w:p>
      <w:pPr>
        <w:spacing w:after="0" w:line="104" w:lineRule="exact"/>
        <w:rPr>
          <w:sz w:val="20"/>
          <w:szCs w:val="20"/>
          <w:color w:val="auto"/>
        </w:rPr>
      </w:pPr>
    </w:p>
    <w:p>
      <w:pPr>
        <w:sectPr>
          <w:pgSz w:w="11900" w:h="16838" w:orient="portrait"/>
          <w:cols w:equalWidth="0" w:num="2">
            <w:col w:w="2380" w:space="720"/>
            <w:col w:w="814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2"/>
              </w:rPr>
              <w:t>January 1, 2020</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1060" w:type="dxa"/>
            <w:vAlign w:val="bottom"/>
            <w:gridSpan w:val="2"/>
          </w:tcPr>
          <w:p>
            <w:pPr>
              <w:ind w:left="220"/>
              <w:spacing w:after="0" w:line="172" w:lineRule="exact"/>
              <w:rPr>
                <w:sz w:val="20"/>
                <w:szCs w:val="20"/>
                <w:color w:val="auto"/>
              </w:rPr>
            </w:pPr>
            <w:r>
              <w:rPr>
                <w:rFonts w:ascii="Arial" w:cs="Arial" w:eastAsia="Arial" w:hAnsi="Arial"/>
                <w:sz w:val="16"/>
                <w:szCs w:val="16"/>
                <w:b w:val="1"/>
                <w:bCs w:val="1"/>
                <w:color w:val="auto"/>
              </w:rPr>
              <w:t>Ba2</w:t>
            </w:r>
          </w:p>
        </w:tc>
        <w:tc>
          <w:tcPr>
            <w:tcW w:w="280" w:type="dxa"/>
            <w:vAlign w:val="bottom"/>
          </w:tcPr>
          <w:p>
            <w:pPr>
              <w:spacing w:after="0"/>
              <w:rPr>
                <w:sz w:val="14"/>
                <w:szCs w:val="14"/>
                <w:color w:val="auto"/>
              </w:rPr>
            </w:pPr>
          </w:p>
        </w:tc>
        <w:tc>
          <w:tcPr>
            <w:tcW w:w="1260" w:type="dxa"/>
            <w:vAlign w:val="bottom"/>
            <w:gridSpan w:val="3"/>
          </w:tcPr>
          <w:p>
            <w:pPr>
              <w:ind w:left="160"/>
              <w:spacing w:after="0" w:line="172" w:lineRule="exact"/>
              <w:rPr>
                <w:sz w:val="20"/>
                <w:szCs w:val="20"/>
                <w:color w:val="auto"/>
              </w:rPr>
            </w:pPr>
            <w:r>
              <w:rPr>
                <w:rFonts w:ascii="Arial" w:cs="Arial" w:eastAsia="Arial" w:hAnsi="Arial"/>
                <w:sz w:val="16"/>
                <w:szCs w:val="16"/>
                <w:b w:val="1"/>
                <w:bCs w:val="1"/>
                <w:color w:val="auto"/>
              </w:rPr>
              <w:t>Ba3</w:t>
            </w:r>
          </w:p>
        </w:tc>
        <w:tc>
          <w:tcPr>
            <w:tcW w:w="1060" w:type="dxa"/>
            <w:vAlign w:val="bottom"/>
            <w:gridSpan w:val="2"/>
          </w:tcPr>
          <w:p>
            <w:pPr>
              <w:ind w:left="260"/>
              <w:spacing w:after="0" w:line="172" w:lineRule="exact"/>
              <w:rPr>
                <w:sz w:val="20"/>
                <w:szCs w:val="20"/>
                <w:color w:val="auto"/>
              </w:rPr>
            </w:pPr>
            <w:r>
              <w:rPr>
                <w:rFonts w:ascii="Arial" w:cs="Arial" w:eastAsia="Arial" w:hAnsi="Arial"/>
                <w:sz w:val="16"/>
                <w:szCs w:val="16"/>
                <w:b w:val="1"/>
                <w:bCs w:val="1"/>
                <w:color w:val="auto"/>
              </w:rPr>
              <w:t>B1</w:t>
            </w:r>
          </w:p>
        </w:tc>
        <w:tc>
          <w:tcPr>
            <w:tcW w:w="320" w:type="dxa"/>
            <w:vAlign w:val="bottom"/>
          </w:tcPr>
          <w:p>
            <w:pPr>
              <w:spacing w:after="0"/>
              <w:rPr>
                <w:sz w:val="14"/>
                <w:szCs w:val="14"/>
                <w:color w:val="auto"/>
              </w:rPr>
            </w:pPr>
          </w:p>
        </w:tc>
        <w:tc>
          <w:tcPr>
            <w:tcW w:w="980" w:type="dxa"/>
            <w:vAlign w:val="bottom"/>
            <w:gridSpan w:val="2"/>
          </w:tcPr>
          <w:p>
            <w:pPr>
              <w:jc w:val="center"/>
              <w:ind w:right="420"/>
              <w:spacing w:after="0" w:line="172" w:lineRule="exact"/>
              <w:rPr>
                <w:sz w:val="20"/>
                <w:szCs w:val="20"/>
                <w:color w:val="auto"/>
              </w:rPr>
            </w:pPr>
            <w:r>
              <w:rPr>
                <w:rFonts w:ascii="Arial" w:cs="Arial" w:eastAsia="Arial" w:hAnsi="Arial"/>
                <w:sz w:val="16"/>
                <w:szCs w:val="16"/>
                <w:b w:val="1"/>
                <w:bCs w:val="1"/>
                <w:color w:val="auto"/>
                <w:w w:val="97"/>
              </w:rPr>
              <w:t>B2</w:t>
            </w:r>
          </w:p>
        </w:tc>
        <w:tc>
          <w:tcPr>
            <w:tcW w:w="300" w:type="dxa"/>
            <w:vAlign w:val="bottom"/>
          </w:tcPr>
          <w:p>
            <w:pPr>
              <w:spacing w:after="0"/>
              <w:rPr>
                <w:sz w:val="14"/>
                <w:szCs w:val="14"/>
                <w:color w:val="auto"/>
              </w:rPr>
            </w:pPr>
          </w:p>
        </w:tc>
        <w:tc>
          <w:tcPr>
            <w:tcW w:w="1240" w:type="dxa"/>
            <w:vAlign w:val="bottom"/>
            <w:gridSpan w:val="3"/>
          </w:tcPr>
          <w:p>
            <w:pPr>
              <w:ind w:left="200"/>
              <w:spacing w:after="0" w:line="172" w:lineRule="exact"/>
              <w:rPr>
                <w:sz w:val="20"/>
                <w:szCs w:val="20"/>
                <w:color w:val="auto"/>
              </w:rPr>
            </w:pPr>
            <w:r>
              <w:rPr>
                <w:rFonts w:ascii="Arial" w:cs="Arial" w:eastAsia="Arial" w:hAnsi="Arial"/>
                <w:sz w:val="16"/>
                <w:szCs w:val="16"/>
                <w:b w:val="1"/>
                <w:bCs w:val="1"/>
                <w:color w:val="auto"/>
              </w:rPr>
              <w:t>B3</w:t>
            </w:r>
          </w:p>
        </w:tc>
        <w:tc>
          <w:tcPr>
            <w:tcW w:w="1300" w:type="dxa"/>
            <w:vAlign w:val="bottom"/>
            <w:gridSpan w:val="3"/>
          </w:tcPr>
          <w:p>
            <w:pPr>
              <w:ind w:left="14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1020" w:type="dxa"/>
            <w:vAlign w:val="bottom"/>
          </w:tcPr>
          <w:p>
            <w:pPr>
              <w:jc w:val="right"/>
              <w:ind w:right="375"/>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Investments in leases - sales-</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type, direct financing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financing receivable,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1,527,776</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8,926,229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280,240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0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10,734,245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We estimate the CECL allowance for the Chelsea Piers Mortgage Loan using a traditional commercial real estate model based on standardized credit metrics to estimate potential losses.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December 31, 2020 and 2019:</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6"/>
                <w:szCs w:val="16"/>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Sales-type sub-leases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69,204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70,406</w:t>
            </w: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Debt financing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14,575</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Tenant receivable for property taxes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11,134</w:t>
            </w: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60,111</w:t>
            </w:r>
          </w:p>
        </w:tc>
      </w:tr>
      <w:tr>
        <w:trPr>
          <w:trHeight w:val="230"/>
        </w:trPr>
        <w:tc>
          <w:tcPr>
            <w:tcW w:w="7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December 31,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1"/>
              </w:rPr>
              <w:t>December 31, 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right"/>
              <w:ind w:right="292"/>
              <w:spacing w:after="0"/>
              <w:rPr>
                <w:sz w:val="20"/>
                <w:szCs w:val="20"/>
                <w:color w:val="auto"/>
              </w:rPr>
            </w:pPr>
            <w:r>
              <w:rPr>
                <w:rFonts w:ascii="Arial" w:cs="Arial" w:eastAsia="Arial" w:hAnsi="Arial"/>
                <w:sz w:val="16"/>
                <w:szCs w:val="16"/>
                <w:b w:val="1"/>
                <w:bCs w:val="1"/>
                <w:color w:val="auto"/>
                <w:w w:val="94"/>
              </w:rPr>
              <w:t>December 31, 2019</w:t>
            </w:r>
          </w:p>
        </w:tc>
        <w:tc>
          <w:tcPr>
            <w:tcW w:w="2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gridSpan w:val="4"/>
          </w:tcPr>
          <w:p>
            <w:pPr>
              <w:spacing w:after="0"/>
              <w:rPr>
                <w:sz w:val="20"/>
                <w:szCs w:val="20"/>
                <w:color w:val="auto"/>
              </w:rPr>
            </w:pPr>
            <w:r>
              <w:rPr>
                <w:rFonts w:ascii="Arial" w:cs="Arial" w:eastAsia="Arial" w:hAnsi="Arial"/>
                <w:sz w:val="18"/>
                <w:szCs w:val="18"/>
                <w:color w:val="auto"/>
              </w:rPr>
              <w:t>Buildings and improvements</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14,805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Total property and equipment used in operations</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78,674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Total property and equipment used in operations, net</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5"/>
              </w:rPr>
              <w:t>Year Ended December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51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4"/>
                <w:szCs w:val="14"/>
                <w:color w:val="auto"/>
              </w:rPr>
            </w:pPr>
          </w:p>
        </w:tc>
        <w:tc>
          <w:tcPr>
            <w:tcW w:w="1400" w:type="dxa"/>
            <w:vAlign w:val="bottom"/>
          </w:tcPr>
          <w:p>
            <w:pPr>
              <w:jc w:val="right"/>
              <w:ind w:right="635"/>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ind w:right="612"/>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712"/>
              <w:spacing w:after="0" w:line="172"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5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28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65,078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Accrued payroll and other compensation</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3,382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200"/>
              <w:spacing w:after="0"/>
              <w:rPr>
                <w:sz w:val="20"/>
                <w:szCs w:val="20"/>
                <w:color w:val="auto"/>
              </w:rPr>
            </w:pPr>
            <w:r>
              <w:rPr>
                <w:rFonts w:ascii="Arial" w:cs="Arial" w:eastAsia="Arial" w:hAnsi="Arial"/>
                <w:sz w:val="18"/>
                <w:szCs w:val="18"/>
                <w:color w:val="auto"/>
              </w:rPr>
              <w:t>Total other liabilities</w:t>
            </w:r>
          </w:p>
        </w:tc>
        <w:tc>
          <w:tcPr>
            <w:tcW w:w="28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123,918</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60" w:type="dxa"/>
            <w:vAlign w:val="bottom"/>
            <w:gridSpan w:val="2"/>
          </w:tcPr>
          <w:p>
            <w:pPr>
              <w:jc w:val="right"/>
              <w:ind w:right="1310"/>
              <w:spacing w:after="0"/>
              <w:rPr>
                <w:sz w:val="20"/>
                <w:szCs w:val="20"/>
                <w:color w:val="auto"/>
              </w:rPr>
            </w:pPr>
            <w:r>
              <w:rPr>
                <w:rFonts w:ascii="Arial" w:cs="Arial" w:eastAsia="Arial" w:hAnsi="Arial"/>
                <w:sz w:val="18"/>
                <w:szCs w:val="18"/>
                <w:color w:val="auto"/>
              </w:rPr>
              <w:t>F-38</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December 31,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6"/>
              </w:rPr>
              <w:t>Final</w:t>
            </w:r>
          </w:p>
        </w:tc>
        <w:tc>
          <w:tcPr>
            <w:tcW w:w="60" w:type="dxa"/>
            <w:vAlign w:val="bottom"/>
          </w:tcPr>
          <w:p>
            <w:pPr>
              <w:spacing w:after="0"/>
              <w:rPr>
                <w:sz w:val="13"/>
                <w:szCs w:val="13"/>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2"/>
              </w:rPr>
              <w:t>Interest 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w w:val="88"/>
              </w:rPr>
              <w:t>Face Value</w:t>
            </w: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7"/>
              </w:rPr>
              <w:t>Carrying Value</w:t>
            </w:r>
            <w:r>
              <w:rPr>
                <w:rFonts w:ascii="Arial" w:cs="Arial" w:eastAsia="Arial" w:hAnsi="Arial"/>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Maturity</w:t>
            </w:r>
          </w:p>
        </w:tc>
        <w:tc>
          <w:tcPr>
            <w:tcW w:w="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+ 2.00%</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7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L + 1.75%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6,850,000</w:t>
            </w: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00" w:type="dxa"/>
            <w:vAlign w:val="bottom"/>
          </w:tcPr>
          <w:p>
            <w:pPr>
              <w:spacing w:after="0"/>
              <w:rPr>
                <w:sz w:val="13"/>
                <w:szCs w:val="13"/>
                <w:color w:val="auto"/>
              </w:rPr>
            </w:pPr>
          </w:p>
        </w:tc>
        <w:tc>
          <w:tcPr>
            <w:tcW w:w="980" w:type="dxa"/>
            <w:vAlign w:val="bottom"/>
            <w:gridSpan w:val="2"/>
          </w:tcPr>
          <w:p>
            <w:pPr>
              <w:jc w:val="center"/>
              <w:ind w:left="99"/>
              <w:spacing w:after="0" w:line="155" w:lineRule="exact"/>
              <w:rPr>
                <w:sz w:val="20"/>
                <w:szCs w:val="20"/>
                <w:color w:val="auto"/>
              </w:rPr>
            </w:pPr>
            <w:r>
              <w:rPr>
                <w:rFonts w:ascii="Arial" w:cs="Arial" w:eastAsia="Arial" w:hAnsi="Arial"/>
                <w:sz w:val="16"/>
                <w:szCs w:val="16"/>
                <w:b w:val="1"/>
                <w:bCs w:val="1"/>
                <w:color w:val="auto"/>
                <w:w w:val="96"/>
              </w:rPr>
              <w:t>Final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4"/>
              </w:rPr>
              <w:t>Interest 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Face Value</w:t>
            </w:r>
          </w:p>
        </w:tc>
        <w:tc>
          <w:tcPr>
            <w:tcW w:w="10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6"/>
                <w:szCs w:val="16"/>
                <w:b w:val="1"/>
                <w:bCs w:val="1"/>
                <w:color w:val="auto"/>
                <w:w w:val="99"/>
              </w:rPr>
              <w:t>Maturity</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L + 2.00%</w:t>
            </w:r>
          </w:p>
        </w:tc>
        <w:tc>
          <w:tcPr>
            <w:tcW w:w="28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L + 2.00%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3"/>
                <w:szCs w:val="23"/>
                <w:i w:val="1"/>
                <w:iCs w:val="1"/>
                <w:color w:val="auto"/>
                <w:vertAlign w:val="superscript"/>
              </w:rPr>
              <w:t>(5)</w:t>
            </w:r>
          </w:p>
        </w:tc>
        <w:tc>
          <w:tcPr>
            <w:tcW w:w="9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9"/>
                <w:szCs w:val="19"/>
                <w:color w:val="auto"/>
              </w:rPr>
            </w:pPr>
          </w:p>
        </w:tc>
        <w:tc>
          <w:tcPr>
            <w:tcW w:w="1120" w:type="dxa"/>
            <w:vAlign w:val="bottom"/>
            <w:gridSpan w:val="3"/>
          </w:tcPr>
          <w:p>
            <w:pPr>
              <w:jc w:val="center"/>
              <w:ind w:left="230"/>
              <w:spacing w:after="0"/>
              <w:rPr>
                <w:sz w:val="20"/>
                <w:szCs w:val="20"/>
                <w:color w:val="auto"/>
              </w:rPr>
            </w:pPr>
            <w:r>
              <w:rPr>
                <w:rFonts w:ascii="Arial" w:cs="Arial" w:eastAsia="Arial" w:hAnsi="Arial"/>
                <w:sz w:val="18"/>
                <w:szCs w:val="18"/>
                <w:color w:val="auto"/>
                <w:w w:val="93"/>
              </w:rPr>
              <w:t>8.00%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gridSpan w:val="3"/>
          </w:tcPr>
          <w:p>
            <w:pPr>
              <w:jc w:val="center"/>
              <w:ind w:left="230"/>
              <w:spacing w:after="0"/>
              <w:rPr>
                <w:sz w:val="20"/>
                <w:szCs w:val="20"/>
                <w:color w:val="auto"/>
              </w:rPr>
            </w:pPr>
            <w:r>
              <w:rPr>
                <w:rFonts w:ascii="Arial" w:cs="Arial" w:eastAsia="Arial" w:hAnsi="Arial"/>
                <w:sz w:val="18"/>
                <w:szCs w:val="18"/>
                <w:color w:val="auto"/>
                <w:w w:val="93"/>
              </w:rPr>
              <w:t>4.25%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4.625%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4,848,480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4,791,563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On May 15, 2019, we amended our Revolving Credit Facility to, among other things, increase borrowing capacity by $600.0 million to a total of $1.0 billion and extend the maturity date to May 2024. After giving effect to the amendments executed on May 15, 2019, borrowings under the Revolving Credit Facility will bear interest at a rate based on a leverage-based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The commitment fee was 0.375% as of December 31, 2020.</w:t>
      </w:r>
    </w:p>
    <w:p>
      <w:pPr>
        <w:spacing w:after="0" w:line="2"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In connection with the repricing of the Term Loan B Facility in January 2020, the interest rate was decreased to LIBOR plus 1.75%. As of December 31, 2020 and 2019, we had six interest rate swap agreements outstanding with third-party financial institutions having an aggregate notional amount of $2.0 billion at a blended LIBOR rate of 2.7173%.</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64"/>
        </w:numPr>
        <w:rPr>
          <w:rFonts w:ascii="Arial" w:cs="Arial" w:eastAsia="Arial" w:hAnsi="Arial"/>
          <w:sz w:val="14"/>
          <w:szCs w:val="14"/>
          <w:i w:val="1"/>
          <w:iCs w:val="1"/>
          <w:color w:val="auto"/>
        </w:rPr>
      </w:pPr>
      <w:r>
        <w:rPr>
          <w:rFonts w:ascii="Arial" w:cs="Arial" w:eastAsia="Arial" w:hAnsi="Arial"/>
          <w:sz w:val="14"/>
          <w:szCs w:val="14"/>
          <w:i w:val="1"/>
          <w:iCs w:val="1"/>
          <w:color w:val="auto"/>
        </w:rPr>
        <w:t>The Second Lien Notes were redeemed in full on February 20, 2020 with a portion of the proceeds from the February 2020 Senior Unsecured Notes offering.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00" w:type="dxa"/>
            <w:vAlign w:val="bottom"/>
          </w:tcPr>
          <w:p>
            <w:pPr>
              <w:spacing w:after="0"/>
              <w:rPr>
                <w:sz w:val="16"/>
                <w:szCs w:val="16"/>
                <w:color w:val="auto"/>
              </w:rPr>
            </w:pPr>
          </w:p>
        </w:tc>
        <w:tc>
          <w:tcPr>
            <w:tcW w:w="2580" w:type="dxa"/>
            <w:vAlign w:val="bottom"/>
          </w:tcPr>
          <w:p>
            <w:pPr>
              <w:jc w:val="right"/>
              <w:ind w:right="391"/>
              <w:spacing w:after="0"/>
              <w:rPr>
                <w:sz w:val="20"/>
                <w:szCs w:val="20"/>
                <w:color w:val="auto"/>
              </w:rPr>
            </w:pPr>
            <w:r>
              <w:rPr>
                <w:rFonts w:ascii="Arial" w:cs="Arial" w:eastAsia="Arial" w:hAnsi="Arial"/>
                <w:sz w:val="16"/>
                <w:szCs w:val="16"/>
                <w:b w:val="1"/>
                <w:bCs w:val="1"/>
                <w:color w:val="auto"/>
              </w:rPr>
              <w:t>Future Minimum Payments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23"/>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2,068,000</w:t>
            </w:r>
          </w:p>
        </w:tc>
      </w:tr>
      <w:tr>
        <w:trPr>
          <w:trHeight w:val="229"/>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repayments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26, 2019, the Operating Partnership and the Co-Issuer (together with the Operating Partnership, the “Issuers”), our wholly owned subsidiaries, issued (i) $1,250.0 million in aggregate principal amount of 4.250% 2026 Notes, which mature on December 1, 2026, and (ii) $1,000.0 million in aggregate principal amount of 4.625% 2029 Notes, which mature on December 1, 2029, under separate indentures, each dated as of November 26, 2019, among the Issuers, the subsidiary guarantors party thereto and UMB Bank, National Association, as trustee (the “Trustee”). We used a portion of the net proceeds of the offering to repay in full the CPLV CMBS Debt, and pay certain fees and expenses including the net prepayment penalty of $55.4 million. On January 24, 2020, the remaining net proceeds were used to pay for a portion of the purchase price of the JACK Cleveland/Thistledown Acquisition.</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The 2026 Notes and 2029 Notes are redeemable at our option, in whole or in part, at any time on or after December 1, 2022 and December 1, 2024, respectively, at the redemption prices set forth in the respective indenture. We may redeem some or all of the 2026 Notes or the 2029 Notes prior to such respective dates at a price equal to 100% of the principal amount thereof plus a “make-whole” premium. Prior to December 1, 2022, we may redeem up to 40% of the aggregate principal amount of the 2026 Notes or the 2029 Notes using the proceeds of certain equity offerings at the redemption price set forth in the respective indenture.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5, 2020, the Issuers issued (i) $750.0 million in aggregate principal amount of 3.500% 2025 Notes, which mature on February 15, 2025, (ii) $750.0 million in aggregate principal amount of 3.750% 2027 Notes, which mature on February 15, 2027, and (iii) $1,000.0 million in aggregate principal amount of 4.125% 2030 Notes, which mature on August 15, 2030, under separate indentures, each dated as of February 5, 2020, among the Issuers, the subsidiary guarantors party thereto and the Trustee. We placed $2.0 billion of the net proceeds of the offering into escrow pending the consummation of the Eldorado Transaction (which was subsequently released from escrow and used to fund a portion of the purchase price of the Eldorado Transaction on July 20, 2020), and used the remaining net proceeds from the 2025 Notes, together with cash on hand, to redeem in full the outstanding $498.5 million in aggregate principal amount of the Second Lien Notes plus the Second Lien Notes Applicable Premium (as defined in the Second Lien Notes indenture), for a total redemption cost of approximately $537.5 million.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February 2020 Senior Unsecured Notes is payable semi-annually in cash in arrears on February 15 and August 15 of each year. The 2025 Notes, 2027 Notes and 2030 Notes are redeemable at our option, in whole or in part, at any time on or after February 15, 2022, February 15, 2023, and February 15, 2025, respectively, at the redemption prices set forth in the respective indenture. We may redeem some or all of the 2025 Notes, 2027 Notes or 2030 Notes prior to such respective dates at a price equal to 100% of the principal amount thereof plus a “make-whole” premium. Prior to February 15, 2022, with respect to the 2025 Notes, and February 15, 2023, with respect to the 2027 Notes and 2030 Notes, we may redeem up to 40% of the aggregate principal amount of the 2025 Notes, 2027 Notes or 2030 Notes using the proceeds of certain equity offerings at the redemption price set forth in the respective indenture.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November 2019 Senior Unsecured Notes and the February 2020 Senior Unsecured Notes (together, the “Senior Unsecured Notes”) are fully and unconditionally guaranteed, jointly and severally, on a senior unsecured basis by each existing and future direct and indirect wholly owned material domestic subsidiary of the Operating Partnership that incurs or guarantees certain bank indebtedness or any other material capital market indebtedness, other than certain excluded subsidiaries and the Co-Issuer.</w:t>
      </w:r>
    </w:p>
    <w:p>
      <w:pPr>
        <w:spacing w:after="0" w:line="133"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133">
        <w:r>
          <w:rPr>
            <w:rFonts w:ascii="Arial" w:cs="Arial" w:eastAsia="Arial" w:hAnsi="Arial"/>
            <w:sz w:val="18"/>
            <w:szCs w:val="18"/>
            <w:u w:val="single" w:color="auto"/>
            <w:color w:val="0000FF"/>
          </w:rPr>
          <w:t>Note 16 -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respective indentures for the Senior Unsecured Notes each contain covenants that limit the Issuers’ and their restricted subsidiaries’ ability to, among other things: (i) incur additional debt; (ii) pay dividends on or make other distributions in respect of their capital stock or make other restricted payments;</w:t>
      </w:r>
    </w:p>
    <w:p>
      <w:pPr>
        <w:jc w:val="both"/>
        <w:ind w:firstLine="8"/>
        <w:spacing w:after="0" w:line="281" w:lineRule="auto"/>
        <w:tabs>
          <w:tab w:leader="none" w:pos="361"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w:t>
      </w:r>
    </w:p>
    <w:p>
      <w:pPr>
        <w:spacing w:after="0" w:line="1" w:lineRule="exact"/>
        <w:rPr>
          <w:rFonts w:ascii="Arial" w:cs="Arial" w:eastAsia="Arial" w:hAnsi="Arial"/>
          <w:sz w:val="16"/>
          <w:szCs w:val="16"/>
          <w:color w:val="auto"/>
        </w:rPr>
      </w:pPr>
    </w:p>
    <w:p>
      <w:pPr>
        <w:jc w:val="both"/>
        <w:ind w:firstLine="8"/>
        <w:spacing w:after="0" w:line="269" w:lineRule="auto"/>
        <w:tabs>
          <w:tab w:leader="none" w:pos="4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December 31, 2020, the restricted net assets of the Operating Partnership were approximately $8.0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previous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15, 2019, immediately after giving effect to Amendment No. 2, VICI PropCo entered into Amendment No. 3 (“Amendment No. 3”, together with Amendment No. 2, the “Amendments”) to the Credit Agreement, which amended and restated the Credit Agreement in its entirety as of May 15, 2019 (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 million. We are also subject to the financial covenants under the Revolving Credit Facility, as previously described above.</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2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23">
        <w:r>
          <w:rPr>
            <w:rFonts w:ascii="Arial" w:cs="Arial" w:eastAsia="Arial" w:hAnsi="Arial"/>
            <w:sz w:val="18"/>
            <w:szCs w:val="18"/>
            <w:u w:val="single" w:color="auto"/>
            <w:color w:val="0000FF"/>
          </w:rPr>
          <w:t>Note 9 — 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24, 2019, in connection with the Eldorado Transaction, VICI PropCo entered into the Commitment Letter with the Bridge Lender, pursuant to which and subject to the terms and conditions set forth therein, the Bridge Lender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were subject to a tiered commitment fee based on the period the commitment is outstanding and a structuring fee. The commitment fee was equal to, with respect to any commitments that are terminated prior to July 22, 2019, 0.25% of such commitments, with respect to any commitments that are outstanding on July 22, 2019 and are terminated prior to June 24, 2020, 0.50% of such commitments, with respect to any commitments that are outstanding on June 24, 2020 and are terminated prior to September 24, 2020, 0.75% of such commitments, and with respect to any commitments that are outstanding on September 24, 2020, 1.00% of such commitments. The structuring fee was equal to 0.10% of the total aggregate commitments at the date of the Commitment Letter and is payable as such commitments are terminated. For the years ended December 31, 2020 and 2019, we have recognized $3.1 million and $26.0 million, respectively, of fees related to the Bridge Facilities in Interest expense on our Statement of Operations. No such amount was recognized for the year ended December 31, 2018 as the Bridge Facilities were originated in 2019.</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November 2019 Senior Unsecured Notes offering, the commitments under the Bridge Facilities were reduced by $1.6 billion, to $3.2 billion. Following the February 2020 Senior Unsecured Notes offering, we placed $2.0 billion of the net proceeds of the offering into escrow pending the consummation of the Eldorado Transaction and the commitments under the Bridge Facilities were further reduced by $2.0 billion to $1.2 billion. The commitments under the Bridge Facilities were fully terminated at our election in June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Second Lien Notes were issued on October 6, 2017, pursuant to an indenture by and among VICI PropCo and its wholly owned subsidiary, VICI FC Inc., the subsidiary guarantors party thereto, and UMB Bank National Association, as trustee. 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partial redemption of the Second Lien Notes, we recognized a loss on extinguishment of debt of $23.0 million during the year ended December 31, 2018.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for a total redemption cost of $537.5 million. In connection with the full redemption, we recognized a loss on extinguishment of debt of $39.1 million during the year ended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CPLV CMBS Debt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CPLV CMBS Debt was incurred on October 6, 2017 pursuant to a loan agreement, and was secured by a first priority lien on all of the assets of CPLV Property Owner LLC, as borrower. On November 26, 2019, we used the proceeds from the November 2019 Senior Unsecured Notes offering to repay in full the CPLV CMBS Debt. Due to the prepayment of the CPLV CMBS Debt, we recognized a loss on extinguishment of debt of $58.1 million during the year ended December 31, 2019, the majority of which related to the prepayment penalty.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December 31, 2020, we are in compliance with all financial covenants under our debt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Derivatives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24, 2018, we entered into four interest rate swap agreements with third party financial institutions having an aggregate notional amount of $1.5 billion. On January 3, 2019, we entered into two 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 and 2.3802%, respectively. For the duration of the interest rate swap transactions, we are only subject to interest rate risk on $100.0 million of variable rate debt. Subsequent to year end, on January 22, 2021, two interest rate swap agreements having an aggregate notional amount of $500.0 million and a fixed interest rate of 2.3802% matured.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detail our outstanding interest rate derivatives that were designated as cash flow hedges of interest rate risk as of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2020</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Notional</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3"/>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$1,500,000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2019</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Notional</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3"/>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$1,500,000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 interest rate swaps are in net unrealized loss positions and are recorded within Other liabilities. The following table presents the effect of our derivative financial instruments on our Statement of Operations: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85"/>
        </w:trPr>
        <w:tc>
          <w:tcPr>
            <w:tcW w:w="5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10"/>
              <w:spacing w:after="0" w:line="186"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loss recorded in other comprehensive income</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30"/>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Interest recorded in interest expense</w:t>
            </w:r>
          </w:p>
        </w:tc>
        <w:tc>
          <w:tcPr>
            <w:tcW w:w="1220" w:type="dxa"/>
            <w:vAlign w:val="bottom"/>
          </w:tcPr>
          <w:p>
            <w:pPr>
              <w:jc w:val="right"/>
              <w:ind w:right="1033"/>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42,797</w:t>
            </w:r>
          </w:p>
        </w:tc>
        <w:tc>
          <w:tcPr>
            <w:tcW w:w="12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9,269</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6,305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assets and liabilities measured at fair value on a recurring basis as of December 31, 2020 and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7"/>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3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4360" w:type="dxa"/>
            <w:vAlign w:val="bottom"/>
          </w:tcPr>
          <w:p>
            <w:pPr>
              <w:ind w:left="22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816"/>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ind w:left="860"/>
              <w:spacing w:after="0"/>
              <w:rPr>
                <w:sz w:val="20"/>
                <w:szCs w:val="20"/>
                <w:color w:val="auto"/>
              </w:rPr>
            </w:pPr>
            <w:r>
              <w:rPr>
                <w:rFonts w:ascii="Arial" w:cs="Arial" w:eastAsia="Arial" w:hAnsi="Arial"/>
                <w:sz w:val="18"/>
                <w:szCs w:val="18"/>
                <w:color w:val="auto"/>
              </w:rPr>
              <w:t>F-44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7"/>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3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59,474</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304"/>
        </w:trPr>
        <w:tc>
          <w:tcPr>
            <w:tcW w:w="4360" w:type="dxa"/>
            <w:vAlign w:val="bottom"/>
          </w:tcPr>
          <w:p>
            <w:pPr>
              <w:ind w:left="22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65,078</w:t>
            </w:r>
          </w:p>
        </w:tc>
        <w:tc>
          <w:tcPr>
            <w:tcW w:w="1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65,078</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32" w:val="left"/>
        </w:tabs>
        <w:numPr>
          <w:ilvl w:val="0"/>
          <w:numId w:val="67"/>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our financial instruments at December 31, 2020 and 2019 for which fair value is only disclosed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4"/>
          </w:tcPr>
          <w:p>
            <w:pPr>
              <w:ind w:left="88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8"/>
                <w:szCs w:val="18"/>
                <w:color w:val="auto"/>
              </w:rPr>
            </w:pPr>
          </w:p>
        </w:tc>
        <w:tc>
          <w:tcPr>
            <w:tcW w:w="322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December 31, 2019</w:t>
            </w:r>
          </w:p>
        </w:tc>
      </w:tr>
      <w:tr>
        <w:trPr>
          <w:trHeight w:val="172"/>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131"/>
              <w:spacing w:after="0" w:line="172" w:lineRule="exact"/>
              <w:rPr>
                <w:sz w:val="20"/>
                <w:szCs w:val="20"/>
                <w:color w:val="auto"/>
              </w:rPr>
            </w:pPr>
            <w:r>
              <w:rPr>
                <w:rFonts w:ascii="Arial" w:cs="Arial" w:eastAsia="Arial" w:hAnsi="Arial"/>
                <w:sz w:val="16"/>
                <w:szCs w:val="16"/>
                <w:b w:val="1"/>
                <w:bCs w:val="1"/>
                <w:color w:val="auto"/>
                <w:w w:val="96"/>
              </w:rPr>
              <w:t>Carrying Amount</w:t>
            </w:r>
          </w:p>
        </w:tc>
        <w:tc>
          <w:tcPr>
            <w:tcW w:w="3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71"/>
              <w:spacing w:after="0" w:line="172" w:lineRule="exact"/>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71"/>
              <w:spacing w:after="0" w:line="172" w:lineRule="exact"/>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2,618,562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2,684,955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315,993</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315,993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1,101,893</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(2)</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Term Loan B Facility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2,080,974</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2,065,875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2,076,962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2,110,500</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Second Lien Notes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538,358</w:t>
            </w:r>
          </w:p>
        </w:tc>
      </w:tr>
      <w:tr>
        <w:trPr>
          <w:trHeight w:val="230"/>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2025 Notes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740,333</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2026 Notes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1,233,119</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1,287,500</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2027 Notes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739,733</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763,125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2029 Notes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985,730</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1,045,000</w:t>
            </w:r>
          </w:p>
        </w:tc>
      </w:tr>
      <w:tr>
        <w:trPr>
          <w:trHeight w:val="230"/>
        </w:trPr>
        <w:tc>
          <w:tcPr>
            <w:tcW w:w="20" w:type="dxa"/>
            <w:vAlign w:val="bottom"/>
          </w:tcPr>
          <w:p>
            <w:pPr>
              <w:spacing w:after="0"/>
              <w:rPr>
                <w:sz w:val="20"/>
                <w:szCs w:val="20"/>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2030 Notes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985,643</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1,045,000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(i) JACK Cleveland/Thistledown Lease Agreement and the MTA Properties, and (ii) the Amended and Restated ROV Loan, the Chelsea Piers Mortgage Loan and the Forum Convention Center Mortgage Loan, all of which were made during year ended December 31, 2020. Given the proximity of the date of our investment to the date of the financial statements, we determined that the fair value materially approximates the purchase price of the acquisition of these financial assets.</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32"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 in Connection with the Eldorado Transaction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in connection with the Eldorado Transaction and as required under ASC 842, we reassessed the lease classification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 and its carrying value immediately prior to the modification.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valued the real estate portfolio using a rent multiple taking into consideration a variety of factors, including (i) asset quality and location, (ii) property and lease-level operating performance and (iii) supply and demand dynamics of each property’s respective market. With respect to certain assets for which were subject to signed sale agreements as of the date of reassessment, and were subject to removal from the Regional Master Lease Agreement upon consummation of such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transactions, which includes Harrah’s Reno, Bally’s Atlantic City and Louisiana Downs, these assets were recorded at fair value using the contract price less costs to sell.</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re-measurement of the Caesars Lease Agreements to fair value, we recognized a $333.4 million gain upon lease modification in our Statement of Operations during the year ended December 31, 2020.</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assets measured at fair value on a non-recurring basis in relation to the gain upon modification of the Caesars Lease Agreements on July 20, 2020 the date of modification: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3"/>
              </w:rPr>
              <w:t>July 20, 2020</w:t>
            </w: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52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Investments in sales-type leases - Caesars Lease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14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280"/>
              <w:spacing w:after="0" w:line="230"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(1)</w:t>
            </w:r>
          </w:p>
        </w:tc>
        <w:tc>
          <w:tcPr>
            <w:tcW w:w="1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Investments in sales-type leases - assets subject to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55,325</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55,325</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80"/>
              <w:spacing w:after="0" w:line="230"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(2)</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41" w:lineRule="auto"/>
        <w:tabs>
          <w:tab w:leader="none" w:pos="2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MTA Properties Acquisitions, HLV Additional Rent Acquisition and CPLV Additional Rent Acquisition as these transactions occurred in connection with the Eldorado Transaction and the investments are measured at historical cost.</w:t>
      </w:r>
    </w:p>
    <w:p>
      <w:pPr>
        <w:ind w:left="340" w:hanging="332"/>
        <w:spacing w:after="0" w:line="255" w:lineRule="auto"/>
        <w:tabs>
          <w:tab w:leader="none" w:pos="2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Reno, Bally’s Atlantic City and Louisiana Downs assets, which were subject to sales agreements at the date of the modification. The fair value of these investments is based on the contract price and represents a Level 2 measurement as defined in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non-recurring Level 3 fair value measurements: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Significant Assumptions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760" w:type="dxa"/>
            <w:vAlign w:val="bottom"/>
            <w:gridSpan w:val="2"/>
            <w:vMerge w:val="restart"/>
          </w:tcPr>
          <w:p>
            <w:pPr>
              <w:jc w:val="center"/>
              <w:ind w:right="1000"/>
              <w:spacing w:after="0"/>
              <w:rPr>
                <w:sz w:val="20"/>
                <w:szCs w:val="20"/>
                <w:color w:val="auto"/>
              </w:rPr>
            </w:pPr>
            <w:r>
              <w:rPr>
                <w:rFonts w:ascii="Arial" w:cs="Arial" w:eastAsia="Arial" w:hAnsi="Arial"/>
                <w:sz w:val="18"/>
                <w:szCs w:val="18"/>
                <w:b w:val="1"/>
                <w:bCs w:val="1"/>
                <w:color w:val="auto"/>
                <w:w w:val="87"/>
              </w:rPr>
              <w:t>Asset Type</w:t>
            </w:r>
          </w:p>
        </w:tc>
        <w:tc>
          <w:tcPr>
            <w:tcW w:w="260" w:type="dxa"/>
            <w:vAlign w:val="bottom"/>
          </w:tcPr>
          <w:p>
            <w:pPr>
              <w:spacing w:after="0" w:line="20" w:lineRule="exact"/>
              <w:rPr>
                <w:sz w:val="1"/>
                <w:szCs w:val="1"/>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i w:val="1"/>
                <w:iCs w:val="1"/>
                <w:color w:val="auto"/>
                <w:vertAlign w:val="superscript"/>
              </w:rPr>
              <w:t>(1)</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Valuation Technique</w:t>
            </w: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Range</w:t>
            </w:r>
          </w:p>
        </w:tc>
        <w:tc>
          <w:tcPr>
            <w:tcW w:w="1680" w:type="dxa"/>
            <w:vAlign w:val="bottom"/>
          </w:tcPr>
          <w:p>
            <w:pPr>
              <w:jc w:val="center"/>
              <w:spacing w:after="0" w:line="223" w:lineRule="exact"/>
              <w:rPr>
                <w:sz w:val="20"/>
                <w:szCs w:val="20"/>
                <w:color w:val="auto"/>
              </w:rPr>
            </w:pPr>
            <w:r>
              <w:rPr>
                <w:rFonts w:ascii="Arial" w:cs="Arial" w:eastAsia="Arial" w:hAnsi="Arial"/>
                <w:sz w:val="18"/>
                <w:szCs w:val="18"/>
                <w:b w:val="1"/>
                <w:bCs w:val="1"/>
                <w:color w:val="auto"/>
                <w:w w:val="87"/>
              </w:rPr>
              <w:t>Weighted Average</w:t>
            </w:r>
            <w:r>
              <w:rPr>
                <w:rFonts w:ascii="Arial" w:cs="Arial" w:eastAsia="Arial" w:hAnsi="Arial"/>
                <w:sz w:val="23"/>
                <w:szCs w:val="23"/>
                <w:b w:val="1"/>
                <w:bCs w:val="1"/>
                <w:i w:val="1"/>
                <w:iCs w:val="1"/>
                <w:color w:val="auto"/>
                <w:w w:val="87"/>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Investment in sales-type lease - Casinos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10,228,465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Rent Multiple</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9.75x - 15.50x</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13.0x</w:t>
            </w:r>
          </w:p>
        </w:tc>
        <w:tc>
          <w:tcPr>
            <w:tcW w:w="0" w:type="dxa"/>
            <w:vAlign w:val="bottom"/>
          </w:tcPr>
          <w:p>
            <w:pPr>
              <w:spacing w:after="0"/>
              <w:rPr>
                <w:sz w:val="1"/>
                <w:szCs w:val="1"/>
                <w:color w:val="auto"/>
              </w:rPr>
            </w:pPr>
          </w:p>
        </w:tc>
      </w:tr>
      <w:tr>
        <w:trPr>
          <w:trHeight w:val="209"/>
        </w:trPr>
        <w:tc>
          <w:tcPr>
            <w:tcW w:w="35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22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MTA Properties Acquisitions, HLV Additional Rent Acquisition and CPLV Additional Rent Acquisition as these transactions occurred in connection with the Eldorado Transaction and the investments are measured at historical cost.</w:t>
      </w:r>
    </w:p>
    <w:p>
      <w:pPr>
        <w:ind w:left="220" w:hanging="212"/>
        <w:spacing w:after="0"/>
        <w:tabs>
          <w:tab w:leader="none" w:pos="22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Weighted by relative fair value.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2020,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liable under various operating leases for: (i) land at the Cascata golf course, which expires in 2038 and (ii) offices in New Orleans, LA and New York, NY, which expire in 2021 and 2030, respectively. The weighted average remaining lease term as of December 31, 2020 under our operating leases was 15.4 years. Our Cascata ground lease has three 10-year extension options. The rent of such options would be the in-place rent at the time of renewal.</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rental expense, included in golf expenses and general and administrative expenses in our Statement of Operations and contractual rent expense under these agreements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jc w:val="right"/>
              <w:ind w:right="72"/>
              <w:spacing w:after="0" w:line="172" w:lineRule="exact"/>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tcPr>
          <w:p>
            <w:pPr>
              <w:ind w:left="20"/>
              <w:spacing w:after="0"/>
              <w:rPr>
                <w:sz w:val="20"/>
                <w:szCs w:val="20"/>
                <w:color w:val="auto"/>
              </w:rPr>
            </w:pPr>
            <w:r>
              <w:rPr>
                <w:rFonts w:ascii="Arial" w:cs="Arial" w:eastAsia="Arial" w:hAnsi="Arial"/>
                <w:sz w:val="18"/>
                <w:szCs w:val="18"/>
                <w:color w:val="auto"/>
              </w:rPr>
              <w:t>Cash paid for rent</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20"/>
                <w:szCs w:val="20"/>
                <w:color w:val="auto"/>
              </w:rPr>
            </w:pPr>
          </w:p>
        </w:tc>
      </w:tr>
      <w:tr>
        <w:trPr>
          <w:trHeight w:val="80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00" w:type="dxa"/>
            <w:vAlign w:val="bottom"/>
          </w:tcPr>
          <w:p>
            <w:pPr>
              <w:jc w:val="right"/>
              <w:ind w:right="492"/>
              <w:spacing w:after="0"/>
              <w:rPr>
                <w:sz w:val="20"/>
                <w:szCs w:val="20"/>
                <w:color w:val="auto"/>
              </w:rPr>
            </w:pPr>
            <w:r>
              <w:rPr>
                <w:rFonts w:ascii="Arial" w:cs="Arial" w:eastAsia="Arial" w:hAnsi="Arial"/>
                <w:sz w:val="18"/>
                <w:szCs w:val="18"/>
                <w:color w:val="auto"/>
              </w:rPr>
              <w:t>F-46</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10, 2019 we entered into a lease agreement for new office space in New York, NY for our corporate headquarters. The lease has a 10-year term, with one 5-year extension option and requires a fixed annual rent of $0.9 million. We determined the lease was an operating lease and the discount rate for the lease was determined to be 5.3% based on the yield of our secured borrowings, adjusted to match borrowings of similar terms.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2019, upon adoption of ASC 842, we recorded an $11.1 million right of use asset and a corresponding lease liability within Other assets and Other liabilities, respectively, on our Balance Sheet, related to the ground lease of the land at the Cascata Golf Course. The discount rate for the lease was determined to be 5.5% and was based on the yield of our secured borrowings, adjusted to match borrowings of similar terms.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future minimum lease commitments relating to the base lease rent portion of noncancelable operating leases at December 31, 2020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Discounting factor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Further, we assessed the classification of the sub-lease to our tenant through the Lease Agreements, and our obligation as primary obligor of the ground and use leases and determined that they meet the definition of a sales-type lease and finance lease, respectively. The following table details the balance and location in our Balance Sheet of the ground and use leases as of December 31, 2020 and 2019, which is primarily comprised of the HNO Ground Lease: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r>
      <w:tr>
        <w:trPr>
          <w:trHeight w:val="230"/>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liability)</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284,376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8,688</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9"/>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80" w:type="dxa"/>
            <w:vAlign w:val="bottom"/>
          </w:tcPr>
          <w:p>
            <w:pPr>
              <w:jc w:val="right"/>
              <w:ind w:right="53"/>
              <w:spacing w:after="0" w:line="172" w:lineRule="exact"/>
              <w:rPr>
                <w:sz w:val="20"/>
                <w:szCs w:val="20"/>
                <w:color w:val="auto"/>
              </w:rPr>
            </w:pPr>
            <w:r>
              <w:rPr>
                <w:rFonts w:ascii="Arial" w:cs="Arial" w:eastAsia="Arial" w:hAnsi="Arial"/>
                <w:sz w:val="16"/>
                <w:szCs w:val="16"/>
                <w:b w:val="1"/>
                <w:bCs w:val="1"/>
                <w:color w:val="auto"/>
              </w:rPr>
              <w:t>2020</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Rental income and expense </w:t>
            </w:r>
            <w:r>
              <w:rPr>
                <w:rFonts w:ascii="Arial" w:cs="Arial" w:eastAsia="Arial" w:hAnsi="Arial"/>
                <w:sz w:val="23"/>
                <w:szCs w:val="23"/>
                <w:i w:val="1"/>
                <w:iCs w:val="1"/>
                <w:color w:val="auto"/>
                <w:vertAlign w:val="superscript"/>
              </w:rPr>
              <w:t>(1)</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11"/>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1280" w:type="dxa"/>
            <w:vAlign w:val="bottom"/>
          </w:tcPr>
          <w:p>
            <w:pPr>
              <w:jc w:val="right"/>
              <w:ind w:right="109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17,983</w:t>
            </w:r>
          </w:p>
        </w:tc>
        <w:tc>
          <w:tcPr>
            <w:tcW w:w="120" w:type="dxa"/>
            <w:vAlign w:val="bottom"/>
          </w:tcPr>
          <w:p>
            <w:pPr>
              <w:spacing w:after="0"/>
              <w:rPr>
                <w:sz w:val="18"/>
                <w:szCs w:val="18"/>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174"/>
        </w:trPr>
        <w:tc>
          <w:tcPr>
            <w:tcW w:w="51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jc w:val="both"/>
        <w:ind w:left="340" w:hanging="332"/>
        <w:spacing w:after="0" w:line="248" w:lineRule="auto"/>
        <w:tabs>
          <w:tab w:leader="none" w:pos="332" w:val="left"/>
        </w:tabs>
        <w:numPr>
          <w:ilvl w:val="0"/>
          <w:numId w:val="71"/>
        </w:numPr>
        <w:rPr>
          <w:rFonts w:ascii="Arial" w:cs="Arial" w:eastAsia="Arial" w:hAnsi="Arial"/>
          <w:sz w:val="14"/>
          <w:szCs w:val="14"/>
          <w:i w:val="1"/>
          <w:iCs w:val="1"/>
          <w:color w:val="auto"/>
        </w:rPr>
      </w:pPr>
      <w:r>
        <w:rPr>
          <w:rFonts w:ascii="Arial" w:cs="Arial" w:eastAsia="Arial" w:hAnsi="Arial"/>
          <w:sz w:val="14"/>
          <w:szCs w:val="14"/>
          <w:i w:val="1"/>
          <w:iCs w:val="1"/>
          <w:color w:val="auto"/>
        </w:rPr>
        <w:t>For the year ended December 31, 2020, these amounts are presented gross in Other income with an offsetting amount in Other expenses within the Statement of Operations. For the year ended December 31, 2019, we recorded such amounts as a component of General and administrative expenses on a net basis as these charges were not material to the Statement of Operations. For the year ended December 31, 2018 we did not record any amounts related to ground lease obligations.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relating to the ground and use leases at December 31, 2020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26,350</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26,350</w:t>
            </w: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765,079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887,829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Discounting factor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Arial" w:cs="Arial" w:eastAsia="Arial" w:hAnsi="Arial"/>
                <w:sz w:val="18"/>
                <w:szCs w:val="18"/>
                <w:color w:val="auto"/>
              </w:rPr>
              <w:t>603,453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8%. The weighted average remaining lease term as of December 31, 2020 under our finance leases was 37.8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We did not initially receive any proceeds from the sale of the shares of common stock in the offering, which were sold to the underwriters by the forward purchaser or its affiliates. We determined that the June 2020 Forward Sale Agreement meets the criteria for equity classification and is therefore exempt from derivative accounting. We recorded the June 2020 Forward Sale Agreement at fair value at inception, which we determined to be zero. Subsequent changes to fair value are not required under equity classification.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The physical settlement of the June 2020 Forward Sale Agreement is calculated based on the initial forward sale price per share of $21.37, as adjusted for a floating interest rate factor and other fixed amounts based on the passage of time, as specified in the June 2020 Forward Sale Agreement.</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settle the remaining 26,900,000 shares under the June 2020 Forward Sale Agreement entirely by the physical delivery of shares of our common stock in exchange for cash proceeds, although we may elect cash settlement or net share settlement for all or a portion of our remaining obligations under the June 2020 Forward Sale Agreement. As of December 31, 2020, the forward share price was $20.34 and would result in us receiving approximately $547.2 million in cash proceeds if we were to physically settle the remaining shares under the June 2020 Forward Sale Agreement. Alternatively, if we were to net cash settle the remaining shares under the June 2020 Forward Sale Agreement, it would result in a cash outflow of $138.7 million or, if we were to net share settle the remaining shares under the June 2020 Forward Sale Agreement, it would result in us delivering approximately 5.4 million shares.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remaining shares of common stock issuable upon settlement of the June 2020 Forward Sale Agreement will be reflected in our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remaining shares under the June 2020 Forward Sale Agreement over the number of shares of common stock that could be purchased by us in the market (based on the average market price during the period) using the proceeds receivable upon physical settlement of the remaining shares (based on the adjusted forward sales price at the end of the reporting period). If and when we physically settle the remaining shares under the June 2020 Forward Sale Agreement, the delivery of shares of our common stock will result in an increase in the number of shares of common stock outstanding and dilution to our earnings per share. We intend to use the net proceeds upon settlement of the remaining shares under the June 2020 Forward Sale Agreement for general corporate purposes, which may include future transactions, the acquisition and improvement of properties, capital expenditures, working capital and the repayment of indebtedness.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28, 2019, we completed a primary follow-on offering of (i) 50,000,000 shares of common stock (including 15,000,000 shares sold pursuant to the exercise in full of the underwriters’ option to purchase additional common stock) at an offering price of $21.50 per share for an aggregate offering value of $1.1 billion, resulting in net proceeds, after the deduction of the underwriting discount and expenses, of $1.0 billion and (ii) 65,000,000 shares of common stock that were subject to forward sale agreements to be settled by September 26, 2020 (collectively the “June 2019 Forward Sale Agreements”). We did not initially receive any proceeds from the sale of the shares of common stock subject to the June 2019 Forward Sale Agreements that were sold by the forward purchasers or their respective affiliates. We determined that the June 2019 Forward Sale Agreements meet the criteria for equity classification and are therefore exempt from derivative accounting. We recorded the June 2019 Forward Sale Agreements at fair value at inception, which we determined to be zero. Subsequent changes to fair value were not required under equity classification.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 2020, we physically settled the June 2019 Forward Sale Agreements in full by delivering 65,000,000 shares of our common stock to the forward purchasers, in exchange for total net proceeds of approximately $1.3 billion. The physical settlement of the June 2019 Forward Sale Agreements was calculated based on the forward sale price of $19.64 per share. The proceeds were used to consummate the Eldorado Transaction.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an equity distribution agreement, as amended (the “ATM Agreement”), pursuant to which we may sell, from time to time, up to an aggregate sales price of $750.0 million of our common stock (the “ATM Program”). Sales of common stock, if any, made pursuant to the ATM Agreement may be sold in negotiated transactions or transactions that are deemed to be “at the market” offerings, as defined in Rule 415 of the Securities Act. Actual sales under the ATM Program will depend on a variety of factors including market conditions, the trading price of our common stock, our capital needs, and our determination of the appropriate sources of funding to meet such needs. During the year ended December 31, 2020, we sold a total of 7,500,000 shares under the ATM Program for net proceeds of $200.0 million. During the year ended December 31, 2019, we sold a total of 6,107,633 shares under the ATM Program for net proceeds of $128.3 million. We have no obligation to sell the remaining shares available for sale under the ATM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440" w:type="dxa"/>
            <w:vAlign w:val="bottom"/>
            <w:gridSpan w:val="2"/>
          </w:tcPr>
          <w:p>
            <w:pPr>
              <w:ind w:left="20"/>
              <w:spacing w:after="0"/>
              <w:rPr>
                <w:sz w:val="20"/>
                <w:szCs w:val="20"/>
                <w:color w:val="auto"/>
              </w:rPr>
            </w:pPr>
            <w:r>
              <w:rPr>
                <w:rFonts w:ascii="Arial" w:cs="Arial" w:eastAsia="Arial" w:hAnsi="Arial"/>
                <w:sz w:val="16"/>
                <w:szCs w:val="16"/>
                <w:b w:val="1"/>
                <w:bCs w:val="1"/>
                <w:color w:val="auto"/>
              </w:rPr>
              <w:t>Beginning Balance January 1</w:t>
            </w:r>
          </w:p>
        </w:tc>
        <w:tc>
          <w:tcPr>
            <w:tcW w:w="1820" w:type="dxa"/>
            <w:vAlign w:val="bottom"/>
          </w:tcPr>
          <w:p>
            <w:pPr>
              <w:jc w:val="right"/>
              <w:spacing w:after="0"/>
              <w:rPr>
                <w:sz w:val="20"/>
                <w:szCs w:val="20"/>
                <w:color w:val="auto"/>
              </w:rPr>
            </w:pPr>
            <w:r>
              <w:rPr>
                <w:rFonts w:ascii="Arial" w:cs="Arial" w:eastAsia="Arial" w:hAnsi="Arial"/>
                <w:sz w:val="18"/>
                <w:szCs w:val="18"/>
                <w:color w:val="auto"/>
              </w:rPr>
              <w:t>461,004,742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404,729,616</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in primary follow-on offerings</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Issuance of common stock upon physical settlement of forward sale agreements </w:t>
            </w:r>
            <w:r>
              <w:rPr>
                <w:rFonts w:ascii="Arial" w:cs="Arial" w:eastAsia="Arial" w:hAnsi="Arial"/>
                <w:sz w:val="23"/>
                <w:szCs w:val="23"/>
                <w:i w:val="1"/>
                <w:iCs w:val="1"/>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68,000,000</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6,107,633</w:t>
            </w:r>
          </w:p>
        </w:tc>
        <w:tc>
          <w:tcPr>
            <w:tcW w:w="0" w:type="dxa"/>
            <w:vAlign w:val="bottom"/>
          </w:tcPr>
          <w:p>
            <w:pPr>
              <w:spacing w:after="0"/>
              <w:rPr>
                <w:sz w:val="1"/>
                <w:szCs w:val="1"/>
                <w:color w:val="auto"/>
              </w:rPr>
            </w:pPr>
          </w:p>
        </w:tc>
      </w:tr>
      <w:tr>
        <w:trPr>
          <w:trHeight w:val="176"/>
        </w:trPr>
        <w:tc>
          <w:tcPr>
            <w:tcW w:w="7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Issuance of restricted and unrestricted common stock under the stock incentive program, net of</w:t>
            </w: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164,980</w:t>
            </w:r>
          </w:p>
        </w:tc>
        <w:tc>
          <w:tcPr>
            <w:tcW w:w="12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167,493</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3"/>
                <w:szCs w:val="23"/>
                <w:i w:val="1"/>
                <w:iCs w:val="1"/>
                <w:color w:val="auto"/>
                <w:vertAlign w:val="superscript"/>
              </w:rPr>
              <w:t>(2)</w:t>
            </w:r>
          </w:p>
        </w:tc>
        <w:tc>
          <w:tcPr>
            <w:tcW w:w="1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December 31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461,004,742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26,900,000 remaining shares subject to the June 2020 Forward Sale Agreement as such shares are not yet settled.</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The years ended December 31, 2020 and 2019 excludes 239,437 share units and 157,512 share units, respectively, issued under the performance-based stock incentive program.</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years ended December 31, 2020 and 2019 were as follows: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 December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Record Date</w:t>
            </w:r>
          </w:p>
        </w:tc>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31, 2020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9, 2020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2020 - March 31, 2020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11, 2020</w:t>
            </w:r>
          </w:p>
        </w:tc>
        <w:tc>
          <w:tcPr>
            <w:tcW w:w="20" w:type="dxa"/>
            <w:vAlign w:val="bottom"/>
          </w:tcPr>
          <w:p>
            <w:pPr>
              <w:spacing w:after="0"/>
              <w:rPr>
                <w:sz w:val="19"/>
                <w:szCs w:val="19"/>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30, 2020</w:t>
            </w:r>
          </w:p>
        </w:tc>
        <w:tc>
          <w:tcPr>
            <w:tcW w:w="20" w:type="dxa"/>
            <w:vAlign w:val="bottom"/>
          </w:tcPr>
          <w:p>
            <w:pPr>
              <w:spacing w:after="0"/>
              <w:rPr>
                <w:sz w:val="19"/>
                <w:szCs w:val="19"/>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July 10, 2020</w:t>
            </w:r>
          </w:p>
        </w:tc>
        <w:tc>
          <w:tcPr>
            <w:tcW w:w="20" w:type="dxa"/>
            <w:vAlign w:val="bottom"/>
          </w:tcPr>
          <w:p>
            <w:pPr>
              <w:spacing w:after="0"/>
              <w:rPr>
                <w:sz w:val="19"/>
                <w:szCs w:val="19"/>
                <w:color w:val="auto"/>
              </w:rPr>
            </w:pPr>
          </w:p>
        </w:tc>
        <w:tc>
          <w:tcPr>
            <w:tcW w:w="35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2020 - June 30, 2020</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0.2975</w:t>
            </w:r>
          </w:p>
        </w:tc>
      </w:tr>
      <w:tr>
        <w:trPr>
          <w:trHeight w:val="229"/>
        </w:trPr>
        <w:tc>
          <w:tcPr>
            <w:tcW w:w="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10, 2020</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30, 2020</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8, 2020</w:t>
            </w:r>
          </w:p>
        </w:tc>
        <w:tc>
          <w:tcPr>
            <w:tcW w:w="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2020 - September 30, 2020</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 w:type="dxa"/>
            <w:vAlign w:val="bottom"/>
          </w:tcPr>
          <w:p>
            <w:pPr>
              <w:spacing w:after="0"/>
              <w:rPr>
                <w:sz w:val="20"/>
                <w:szCs w:val="20"/>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December 10, 2020</w:t>
            </w:r>
          </w:p>
        </w:tc>
        <w:tc>
          <w:tcPr>
            <w:tcW w:w="20" w:type="dxa"/>
            <w:vAlign w:val="bottom"/>
          </w:tcPr>
          <w:p>
            <w:pPr>
              <w:spacing w:after="0"/>
              <w:rPr>
                <w:sz w:val="20"/>
                <w:szCs w:val="20"/>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23, 2020</w:t>
            </w:r>
          </w:p>
        </w:tc>
        <w:tc>
          <w:tcPr>
            <w:tcW w:w="20" w:type="dxa"/>
            <w:vAlign w:val="bottom"/>
          </w:tcPr>
          <w:p>
            <w:pPr>
              <w:spacing w:after="0"/>
              <w:rPr>
                <w:sz w:val="20"/>
                <w:szCs w:val="20"/>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January 7, 2021</w:t>
            </w:r>
          </w:p>
        </w:tc>
        <w:tc>
          <w:tcPr>
            <w:tcW w:w="20" w:type="dxa"/>
            <w:vAlign w:val="bottom"/>
          </w:tcPr>
          <w:p>
            <w:pPr>
              <w:spacing w:after="0"/>
              <w:rPr>
                <w:sz w:val="20"/>
                <w:szCs w:val="20"/>
                <w:color w:val="auto"/>
              </w:rPr>
            </w:pPr>
          </w:p>
        </w:tc>
        <w:tc>
          <w:tcPr>
            <w:tcW w:w="35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October 1, 2020 - December 31, 2020</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401"/>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7"/>
          </w:tcPr>
          <w:p>
            <w:pPr>
              <w:ind w:left="500"/>
              <w:spacing w:after="0"/>
              <w:rPr>
                <w:sz w:val="20"/>
                <w:szCs w:val="20"/>
                <w:color w:val="auto"/>
              </w:rPr>
            </w:pPr>
            <w:r>
              <w:rPr>
                <w:rFonts w:ascii="Arial" w:cs="Arial" w:eastAsia="Arial" w:hAnsi="Arial"/>
                <w:sz w:val="16"/>
                <w:szCs w:val="16"/>
                <w:b w:val="1"/>
                <w:bCs w:val="1"/>
                <w:color w:val="auto"/>
              </w:rPr>
              <w:t>Year Ended December 31, 2019</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Pr>
          <w:p>
            <w:pPr>
              <w:spacing w:after="0"/>
              <w:rPr>
                <w:sz w:val="18"/>
                <w:szCs w:val="18"/>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Pr>
          <w:p>
            <w:pPr>
              <w:spacing w:after="0"/>
              <w:rPr>
                <w:sz w:val="18"/>
                <w:szCs w:val="18"/>
                <w:color w:val="auto"/>
              </w:rPr>
            </w:pPr>
          </w:p>
        </w:tc>
        <w:tc>
          <w:tcPr>
            <w:tcW w:w="3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14, 2019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April 11, 2019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January 1, 2019 - March 31, 2019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0.2875</w:t>
            </w: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13, 2019</w:t>
            </w:r>
          </w:p>
        </w:tc>
        <w:tc>
          <w:tcPr>
            <w:tcW w:w="20" w:type="dxa"/>
            <w:vAlign w:val="bottom"/>
          </w:tcPr>
          <w:p>
            <w:pPr>
              <w:spacing w:after="0"/>
              <w:rPr>
                <w:sz w:val="19"/>
                <w:szCs w:val="19"/>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June 28, 2019</w:t>
            </w:r>
          </w:p>
        </w:tc>
        <w:tc>
          <w:tcPr>
            <w:tcW w:w="20" w:type="dxa"/>
            <w:vAlign w:val="bottom"/>
          </w:tcPr>
          <w:p>
            <w:pPr>
              <w:spacing w:after="0"/>
              <w:rPr>
                <w:sz w:val="19"/>
                <w:szCs w:val="19"/>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July 12, 2019</w:t>
            </w:r>
          </w:p>
        </w:tc>
        <w:tc>
          <w:tcPr>
            <w:tcW w:w="20" w:type="dxa"/>
            <w:vAlign w:val="bottom"/>
          </w:tcPr>
          <w:p>
            <w:pPr>
              <w:spacing w:after="0"/>
              <w:rPr>
                <w:sz w:val="19"/>
                <w:szCs w:val="19"/>
                <w:color w:val="auto"/>
              </w:rPr>
            </w:pPr>
          </w:p>
        </w:tc>
        <w:tc>
          <w:tcPr>
            <w:tcW w:w="35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April 1, 2019 - June 30, 2019</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0.2875</w:t>
            </w:r>
          </w:p>
        </w:tc>
      </w:tr>
      <w:tr>
        <w:trPr>
          <w:trHeight w:val="229"/>
        </w:trPr>
        <w:tc>
          <w:tcPr>
            <w:tcW w:w="20" w:type="dxa"/>
            <w:vAlign w:val="bottom"/>
          </w:tcPr>
          <w:p>
            <w:pPr>
              <w:spacing w:after="0"/>
              <w:rPr>
                <w:sz w:val="19"/>
                <w:szCs w:val="19"/>
                <w:color w:val="auto"/>
              </w:rPr>
            </w:pP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12, 2019</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27, 2019</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October 10, 2019</w:t>
            </w:r>
          </w:p>
        </w:tc>
        <w:tc>
          <w:tcPr>
            <w:tcW w:w="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 2019 - September 30, 2019</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 w:type="dxa"/>
            <w:vAlign w:val="bottom"/>
          </w:tcPr>
          <w:p>
            <w:pPr>
              <w:spacing w:after="0"/>
              <w:rPr>
                <w:sz w:val="20"/>
                <w:szCs w:val="20"/>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12, 2019</w:t>
            </w:r>
          </w:p>
        </w:tc>
        <w:tc>
          <w:tcPr>
            <w:tcW w:w="20" w:type="dxa"/>
            <w:vAlign w:val="bottom"/>
          </w:tcPr>
          <w:p>
            <w:pPr>
              <w:spacing w:after="0"/>
              <w:rPr>
                <w:sz w:val="20"/>
                <w:szCs w:val="20"/>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December 27, 2019</w:t>
            </w:r>
          </w:p>
        </w:tc>
        <w:tc>
          <w:tcPr>
            <w:tcW w:w="20" w:type="dxa"/>
            <w:vAlign w:val="bottom"/>
          </w:tcPr>
          <w:p>
            <w:pPr>
              <w:spacing w:after="0"/>
              <w:rPr>
                <w:sz w:val="20"/>
                <w:szCs w:val="20"/>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January 9, 2020</w:t>
            </w:r>
          </w:p>
        </w:tc>
        <w:tc>
          <w:tcPr>
            <w:tcW w:w="20" w:type="dxa"/>
            <w:vAlign w:val="bottom"/>
          </w:tcPr>
          <w:p>
            <w:pPr>
              <w:spacing w:after="0"/>
              <w:rPr>
                <w:sz w:val="20"/>
                <w:szCs w:val="20"/>
                <w:color w:val="auto"/>
              </w:rPr>
            </w:pPr>
          </w:p>
        </w:tc>
        <w:tc>
          <w:tcPr>
            <w:tcW w:w="35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October 1, 2019 - December 31, 2019</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0.2975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Earnings Per Share</w:t>
      </w:r>
    </w:p>
    <w:p>
      <w:pPr>
        <w:spacing w:after="0" w:line="165"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remaining shares under the June 2020 Forward Sale Agreement. The shares issuable upon settlement of the remaining shares under the June 2020 Forward Sale Agreement, as described in </w:t>
      </w:r>
      <w:hyperlink w:anchor="page128">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remaining shares under the June 2020 Forward Sale Agreement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remaining shares under the June 2020 Forward Sale Agreement, the delivery of shares of common stock would result in an increase in the number of shares outstanding and dilution to earnings per share.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96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98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2019</w:t>
            </w:r>
          </w:p>
        </w:tc>
        <w:tc>
          <w:tcPr>
            <w:tcW w:w="2080" w:type="dxa"/>
            <w:vAlign w:val="bottom"/>
            <w:gridSpan w:val="2"/>
          </w:tcPr>
          <w:p>
            <w:pPr>
              <w:jc w:val="right"/>
              <w:ind w:right="750"/>
              <w:spacing w:after="0" w:line="172"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Determination of shares:</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506,141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435,071</w:t>
            </w:r>
          </w:p>
        </w:tc>
        <w:tc>
          <w:tcPr>
            <w:tcW w:w="100" w:type="dxa"/>
            <w:vAlign w:val="bottom"/>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Assumed conversion of 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w w:val="96"/>
              </w:rPr>
              <w:t>Diluted weighted-average shares of common stock outstanding</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510,909</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439,153</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F-50</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Basic and Diluted Earnings Per Share</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60" w:type="dxa"/>
            <w:vAlign w:val="bottom"/>
          </w:tcPr>
          <w:p>
            <w:pPr>
              <w:spacing w:after="0"/>
              <w:rPr>
                <w:sz w:val="14"/>
                <w:szCs w:val="14"/>
                <w:color w:val="auto"/>
              </w:rPr>
            </w:pPr>
          </w:p>
        </w:tc>
        <w:tc>
          <w:tcPr>
            <w:tcW w:w="1480" w:type="dxa"/>
            <w:vAlign w:val="bottom"/>
          </w:tcPr>
          <w:p>
            <w:pPr>
              <w:jc w:val="right"/>
              <w:ind w:right="711"/>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1"/>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1"/>
              <w:spacing w:after="0" w:line="172"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Basic:</w:t>
            </w:r>
          </w:p>
        </w:tc>
        <w:tc>
          <w:tcPr>
            <w:tcW w:w="288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00" w:type="dxa"/>
            <w:vAlign w:val="bottom"/>
            <w:vMerge w:val="continue"/>
          </w:tcPr>
          <w:p>
            <w:pPr>
              <w:spacing w:after="0"/>
              <w:rPr>
                <w:sz w:val="18"/>
                <w:szCs w:val="18"/>
                <w:color w:val="auto"/>
              </w:rPr>
            </w:pPr>
          </w:p>
        </w:tc>
        <w:tc>
          <w:tcPr>
            <w:tcW w:w="28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EPS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523,619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Diluted weighted-average shares of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510,909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439,153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Diluted EPS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2020, 11,476,479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2020, 2019 and 2018, the Company granted approximately 179,000, 177,000 and 172,000, shares of restricted stock, respectively, under the Plan, respectively, subject to vesting restrictions based on service. Such restricted time-based stock awards vest ratably on an annual basis over a service period of one to four years. The number of shares granted was determined based on the 10-day volume weighted average price using the 10 trading days immediately preceding the grant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years ended December 31, 2020, 2019 and 2018 the Company granted approximately 239,000, 158,000 and 133,000 restricted stock units, respectively, under the Plan subject to vesting restrictions based on specified absolute and relative total stockholder return goals measured over a three-year performance period. We used a Monte Carlo Simulation (risk-neutral approach) to determine the number of shares that may be earned and vested pursuant to the award as these awards were deemed to have a market condition. The risk-free interest rate assumptions used in the Monte Carlo Simulation were determined based on the zero-coupon risk-free rate of 0.8% - 2.7% and an expected price volatility of 13.3% - 20.0%. The expected price volatility was calculated based on both historical and implied volatility.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94"/>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jc w:val="right"/>
              <w:ind w:right="73"/>
              <w:spacing w:after="0" w:line="172" w:lineRule="exact"/>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5"/>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755"/>
              <w:spacing w:after="0" w:line="172" w:lineRule="exact"/>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19"/>
                <w:szCs w:val="19"/>
                <w:color w:val="auto"/>
              </w:rPr>
            </w:pPr>
          </w:p>
        </w:tc>
      </w:tr>
      <w:tr>
        <w:trPr>
          <w:trHeight w:val="89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ind w:right="493"/>
              <w:spacing w:after="0"/>
              <w:rPr>
                <w:sz w:val="20"/>
                <w:szCs w:val="20"/>
                <w:color w:val="auto"/>
              </w:rPr>
            </w:pPr>
            <w:r>
              <w:rPr>
                <w:rFonts w:ascii="Arial" w:cs="Arial" w:eastAsia="Arial" w:hAnsi="Arial"/>
                <w:sz w:val="18"/>
                <w:szCs w:val="18"/>
                <w:color w:val="auto"/>
              </w:rPr>
              <w:t>F-51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incentive stock, time-based restricted stock and performance-based restricted stock units: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0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6"/>
                <w:szCs w:val="16"/>
                <w:color w:val="auto"/>
              </w:rPr>
            </w:pPr>
          </w:p>
        </w:tc>
        <w:tc>
          <w:tcPr>
            <w:tcW w:w="194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for per share data)</w:t>
            </w:r>
          </w:p>
        </w:tc>
        <w:tc>
          <w:tcPr>
            <w:tcW w:w="2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right"/>
              <w:ind w:right="411"/>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336,980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0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December 31, 2018</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398,253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2100" w:type="dxa"/>
            <w:vAlign w:val="bottom"/>
          </w:tcPr>
          <w:p>
            <w:pPr>
              <w:jc w:val="right"/>
              <w:spacing w:after="0"/>
              <w:rPr>
                <w:sz w:val="20"/>
                <w:szCs w:val="20"/>
                <w:color w:val="auto"/>
              </w:rPr>
            </w:pPr>
            <w:r>
              <w:rPr>
                <w:rFonts w:ascii="Arial" w:cs="Arial" w:eastAsia="Arial" w:hAnsi="Arial"/>
                <w:sz w:val="18"/>
                <w:szCs w:val="18"/>
                <w:color w:val="auto"/>
              </w:rPr>
              <w:t>(121,786)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423,181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00" w:type="dxa"/>
            <w:vAlign w:val="bottom"/>
          </w:tcPr>
          <w:p>
            <w:pPr>
              <w:jc w:val="right"/>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Outstanding as of December 31, 2020</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855,304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there was $9.5 million of unrecognized compensation cost related to non-vested stock-based compensation arrangements under the Plan. This cost is expected to be recognized over a weighted average period of 1.7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Income Taxes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federal income tax except for the TRS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Accordingly, our tax provision and deferred tax analysis are primarily from the results of TRS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income tax expense (benefit)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86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Deferred</w:t>
            </w:r>
          </w:p>
        </w:tc>
        <w:tc>
          <w:tcPr>
            <w:tcW w:w="180" w:type="dxa"/>
            <w:vAlign w:val="bottom"/>
          </w:tcPr>
          <w:p>
            <w:pPr>
              <w:spacing w:after="0"/>
              <w:rPr>
                <w:sz w:val="14"/>
                <w:szCs w:val="14"/>
                <w:color w:val="auto"/>
              </w:rPr>
            </w:pPr>
          </w:p>
        </w:tc>
        <w:tc>
          <w:tcPr>
            <w:tcW w:w="700" w:type="dxa"/>
            <w:vAlign w:val="bottom"/>
          </w:tcPr>
          <w:p>
            <w:pPr>
              <w:jc w:val="right"/>
              <w:ind w:right="172"/>
              <w:spacing w:after="0" w:line="172"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7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4"/>
              </w:rPr>
              <w:t>Deferred</w:t>
            </w:r>
          </w:p>
        </w:tc>
        <w:tc>
          <w:tcPr>
            <w:tcW w:w="180" w:type="dxa"/>
            <w:vAlign w:val="bottom"/>
          </w:tcPr>
          <w:p>
            <w:pPr>
              <w:spacing w:after="0"/>
              <w:rPr>
                <w:sz w:val="14"/>
                <w:szCs w:val="14"/>
                <w:color w:val="auto"/>
              </w:rPr>
            </w:pPr>
          </w:p>
        </w:tc>
        <w:tc>
          <w:tcPr>
            <w:tcW w:w="700" w:type="dxa"/>
            <w:vAlign w:val="bottom"/>
          </w:tcPr>
          <w:p>
            <w:pPr>
              <w:jc w:val="right"/>
              <w:ind w:right="172"/>
              <w:spacing w:after="0" w:line="172"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4"/>
                <w:szCs w:val="14"/>
                <w:color w:val="auto"/>
              </w:rPr>
            </w:pPr>
          </w:p>
        </w:tc>
        <w:tc>
          <w:tcPr>
            <w:tcW w:w="700" w:type="dxa"/>
            <w:vAlign w:val="bottom"/>
          </w:tcPr>
          <w:p>
            <w:pPr>
              <w:jc w:val="right"/>
              <w:ind w:right="172"/>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30"/>
        </w:trPr>
        <w:tc>
          <w:tcPr>
            <w:tcW w:w="2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State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Income tax expense (benefit)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F-52</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 net effects of temporary differences that gave rise to significant portions of the deferred tax assets and deferred tax liabilities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Pr>
          <w:p>
            <w:pPr>
              <w:spacing w:after="0"/>
              <w:rPr>
                <w:sz w:val="16"/>
                <w:szCs w:val="16"/>
                <w:color w:val="auto"/>
              </w:rPr>
            </w:pPr>
          </w:p>
        </w:tc>
        <w:tc>
          <w:tcPr>
            <w:tcW w:w="178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Federal net operating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Accruals, reserves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Land, buildings and equipment, net</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r>
      <w:tr>
        <w:trPr>
          <w:trHeight w:val="223"/>
        </w:trPr>
        <w:tc>
          <w:tcPr>
            <w:tcW w:w="20" w:type="dxa"/>
            <w:vAlign w:val="bottom"/>
          </w:tcPr>
          <w:p>
            <w:pPr>
              <w:spacing w:after="0"/>
              <w:rPr>
                <w:sz w:val="19"/>
                <w:szCs w:val="19"/>
                <w:color w:val="auto"/>
              </w:rPr>
            </w:pPr>
          </w:p>
        </w:tc>
        <w:tc>
          <w:tcPr>
            <w:tcW w:w="7120" w:type="dxa"/>
            <w:vAlign w:val="bottom"/>
            <w:gridSpan w:val="2"/>
          </w:tcPr>
          <w:p>
            <w:pPr>
              <w:ind w:left="66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our effective income tax rate to the historical federal statutory rate of 21% for the years ended December 31, 2020,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Year Ended December 31,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96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60" w:type="dxa"/>
            <w:vAlign w:val="bottom"/>
          </w:tcPr>
          <w:p>
            <w:pPr>
              <w:spacing w:after="0"/>
              <w:rPr>
                <w:sz w:val="16"/>
                <w:szCs w:val="16"/>
                <w:color w:val="auto"/>
              </w:rPr>
            </w:pPr>
          </w:p>
        </w:tc>
        <w:tc>
          <w:tcPr>
            <w:tcW w:w="1240" w:type="dxa"/>
            <w:vAlign w:val="bottom"/>
            <w:gridSpan w:val="3"/>
          </w:tcPr>
          <w:p>
            <w:pPr>
              <w:jc w:val="right"/>
              <w:ind w:right="560"/>
              <w:spacing w:after="0" w:line="185" w:lineRule="exact"/>
              <w:rPr>
                <w:sz w:val="20"/>
                <w:szCs w:val="20"/>
                <w:color w:val="auto"/>
              </w:rPr>
            </w:pPr>
            <w:r>
              <w:rPr>
                <w:rFonts w:ascii="Arial" w:cs="Arial" w:eastAsia="Arial" w:hAnsi="Arial"/>
                <w:sz w:val="18"/>
                <w:szCs w:val="18"/>
                <w:b w:val="1"/>
                <w:bCs w:val="1"/>
                <w:color w:val="auto"/>
                <w:w w:val="97"/>
              </w:rPr>
              <w:t>Amount</w:t>
            </w:r>
          </w:p>
        </w:tc>
        <w:tc>
          <w:tcPr>
            <w:tcW w:w="960" w:type="dxa"/>
            <w:vAlign w:val="bottom"/>
          </w:tcPr>
          <w:p>
            <w:pPr>
              <w:jc w:val="right"/>
              <w:ind w:right="230"/>
              <w:spacing w:after="0" w:line="185" w:lineRule="exact"/>
              <w:rPr>
                <w:sz w:val="20"/>
                <w:szCs w:val="20"/>
                <w:color w:val="auto"/>
              </w:rPr>
            </w:pPr>
            <w:r>
              <w:rPr>
                <w:rFonts w:ascii="Arial" w:cs="Arial" w:eastAsia="Arial" w:hAnsi="Arial"/>
                <w:sz w:val="18"/>
                <w:szCs w:val="18"/>
                <w:b w:val="1"/>
                <w:bCs w:val="1"/>
                <w:color w:val="auto"/>
                <w:w w:val="93"/>
              </w:rPr>
              <w:t>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60"/>
              <w:spacing w:after="0" w:line="185" w:lineRule="exact"/>
              <w:rPr>
                <w:sz w:val="20"/>
                <w:szCs w:val="20"/>
                <w:color w:val="auto"/>
              </w:rPr>
            </w:pPr>
            <w:r>
              <w:rPr>
                <w:rFonts w:ascii="Arial" w:cs="Arial" w:eastAsia="Arial" w:hAnsi="Arial"/>
                <w:sz w:val="18"/>
                <w:szCs w:val="18"/>
                <w:b w:val="1"/>
                <w:bCs w:val="1"/>
                <w:color w:val="auto"/>
              </w:rPr>
              <w:t>Amount</w:t>
            </w:r>
          </w:p>
        </w:tc>
        <w:tc>
          <w:tcPr>
            <w:tcW w:w="96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w w:val="96"/>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right"/>
              <w:ind w:right="580"/>
              <w:spacing w:after="0" w:line="185" w:lineRule="exact"/>
              <w:rPr>
                <w:sz w:val="20"/>
                <w:szCs w:val="20"/>
                <w:color w:val="auto"/>
              </w:rPr>
            </w:pPr>
            <w:r>
              <w:rPr>
                <w:rFonts w:ascii="Arial" w:cs="Arial" w:eastAsia="Arial" w:hAnsi="Arial"/>
                <w:sz w:val="18"/>
                <w:szCs w:val="18"/>
                <w:b w:val="1"/>
                <w:bCs w:val="1"/>
                <w:color w:val="auto"/>
                <w:w w:val="99"/>
              </w:rPr>
              <w:t>Amount</w:t>
            </w:r>
          </w:p>
        </w:tc>
        <w:tc>
          <w:tcPr>
            <w:tcW w:w="960" w:type="dxa"/>
            <w:vAlign w:val="bottom"/>
          </w:tcPr>
          <w:p>
            <w:pPr>
              <w:jc w:val="right"/>
              <w:ind w:right="230"/>
              <w:spacing w:after="0" w:line="185" w:lineRule="exact"/>
              <w:rPr>
                <w:sz w:val="20"/>
                <w:szCs w:val="20"/>
                <w:color w:val="auto"/>
              </w:rPr>
            </w:pPr>
            <w:r>
              <w:rPr>
                <w:rFonts w:ascii="Arial" w:cs="Arial" w:eastAsia="Arial" w:hAnsi="Arial"/>
                <w:sz w:val="18"/>
                <w:szCs w:val="18"/>
                <w:b w:val="1"/>
                <w:bCs w:val="1"/>
                <w:color w:val="auto"/>
                <w:w w:val="93"/>
              </w:rPr>
              <w:t>Percent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REIT income not subject to federal income tax</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w:t>
            </w: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Pre-tax gain attributable to taxable subsidiaries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Impact of Tax Reform on deferred tax liability</w:t>
            </w:r>
          </w:p>
        </w:tc>
        <w:tc>
          <w:tcPr>
            <w:tcW w:w="160" w:type="dxa"/>
            <w:vAlign w:val="bottom"/>
          </w:tcPr>
          <w:p>
            <w:pPr>
              <w:spacing w:after="0"/>
              <w:rPr>
                <w:sz w:val="19"/>
                <w:szCs w:val="19"/>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declared dividends of $1.255, $1.17 and $0.9975 per common share during the years ended December 31, 2020, 2019 and 2018, respectively. For U.S. Federal income tax purposes, the portion of the dividends allocated to stockholders for the years ended December 31, 2020, 2019 and 2018 are characterized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95"/>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per share)</w:t>
            </w:r>
          </w:p>
        </w:tc>
        <w:tc>
          <w:tcPr>
            <w:tcW w:w="1260" w:type="dxa"/>
            <w:vAlign w:val="bottom"/>
          </w:tcPr>
          <w:p>
            <w:pPr>
              <w:jc w:val="right"/>
              <w:ind w:right="32"/>
              <w:spacing w:after="0" w:line="172" w:lineRule="exact"/>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dividends</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0.9251</w:t>
            </w:r>
          </w:p>
        </w:tc>
      </w:tr>
      <w:tr>
        <w:trPr>
          <w:trHeight w:val="229"/>
        </w:trPr>
        <w:tc>
          <w:tcPr>
            <w:tcW w:w="20" w:type="dxa"/>
            <w:vAlign w:val="bottom"/>
          </w:tcPr>
          <w:p>
            <w:pPr>
              <w:spacing w:after="0"/>
              <w:rPr>
                <w:sz w:val="19"/>
                <w:szCs w:val="19"/>
                <w:color w:val="auto"/>
              </w:rPr>
            </w:pPr>
          </w:p>
        </w:tc>
        <w:tc>
          <w:tcPr>
            <w:tcW w:w="512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Section 199A dividends </w:t>
            </w:r>
            <w:r>
              <w:rPr>
                <w:rFonts w:ascii="Arial" w:cs="Arial" w:eastAsia="Arial" w:hAnsi="Arial"/>
                <w:sz w:val="23"/>
                <w:szCs w:val="23"/>
                <w:color w:val="auto"/>
                <w:vertAlign w:val="superscript"/>
              </w:rPr>
              <w:t>(1)</w:t>
            </w:r>
          </w:p>
        </w:tc>
        <w:tc>
          <w:tcPr>
            <w:tcW w:w="1260" w:type="dxa"/>
            <w:vAlign w:val="bottom"/>
          </w:tcPr>
          <w:p>
            <w:pPr>
              <w:jc w:val="right"/>
              <w:ind w:right="10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1.2225</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0.8159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0.9251</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Qualified dividend </w:t>
            </w:r>
            <w:r>
              <w:rPr>
                <w:rFonts w:ascii="Arial" w:cs="Arial" w:eastAsia="Arial" w:hAnsi="Arial"/>
                <w:sz w:val="23"/>
                <w:szCs w:val="23"/>
                <w:color w:val="auto"/>
                <w:vertAlign w:val="superscript"/>
              </w:rPr>
              <w:t>(1)</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Non-dividend distribution</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51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320" w:hanging="312"/>
        <w:spacing w:after="0"/>
        <w:tabs>
          <w:tab w:leader="none" w:pos="320"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a subset of, and are included in, the ordinary dividend amounts.</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we had estimated NOLs of $151.6 million, generated by our REIT, that will expire in 2029, unless they are utilized by us prior to expiration.</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of December 31, 2020, the 2017, 2018, and 2019 tax years remain subject to examination by federal, state and local tax authorities. The tax filings for tax year 2020 have not yet been filed, and once made, will be subject to examination by taxing authorities for a period of three years.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Segment Information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consists of four golf courses, with each being operating segments that are aggregated into one reportable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tables present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2020</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820" w:type="dxa"/>
            <w:vAlign w:val="bottom"/>
          </w:tcPr>
          <w:p>
            <w:pPr>
              <w:jc w:val="right"/>
              <w:ind w:right="91"/>
              <w:spacing w:after="0" w:line="172" w:lineRule="exact"/>
              <w:rPr>
                <w:sz w:val="20"/>
                <w:szCs w:val="20"/>
                <w:color w:val="auto"/>
              </w:rPr>
            </w:pPr>
            <w:r>
              <w:rPr>
                <w:rFonts w:ascii="Arial" w:cs="Arial" w:eastAsia="Arial" w:hAnsi="Arial"/>
                <w:sz w:val="16"/>
                <w:szCs w:val="16"/>
                <w:b w:val="1"/>
                <w:bCs w:val="1"/>
                <w:color w:val="auto"/>
                <w:w w:val="90"/>
              </w:rPr>
              <w:t>Real Property 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88"/>
              </w:rPr>
              <w:t>Golf Course Business</w:t>
            </w:r>
          </w:p>
        </w:tc>
        <w:tc>
          <w:tcPr>
            <w:tcW w:w="220" w:type="dxa"/>
            <w:vAlign w:val="bottom"/>
          </w:tcPr>
          <w:p>
            <w:pPr>
              <w:spacing w:after="0"/>
              <w:rPr>
                <w:sz w:val="14"/>
                <w:szCs w:val="14"/>
                <w:color w:val="auto"/>
              </w:rPr>
            </w:pPr>
          </w:p>
        </w:tc>
        <w:tc>
          <w:tcPr>
            <w:tcW w:w="1760" w:type="dxa"/>
            <w:vAlign w:val="bottom"/>
          </w:tcPr>
          <w:p>
            <w:pPr>
              <w:jc w:val="right"/>
              <w:ind w:right="251"/>
              <w:spacing w:after="0" w:line="172" w:lineRule="exact"/>
              <w:rPr>
                <w:sz w:val="20"/>
                <w:szCs w:val="20"/>
                <w:color w:val="auto"/>
              </w:rPr>
            </w:pPr>
            <w:r>
              <w:rPr>
                <w:rFonts w:ascii="Arial" w:cs="Arial" w:eastAsia="Arial" w:hAnsi="Arial"/>
                <w:sz w:val="16"/>
                <w:szCs w:val="16"/>
                <w:b w:val="1"/>
                <w:bCs w:val="1"/>
                <w:color w:val="auto"/>
              </w:rPr>
              <w:t>VICI 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1,225,574</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299,771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321,018</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(308,605)</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Gain upon lease modification</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333,352</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894,474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897,039</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894,198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896,208</w:t>
            </w:r>
          </w:p>
        </w:tc>
      </w:tr>
      <w:tr>
        <w:trPr>
          <w:trHeight w:val="270"/>
        </w:trPr>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16,968,975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94,638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17,063,613</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7,551,391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7,569,868</w:t>
            </w:r>
          </w:p>
        </w:tc>
      </w:tr>
      <w:tr>
        <w:trPr>
          <w:trHeight w:val="45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2019</w:t>
            </w: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820" w:type="dxa"/>
            <w:vAlign w:val="bottom"/>
          </w:tcPr>
          <w:p>
            <w:pPr>
              <w:jc w:val="right"/>
              <w:ind w:right="91"/>
              <w:spacing w:after="0" w:line="172" w:lineRule="exact"/>
              <w:rPr>
                <w:sz w:val="20"/>
                <w:szCs w:val="20"/>
                <w:color w:val="auto"/>
              </w:rPr>
            </w:pPr>
            <w:r>
              <w:rPr>
                <w:rFonts w:ascii="Arial" w:cs="Arial" w:eastAsia="Arial" w:hAnsi="Arial"/>
                <w:sz w:val="16"/>
                <w:szCs w:val="16"/>
                <w:b w:val="1"/>
                <w:bCs w:val="1"/>
                <w:color w:val="auto"/>
                <w:w w:val="90"/>
              </w:rPr>
              <w:t>Real Property 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88"/>
              </w:rPr>
              <w:t>Golf Course Business</w:t>
            </w:r>
          </w:p>
        </w:tc>
        <w:tc>
          <w:tcPr>
            <w:tcW w:w="220" w:type="dxa"/>
            <w:vAlign w:val="bottom"/>
          </w:tcPr>
          <w:p>
            <w:pPr>
              <w:spacing w:after="0"/>
              <w:rPr>
                <w:sz w:val="14"/>
                <w:szCs w:val="14"/>
                <w:color w:val="auto"/>
              </w:rPr>
            </w:pPr>
          </w:p>
        </w:tc>
        <w:tc>
          <w:tcPr>
            <w:tcW w:w="1760" w:type="dxa"/>
            <w:vAlign w:val="bottom"/>
          </w:tcPr>
          <w:p>
            <w:pPr>
              <w:jc w:val="right"/>
              <w:ind w:right="251"/>
              <w:spacing w:after="0" w:line="172" w:lineRule="exact"/>
              <w:rPr>
                <w:sz w:val="20"/>
                <w:szCs w:val="20"/>
                <w:color w:val="auto"/>
              </w:rPr>
            </w:pPr>
            <w:r>
              <w:rPr>
                <w:rFonts w:ascii="Arial" w:cs="Arial" w:eastAsia="Arial" w:hAnsi="Arial"/>
                <w:sz w:val="16"/>
                <w:szCs w:val="16"/>
                <w:b w:val="1"/>
                <w:bCs w:val="1"/>
                <w:color w:val="auto"/>
              </w:rPr>
              <w:t>VICI 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894,798</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52,299</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(248,384)</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(58,143)</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555,986</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554,281</w:t>
            </w:r>
          </w:p>
        </w:tc>
      </w:tr>
      <w:tr>
        <w:trPr>
          <w:trHeight w:val="270"/>
        </w:trPr>
        <w:tc>
          <w:tcPr>
            <w:tcW w:w="20" w:type="dxa"/>
            <w:vAlign w:val="bottom"/>
          </w:tcPr>
          <w:p>
            <w:pPr>
              <w:spacing w:after="0"/>
              <w:rPr>
                <w:sz w:val="23"/>
                <w:szCs w:val="23"/>
                <w:color w:val="auto"/>
              </w:rPr>
            </w:pPr>
          </w:p>
        </w:tc>
        <w:tc>
          <w:tcPr>
            <w:tcW w:w="510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13,177,318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13,265,619</w:t>
            </w: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5,199,029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5,216,630</w:t>
            </w:r>
          </w:p>
        </w:tc>
      </w:tr>
      <w:tr>
        <w:trPr>
          <w:trHeight w:val="80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right"/>
              <w:ind w:right="1151"/>
              <w:spacing w:after="0"/>
              <w:rPr>
                <w:sz w:val="20"/>
                <w:szCs w:val="20"/>
                <w:color w:val="auto"/>
              </w:rPr>
            </w:pPr>
            <w:r>
              <w:rPr>
                <w:rFonts w:ascii="Arial" w:cs="Arial" w:eastAsia="Arial" w:hAnsi="Arial"/>
                <w:sz w:val="18"/>
                <w:szCs w:val="18"/>
                <w:color w:val="auto"/>
              </w:rPr>
              <w:t>F-54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2018</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820" w:type="dxa"/>
            <w:vAlign w:val="bottom"/>
          </w:tcPr>
          <w:p>
            <w:pPr>
              <w:jc w:val="right"/>
              <w:ind w:right="91"/>
              <w:spacing w:after="0" w:line="172" w:lineRule="exact"/>
              <w:rPr>
                <w:sz w:val="20"/>
                <w:szCs w:val="20"/>
                <w:color w:val="auto"/>
              </w:rPr>
            </w:pPr>
            <w:r>
              <w:rPr>
                <w:rFonts w:ascii="Arial" w:cs="Arial" w:eastAsia="Arial" w:hAnsi="Arial"/>
                <w:sz w:val="16"/>
                <w:szCs w:val="16"/>
                <w:b w:val="1"/>
                <w:bCs w:val="1"/>
                <w:color w:val="auto"/>
                <w:w w:val="90"/>
              </w:rPr>
              <w:t>Real Property 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88"/>
              </w:rPr>
              <w:t>Golf Course Business</w:t>
            </w:r>
          </w:p>
        </w:tc>
        <w:tc>
          <w:tcPr>
            <w:tcW w:w="220" w:type="dxa"/>
            <w:vAlign w:val="bottom"/>
          </w:tcPr>
          <w:p>
            <w:pPr>
              <w:spacing w:after="0"/>
              <w:rPr>
                <w:sz w:val="14"/>
                <w:szCs w:val="14"/>
                <w:color w:val="auto"/>
              </w:rPr>
            </w:pPr>
          </w:p>
        </w:tc>
        <w:tc>
          <w:tcPr>
            <w:tcW w:w="1760" w:type="dxa"/>
            <w:vAlign w:val="bottom"/>
          </w:tcPr>
          <w:p>
            <w:pPr>
              <w:jc w:val="right"/>
              <w:ind w:right="251"/>
              <w:spacing w:after="0" w:line="172" w:lineRule="exact"/>
              <w:rPr>
                <w:sz w:val="20"/>
                <w:szCs w:val="20"/>
                <w:color w:val="auto"/>
              </w:rPr>
            </w:pPr>
            <w:r>
              <w:rPr>
                <w:rFonts w:ascii="Arial" w:cs="Arial" w:eastAsia="Arial" w:hAnsi="Arial"/>
                <w:sz w:val="16"/>
                <w:szCs w:val="16"/>
                <w:b w:val="1"/>
                <w:bCs w:val="1"/>
                <w:color w:val="auto"/>
              </w:rPr>
              <w:t>VICI 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897,977</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140,023</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(212,663)</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533,558</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532,117</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55" w:lineRule="auto"/>
        <w:tabs>
          <w:tab w:leader="none" w:pos="332"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Upon the adoption of ASC 842 on January 1, 2019, we ceased recording tenant reimbursement of property taxes as these taxes are paid directly by our tenants to the applicable government entity.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Subsequent Events</w:t>
      </w:r>
    </w:p>
    <w:p>
      <w:pPr>
        <w:spacing w:after="0" w:line="246"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have evaluated subsequent events and, except for the payment of dividends on January 7, 2021 (as described in </w:t>
      </w:r>
      <w:hyperlink w:anchor="page128">
        <w:r>
          <w:rPr>
            <w:rFonts w:ascii="Arial" w:cs="Arial" w:eastAsia="Arial" w:hAnsi="Arial"/>
            <w:sz w:val="18"/>
            <w:szCs w:val="18"/>
            <w:u w:val="single" w:color="auto"/>
            <w:color w:val="0000FF"/>
          </w:rPr>
          <w:t>Note 12 - Stockholders' Equity</w:t>
        </w:r>
      </w:hyperlink>
      <w:r>
        <w:rPr>
          <w:rFonts w:ascii="Arial" w:cs="Arial" w:eastAsia="Arial" w:hAnsi="Arial"/>
          <w:sz w:val="18"/>
          <w:szCs w:val="18"/>
          <w:color w:val="auto"/>
        </w:rPr>
        <w:t>), there were no other events relative to the Financial Statements that require additional disclosure.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0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15,833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13,912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Due from affiliates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9,571,044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8,087,905</w:t>
            </w:r>
          </w:p>
        </w:tc>
        <w:tc>
          <w:tcPr>
            <w:tcW w:w="0" w:type="dxa"/>
            <w:vAlign w:val="bottom"/>
          </w:tcPr>
          <w:p>
            <w:pPr>
              <w:spacing w:after="0"/>
              <w:rPr>
                <w:sz w:val="1"/>
                <w:szCs w:val="1"/>
                <w:color w:val="auto"/>
              </w:rPr>
            </w:pPr>
          </w:p>
        </w:tc>
      </w:tr>
      <w:tr>
        <w:trPr>
          <w:trHeight w:val="223"/>
        </w:trPr>
        <w:tc>
          <w:tcPr>
            <w:tcW w:w="71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8,102,814</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137,056</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20" w:type="dxa"/>
            <w:vAlign w:val="bottom"/>
          </w:tcPr>
          <w:p>
            <w:pPr>
              <w:ind w:left="220"/>
              <w:spacing w:after="0" w:line="176" w:lineRule="exact"/>
              <w:rPr>
                <w:sz w:val="20"/>
                <w:szCs w:val="20"/>
                <w:color w:val="auto"/>
              </w:rPr>
            </w:pPr>
            <w:r>
              <w:rPr>
                <w:rFonts w:ascii="Arial" w:cs="Arial" w:eastAsia="Arial" w:hAnsi="Arial"/>
                <w:sz w:val="18"/>
                <w:szCs w:val="18"/>
                <w:color w:val="auto"/>
              </w:rPr>
              <w:t>Common stock, $0.01 par value, 700,000,000 shares authorized and 536,669,722 and</w:t>
            </w: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tcPr>
          <w:p>
            <w:pPr>
              <w:ind w:left="220"/>
              <w:spacing w:after="0" w:line="176" w:lineRule="exact"/>
              <w:rPr>
                <w:sz w:val="20"/>
                <w:szCs w:val="20"/>
                <w:color w:val="auto"/>
              </w:rPr>
            </w:pPr>
            <w:r>
              <w:rPr>
                <w:rFonts w:ascii="Arial" w:cs="Arial" w:eastAsia="Arial" w:hAnsi="Arial"/>
                <w:sz w:val="18"/>
                <w:szCs w:val="18"/>
                <w:color w:val="auto"/>
                <w:w w:val="93"/>
              </w:rPr>
              <w:t>461,004,742 shares issued and outstanding at December 31, 2020 and December 31, 2019,</w:t>
            </w:r>
          </w:p>
        </w:tc>
        <w:tc>
          <w:tcPr>
            <w:tcW w:w="2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Preferred stock, $0.01 par value, 50,000,000 shares authorized and no shares outstanding at</w:t>
            </w:r>
          </w:p>
        </w:tc>
        <w:tc>
          <w:tcPr>
            <w:tcW w:w="20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2020 and 2019</w:t>
            </w:r>
          </w:p>
        </w:tc>
        <w:tc>
          <w:tcPr>
            <w:tcW w:w="200" w:type="dxa"/>
            <w:vAlign w:val="bottom"/>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9,363,540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7,817,582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(65,078)</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208,068</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9,415,840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7,965,182</w:t>
            </w:r>
          </w:p>
        </w:tc>
        <w:tc>
          <w:tcPr>
            <w:tcW w:w="0" w:type="dxa"/>
            <w:vAlign w:val="bottom"/>
          </w:tcPr>
          <w:p>
            <w:pPr>
              <w:spacing w:after="0"/>
              <w:rPr>
                <w:sz w:val="1"/>
                <w:szCs w:val="1"/>
                <w:color w:val="auto"/>
              </w:rPr>
            </w:pPr>
          </w:p>
        </w:tc>
      </w:tr>
      <w:tr>
        <w:trPr>
          <w:trHeight w:val="223"/>
        </w:trPr>
        <w:tc>
          <w:tcPr>
            <w:tcW w:w="712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8,102,814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7"/>
        </w:trPr>
        <w:tc>
          <w:tcPr>
            <w:tcW w:w="5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2018</w:t>
            </w:r>
          </w:p>
        </w:tc>
      </w:tr>
      <w:tr>
        <w:trPr>
          <w:trHeight w:val="215"/>
        </w:trPr>
        <w:tc>
          <w:tcPr>
            <w:tcW w:w="5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Expenses</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10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5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Equity in earnings of investment in subsidiary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891,620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532,699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516,116</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891,674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523,619</w:t>
            </w: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auto"/>
              <w:bottom w:val="single" w:sz="8" w:color="auto"/>
            </w:tcBorders>
          </w:tcPr>
          <w:p>
            <w:pPr>
              <w:jc w:val="right"/>
              <w:ind w:right="10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891,674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523,619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891,674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523,619</w:t>
            </w:r>
          </w:p>
        </w:tc>
      </w:tr>
      <w:tr>
        <w:trPr>
          <w:trHeight w:val="23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Unrealized loss on cash flow hedges - investment in subsidiaries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864,231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501,495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7"/>
        </w:trPr>
        <w:tc>
          <w:tcPr>
            <w:tcW w:w="5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2018</w:t>
            </w:r>
          </w:p>
        </w:tc>
      </w:tr>
      <w:tr>
        <w:trPr>
          <w:trHeight w:val="215"/>
        </w:trPr>
        <w:tc>
          <w:tcPr>
            <w:tcW w:w="51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523,619</w:t>
            </w:r>
          </w:p>
        </w:tc>
      </w:tr>
      <w:tr>
        <w:trPr>
          <w:trHeight w:val="175"/>
        </w:trPr>
        <w:tc>
          <w:tcPr>
            <w:tcW w:w="5100" w:type="dxa"/>
            <w:vAlign w:val="bottom"/>
          </w:tcPr>
          <w:p>
            <w:pPr>
              <w:ind w:left="140"/>
              <w:spacing w:after="0" w:line="176" w:lineRule="exact"/>
              <w:rPr>
                <w:sz w:val="20"/>
                <w:szCs w:val="20"/>
                <w:color w:val="auto"/>
              </w:rPr>
            </w:pPr>
            <w:r>
              <w:rPr>
                <w:rFonts w:ascii="Arial" w:cs="Arial" w:eastAsia="Arial" w:hAnsi="Arial"/>
                <w:sz w:val="18"/>
                <w:szCs w:val="18"/>
                <w:color w:val="auto"/>
                <w:w w:val="99"/>
              </w:rPr>
              <w:t>Adjustments to reconcile net income to cash flows provided by</w:t>
            </w: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income from subsidiaries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Distributions of earnings from subsidiaries</w:t>
            </w:r>
          </w:p>
        </w:tc>
        <w:tc>
          <w:tcPr>
            <w:tcW w:w="4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Change in other assets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(2,150)</w:t>
            </w: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other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intercompany balances, net</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23"/>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521,125</w:t>
            </w:r>
          </w:p>
        </w:tc>
      </w:tr>
      <w:tr>
        <w:trPr>
          <w:trHeight w:val="250"/>
        </w:trPr>
        <w:tc>
          <w:tcPr>
            <w:tcW w:w="5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Investment in subsidiary</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(1,540,227)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(1,700,748)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(1,838,205)</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subsidiaries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357,781</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Investments in short-term investments</w:t>
            </w:r>
          </w:p>
        </w:tc>
        <w:tc>
          <w:tcPr>
            <w:tcW w:w="4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(342,767)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(691,239)</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Maturities of short-term investments</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170,362</w:t>
            </w:r>
          </w:p>
        </w:tc>
      </w:tr>
      <w:tr>
        <w:trPr>
          <w:trHeight w:val="223"/>
        </w:trPr>
        <w:tc>
          <w:tcPr>
            <w:tcW w:w="5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Cash flows used in investing activities</w:t>
            </w: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(925,913)</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(1,050,221)</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(2,001,301)</w:t>
            </w:r>
          </w:p>
        </w:tc>
      </w:tr>
      <w:tr>
        <w:trPr>
          <w:trHeight w:val="250"/>
        </w:trPr>
        <w:tc>
          <w:tcPr>
            <w:tcW w:w="5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follow-on offering of common stock</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1,539,862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694,374</w:t>
            </w: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Proceeds from initial public offering of common stock</w:t>
            </w:r>
          </w:p>
        </w:tc>
        <w:tc>
          <w:tcPr>
            <w:tcW w:w="4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1,307,119</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(612,205)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(503,958)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(262,682)</w:t>
            </w:r>
          </w:p>
        </w:tc>
      </w:tr>
      <w:tr>
        <w:trPr>
          <w:trHeight w:val="223"/>
        </w:trPr>
        <w:tc>
          <w:tcPr>
            <w:tcW w:w="5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Cash flows provided by financing activities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927,657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660,349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1,738,811</w:t>
            </w:r>
          </w:p>
        </w:tc>
      </w:tr>
      <w:tr>
        <w:trPr>
          <w:trHeight w:val="250"/>
        </w:trPr>
        <w:tc>
          <w:tcPr>
            <w:tcW w:w="5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(363,840)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258,635</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Cash, cash equivalents and restricted cash, beginning of period</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119,117</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377,752</w:t>
            </w:r>
          </w:p>
        </w:tc>
      </w:tr>
      <w:tr>
        <w:trPr>
          <w:trHeight w:val="21"/>
        </w:trPr>
        <w:tc>
          <w:tcPr>
            <w:tcW w:w="5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23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condensed parent company financial information has been prepared in accordance with Rule 12-04, Schedule 1 of Regulation S-X, as the restricted net assets of VICI Properties Inc. and its subsidiaries exceed 25% of the consolidated net assets of VICI Properties Inc. and its subsidiaries (the “Company”). This information should be read in conjunction with the Company’s consolidated financial statements included elsewhere in this filing.</w:t>
      </w:r>
    </w:p>
    <w:p>
      <w:pPr>
        <w:spacing w:after="0" w:line="91"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VICI Properties 1 LLC (“VICI PropCo”), a Delaware limited liability company and an indirect wholly owned subsidiary of VICI Properties, Inc</w:t>
      </w:r>
      <w:r>
        <w:rPr>
          <w:rFonts w:ascii="Arial" w:cs="Arial" w:eastAsia="Arial" w:hAnsi="Arial"/>
          <w:sz w:val="16"/>
          <w:szCs w:val="16"/>
          <w:i w:val="1"/>
          <w:iCs w:val="1"/>
          <w:color w:val="auto"/>
        </w:rPr>
        <w:t>.,</w:t>
      </w:r>
      <w:r>
        <w:rPr>
          <w:rFonts w:ascii="Arial" w:cs="Arial" w:eastAsia="Arial" w:hAnsi="Arial"/>
          <w:sz w:val="16"/>
          <w:szCs w:val="16"/>
          <w:color w:val="auto"/>
        </w:rPr>
        <w:t xml:space="preserve"> has certain restrictions on its ability to pay dividends or make intercompany loans and advances pursuant to financing arrangements. On December 22, 2017, VICI PropCo entered into a credit agreement (the “Credit Agreement”) governing the Term Loan B Facility and the Revolving Credit Facility. 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Credit Agreement) subject to no event of default under the Credit Agreement and pro forma compliance with the financial covenant pursuant to the Credit Agreement, and the ability to make additional restricted payments in an aggregate amount not to exceed the greater of 0.6% of Adjusted Total Assets (as defined in the Credit Agreement) or $30,000,000. Commencing with the first full fiscal quarter ended after December 22, 2017, if the outstanding amount of the Revolving Credit Facility plus any drawings under letters of credit issued pursuant to the Credit Agreement that have not been reimbursed as of the end of any fiscal quarter exceeds 30% of the aggregate amount of the Revolving Credit Facility, VICI PropCo and its restricted subsidiaries on a consolidated basis would be required to maintain a maximum Total Net Debt to Adjusted Total Assets Ratio, as defined in the Credit Agreement, as of the last day of any applicable fiscal quarter.</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November 2019 Senior Unsecured Notes and the February 2020 Senior Unsecured Notes (together, the “Senior Unsecured Notes”) were issued in November 2019 and February 2020, respectively, pursuant to indentures (the “Senior Unsecured Notes Indentures”) by and among the Operating Partnership and VICI Note Co. Inc. (the “Co-Issuer” and, together with the Operating Partnership, the “Senior Unsecured Notes Issuers”), the subsidiary guarantors party thereto and UMB Bank, National Association, as trustee. The Senior Unsecured Notes Indentures contain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restricted net assets the Company’s consolidated subsidiaries held as of December 31, 2020 was approximately $8.0 billion.</w:t>
      </w:r>
    </w:p>
    <w:p>
      <w:pPr>
        <w:spacing w:after="0" w:line="167"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discussion of the Company’s commitments, contingencies, and long-term obligations under its senior secured credit facilities, see </w:t>
      </w:r>
      <w:hyperlink w:anchor="page118">
        <w:r>
          <w:rPr>
            <w:rFonts w:ascii="Arial" w:cs="Arial" w:eastAsia="Arial" w:hAnsi="Arial"/>
            <w:sz w:val="18"/>
            <w:szCs w:val="18"/>
            <w:u w:val="single" w:color="auto"/>
            <w:color w:val="0000FF"/>
          </w:rPr>
          <w:t>Note 8 -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Company’s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- 4</w:t>
      </w:r>
    </w:p>
    <w:p>
      <w:pPr>
        <w:sectPr>
          <w:pgSz w:w="11900" w:h="16838" w:orient="portrait"/>
          <w:cols w:equalWidth="0" w:num="1">
            <w:col w:w="11240"/>
          </w:cols>
          <w:pgMar w:left="320" w:top="179"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charter authorizes us to issue up to 700,000,000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536,669,722 shares of our common stock are issued and outstanding, and no shares of preferred stock of any kind (including Series A preferred stock) are issued or outstanding.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Maryland law, a stockholder generally is not liable for a corporation’s debts or obligations solely as a result of the stockholder’s status as a stockholder.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limitation of liability and amendments to our charter,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w:t>
      </w:r>
    </w:p>
    <w:p>
      <w:pPr>
        <w:sectPr>
          <w:pgSz w:w="11900" w:h="16838" w:orient="portrait"/>
          <w:cols w:equalWidth="0" w:num="1">
            <w:col w:w="11240"/>
          </w:cols>
          <w:pgMar w:left="320" w:top="135"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Power to Reclassify and Issue Stock</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otherwise be in their best interests.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charter also provides that:</w:t>
      </w:r>
    </w:p>
    <w:p>
      <w:pPr>
        <w:spacing w:after="0" w:line="225" w:lineRule="exact"/>
        <w:rPr>
          <w:sz w:val="20"/>
          <w:szCs w:val="20"/>
          <w:color w:val="auto"/>
        </w:rPr>
      </w:pPr>
    </w:p>
    <w:p>
      <w:pPr>
        <w:jc w:val="both"/>
        <w:ind w:left="660" w:hanging="328"/>
        <w:spacing w:after="0" w:line="263"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is prohibited from transferring shares of our stock if the transfer would result in shares of our stock being beneficially owned by fewer than 100 persons.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13" w:right="339" w:bottom="1440" w:gutter="0" w:footer="0" w:header="0"/>
        </w:sectPr>
      </w:pPr>
    </w:p>
    <w:bookmarkStart w:id="142" w:name="page143"/>
    <w:bookmarkEnd w:id="142"/>
    <w:p>
      <w:pPr>
        <w:jc w:val="both"/>
        <w:spacing w:after="0" w:line="255" w:lineRule="auto"/>
        <w:rPr>
          <w:sz w:val="20"/>
          <w:szCs w:val="20"/>
          <w:color w:val="auto"/>
        </w:rPr>
      </w:pPr>
      <w:r>
        <w:rPr>
          <w:rFonts w:ascii="Arial" w:cs="Arial" w:eastAsia="Arial" w:hAnsi="Arial"/>
          <w:sz w:val="18"/>
          <w:szCs w:val="18"/>
          <w:color w:val="auto"/>
        </w:rPr>
        <w:t>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w:t>
      </w:r>
    </w:p>
    <w:p>
      <w:pPr>
        <w:spacing w:after="0" w:line="187" w:lineRule="exact"/>
        <w:rPr>
          <w:sz w:val="20"/>
          <w:szCs w:val="20"/>
          <w:color w:val="auto"/>
        </w:rPr>
      </w:pPr>
    </w:p>
    <w:p>
      <w:pPr>
        <w:jc w:val="both"/>
        <w:ind w:left="660" w:hanging="328"/>
        <w:spacing w:after="0" w:line="263"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sales proceeds received by the trustee for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net sales proceeds in excess of the amount payable to the intended transferee shall be paid to the charitable beneficiary.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charter provides that shares of our stock held in the trust will be deemed to be offered for sale to us, or our designee, at a price per share equal to the lesser of:</w:t>
      </w:r>
    </w:p>
    <w:p>
      <w:pPr>
        <w:spacing w:after="0" w:line="170" w:lineRule="exact"/>
        <w:rPr>
          <w:sz w:val="20"/>
          <w:szCs w:val="20"/>
          <w:color w:val="auto"/>
        </w:rPr>
      </w:pPr>
    </w:p>
    <w:p>
      <w:pPr>
        <w:ind w:left="66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 per share in the transaction that resulted in the transfer to the trust or, in the case of a gift, devise or other such transaction, at market price, at the time of such gift, devise or other such transaction;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market price on the date we accept, or our designee accepts, such offer.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13" w:right="339" w:bottom="1440" w:gutter="0" w:footer="0" w:header="0"/>
        </w:sectPr>
      </w:pPr>
    </w:p>
    <w:bookmarkStart w:id="143" w:name="page144"/>
    <w:bookmarkEnd w:id="143"/>
    <w:p>
      <w:pPr>
        <w:jc w:val="both"/>
        <w:spacing w:after="0" w:line="277" w:lineRule="auto"/>
        <w:rPr>
          <w:sz w:val="20"/>
          <w:szCs w:val="20"/>
          <w:color w:val="auto"/>
        </w:rPr>
      </w:pPr>
      <w:r>
        <w:rPr>
          <w:rFonts w:ascii="Arial" w:cs="Arial" w:eastAsia="Arial" w:hAnsi="Arial"/>
          <w:sz w:val="18"/>
          <w:szCs w:val="18"/>
          <w:color w:val="auto"/>
        </w:rPr>
        <w:t>If our board of directors authorizes any of our shares to be represented by certificates, the certificates will bear a legend referring to the restrictions described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restrictions on ownership and transfer of our stock could delay, defer or prevent a transaction or a change of control of us that might involve a premium price for our common stock or otherwise be in the best interests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Affiliate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40"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Issuance of Common Stock upon Redemption of Partnership Units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Operating Partnership, VICI Properties L.P., is a Delaware limited partnership. All of our assets (other than the golf course assets), are held by, and all of our operations (other than the golf course operations) are and will be conducted through, our Operating Partnership, either directly or through subsidiaries. VICI Properties GP LLC, our wholly-owned subsidiary, is the sole General Partner of our Operating Partnership. Some of our property acquisitions could be financed by issuing units of our Operating Partnership in exchange for property owned by third parties. Such third parties would then be entitled to share in cash distributions from, and in the profits and losses of, our Operating Partnership in proportion to their respective percentage interests in our Operating Partnership. Holders of outstanding partnership units will on the twelve-month anniversary a limited partner first becoming a holder of common units of the Operating Partnership (subject to the terms of the limited partnership agreement), have the right to elect to redeem their partnership units for cash, based upon the value of an equivalent number of shares of our common stock at the time of the election to redeem, subject to our right instead, and as expressly permitted in our charter, to acquire the partnership units tendered for redemption in exchange for an equivalent number of shares of our common stock, subject to the restrictions on ownership and transfer of our stock set forth in our charter.</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Provisions in the limited partnership agreement may delay or make more difficult unsolicited acquisitions of us or changes in our control. These provisions could discourage third parties from making proposals involving an unsolicited acquisition of us or change of our control, although some stockholders might consider such proposals, if made, desirable. These provisions also make it more difficult for third parties to alter the management structure of our Operating Partnership without the concurrence of our board of directors. These provisions include, among others:</w:t>
      </w:r>
    </w:p>
    <w:p>
      <w:pPr>
        <w:spacing w:after="0" w:line="7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redemption rights of limited partners and certain assignees of partnership units or other Operating Partnership interests;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 restrictions on partnership units and restrictions on admission of partners;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requirement that VICI Properties GP LLC may not be removed as the General Partner of our Operating Partnership without its consent;</w:t>
      </w:r>
    </w:p>
    <w:p>
      <w:pPr>
        <w:spacing w:after="0" w:line="142"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ability of the General Partner in some cases to amend the limited partnership agreement and to cause our Operating Partnership to issue preferred partnership interests in our Operating Partnership with terms that it may determine, in either case, without the approval or consent of any limited partner; and</w:t>
      </w:r>
    </w:p>
    <w:p>
      <w:pPr>
        <w:spacing w:after="0" w:line="74" w:lineRule="exact"/>
        <w:rPr>
          <w:rFonts w:ascii="Arial" w:cs="Arial" w:eastAsia="Arial" w:hAnsi="Arial"/>
          <w:sz w:val="18"/>
          <w:szCs w:val="18"/>
          <w:color w:val="auto"/>
        </w:rPr>
      </w:pPr>
    </w:p>
    <w:p>
      <w:pPr>
        <w:ind w:left="660" w:right="20" w:hanging="328"/>
        <w:spacing w:after="0" w:line="29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right of any future limited partners to consent to transfers of units of other Operating Partnership interests except under specified circumstances, including in connection with mergers, consolidations and other business combinations involving us.</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discussion of our Operating Partnership and select related matters does not purport to be complete and is subject to and qualified in its entirety by reference to the limited partnership agreement of VICI Properties L.P., which is filed as an exhibit to the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Charter and Bylaws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summary of certain provisions of Maryland law and of our charter and bylaws is only a summary, and is subject to, and qualified in its entirety by reference to, our charter and bylaws and the applicable provisions of the MGCL.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found by our board of directors to be an unsuitable person will expire.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provide that any vacancy on our board of directors may be filled only by the affirmative vote of a majority of the remaining directors in office, even if the remaining directors do not constitute a quorum of the board of directors except that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09"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t>vacancy created by the removal of a director by stockholders may also be filled by the requisite vote or consent of stockholders set forth in our bylaws.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Charter and Bylaws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Except as provided in our charter with respect to indemnification, limitation of liability and amendments to our charter,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w:t>
      </w:r>
    </w:p>
    <w:p>
      <w:pPr>
        <w:spacing w:after="0" w:line="187"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person who beneficially, directly or indirectly, owns 10% or more of the voting power of the corporation’s outstanding voting stock; or</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before the date in question, was the beneficial owner, directly or indirectly, of 10% or more of the voting power of the corporation’s then outstanding voting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the interested stockholder generally must be recommended by the corporation’s board of directors and approved by the affirmative vote of at least:</w:t>
      </w:r>
    </w:p>
    <w:p>
      <w:pPr>
        <w:spacing w:after="0" w:line="62"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1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13" w:right="339" w:bottom="1440" w:gutter="0" w:footer="0" w:header="0"/>
        </w:sectPr>
      </w:pPr>
    </w:p>
    <w:bookmarkStart w:id="146" w:name="page147"/>
    <w:bookmarkEnd w:id="146"/>
    <w:p>
      <w:pPr>
        <w:jc w:val="both"/>
        <w:spacing w:after="0" w:line="259" w:lineRule="auto"/>
        <w:rPr>
          <w:sz w:val="20"/>
          <w:szCs w:val="20"/>
          <w:color w:val="auto"/>
        </w:rPr>
      </w:pPr>
      <w:r>
        <w:rPr>
          <w:rFonts w:ascii="Arial" w:cs="Arial" w:eastAsia="Arial" w:hAnsi="Arial"/>
          <w:sz w:val="18"/>
          <w:szCs w:val="18"/>
          <w:color w:val="auto"/>
        </w:rPr>
        <w:t>enter into a business combination with us that may not be in the best interests of our stockholders,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w:t>
      </w:r>
    </w:p>
    <w:p>
      <w:pPr>
        <w:spacing w:after="0" w:line="192"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bylaws contain a provision exempting any acquisition of our stock by any person from the foregoing provisions on control shares. In the event that our bylaws are amended by our stockholders to modify or eliminate this provision, acquisitions of our common stock may constitute a control share acquisition and may be subject to the Maryland Control Share Acquisition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13" w:right="339" w:bottom="1440" w:gutter="0" w:footer="0" w:header="0"/>
        </w:sectPr>
      </w:pPr>
    </w:p>
    <w:bookmarkStart w:id="147" w:name="page148"/>
    <w:bookmarkEnd w:id="147"/>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board of directors;</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provision that a special meeting of stockholders must be called upon stockholder request only on the written request of stockholders entitled to cast a majority of the votes entitled to be cast at the meeting.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Interests and Activities of Our Directors or Officers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 and New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05"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than the close of business on the 120th day before the first anniversary of the date of our proxy statement for the preceding year’s annual meeting.</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Certain Provisions of Maryland Law and our Charter and Bylaws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jc w:val="both"/>
        <w:ind w:firstLine="8"/>
        <w:spacing w:after="0" w:line="281" w:lineRule="auto"/>
        <w:tabs>
          <w:tab w:leader="none" w:pos="25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w:t>
      </w:r>
    </w:p>
    <w:p>
      <w:pPr>
        <w:spacing w:after="0" w:line="1" w:lineRule="exact"/>
        <w:rPr>
          <w:rFonts w:ascii="Arial" w:cs="Arial" w:eastAsia="Arial" w:hAnsi="Arial"/>
          <w:sz w:val="16"/>
          <w:szCs w:val="16"/>
          <w:color w:val="auto"/>
        </w:rPr>
      </w:pPr>
    </w:p>
    <w:p>
      <w:pPr>
        <w:jc w:val="both"/>
        <w:ind w:firstLine="8"/>
        <w:spacing w:after="0" w:line="255" w:lineRule="auto"/>
        <w:tabs>
          <w:tab w:leader="none" w:pos="2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05"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w:t>
      </w:r>
    </w:p>
    <w:p>
      <w:pPr>
        <w:spacing w:after="0" w:line="176" w:lineRule="exact"/>
        <w:rPr>
          <w:sz w:val="20"/>
          <w:szCs w:val="20"/>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(a) was committed in bad faith or (b) was the result of active and deliberate dishonesty;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84" w:lineRule="exact"/>
        <w:rPr>
          <w:sz w:val="20"/>
          <w:szCs w:val="20"/>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a proceeding by reason of his or her service in that capacity; or</w:t>
      </w:r>
    </w:p>
    <w:p>
      <w:pPr>
        <w:spacing w:after="0" w:line="6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charter and bylaws provide that we have the power, with approval of our board, to provide such indemnification and advance of expenses to a person who served a predecessor of us in any such capacity described above and to any employee or agent of us or a predecessor of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09" w:right="339" w:bottom="1440" w:gutter="0" w:footer="0" w:header="0"/>
        </w:sectPr>
      </w:pPr>
    </w:p>
    <w:bookmarkStart w:id="150" w:name="page151"/>
    <w:bookmarkEnd w:id="150"/>
    <w:p>
      <w:pPr>
        <w:spacing w:after="0" w:line="277" w:lineRule="auto"/>
        <w:rPr>
          <w:sz w:val="20"/>
          <w:szCs w:val="20"/>
          <w:color w:val="auto"/>
        </w:rPr>
      </w:pPr>
      <w:r>
        <w:rPr>
          <w:rFonts w:ascii="Arial" w:cs="Arial" w:eastAsia="Arial" w:hAnsi="Arial"/>
          <w:sz w:val="18"/>
          <w:szCs w:val="18"/>
          <w:color w:val="auto"/>
        </w:rPr>
        <w:t>We have purchased and maintain insurance on behalf of all of our directors and executive officers against liability asserted against or incurred by them in their official capacities, whether or not we are required to have the power to indemnify them against the same liability.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13"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LEASE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November 18, 2020, by and among </w:t>
      </w:r>
      <w:r>
        <w:rPr>
          <w:rFonts w:ascii="Arial" w:cs="Arial" w:eastAsia="Arial" w:hAnsi="Arial"/>
          <w:sz w:val="22"/>
          <w:szCs w:val="22"/>
          <w:b w:val="1"/>
          <w:bCs w:val="1"/>
          <w:color w:val="auto"/>
        </w:rPr>
        <w:t>CPLV PROPERTY OWNER LLC</w:t>
      </w:r>
      <w:r>
        <w:rPr>
          <w:rFonts w:ascii="Arial" w:cs="Arial" w:eastAsia="Arial" w:hAnsi="Arial"/>
          <w:sz w:val="22"/>
          <w:szCs w:val="22"/>
          <w:color w:val="auto"/>
        </w:rPr>
        <w:t xml:space="preserve"> and </w:t>
      </w:r>
      <w:r>
        <w:rPr>
          <w:rFonts w:ascii="Arial" w:cs="Arial" w:eastAsia="Arial" w:hAnsi="Arial"/>
          <w:sz w:val="22"/>
          <w:szCs w:val="22"/>
          <w:b w:val="1"/>
          <w:bCs w:val="1"/>
          <w:color w:val="auto"/>
        </w:rPr>
        <w:t>CLAUDINE PROPCO LLC</w:t>
      </w:r>
      <w:r>
        <w:rPr>
          <w:rFonts w:ascii="Arial" w:cs="Arial" w:eastAsia="Arial" w:hAnsi="Arial"/>
          <w:sz w:val="22"/>
          <w:szCs w:val="22"/>
          <w:color w:val="auto"/>
        </w:rPr>
        <w:t>, each a Delaware limited liability company (collectively, 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last paragraph of Section 1.1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last paragraph of Section 1.1 of the Lease, Propco TRS</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to that certain Lease (CPLV) dated as of October 6, 2017, as amended by that certain First Amendment to Lease (CPLV), dated as of December 26, 2018, as amended by that certain Omnibus Amendment to Leases, dated as of June 1, 2020, as amended by that certain Second Amendment to Lease (CPLV), dated as of July 20, 2020, as amended by that certain Third Amendment to Lease, dated as of September 30, 2020, and to the extent amended by that certain Amended and Restated Omnibus Amendment to Leases, dated as of October 27,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(i) Bally’s Park Place LLC (“</w:t>
      </w:r>
      <w:r>
        <w:rPr>
          <w:rFonts w:ascii="Arial" w:cs="Arial" w:eastAsia="Arial" w:hAnsi="Arial"/>
          <w:sz w:val="21"/>
          <w:szCs w:val="21"/>
          <w:u w:val="single" w:color="auto"/>
          <w:color w:val="auto"/>
        </w:rPr>
        <w:t>Operator</w:t>
      </w:r>
      <w:r>
        <w:rPr>
          <w:rFonts w:ascii="Arial" w:cs="Arial" w:eastAsia="Arial" w:hAnsi="Arial"/>
          <w:sz w:val="21"/>
          <w:szCs w:val="21"/>
          <w:color w:val="auto"/>
        </w:rPr>
        <w:t>”), as operator, Bally’s Atlantic City LLC, as</w:t>
      </w:r>
      <w:r>
        <w:rPr>
          <w:rFonts w:ascii="Arial" w:cs="Arial" w:eastAsia="Arial" w:hAnsi="Arial"/>
          <w:sz w:val="21"/>
          <w:szCs w:val="21"/>
          <w:b w:val="1"/>
          <w:bCs w:val="1"/>
          <w:color w:val="auto"/>
        </w:rPr>
        <w:t xml:space="preserve"> </w:t>
      </w:r>
      <w:r>
        <w:rPr>
          <w:rFonts w:ascii="Arial" w:cs="Arial" w:eastAsia="Arial" w:hAnsi="Arial"/>
          <w:sz w:val="21"/>
          <w:szCs w:val="21"/>
          <w:color w:val="auto"/>
        </w:rPr>
        <w:t>seller, and Premier Entertainment AC, LLC (as successor by assignment to Twin River Management Group, Inc.) (“</w:t>
      </w:r>
      <w:r>
        <w:rPr>
          <w:rFonts w:ascii="Arial" w:cs="Arial" w:eastAsia="Arial" w:hAnsi="Arial"/>
          <w:sz w:val="21"/>
          <w:szCs w:val="21"/>
          <w:u w:val="single" w:color="auto"/>
          <w:color w:val="auto"/>
        </w:rPr>
        <w:t>Purchaser</w:t>
      </w:r>
      <w:r>
        <w:rPr>
          <w:rFonts w:ascii="Arial" w:cs="Arial" w:eastAsia="Arial" w:hAnsi="Arial"/>
          <w:sz w:val="21"/>
          <w:szCs w:val="21"/>
          <w:color w:val="auto"/>
        </w:rPr>
        <w:t>”), as purchaser, are closing a purchase and sale transaction under that certain Agreement of Sale, dated as of April 24, 2020, with respect to certain real property and (ii) Operator and Purchaser are closing a purchase and sale transaction under that certain Asset Purchase Agreement, dated as of April 24, 2020, with respect to certain casino and related operations and assets, in each case under clauses (i) and (ii), associated with the gaming and entertainment facility known as “Bally’s Atlantic City”, located in Atlantic City, New Jersey (the “</w:t>
      </w:r>
      <w:r>
        <w:rPr>
          <w:rFonts w:ascii="Arial" w:cs="Arial" w:eastAsia="Arial" w:hAnsi="Arial"/>
          <w:sz w:val="21"/>
          <w:szCs w:val="21"/>
          <w:u w:val="single" w:color="auto"/>
          <w:color w:val="auto"/>
        </w:rPr>
        <w:t>Bally’s Transaction</w:t>
      </w:r>
      <w:r>
        <w:rPr>
          <w:rFonts w:ascii="Arial" w:cs="Arial" w:eastAsia="Arial" w:hAnsi="Arial"/>
          <w:sz w:val="21"/>
          <w:szCs w:val="21"/>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Bally’s Transaction, the parties hereto desire to amend the Lease as set forth herein.</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125" w:right="339" w:bottom="1440" w:gutter="0" w:footer="0" w:header="0"/>
        </w:sectPr>
      </w:pPr>
    </w:p>
    <w:bookmarkStart w:id="152" w:name="page153"/>
    <w:bookmarkEnd w:id="152"/>
    <w:p>
      <w:pPr>
        <w:ind w:left="1300" w:hanging="644"/>
        <w:spacing w:after="0"/>
        <w:tabs>
          <w:tab w:leader="none" w:pos="1300" w:val="left"/>
        </w:tabs>
        <w:numPr>
          <w:ilvl w:val="1"/>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left="660" w:hanging="328"/>
        <w:spacing w:after="0" w:line="250" w:lineRule="auto"/>
        <w:tabs>
          <w:tab w:leader="none" w:pos="64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Article II of the Lease is hereby amended such that the definition of “Triennial Minimum Cap Ex Amount B” is hereby revised and modified to replace the reference therein to “Four Hundred Twenty-One Million Nine Hundred Thousand and No/100 Dollars ($421,900,000.00)” with a reference to “Four Hundred Five Million Two Hundred Thousand and No/100 Dollars ($405,200,000.00)”.</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Partial Periods.</w:t>
      </w:r>
    </w:p>
    <w:p>
      <w:pPr>
        <w:spacing w:after="0" w:line="219" w:lineRule="exact"/>
        <w:rPr>
          <w:rFonts w:ascii="Arial" w:cs="Arial" w:eastAsia="Arial" w:hAnsi="Arial"/>
          <w:sz w:val="22"/>
          <w:szCs w:val="22"/>
          <w:color w:val="auto"/>
        </w:rPr>
      </w:pPr>
    </w:p>
    <w:p>
      <w:pPr>
        <w:jc w:val="both"/>
        <w:ind w:left="1300" w:hanging="434"/>
        <w:spacing w:after="0" w:line="261" w:lineRule="auto"/>
        <w:tabs>
          <w:tab w:leader="none" w:pos="1300" w:val="left"/>
        </w:tabs>
        <w:numPr>
          <w:ilvl w:val="2"/>
          <w:numId w:val="92"/>
        </w:numPr>
        <w:rPr>
          <w:rFonts w:ascii="Arial" w:cs="Arial" w:eastAsia="Arial" w:hAnsi="Arial"/>
          <w:sz w:val="21"/>
          <w:szCs w:val="21"/>
          <w:color w:val="auto"/>
        </w:rPr>
      </w:pPr>
      <w:r>
        <w:rPr>
          <w:rFonts w:ascii="Arial" w:cs="Arial" w:eastAsia="Arial" w:hAnsi="Arial"/>
          <w:sz w:val="21"/>
          <w:szCs w:val="21"/>
          <w:color w:val="auto"/>
        </w:rPr>
        <w:t>Section 10.5(a)(v)(b)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 and</w:t>
      </w:r>
    </w:p>
    <w:p>
      <w:pPr>
        <w:spacing w:after="0" w:line="179" w:lineRule="exact"/>
        <w:rPr>
          <w:rFonts w:ascii="Arial" w:cs="Arial" w:eastAsia="Arial" w:hAnsi="Arial"/>
          <w:sz w:val="21"/>
          <w:szCs w:val="21"/>
          <w:color w:val="auto"/>
        </w:rPr>
      </w:pPr>
    </w:p>
    <w:p>
      <w:pPr>
        <w:jc w:val="both"/>
        <w:ind w:left="1300" w:hanging="494"/>
        <w:spacing w:after="0" w:line="294" w:lineRule="auto"/>
        <w:tabs>
          <w:tab w:leader="none" w:pos="1300" w:val="left"/>
        </w:tabs>
        <w:numPr>
          <w:ilvl w:val="2"/>
          <w:numId w:val="92"/>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w:t>
      </w:r>
    </w:p>
    <w:p>
      <w:pPr>
        <w:spacing w:after="0" w:line="143" w:lineRule="exact"/>
        <w:rPr>
          <w:rFonts w:ascii="Arial" w:cs="Arial" w:eastAsia="Arial" w:hAnsi="Arial"/>
          <w:sz w:val="19"/>
          <w:szCs w:val="19"/>
          <w:color w:val="auto"/>
        </w:rPr>
      </w:pPr>
    </w:p>
    <w:p>
      <w:pPr>
        <w:jc w:val="both"/>
        <w:ind w:firstLine="656"/>
        <w:spacing w:after="0" w:line="256" w:lineRule="auto"/>
        <w:tabs>
          <w:tab w:leader="none" w:pos="1296" w:val="left"/>
        </w:tabs>
        <w:numPr>
          <w:ilvl w:val="1"/>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b w:val="1"/>
          <w:bCs w:val="1"/>
          <w:color w:val="auto"/>
        </w:rPr>
      </w:pPr>
    </w:p>
    <w:p>
      <w:pPr>
        <w:jc w:val="both"/>
        <w:ind w:firstLine="656"/>
        <w:spacing w:after="0" w:line="267" w:lineRule="auto"/>
        <w:tabs>
          <w:tab w:leader="none" w:pos="1296" w:val="left"/>
        </w:tabs>
        <w:numPr>
          <w:ilvl w:val="1"/>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b w:val="1"/>
          <w:bCs w:val="1"/>
          <w:color w:val="auto"/>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67" w:lineRule="exact"/>
        <w:rPr>
          <w:rFonts w:ascii="Arial" w:cs="Arial" w:eastAsia="Arial" w:hAnsi="Arial"/>
          <w:sz w:val="21"/>
          <w:szCs w:val="21"/>
          <w:b w:val="1"/>
          <w:bCs w:val="1"/>
          <w:color w:val="auto"/>
        </w:rPr>
      </w:pPr>
    </w:p>
    <w:p>
      <w:pPr>
        <w:jc w:val="both"/>
        <w:ind w:firstLine="656"/>
        <w:spacing w:after="0" w:line="256" w:lineRule="auto"/>
        <w:tabs>
          <w:tab w:leader="none" w:pos="1296" w:val="left"/>
        </w:tabs>
        <w:numPr>
          <w:ilvl w:val="1"/>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1"/>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98" w:right="339" w:bottom="1440" w:gutter="0" w:footer="0" w:header="0"/>
        </w:sectPr>
      </w:pPr>
    </w:p>
    <w:bookmarkStart w:id="153" w:name="page154"/>
    <w:bookmarkEnd w:id="153"/>
    <w:p>
      <w:pPr>
        <w:jc w:val="both"/>
        <w:ind w:left="-20" w:firstLine="656"/>
        <w:spacing w:after="0" w:line="291" w:lineRule="auto"/>
        <w:tabs>
          <w:tab w:leader="none" w:pos="1276" w:val="left"/>
        </w:tabs>
        <w:numPr>
          <w:ilvl w:val="0"/>
          <w:numId w:val="93"/>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If any provision of this Amendment is adjudicated to be invalid, illegal or unenforceable, in whole 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098" w:right="339" w:bottom="1440" w:gutter="0" w:footer="0" w:header="0"/>
        </w:sectPr>
      </w:pPr>
    </w:p>
    <w:bookmarkStart w:id="154" w:name="page155"/>
    <w:bookmarkEnd w:id="154"/>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CPLV PROPERTY OWNER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245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CLAUDINE PROPCO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245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Fourth Amendment to Las Vegas Lease]</w:t>
      </w:r>
    </w:p>
    <w:p>
      <w:pPr>
        <w:sectPr>
          <w:pgSz w:w="11900" w:h="16838" w:orient="portrait"/>
          <w:cols w:equalWidth="0" w:num="1">
            <w:col w:w="11220"/>
          </w:cols>
          <w:pgMar w:left="320" w:top="1095" w:right="35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DESERT PALACE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CEOC,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43" w:lineRule="exact"/>
        <w:rPr>
          <w:sz w:val="20"/>
          <w:szCs w:val="20"/>
          <w:color w:val="auto"/>
        </w:rPr>
      </w:pPr>
    </w:p>
    <w:p>
      <w:pPr>
        <w:ind w:left="388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379"/>
        <w:spacing w:after="0"/>
        <w:rPr>
          <w:sz w:val="20"/>
          <w:szCs w:val="20"/>
          <w:color w:val="auto"/>
        </w:rPr>
      </w:pPr>
      <w:r>
        <w:rPr>
          <w:rFonts w:ascii="Arial" w:cs="Arial" w:eastAsia="Arial" w:hAnsi="Arial"/>
          <w:sz w:val="18"/>
          <w:szCs w:val="18"/>
          <w:i w:val="1"/>
          <w:iCs w:val="1"/>
          <w:color w:val="auto"/>
        </w:rPr>
        <w:t>[Signature Page to Fourth Amendment to Las Vegas Lease]</w:t>
      </w:r>
    </w:p>
    <w:p>
      <w:pPr>
        <w:sectPr>
          <w:pgSz w:w="11900" w:h="16838" w:orient="portrait"/>
          <w:cols w:equalWidth="0" w:num="1">
            <w:col w:w="10139"/>
          </w:cols>
          <w:pgMar w:left="320" w:top="1089" w:right="1440"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color w:val="auto"/>
        </w:rPr>
        <w:t>Acknowledged and agreed, solely for the purposes of the last paragraph of Section 1.1 of the Lease: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PROPCO TRS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1201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367" w:lineRule="exact"/>
        <w:rPr>
          <w:sz w:val="20"/>
          <w:szCs w:val="20"/>
          <w:color w:val="auto"/>
        </w:rPr>
      </w:pPr>
    </w:p>
    <w:p>
      <w:pPr>
        <w:ind w:left="3480"/>
        <w:spacing w:after="0"/>
        <w:rPr>
          <w:sz w:val="20"/>
          <w:szCs w:val="20"/>
          <w:color w:val="auto"/>
        </w:rPr>
      </w:pPr>
      <w:r>
        <w:rPr>
          <w:rFonts w:ascii="Arial" w:cs="Arial" w:eastAsia="Arial" w:hAnsi="Arial"/>
          <w:sz w:val="16"/>
          <w:szCs w:val="16"/>
          <w:i w:val="1"/>
          <w:iCs w:val="1"/>
          <w:color w:val="auto"/>
        </w:rPr>
        <w:t>[Signature Page to Fourth Amendment to Las Vegas Lease]</w:t>
      </w:r>
    </w:p>
    <w:p>
      <w:pPr>
        <w:sectPr>
          <w:pgSz w:w="11900" w:h="16838" w:orient="portrait"/>
          <w:cols w:equalWidth="0" w:num="1">
            <w:col w:w="10139"/>
          </w:cols>
          <w:pgMar w:left="320" w:top="1095"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20"/>
          <w:szCs w:val="20"/>
          <w:b w:val="1"/>
          <w:bCs w:val="1"/>
          <w:color w:val="auto"/>
        </w:rPr>
        <w:t>ACKNOWLEDGMENT AND AGREEMENT OF GUARANTOR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w:t>
      </w:r>
      <w:r>
        <w:rPr>
          <w:rFonts w:ascii="Arial" w:cs="Arial" w:eastAsia="Arial" w:hAnsi="Arial"/>
          <w:sz w:val="18"/>
          <w:szCs w:val="18"/>
          <w:u w:val="single" w:color="auto"/>
          <w:color w:val="auto"/>
        </w:rPr>
        <w:t>Guarantor</w:t>
      </w:r>
      <w:r>
        <w:rPr>
          <w:rFonts w:ascii="Arial" w:cs="Arial" w:eastAsia="Arial" w:hAnsi="Arial"/>
          <w:sz w:val="18"/>
          <w:szCs w:val="18"/>
          <w:color w:val="auto"/>
        </w:rPr>
        <w:t>”) hereby: (a) acknowledges receipt of the Fourth Amendment to Lease (the “</w:t>
      </w:r>
      <w:r>
        <w:rPr>
          <w:rFonts w:ascii="Arial" w:cs="Arial" w:eastAsia="Arial" w:hAnsi="Arial"/>
          <w:sz w:val="18"/>
          <w:szCs w:val="18"/>
          <w:u w:val="single" w:color="auto"/>
          <w:color w:val="auto"/>
        </w:rPr>
        <w:t>Amendment</w:t>
      </w:r>
      <w:r>
        <w:rPr>
          <w:rFonts w:ascii="Arial" w:cs="Arial" w:eastAsia="Arial" w:hAnsi="Arial"/>
          <w:sz w:val="18"/>
          <w:szCs w:val="18"/>
          <w:color w:val="auto"/>
        </w:rPr>
        <w:t>”; capitalized terms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used herein without definition having the meanings set forth in the Amendment), dated as of November </w:t>
      </w:r>
      <w:r>
        <w:rPr>
          <w:rFonts w:ascii="Arial" w:cs="Arial" w:eastAsia="Arial" w:hAnsi="Arial"/>
          <w:sz w:val="20"/>
          <w:szCs w:val="20"/>
          <w:color w:val="auto"/>
        </w:rPr>
        <w:t>18</w:t>
      </w:r>
      <w:r>
        <w:rPr>
          <w:rFonts w:ascii="Arial" w:cs="Arial" w:eastAsia="Arial" w:hAnsi="Arial"/>
          <w:sz w:val="19"/>
          <w:szCs w:val="19"/>
          <w:color w:val="auto"/>
        </w:rPr>
        <w:t>, 2020,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86" w:lineRule="exact"/>
        <w:rPr>
          <w:sz w:val="20"/>
          <w:szCs w:val="20"/>
          <w:color w:val="auto"/>
        </w:rPr>
      </w:pPr>
    </w:p>
    <w:p>
      <w:pPr>
        <w:jc w:val="both"/>
        <w:ind w:firstLine="294"/>
        <w:spacing w:after="0" w:line="281" w:lineRule="auto"/>
        <w:rPr>
          <w:sz w:val="20"/>
          <w:szCs w:val="20"/>
          <w:color w:val="auto"/>
        </w:rPr>
      </w:pPr>
      <w:r>
        <w:rPr>
          <w:rFonts w:ascii="Arial" w:cs="Arial" w:eastAsia="Arial" w:hAnsi="Arial"/>
          <w:sz w:val="20"/>
          <w:szCs w:val="20"/>
          <w:color w:val="auto"/>
        </w:rPr>
        <w:t xml:space="preserve">IN WITNESS WHEREOF, the undersigned has caused this Acknowledgment and Agreement of Guarantor to be duly executed as of November </w:t>
      </w:r>
      <w:r>
        <w:rPr>
          <w:rFonts w:ascii="Arial" w:cs="Arial" w:eastAsia="Arial" w:hAnsi="Arial"/>
          <w:sz w:val="21"/>
          <w:szCs w:val="21"/>
          <w:color w:val="auto"/>
        </w:rPr>
        <w:t>18</w:t>
      </w:r>
      <w:r>
        <w:rPr>
          <w:rFonts w:ascii="Arial" w:cs="Arial" w:eastAsia="Arial" w:hAnsi="Arial"/>
          <w:sz w:val="20"/>
          <w:szCs w:val="20"/>
          <w:color w:val="auto"/>
        </w:rPr>
        <w:t>, 2020.</w:t>
      </w:r>
    </w:p>
    <w:p>
      <w:pPr>
        <w:sectPr>
          <w:pgSz w:w="11900" w:h="16838" w:orient="portrait"/>
          <w:cols w:equalWidth="0" w:num="1">
            <w:col w:w="11240"/>
          </w:cols>
          <w:pgMar w:left="320" w:top="1089" w:right="3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16363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579"/>
        <w:spacing w:after="0"/>
        <w:rPr>
          <w:sz w:val="20"/>
          <w:szCs w:val="20"/>
          <w:color w:val="auto"/>
        </w:rPr>
      </w:pPr>
      <w:r>
        <w:rPr>
          <w:rFonts w:ascii="Arial" w:cs="Arial" w:eastAsia="Arial" w:hAnsi="Arial"/>
          <w:sz w:val="14"/>
          <w:szCs w:val="14"/>
          <w:i w:val="1"/>
          <w:iCs w:val="1"/>
          <w:color w:val="auto"/>
        </w:rPr>
        <w:t>[Signature Page to Acknowledgment and Agreement of Guarantor]</w:t>
      </w:r>
    </w:p>
    <w:p>
      <w:pPr>
        <w:sectPr>
          <w:pgSz w:w="11900" w:h="16838" w:orient="portrait"/>
          <w:cols w:equalWidth="0" w:num="1">
            <w:col w:w="10139"/>
          </w:cols>
          <w:pgMar w:left="320" w:top="1089"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SEVENTH AMENDMENT TO LEASE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SEVENTH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November 18, 2020,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and, solely for the purposes of the penultimate paragraph of Section 1.1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penultimate paragraph of Section 1.1 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and to the extent amended by that certain Amended and Restated Omnibus Amendment to Leases, dated as of October 27,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(i) Bally’s Park Place LLC (“</w:t>
      </w:r>
      <w:r>
        <w:rPr>
          <w:rFonts w:ascii="Arial" w:cs="Arial" w:eastAsia="Arial" w:hAnsi="Arial"/>
          <w:sz w:val="21"/>
          <w:szCs w:val="21"/>
          <w:u w:val="single" w:color="auto"/>
          <w:color w:val="auto"/>
        </w:rPr>
        <w:t>Operator</w:t>
      </w:r>
      <w:r>
        <w:rPr>
          <w:rFonts w:ascii="Arial" w:cs="Arial" w:eastAsia="Arial" w:hAnsi="Arial"/>
          <w:sz w:val="21"/>
          <w:szCs w:val="21"/>
          <w:color w:val="auto"/>
        </w:rPr>
        <w:t>”), as operator, Bally’s Atlantic City LLC, as</w:t>
      </w:r>
      <w:r>
        <w:rPr>
          <w:rFonts w:ascii="Arial" w:cs="Arial" w:eastAsia="Arial" w:hAnsi="Arial"/>
          <w:sz w:val="21"/>
          <w:szCs w:val="21"/>
          <w:b w:val="1"/>
          <w:bCs w:val="1"/>
          <w:color w:val="auto"/>
        </w:rPr>
        <w:t xml:space="preserve"> </w:t>
      </w:r>
      <w:r>
        <w:rPr>
          <w:rFonts w:ascii="Arial" w:cs="Arial" w:eastAsia="Arial" w:hAnsi="Arial"/>
          <w:sz w:val="21"/>
          <w:szCs w:val="21"/>
          <w:color w:val="auto"/>
        </w:rPr>
        <w:t>seller, and Premier Entertainment AC, LLC (as successor by assignment to Twin River Management Group, Inc.) (“</w:t>
      </w:r>
      <w:r>
        <w:rPr>
          <w:rFonts w:ascii="Arial" w:cs="Arial" w:eastAsia="Arial" w:hAnsi="Arial"/>
          <w:sz w:val="21"/>
          <w:szCs w:val="21"/>
          <w:u w:val="single" w:color="auto"/>
          <w:color w:val="auto"/>
        </w:rPr>
        <w:t>Purchaser</w:t>
      </w:r>
      <w:r>
        <w:rPr>
          <w:rFonts w:ascii="Arial" w:cs="Arial" w:eastAsia="Arial" w:hAnsi="Arial"/>
          <w:sz w:val="21"/>
          <w:szCs w:val="21"/>
          <w:color w:val="auto"/>
        </w:rPr>
        <w:t>”), as purchaser, are closing a purchase and sale transaction under that certain Agreement of Sale, dated as of April 24, 2020, with respect to certain real property and (ii) Operator and Purchaser are closing a purchase and sale transaction under that certain Asset Purchase Agreement, dated as of April 24, 2020, with respect to certain casino and related operations and assets, in each case under clauses (i) and (ii), associated with the gaming and entertainment facility known as Bally’s Atlantic City (the “</w:t>
      </w:r>
      <w:r>
        <w:rPr>
          <w:rFonts w:ascii="Arial" w:cs="Arial" w:eastAsia="Arial" w:hAnsi="Arial"/>
          <w:sz w:val="21"/>
          <w:szCs w:val="21"/>
          <w:u w:val="single" w:color="auto"/>
          <w:color w:val="auto"/>
        </w:rPr>
        <w:t>Existing BAC Facility</w:t>
      </w:r>
      <w:r>
        <w:rPr>
          <w:rFonts w:ascii="Arial" w:cs="Arial" w:eastAsia="Arial" w:hAnsi="Arial"/>
          <w:sz w:val="21"/>
          <w:szCs w:val="21"/>
          <w:color w:val="auto"/>
        </w:rPr>
        <w:t>”), located in Atlantic City, New Jersey (the “</w:t>
      </w:r>
      <w:r>
        <w:rPr>
          <w:rFonts w:ascii="Arial" w:cs="Arial" w:eastAsia="Arial" w:hAnsi="Arial"/>
          <w:sz w:val="21"/>
          <w:szCs w:val="21"/>
          <w:u w:val="single" w:color="auto"/>
          <w:color w:val="auto"/>
        </w:rPr>
        <w:t>Bally’s Transaction</w:t>
      </w:r>
      <w:r>
        <w:rPr>
          <w:rFonts w:ascii="Arial" w:cs="Arial" w:eastAsia="Arial" w:hAnsi="Arial"/>
          <w:sz w:val="21"/>
          <w:szCs w:val="21"/>
          <w:color w:val="auto"/>
        </w:rPr>
        <w:t>”), which Existing BAC Facility is (prior to the effectiveness of this Amendment) subject to the Lease; and</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the Landlord and Tenant have effectuated a subdivision of a portion of the real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associated with the Existing BAC Facility, such that the portion thereof commonly known as the Wild Wild West Casino, Sports Book and Bar as more specifically described on </w:t>
      </w:r>
      <w:r>
        <w:rPr>
          <w:rFonts w:ascii="Arial" w:cs="Arial" w:eastAsia="Arial" w:hAnsi="Arial"/>
          <w:sz w:val="22"/>
          <w:szCs w:val="22"/>
          <w:u w:val="single" w:color="auto"/>
          <w:color w:val="auto"/>
        </w:rPr>
        <w:t>Annex B-1</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Wild Wild West Parcel</w:t>
      </w:r>
      <w:r>
        <w:rPr>
          <w:rFonts w:ascii="Arial" w:cs="Arial" w:eastAsia="Arial" w:hAnsi="Arial"/>
          <w:sz w:val="22"/>
          <w:szCs w:val="22"/>
          <w:color w:val="auto"/>
        </w:rPr>
        <w:t>”) shall comprise a separate legal parcel; and</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 the Wild Wild West Parcel, (ii) the parcel known as Block 488, Lot 23, as more specifically described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Annex B-2</w:t>
      </w:r>
      <w:r>
        <w:rPr>
          <w:rFonts w:ascii="Arial" w:cs="Arial" w:eastAsia="Arial" w:hAnsi="Arial"/>
          <w:sz w:val="22"/>
          <w:szCs w:val="22"/>
          <w:color w:val="auto"/>
        </w:rPr>
        <w:t xml:space="preserve"> attached hereto (the “</w:t>
      </w:r>
      <w:r>
        <w:rPr>
          <w:rFonts w:ascii="Arial" w:cs="Arial" w:eastAsia="Arial" w:hAnsi="Arial"/>
          <w:sz w:val="22"/>
          <w:szCs w:val="22"/>
          <w:u w:val="single" w:color="auto"/>
          <w:color w:val="auto"/>
        </w:rPr>
        <w:t>Block 488 Parcel</w:t>
      </w:r>
      <w:r>
        <w:rPr>
          <w:rFonts w:ascii="Arial" w:cs="Arial" w:eastAsia="Arial" w:hAnsi="Arial"/>
          <w:sz w:val="22"/>
          <w:szCs w:val="22"/>
          <w:color w:val="auto"/>
        </w:rPr>
        <w:t>”), and (iii) the operations and related assets associated therewith (collectively, the “</w:t>
      </w:r>
      <w:r>
        <w:rPr>
          <w:rFonts w:ascii="Arial" w:cs="Arial" w:eastAsia="Arial" w:hAnsi="Arial"/>
          <w:sz w:val="22"/>
          <w:szCs w:val="22"/>
          <w:u w:val="single" w:color="auto"/>
          <w:color w:val="auto"/>
        </w:rPr>
        <w:t>Retained Facility</w:t>
      </w:r>
      <w:r>
        <w:rPr>
          <w:rFonts w:ascii="Arial" w:cs="Arial" w:eastAsia="Arial" w:hAnsi="Arial"/>
          <w:sz w:val="22"/>
          <w:szCs w:val="22"/>
          <w:color w:val="auto"/>
        </w:rPr>
        <w:t>”) are</w:t>
      </w:r>
    </w:p>
    <w:p>
      <w:pPr>
        <w:sectPr>
          <w:pgSz w:w="11900" w:h="16838" w:orient="portrait"/>
          <w:cols w:equalWidth="0" w:num="1">
            <w:col w:w="11240"/>
          </w:cols>
          <w:pgMar w:left="320" w:top="126"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not included in, and are not being sold to Purchaser in connection with, the Bally’s Transaction; and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Bally’s Transaction, the parties hereto desire to amend the Lease as set forth herein.</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right="20" w:firstLine="656"/>
        <w:spacing w:after="0" w:line="269" w:lineRule="auto"/>
        <w:tabs>
          <w:tab w:leader="none" w:pos="1296" w:val="left"/>
        </w:tabs>
        <w:numPr>
          <w:ilvl w:val="1"/>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b w:val="1"/>
          <w:bCs w:val="1"/>
          <w:color w:val="auto"/>
        </w:rPr>
        <w:t>. Except as otherwise defined herein, all capitalized terms used herein without definition shall have the meanings applicable to such terms, respectively, as set forth in the Lease.</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of the Lease as to the Bally’s Facility</w:t>
      </w:r>
      <w:r>
        <w:rPr>
          <w:rFonts w:ascii="Arial" w:cs="Arial" w:eastAsia="Arial" w:hAnsi="Arial"/>
          <w:sz w:val="22"/>
          <w:szCs w:val="22"/>
          <w:color w:val="auto"/>
        </w:rPr>
        <w:t>. Effective as of the date hereof:</w:t>
      </w:r>
    </w:p>
    <w:p>
      <w:pPr>
        <w:spacing w:after="0" w:line="206" w:lineRule="exact"/>
        <w:rPr>
          <w:rFonts w:ascii="Arial" w:cs="Arial" w:eastAsia="Arial" w:hAnsi="Arial"/>
          <w:sz w:val="22"/>
          <w:szCs w:val="22"/>
          <w:b w:val="1"/>
          <w:bCs w:val="1"/>
          <w:color w:val="auto"/>
        </w:rPr>
      </w:pPr>
    </w:p>
    <w:p>
      <w:pPr>
        <w:jc w:val="both"/>
        <w:ind w:left="1300" w:right="40" w:hanging="320"/>
        <w:spacing w:after="0" w:line="282" w:lineRule="auto"/>
        <w:tabs>
          <w:tab w:leader="none" w:pos="1292" w:val="left"/>
        </w:tabs>
        <w:numPr>
          <w:ilvl w:val="2"/>
          <w:numId w:val="94"/>
        </w:numPr>
        <w:rPr>
          <w:rFonts w:ascii="Arial" w:cs="Arial" w:eastAsia="Arial" w:hAnsi="Arial"/>
          <w:sz w:val="19"/>
          <w:szCs w:val="19"/>
          <w:color w:val="auto"/>
        </w:rPr>
      </w:pPr>
      <w:r>
        <w:rPr>
          <w:rFonts w:ascii="Arial" w:cs="Arial" w:eastAsia="Arial" w:hAnsi="Arial"/>
          <w:sz w:val="19"/>
          <w:szCs w:val="19"/>
          <w:color w:val="auto"/>
        </w:rPr>
        <w:t>the Lease is hereby terminated with respect to the Bally’s Leased Property (as defined below), the Bally’s Leased Property no longer constitutes Leased Property under the Lease, and neither Landlord nor Tenant has any further liabilities or obligations, from and after the date of this Amendment, in respect of the Bally’s Facility (as defined below) and the Bally’s Leased Property (provided that any such liabilities or obligations arising prior to such date shall not be terminated, limited or affected by or upon entry into this Amendment), and</w:t>
      </w:r>
    </w:p>
    <w:p>
      <w:pPr>
        <w:spacing w:after="0" w:line="160" w:lineRule="exact"/>
        <w:rPr>
          <w:rFonts w:ascii="Arial" w:cs="Arial" w:eastAsia="Arial" w:hAnsi="Arial"/>
          <w:sz w:val="19"/>
          <w:szCs w:val="19"/>
          <w:color w:val="auto"/>
        </w:rPr>
      </w:pPr>
    </w:p>
    <w:p>
      <w:pPr>
        <w:ind w:left="1300" w:right="80" w:hanging="320"/>
        <w:spacing w:after="0" w:line="317" w:lineRule="auto"/>
        <w:tabs>
          <w:tab w:leader="none" w:pos="1297" w:val="left"/>
        </w:tabs>
        <w:numPr>
          <w:ilvl w:val="2"/>
          <w:numId w:val="94"/>
        </w:numPr>
        <w:rPr>
          <w:rFonts w:ascii="Arial" w:cs="Arial" w:eastAsia="Arial" w:hAnsi="Arial"/>
          <w:sz w:val="18"/>
          <w:szCs w:val="18"/>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Bally’s Facility or the Bally’s Leased Property to the extent arising from and after the date of this Amendment (provided that any such Obligations arising prior to such date shall not be terminated, limited or affected by or upon entry into this Amendment).</w:t>
      </w:r>
    </w:p>
    <w:p>
      <w:pPr>
        <w:spacing w:after="0" w:line="141" w:lineRule="exact"/>
        <w:rPr>
          <w:rFonts w:ascii="Arial" w:cs="Arial" w:eastAsia="Arial" w:hAnsi="Arial"/>
          <w:sz w:val="18"/>
          <w:szCs w:val="18"/>
          <w:color w:val="auto"/>
        </w:rPr>
      </w:pPr>
    </w:p>
    <w:p>
      <w:pPr>
        <w:ind w:left="1300" w:right="40" w:hanging="320"/>
        <w:spacing w:after="0" w:line="271" w:lineRule="auto"/>
        <w:tabs>
          <w:tab w:leader="none" w:pos="1298" w:val="left"/>
        </w:tabs>
        <w:numPr>
          <w:ilvl w:val="2"/>
          <w:numId w:val="94"/>
        </w:numPr>
        <w:rPr>
          <w:rFonts w:ascii="Arial" w:cs="Arial" w:eastAsia="Arial" w:hAnsi="Arial"/>
          <w:sz w:val="19"/>
          <w:szCs w:val="19"/>
          <w:color w:val="auto"/>
        </w:rPr>
      </w:pPr>
      <w:r>
        <w:rPr>
          <w:rFonts w:ascii="Arial" w:cs="Arial" w:eastAsia="Arial" w:hAnsi="Arial"/>
          <w:sz w:val="21"/>
          <w:szCs w:val="21"/>
          <w:color w:val="auto"/>
        </w:rPr>
        <w:t>For the avoidance of doubt, the Lease shall continue in full force and effect with respect to (i) the balance of (x) the Facilities (other than the Bally’s Facility) and (y) the Leased Property (other than the Bally’s Leased Property), and (ii) the Retained Facility and Retained Leased Property (as defined below). The term “</w:t>
      </w:r>
      <w:r>
        <w:rPr>
          <w:rFonts w:ascii="Arial" w:cs="Arial" w:eastAsia="Arial" w:hAnsi="Arial"/>
          <w:sz w:val="21"/>
          <w:szCs w:val="21"/>
          <w:u w:val="single" w:color="auto"/>
          <w:color w:val="auto"/>
        </w:rPr>
        <w:t>Bally’s Facility</w:t>
      </w:r>
      <w:r>
        <w:rPr>
          <w:rFonts w:ascii="Arial" w:cs="Arial" w:eastAsia="Arial" w:hAnsi="Arial"/>
          <w:sz w:val="21"/>
          <w:szCs w:val="21"/>
          <w:color w:val="auto"/>
        </w:rPr>
        <w:t xml:space="preserve">” shall refer to the applicable Facility identified as Facility 13 on the list of the Facilities annexed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Lease (prior to giving effect to the replacement of said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pursuant to Section 2.N.i. of this Amendment), other than the portion thereof pertaining to the Retained Facility. The term “</w:t>
      </w:r>
      <w:r>
        <w:rPr>
          <w:rFonts w:ascii="Arial" w:cs="Arial" w:eastAsia="Arial" w:hAnsi="Arial"/>
          <w:sz w:val="21"/>
          <w:szCs w:val="21"/>
          <w:u w:val="single" w:color="auto"/>
          <w:color w:val="auto"/>
        </w:rPr>
        <w:t>Bally’s Leased Property</w:t>
      </w:r>
      <w:r>
        <w:rPr>
          <w:rFonts w:ascii="Arial" w:cs="Arial" w:eastAsia="Arial" w:hAnsi="Arial"/>
          <w:sz w:val="21"/>
          <w:szCs w:val="21"/>
          <w:color w:val="auto"/>
        </w:rPr>
        <w:t xml:space="preserve">” shall refer to the Leased Property set forth on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hereto and any other Leased Property pertaining to the Bally’s Facility (excluding, for the avoidance of doubt, the Retained Leased Property). The term “</w:t>
      </w:r>
      <w:r>
        <w:rPr>
          <w:rFonts w:ascii="Arial" w:cs="Arial" w:eastAsia="Arial" w:hAnsi="Arial"/>
          <w:sz w:val="21"/>
          <w:szCs w:val="21"/>
          <w:u w:val="single" w:color="auto"/>
          <w:color w:val="auto"/>
        </w:rPr>
        <w:t>Retained Facility</w:t>
      </w:r>
      <w:r>
        <w:rPr>
          <w:rFonts w:ascii="Arial" w:cs="Arial" w:eastAsia="Arial" w:hAnsi="Arial"/>
          <w:sz w:val="21"/>
          <w:szCs w:val="21"/>
          <w:color w:val="auto"/>
        </w:rPr>
        <w:t>” shall have the meaning given such term in the Recitals hereto. The term “</w:t>
      </w:r>
      <w:r>
        <w:rPr>
          <w:rFonts w:ascii="Arial" w:cs="Arial" w:eastAsia="Arial" w:hAnsi="Arial"/>
          <w:sz w:val="21"/>
          <w:szCs w:val="21"/>
          <w:u w:val="single" w:color="auto"/>
          <w:color w:val="auto"/>
        </w:rPr>
        <w:t>Retained Leased Property</w:t>
      </w:r>
      <w:r>
        <w:rPr>
          <w:rFonts w:ascii="Arial" w:cs="Arial" w:eastAsia="Arial" w:hAnsi="Arial"/>
          <w:sz w:val="21"/>
          <w:szCs w:val="21"/>
          <w:color w:val="auto"/>
        </w:rPr>
        <w:t>” shall refer to the Wild Wild West Parcel,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04" w:right="339" w:bottom="1440" w:gutter="0" w:footer="0" w:header="0"/>
        </w:sectPr>
      </w:pPr>
    </w:p>
    <w:bookmarkStart w:id="161" w:name="page162"/>
    <w:bookmarkEnd w:id="161"/>
    <w:p>
      <w:pPr>
        <w:ind w:left="968"/>
        <w:spacing w:after="0"/>
        <w:rPr>
          <w:sz w:val="20"/>
          <w:szCs w:val="20"/>
          <w:color w:val="auto"/>
        </w:rPr>
      </w:pPr>
      <w:r>
        <w:rPr>
          <w:rFonts w:ascii="Arial" w:cs="Arial" w:eastAsia="Arial" w:hAnsi="Arial"/>
          <w:sz w:val="22"/>
          <w:szCs w:val="22"/>
          <w:color w:val="auto"/>
        </w:rPr>
        <w:t>the Block 488 Parcel and any other Leased Property pertaining to the Retained Facility.</w:t>
      </w:r>
    </w:p>
    <w:p>
      <w:pPr>
        <w:spacing w:after="0" w:line="220" w:lineRule="exact"/>
        <w:rPr>
          <w:sz w:val="20"/>
          <w:szCs w:val="20"/>
          <w:color w:val="auto"/>
        </w:rPr>
      </w:pPr>
    </w:p>
    <w:p>
      <w:pPr>
        <w:jc w:val="both"/>
        <w:ind w:left="328" w:hanging="328"/>
        <w:spacing w:after="0" w:line="246" w:lineRule="auto"/>
        <w:tabs>
          <w:tab w:leader="none" w:pos="324"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Wild Wild West</w:t>
      </w:r>
      <w:r>
        <w:rPr>
          <w:rFonts w:ascii="Arial" w:cs="Arial" w:eastAsia="Arial" w:hAnsi="Arial"/>
          <w:sz w:val="21"/>
          <w:szCs w:val="21"/>
          <w:color w:val="auto"/>
        </w:rPr>
        <w:t>. Boardwalk Regency LLC has obtained all Gaming Licenses necessary to continue the operations of the Wild Wild West Parcel under Boardwalk Regency LLC’s Gaming Licenses for the Facility known as Caesars Atlantic City, and all operations and related assets associated with the Retained Facility have been conveyed to Boardwalk Regency LLC. The Wild Wild West Parcel will be operated by Boardwalk Regency LLC as part of the Facility known as Caesars Atlantic City, which will include, but not be limited to, the Wild Wild West Parcel being operated under the Caesars Atlantic City Gaming License, provided, for the avoidance of doubt, the foregoing shall not require Caesars Atlantic City to constitute a Continuous Operation Facility.</w:t>
      </w:r>
    </w:p>
    <w:p>
      <w:pPr>
        <w:spacing w:after="0" w:line="184" w:lineRule="exact"/>
        <w:rPr>
          <w:rFonts w:ascii="Arial" w:cs="Arial" w:eastAsia="Arial" w:hAnsi="Arial"/>
          <w:sz w:val="21"/>
          <w:szCs w:val="21"/>
          <w:color w:val="auto"/>
        </w:rPr>
      </w:pPr>
    </w:p>
    <w:p>
      <w:pPr>
        <w:ind w:left="328" w:hanging="328"/>
        <w:spacing w:after="0" w:line="328" w:lineRule="auto"/>
        <w:tabs>
          <w:tab w:leader="none" w:pos="324"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Rent</w:t>
      </w:r>
      <w:r>
        <w:rPr>
          <w:rFonts w:ascii="Arial" w:cs="Arial" w:eastAsia="Arial" w:hAnsi="Arial"/>
          <w:sz w:val="19"/>
          <w:szCs w:val="19"/>
          <w:color w:val="auto"/>
        </w:rPr>
        <w:t>. Landlord and Tenant hereby expressly acknowledge and agree that there shall be no reduction in the Rent under the Lease as a result of the removal of the Bally’s Facility from the Lease or otherwise as a result of the Bally’s Transaction.</w:t>
      </w:r>
    </w:p>
    <w:p>
      <w:pPr>
        <w:spacing w:after="0" w:line="104" w:lineRule="exact"/>
        <w:rPr>
          <w:rFonts w:ascii="Arial" w:cs="Arial" w:eastAsia="Arial" w:hAnsi="Arial"/>
          <w:sz w:val="19"/>
          <w:szCs w:val="19"/>
          <w:color w:val="auto"/>
        </w:rPr>
      </w:pPr>
    </w:p>
    <w:p>
      <w:pPr>
        <w:ind w:left="308" w:hanging="308"/>
        <w:spacing w:after="0"/>
        <w:tabs>
          <w:tab w:leader="none" w:pos="308"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48" w:hanging="324"/>
        <w:spacing w:after="0"/>
        <w:tabs>
          <w:tab w:leader="none" w:pos="6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Bally’s Facility.</w:t>
      </w:r>
    </w:p>
    <w:p>
      <w:pPr>
        <w:spacing w:after="0" w:line="199" w:lineRule="exact"/>
        <w:rPr>
          <w:rFonts w:ascii="Arial" w:cs="Arial" w:eastAsia="Arial" w:hAnsi="Arial"/>
          <w:sz w:val="22"/>
          <w:szCs w:val="22"/>
          <w:color w:val="auto"/>
        </w:rPr>
      </w:pPr>
    </w:p>
    <w:p>
      <w:pPr>
        <w:ind w:left="648" w:right="240" w:hanging="324"/>
        <w:spacing w:after="0" w:line="276" w:lineRule="auto"/>
        <w:tabs>
          <w:tab w:leader="none" w:pos="645" w:val="left"/>
        </w:tabs>
        <w:numPr>
          <w:ilvl w:val="1"/>
          <w:numId w:val="95"/>
        </w:numPr>
        <w:rPr>
          <w:rFonts w:ascii="Arial" w:cs="Arial" w:eastAsia="Arial" w:hAnsi="Arial"/>
          <w:sz w:val="20"/>
          <w:szCs w:val="20"/>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spacing w:after="0" w:line="161" w:lineRule="exact"/>
        <w:rPr>
          <w:sz w:val="20"/>
          <w:szCs w:val="20"/>
          <w:color w:val="auto"/>
        </w:rPr>
      </w:pPr>
    </w:p>
    <w:p>
      <w:pPr>
        <w:jc w:val="both"/>
        <w:ind w:left="15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Net Revenue Amount</w:t>
      </w:r>
      <w:r>
        <w:rPr>
          <w:rFonts w:ascii="Arial" w:cs="Arial" w:eastAsia="Arial" w:hAnsi="Arial"/>
          <w:sz w:val="19"/>
          <w:szCs w:val="19"/>
          <w:color w:val="auto"/>
        </w:rPr>
        <w:t>’: An amount equal to the arithmetic average of the following: (i) Three Billion Three Hundred Ninety-One Million Five Hundred Fifty-Nine Thousand Twenty and No/100 Dollars ($3,391,559,020.00), which amount Landlord and Tenant agree represents Net Revenue for the Fiscal Period immediately preceding the first (1st) Lease Year (i.e., the Fiscal Period ending September 30, 2017),</w:t>
      </w:r>
    </w:p>
    <w:p>
      <w:pPr>
        <w:spacing w:after="0" w:line="3" w:lineRule="exact"/>
        <w:rPr>
          <w:sz w:val="20"/>
          <w:szCs w:val="20"/>
          <w:color w:val="auto"/>
        </w:rPr>
      </w:pPr>
    </w:p>
    <w:p>
      <w:pPr>
        <w:jc w:val="both"/>
        <w:ind w:left="1548" w:hanging="9"/>
        <w:spacing w:after="0" w:line="272" w:lineRule="auto"/>
        <w:tabs>
          <w:tab w:leader="none" w:pos="1887"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Three Billion Four Hundred One Million Three Hundred Ninety-Three Thousand Two Hundred Four and No/100 Dollars ($3,401,393,204.00), which amount Landlord and Tenant agree represents the Net Revenue for the Fiscal Period immediately preceding the end of the first (1st) Lease Year (i.e., the Fiscal Period ending September 30, 2018) and (iii) Three Billion Two Hundred Sixty-Four Million Four Hundred Thirty-Two Thousand Four Hundred Twenty and No/100 Dollars ($3,264,432,420.00),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56" w:lineRule="exact"/>
        <w:rPr>
          <w:rFonts w:ascii="Arial" w:cs="Arial" w:eastAsia="Arial" w:hAnsi="Arial"/>
          <w:sz w:val="19"/>
          <w:szCs w:val="19"/>
          <w:color w:val="auto"/>
        </w:rPr>
      </w:pPr>
    </w:p>
    <w:p>
      <w:pPr>
        <w:jc w:val="both"/>
        <w:ind w:left="328" w:hanging="328"/>
        <w:spacing w:after="0"/>
        <w:tabs>
          <w:tab w:leader="none" w:pos="32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Nineteen Million Three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68"/>
          </w:cols>
          <w:pgMar w:left="652" w:top="1320" w:right="379" w:bottom="1440" w:gutter="0" w:footer="0" w:header="0"/>
        </w:sectPr>
      </w:pPr>
    </w:p>
    <w:bookmarkStart w:id="162" w:name="page163"/>
    <w:bookmarkEnd w:id="162"/>
    <w:p>
      <w:pPr>
        <w:ind w:left="328" w:right="40"/>
        <w:spacing w:after="0" w:line="250" w:lineRule="auto"/>
        <w:rPr>
          <w:sz w:val="20"/>
          <w:szCs w:val="20"/>
          <w:color w:val="auto"/>
        </w:rPr>
      </w:pPr>
      <w:r>
        <w:rPr>
          <w:rFonts w:ascii="Arial" w:cs="Arial" w:eastAsia="Arial" w:hAnsi="Arial"/>
          <w:sz w:val="22"/>
          <w:szCs w:val="22"/>
          <w:color w:val="auto"/>
        </w:rPr>
        <w:t>Thousand and No/100 Dollars ($119,300,000.00)” with a reference to “One Hundred Fourteen Million Five Hundred Thousand and No/100 Dollars ($114,500,000.00)”.</w:t>
      </w:r>
    </w:p>
    <w:p>
      <w:pPr>
        <w:spacing w:after="0" w:line="175" w:lineRule="exact"/>
        <w:rPr>
          <w:sz w:val="20"/>
          <w:szCs w:val="20"/>
          <w:color w:val="auto"/>
        </w:rPr>
      </w:pPr>
    </w:p>
    <w:p>
      <w:pPr>
        <w:jc w:val="both"/>
        <w:ind w:left="328" w:right="40" w:hanging="328"/>
        <w:spacing w:after="0" w:line="235" w:lineRule="auto"/>
        <w:tabs>
          <w:tab w:leader="none" w:pos="30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The Annual Minimum Per-Lease B&amp;I Cap Ex Requirement shall be unchanged by this Amendment. Further, Landlord and Tenant hereby acknowledge, for the avoidance of doubt, that the Net Revenue attributable to the Bally’s Facility during the period the Bally’s Facility was included in the Lease (i.e., during the period from the Commencement Date until the date of this Amendment) shall be included for purposes of calculating the Capital Expenditures required under Section 10.5(a)(ii) of the Lease (i.e., the Annual Minimum Per-Lease B&amp;I Cap Ex Requirement).</w:t>
      </w:r>
    </w:p>
    <w:p>
      <w:pPr>
        <w:spacing w:after="0" w:line="187" w:lineRule="exact"/>
        <w:rPr>
          <w:rFonts w:ascii="Arial" w:cs="Arial" w:eastAsia="Arial" w:hAnsi="Arial"/>
          <w:sz w:val="22"/>
          <w:szCs w:val="22"/>
          <w:color w:val="auto"/>
        </w:rPr>
      </w:pPr>
    </w:p>
    <w:p>
      <w:pPr>
        <w:jc w:val="both"/>
        <w:ind w:left="328" w:right="40" w:hanging="328"/>
        <w:spacing w:after="0" w:line="252" w:lineRule="auto"/>
        <w:tabs>
          <w:tab w:leader="none" w:pos="322"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Triennial Allocated Minimum Cap Ex Amount B Floor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Allocated Minimum Cap Ex Amount B Floor” is hereby revised and modified to replace the reference therein to “Three Hundred Twenty-Seven Million Eight Hundred Thousand and No/100 Dollars ($327,800,000.00)” with a reference to “Three Hundred Eleven Million and No/100 Dollars ($311,000,000.00)”.</w:t>
      </w:r>
    </w:p>
    <w:p>
      <w:pPr>
        <w:spacing w:after="0" w:line="187" w:lineRule="exact"/>
        <w:rPr>
          <w:rFonts w:ascii="Arial" w:cs="Arial" w:eastAsia="Arial" w:hAnsi="Arial"/>
          <w:sz w:val="21"/>
          <w:szCs w:val="21"/>
          <w:color w:val="auto"/>
        </w:rPr>
      </w:pPr>
    </w:p>
    <w:p>
      <w:pPr>
        <w:jc w:val="both"/>
        <w:ind w:left="328" w:hanging="328"/>
        <w:spacing w:after="0" w:line="265" w:lineRule="auto"/>
        <w:tabs>
          <w:tab w:leader="none" w:pos="322"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Ninety Million Three Hundred Thousand and No/100 Dollars ($590,300,000.00)” with a reference to “Five Hundred Sixty-Six Million Seven Hundred Thousand and No/100 Dollars ($566,700,000.00)”.</w:t>
      </w:r>
    </w:p>
    <w:p>
      <w:pPr>
        <w:spacing w:after="0" w:line="175" w:lineRule="exact"/>
        <w:rPr>
          <w:rFonts w:ascii="Arial" w:cs="Arial" w:eastAsia="Arial" w:hAnsi="Arial"/>
          <w:sz w:val="21"/>
          <w:szCs w:val="21"/>
          <w:color w:val="auto"/>
        </w:rPr>
      </w:pPr>
    </w:p>
    <w:p>
      <w:pPr>
        <w:jc w:val="both"/>
        <w:ind w:left="328" w:hanging="328"/>
        <w:spacing w:after="0" w:line="250" w:lineRule="auto"/>
        <w:tabs>
          <w:tab w:leader="none" w:pos="31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B</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B” is hereby revised and modified to replace the reference therein to “Four Hundred Twenty-One Million Nine Hundred Thousand and No/100 Dollars ($421,900,000.00)” with a reference to “Four Hundred Five Million Two Hundred Thousand and No/100 Dollars ($405,200,000.00)”.</w:t>
      </w:r>
    </w:p>
    <w:p>
      <w:pPr>
        <w:spacing w:after="0" w:line="174" w:lineRule="exact"/>
        <w:rPr>
          <w:rFonts w:ascii="Arial" w:cs="Arial" w:eastAsia="Arial" w:hAnsi="Arial"/>
          <w:sz w:val="22"/>
          <w:szCs w:val="22"/>
          <w:color w:val="auto"/>
        </w:rPr>
      </w:pPr>
    </w:p>
    <w:p>
      <w:pPr>
        <w:ind w:left="308" w:hanging="308"/>
        <w:spacing w:after="0"/>
        <w:tabs>
          <w:tab w:leader="none" w:pos="30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right="40" w:hanging="320"/>
        <w:spacing w:after="0" w:line="248" w:lineRule="auto"/>
        <w:tabs>
          <w:tab w:leader="none" w:pos="960" w:val="left"/>
        </w:tabs>
        <w:numPr>
          <w:ilvl w:val="1"/>
          <w:numId w:val="98"/>
        </w:numPr>
        <w:rPr>
          <w:rFonts w:ascii="Arial" w:cs="Arial" w:eastAsia="Arial" w:hAnsi="Arial"/>
          <w:sz w:val="21"/>
          <w:szCs w:val="21"/>
          <w:color w:val="auto"/>
        </w:rPr>
      </w:pPr>
      <w:r>
        <w:rPr>
          <w:rFonts w:ascii="Arial" w:cs="Arial" w:eastAsia="Arial" w:hAnsi="Arial"/>
          <w:sz w:val="21"/>
          <w:szCs w:val="21"/>
          <w:color w:val="auto"/>
        </w:rPr>
        <w:t>Section 10.5(a)(v)(b) of the Lease is hereby amended to (a) replace the reference therein to “Five Hundred Ninety Million Three Hundred Thousand and No/100 Dollars ($590,300,000.00)” with a reference to “Five Hundred Sixty-Six Million Seven Hundred Thousand and No/100 Dollars ($566,700,000.00)” and (b) replace the reference therein to “One Hundred Ninety-Six Million Seven Hundred Sixty-Six Thousand Six Hundred Sixty-Six and 67/100 Dollars ($196,766,666.67)” with a reference to “One Hundred Eighty-Eight Million Nine Hundred Thousand and No/100 Dollars ($188,900,000.00)”,</w:t>
      </w:r>
    </w:p>
    <w:p>
      <w:pPr>
        <w:spacing w:after="0" w:line="190" w:lineRule="exact"/>
        <w:rPr>
          <w:rFonts w:ascii="Arial" w:cs="Arial" w:eastAsia="Arial" w:hAnsi="Arial"/>
          <w:sz w:val="21"/>
          <w:szCs w:val="21"/>
          <w:color w:val="auto"/>
        </w:rPr>
      </w:pPr>
    </w:p>
    <w:p>
      <w:pPr>
        <w:ind w:left="968" w:right="240" w:hanging="320"/>
        <w:spacing w:after="0" w:line="261" w:lineRule="auto"/>
        <w:tabs>
          <w:tab w:leader="none" w:pos="965" w:val="left"/>
        </w:tabs>
        <w:numPr>
          <w:ilvl w:val="1"/>
          <w:numId w:val="98"/>
        </w:numPr>
        <w:rPr>
          <w:rFonts w:ascii="Arial" w:cs="Arial" w:eastAsia="Arial" w:hAnsi="Arial"/>
          <w:sz w:val="20"/>
          <w:szCs w:val="20"/>
          <w:color w:val="auto"/>
        </w:rPr>
      </w:pPr>
      <w:r>
        <w:rPr>
          <w:rFonts w:ascii="Arial" w:cs="Arial" w:eastAsia="Arial" w:hAnsi="Arial"/>
          <w:sz w:val="22"/>
          <w:szCs w:val="22"/>
          <w:color w:val="auto"/>
        </w:rPr>
        <w:t>Section 10.5(a)(v)(c)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8"/>
          </w:cols>
          <w:pgMar w:left="652" w:top="1090" w:right="339" w:bottom="1440" w:gutter="0" w:footer="0" w:header="0"/>
        </w:sectPr>
      </w:pPr>
    </w:p>
    <w:bookmarkStart w:id="163" w:name="page164"/>
    <w:bookmarkEnd w:id="163"/>
    <w:p>
      <w:pPr>
        <w:ind w:left="968" w:right="540"/>
        <w:spacing w:after="0" w:line="276" w:lineRule="auto"/>
        <w:rPr>
          <w:sz w:val="20"/>
          <w:szCs w:val="20"/>
          <w:color w:val="auto"/>
        </w:rPr>
      </w:pPr>
      <w:r>
        <w:rPr>
          <w:rFonts w:ascii="Arial" w:cs="Arial" w:eastAsia="Arial" w:hAnsi="Arial"/>
          <w:sz w:val="22"/>
          <w:szCs w:val="22"/>
          <w:color w:val="auto"/>
        </w:rPr>
        <w:t>($140,633,333.33)” with a reference to “One Hundred Thirty-Five Million Sixty-Six Thousand Six Hundred Sixty-Six and 67/100 Dollars ($135,066,666.67)”, and</w:t>
      </w:r>
    </w:p>
    <w:p>
      <w:pPr>
        <w:spacing w:after="0" w:line="174" w:lineRule="exact"/>
        <w:rPr>
          <w:sz w:val="20"/>
          <w:szCs w:val="20"/>
          <w:color w:val="auto"/>
        </w:rPr>
      </w:pPr>
    </w:p>
    <w:p>
      <w:pPr>
        <w:ind w:left="968" w:hanging="320"/>
        <w:spacing w:after="0" w:line="302" w:lineRule="auto"/>
        <w:tabs>
          <w:tab w:leader="none" w:pos="966" w:val="left"/>
        </w:tabs>
        <w:numPr>
          <w:ilvl w:val="1"/>
          <w:numId w:val="99"/>
        </w:numPr>
        <w:rPr>
          <w:rFonts w:ascii="Arial" w:cs="Arial" w:eastAsia="Arial" w:hAnsi="Arial"/>
          <w:sz w:val="18"/>
          <w:szCs w:val="18"/>
          <w:color w:val="auto"/>
        </w:rPr>
      </w:pPr>
      <w:r>
        <w:rPr>
          <w:rFonts w:ascii="Arial" w:cs="Arial" w:eastAsia="Arial" w:hAnsi="Arial"/>
          <w:sz w:val="19"/>
          <w:szCs w:val="19"/>
          <w:color w:val="auto"/>
        </w:rPr>
        <w:t>The second sentence of Section 10.5(a)(v) of the Lease is hereby amended to (a) replace the reference therein to “Five Hundred Ninety Million Three Hundred Thousand and No/100 Dollars ($590,300,000.00)” with a reference to “Five Hundred Sixty-Six Million Seven Hundred Thousand and No/100 Dollars ($566,700,000.00)”, (b) replace the reference therein to “One Hundred Ninety-Six Million Seven Hundred Sixty-Six Thousand Six Hundred Sixty-Six and 67/100 Dollars ($196,766,666.67)” with a reference to “One Hundred Eighty-Eight Million Nine Hundred Thousand and No/100 Dollars ($188,900,000.00)”, (c) replace the reference therein to “Four Hundred Twenty-One Million Nine Hundred Thousand and No/100 Dollars ($421,900,000.00)” with a reference to “Four Hundred Five Million Two Hundred Thousand and No/100 Dollars ($405,200,000.00)” and (d) replace the reference therein to “One Hundred Forty Million Six Hundred Thirty-Three Thousand Three Hundred Thirty-Three and 33/100 Dollars ($140,633,333.33)” with a reference to “One Hundred Thirty-Five Million Sixty-Six Thousand Six Hundred Sixty-Six and 67/100 Dollars ($135,066,666.67)”.</w:t>
      </w:r>
    </w:p>
    <w:p>
      <w:pPr>
        <w:spacing w:after="0" w:line="148" w:lineRule="exact"/>
        <w:rPr>
          <w:rFonts w:ascii="Arial" w:cs="Arial" w:eastAsia="Arial" w:hAnsi="Arial"/>
          <w:sz w:val="18"/>
          <w:szCs w:val="18"/>
          <w:color w:val="auto"/>
        </w:rPr>
      </w:pPr>
    </w:p>
    <w:p>
      <w:pPr>
        <w:ind w:left="308" w:hanging="308"/>
        <w:spacing w:after="0"/>
        <w:tabs>
          <w:tab w:leader="none" w:pos="308"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Section 22.2(ix) Transfer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hanging="320"/>
        <w:spacing w:after="0"/>
        <w:tabs>
          <w:tab w:leader="none" w:pos="96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Landlord and Tenant hereby acknowledge and agree that the Bally’s Transaction shall be deemed to be, and treated as, a transfer and sale of the entire Leased Property with respect to a Facility pursuant to Section 22.2(ix) of the Lease.</w:t>
      </w:r>
    </w:p>
    <w:p>
      <w:pPr>
        <w:spacing w:after="0" w:line="199" w:lineRule="exact"/>
        <w:rPr>
          <w:rFonts w:ascii="Arial" w:cs="Arial" w:eastAsia="Arial" w:hAnsi="Arial"/>
          <w:sz w:val="22"/>
          <w:szCs w:val="22"/>
          <w:color w:val="auto"/>
        </w:rPr>
      </w:pPr>
    </w:p>
    <w:p>
      <w:pPr>
        <w:jc w:val="both"/>
        <w:ind w:left="968" w:right="300" w:hanging="320"/>
        <w:spacing w:after="0" w:line="266" w:lineRule="auto"/>
        <w:tabs>
          <w:tab w:leader="none" w:pos="965" w:val="left"/>
        </w:tabs>
        <w:numPr>
          <w:ilvl w:val="1"/>
          <w:numId w:val="100"/>
        </w:numPr>
        <w:rPr>
          <w:rFonts w:ascii="Arial" w:cs="Arial" w:eastAsia="Arial" w:hAnsi="Arial"/>
          <w:sz w:val="20"/>
          <w:szCs w:val="20"/>
          <w:color w:val="auto"/>
        </w:rPr>
      </w:pPr>
      <w:r>
        <w:rPr>
          <w:rFonts w:ascii="Arial" w:cs="Arial" w:eastAsia="Arial" w:hAnsi="Arial"/>
          <w:sz w:val="22"/>
          <w:szCs w:val="22"/>
          <w:color w:val="auto"/>
        </w:rPr>
        <w:t>All of the applicable requirements and conditions set forth in Section 22.2(ix) of the Lease with respect to such transfer and sale are deemed satisfied or waived by the execution of this Amendment and the consummation of the closing of the Bally’s Transaction.</w:t>
      </w:r>
    </w:p>
    <w:p>
      <w:pPr>
        <w:spacing w:after="0" w:line="184" w:lineRule="exact"/>
        <w:rPr>
          <w:rFonts w:ascii="Arial" w:cs="Arial" w:eastAsia="Arial" w:hAnsi="Arial"/>
          <w:sz w:val="20"/>
          <w:szCs w:val="20"/>
          <w:color w:val="auto"/>
        </w:rPr>
      </w:pPr>
    </w:p>
    <w:p>
      <w:pPr>
        <w:ind w:left="968" w:hanging="320"/>
        <w:spacing w:after="0"/>
        <w:tabs>
          <w:tab w:leader="none" w:pos="968" w:val="left"/>
        </w:tabs>
        <w:numPr>
          <w:ilvl w:val="1"/>
          <w:numId w:val="100"/>
        </w:numPr>
        <w:rPr>
          <w:rFonts w:ascii="Arial" w:cs="Arial" w:eastAsia="Arial" w:hAnsi="Arial"/>
          <w:sz w:val="18"/>
          <w:szCs w:val="18"/>
          <w:color w:val="auto"/>
        </w:rPr>
      </w:pPr>
      <w:r>
        <w:rPr>
          <w:rFonts w:ascii="Arial" w:cs="Arial" w:eastAsia="Arial" w:hAnsi="Arial"/>
          <w:sz w:val="19"/>
          <w:szCs w:val="19"/>
          <w:color w:val="auto"/>
        </w:rPr>
        <w:t xml:space="preserve">The 2018 Facility EBITDAR of Tenant for the Bally’s Facility is as set forth on </w:t>
      </w:r>
      <w:r>
        <w:rPr>
          <w:rFonts w:ascii="Arial" w:cs="Arial" w:eastAsia="Arial" w:hAnsi="Arial"/>
          <w:sz w:val="19"/>
          <w:szCs w:val="19"/>
          <w:u w:val="single" w:color="auto"/>
          <w:color w:val="auto"/>
        </w:rPr>
        <w:t>Schedule C-2</w:t>
      </w:r>
      <w:r>
        <w:rPr>
          <w:rFonts w:ascii="Arial" w:cs="Arial" w:eastAsia="Arial" w:hAnsi="Arial"/>
          <w:sz w:val="19"/>
          <w:szCs w:val="19"/>
          <w:color w:val="auto"/>
        </w:rPr>
        <w:t xml:space="preserve"> annexed hereto.</w:t>
      </w:r>
    </w:p>
    <w:p>
      <w:pPr>
        <w:spacing w:after="0" w:line="267" w:lineRule="exact"/>
        <w:rPr>
          <w:rFonts w:ascii="Arial" w:cs="Arial" w:eastAsia="Arial" w:hAnsi="Arial"/>
          <w:sz w:val="18"/>
          <w:szCs w:val="18"/>
          <w:color w:val="auto"/>
        </w:rPr>
      </w:pPr>
    </w:p>
    <w:p>
      <w:pPr>
        <w:ind w:left="968" w:right="620" w:hanging="320"/>
        <w:spacing w:after="0" w:line="327" w:lineRule="auto"/>
        <w:tabs>
          <w:tab w:leader="none" w:pos="942" w:val="left"/>
        </w:tabs>
        <w:numPr>
          <w:ilvl w:val="1"/>
          <w:numId w:val="100"/>
        </w:numPr>
        <w:rPr>
          <w:rFonts w:ascii="Arial" w:cs="Arial" w:eastAsia="Arial" w:hAnsi="Arial"/>
          <w:sz w:val="18"/>
          <w:szCs w:val="18"/>
          <w:color w:val="auto"/>
        </w:rPr>
      </w:pPr>
      <w:r>
        <w:rPr>
          <w:rFonts w:ascii="Arial" w:cs="Arial" w:eastAsia="Arial" w:hAnsi="Arial"/>
          <w:sz w:val="19"/>
          <w:szCs w:val="19"/>
          <w:color w:val="auto"/>
        </w:rPr>
        <w:t>The amounts of the 2018 EBITDAR Pool and 2018 EBITDAR Pool Before Fifth Amendment shall not be reduced as a result of the Bally’s Facility no longer being a Facility under the Lease, and the removal of the Bally’s Facility from the Lease shall not constitute a L1 Transfer or a L2 Transfer under the Lease.</w:t>
      </w:r>
    </w:p>
    <w:p>
      <w:pPr>
        <w:spacing w:after="0" w:line="132" w:lineRule="exact"/>
        <w:rPr>
          <w:rFonts w:ascii="Arial" w:cs="Arial" w:eastAsia="Arial" w:hAnsi="Arial"/>
          <w:sz w:val="18"/>
          <w:szCs w:val="18"/>
          <w:color w:val="auto"/>
        </w:rPr>
      </w:pPr>
    </w:p>
    <w:p>
      <w:pPr>
        <w:ind w:left="968" w:right="200" w:hanging="320"/>
        <w:spacing w:after="0" w:line="358" w:lineRule="auto"/>
        <w:tabs>
          <w:tab w:leader="none" w:pos="955" w:val="left"/>
        </w:tabs>
        <w:numPr>
          <w:ilvl w:val="1"/>
          <w:numId w:val="100"/>
        </w:numPr>
        <w:rPr>
          <w:rFonts w:ascii="Arial" w:cs="Arial" w:eastAsia="Arial" w:hAnsi="Arial"/>
          <w:sz w:val="18"/>
          <w:szCs w:val="18"/>
          <w:color w:val="auto"/>
        </w:rPr>
      </w:pPr>
      <w:r>
        <w:rPr>
          <w:rFonts w:ascii="Arial" w:cs="Arial" w:eastAsia="Arial" w:hAnsi="Arial"/>
          <w:sz w:val="19"/>
          <w:szCs w:val="19"/>
          <w:color w:val="auto"/>
        </w:rPr>
        <w:t>The words, number and symbols “four and six-tenths percent (4.6%)” contained in Section 22.2(ix) of the Lease are hereby deleted and replaced with the following: “two and seventy-three hundredths percent (2.73%)”.</w:t>
      </w:r>
    </w:p>
    <w:p>
      <w:pPr>
        <w:spacing w:after="0" w:line="104" w:lineRule="exact"/>
        <w:rPr>
          <w:rFonts w:ascii="Arial" w:cs="Arial" w:eastAsia="Arial" w:hAnsi="Arial"/>
          <w:sz w:val="18"/>
          <w:szCs w:val="18"/>
          <w:color w:val="auto"/>
        </w:rPr>
      </w:pPr>
    </w:p>
    <w:p>
      <w:pPr>
        <w:ind w:left="968" w:right="100" w:hanging="320"/>
        <w:spacing w:after="0" w:line="276" w:lineRule="auto"/>
        <w:tabs>
          <w:tab w:leader="none" w:pos="955" w:val="left"/>
        </w:tabs>
        <w:numPr>
          <w:ilvl w:val="1"/>
          <w:numId w:val="100"/>
        </w:numPr>
        <w:rPr>
          <w:rFonts w:ascii="Arial" w:cs="Arial" w:eastAsia="Arial" w:hAnsi="Arial"/>
          <w:sz w:val="20"/>
          <w:szCs w:val="20"/>
          <w:color w:val="auto"/>
        </w:rPr>
      </w:pPr>
      <w:r>
        <w:rPr>
          <w:rFonts w:ascii="Arial" w:cs="Arial" w:eastAsia="Arial" w:hAnsi="Arial"/>
          <w:sz w:val="22"/>
          <w:szCs w:val="22"/>
          <w:color w:val="auto"/>
        </w:rPr>
        <w:t>For purposes of subsequent calculations of the L1/L2 EBITDAR to Rent Ratio under the Lease, the EBITDAR of Tenant in respect of the Bally’s Facility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68"/>
          </w:cols>
          <w:pgMar w:left="652" w:top="1104" w:right="379" w:bottom="1440" w:gutter="0" w:footer="0" w:header="0"/>
        </w:sectPr>
      </w:pPr>
    </w:p>
    <w:bookmarkStart w:id="164" w:name="page165"/>
    <w:bookmarkEnd w:id="164"/>
    <w:p>
      <w:pPr>
        <w:ind w:left="968" w:right="440" w:hanging="320"/>
        <w:spacing w:after="0" w:line="358" w:lineRule="auto"/>
        <w:tabs>
          <w:tab w:leader="none" w:pos="956" w:val="left"/>
        </w:tabs>
        <w:numPr>
          <w:ilvl w:val="2"/>
          <w:numId w:val="101"/>
        </w:numPr>
        <w:rPr>
          <w:rFonts w:ascii="Arial" w:cs="Arial" w:eastAsia="Arial" w:hAnsi="Arial"/>
          <w:sz w:val="18"/>
          <w:szCs w:val="18"/>
          <w:color w:val="auto"/>
        </w:rPr>
      </w:pPr>
      <w:r>
        <w:rPr>
          <w:rFonts w:ascii="Arial" w:cs="Arial" w:eastAsia="Arial" w:hAnsi="Arial"/>
          <w:sz w:val="19"/>
          <w:szCs w:val="19"/>
          <w:color w:val="auto"/>
        </w:rPr>
        <w:t>The treatment of the Bally’s Transaction hereunder is not intended to serve as a precedent for the treatment of future dispositions (if any) which may be effectuated under Section 22.2(ix) of the Lease or otherwise.</w:t>
      </w:r>
    </w:p>
    <w:p>
      <w:pPr>
        <w:spacing w:after="0" w:line="90" w:lineRule="exact"/>
        <w:rPr>
          <w:rFonts w:ascii="Arial" w:cs="Arial" w:eastAsia="Arial" w:hAnsi="Arial"/>
          <w:sz w:val="18"/>
          <w:szCs w:val="18"/>
          <w:color w:val="auto"/>
        </w:rPr>
      </w:pPr>
    </w:p>
    <w:p>
      <w:pPr>
        <w:jc w:val="both"/>
        <w:ind w:left="328" w:hanging="328"/>
        <w:spacing w:after="0" w:line="236" w:lineRule="auto"/>
        <w:tabs>
          <w:tab w:leader="none" w:pos="32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PACE Reports</w:t>
      </w:r>
      <w:r>
        <w:rPr>
          <w:rFonts w:ascii="Arial" w:cs="Arial" w:eastAsia="Arial" w:hAnsi="Arial"/>
          <w:sz w:val="22"/>
          <w:szCs w:val="22"/>
          <w:color w:val="auto"/>
        </w:rPr>
        <w:t xml:space="preserve">. Clause (C) of Section 23.1(b)(i) of the Lease is hereby amended by replacing “(but only for the SPE Tenants associated with the current Harrah’s Lake Tahoe, Harvey’s Lake Tahoe, Caesars Atlantic City and Bally’s Atlantic City and Schiff Parcel property locations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with “(but only for the SPE Tenants associated with the current Harrah’s Lake Tahoe, Harvey’s Lake Tahoe and Caesars Atlantic City property locations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328" w:hanging="328"/>
        <w:spacing w:after="0" w:line="248" w:lineRule="auto"/>
        <w:tabs>
          <w:tab w:leader="none" w:pos="317"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REA.</w:t>
      </w:r>
      <w:r>
        <w:rPr>
          <w:rFonts w:ascii="Arial" w:cs="Arial" w:eastAsia="Arial" w:hAnsi="Arial"/>
          <w:sz w:val="21"/>
          <w:szCs w:val="21"/>
          <w:color w:val="auto"/>
        </w:rPr>
        <w:t xml:space="preserve"> Purchaser and Bally’s Atlantic City LLC (i.e., the Landlord entity which is the fee owner with respect to the Retained Facility) have, on or about the date hereof, entered into a certain Reciprocal Easement Agreement (the “</w:t>
      </w:r>
      <w:r>
        <w:rPr>
          <w:rFonts w:ascii="Arial" w:cs="Arial" w:eastAsia="Arial" w:hAnsi="Arial"/>
          <w:sz w:val="21"/>
          <w:szCs w:val="21"/>
          <w:u w:val="single" w:color="auto"/>
          <w:color w:val="auto"/>
        </w:rPr>
        <w:t>REA</w:t>
      </w:r>
      <w:r>
        <w:rPr>
          <w:rFonts w:ascii="Arial" w:cs="Arial" w:eastAsia="Arial" w:hAnsi="Arial"/>
          <w:sz w:val="21"/>
          <w:szCs w:val="21"/>
          <w:color w:val="auto"/>
        </w:rPr>
        <w:t>”) affecting portions of the Retained Leased Property and portions of the real property formerly comprising the Bally’s Leased Property, which REA is intended hereafter to be recorded. Tenant has participated together with Landlord in the negotiation of, and hereby consents to, the REA. The REA shall be deemed to be a Property Document and a Permitted Exception Document in each case for all purposes under the Lease.</w:t>
      </w:r>
    </w:p>
    <w:p>
      <w:pPr>
        <w:spacing w:after="0" w:line="176" w:lineRule="exact"/>
        <w:rPr>
          <w:rFonts w:ascii="Arial" w:cs="Arial" w:eastAsia="Arial" w:hAnsi="Arial"/>
          <w:sz w:val="21"/>
          <w:szCs w:val="21"/>
          <w:color w:val="auto"/>
        </w:rPr>
      </w:pPr>
    </w:p>
    <w:p>
      <w:pPr>
        <w:ind w:left="328" w:hanging="328"/>
        <w:spacing w:after="0" w:line="250" w:lineRule="auto"/>
        <w:tabs>
          <w:tab w:leader="none" w:pos="322"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4" w:lineRule="exact"/>
        <w:rPr>
          <w:rFonts w:ascii="Arial" w:cs="Arial" w:eastAsia="Arial" w:hAnsi="Arial"/>
          <w:sz w:val="22"/>
          <w:szCs w:val="22"/>
          <w:color w:val="auto"/>
        </w:rPr>
      </w:pPr>
    </w:p>
    <w:p>
      <w:pPr>
        <w:ind w:left="648" w:hanging="324"/>
        <w:spacing w:after="0" w:line="250" w:lineRule="auto"/>
        <w:tabs>
          <w:tab w:leader="none" w:pos="640"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C-1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48" w:hanging="324"/>
        <w:spacing w:after="0" w:line="235" w:lineRule="auto"/>
        <w:tabs>
          <w:tab w:leader="none" w:pos="647"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Legal Description</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 with respect to the Leased Property pertaining to the Existing BAC Facility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the legal descriptions for the Wild Wild West Parcel and the Block 488 Parcel as set forth on </w:t>
      </w:r>
      <w:r>
        <w:rPr>
          <w:rFonts w:ascii="Arial" w:cs="Arial" w:eastAsia="Arial" w:hAnsi="Arial"/>
          <w:sz w:val="22"/>
          <w:szCs w:val="22"/>
          <w:u w:val="single" w:color="auto"/>
          <w:color w:val="auto"/>
        </w:rPr>
        <w:t>Annex B-1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Annex B-2</w:t>
      </w:r>
      <w:r>
        <w:rPr>
          <w:rFonts w:ascii="Arial" w:cs="Arial" w:eastAsia="Arial" w:hAnsi="Arial"/>
          <w:sz w:val="22"/>
          <w:szCs w:val="22"/>
          <w:color w:val="auto"/>
        </w:rPr>
        <w:t xml:space="preserve">, respectively, shall be reinstated in said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included as part of the Leased Property pertaining to the Caesars Atlantic City Facility.</w:t>
      </w:r>
    </w:p>
    <w:p>
      <w:pPr>
        <w:spacing w:after="0" w:line="187" w:lineRule="exact"/>
        <w:rPr>
          <w:rFonts w:ascii="Arial" w:cs="Arial" w:eastAsia="Arial" w:hAnsi="Arial"/>
          <w:sz w:val="22"/>
          <w:szCs w:val="22"/>
          <w:color w:val="auto"/>
        </w:rPr>
      </w:pPr>
    </w:p>
    <w:p>
      <w:pPr>
        <w:ind w:left="648" w:hanging="324"/>
        <w:spacing w:after="0" w:line="250" w:lineRule="auto"/>
        <w:tabs>
          <w:tab w:leader="none" w:pos="639"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xml:space="preserve">. The list of Property Specific IP set forth on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annexed to the Lease is hereby amended such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8"/>
          </w:cols>
          <w:pgMar w:left="652" w:top="1104" w:right="379" w:bottom="1440" w:gutter="0" w:footer="0" w:header="0"/>
        </w:sectPr>
      </w:pPr>
    </w:p>
    <w:bookmarkStart w:id="165" w:name="page166"/>
    <w:bookmarkEnd w:id="165"/>
    <w:p>
      <w:pPr>
        <w:ind w:left="980"/>
        <w:spacing w:after="0"/>
        <w:rPr>
          <w:sz w:val="20"/>
          <w:szCs w:val="20"/>
          <w:color w:val="auto"/>
        </w:rPr>
      </w:pPr>
      <w:r>
        <w:rPr>
          <w:rFonts w:ascii="Arial" w:cs="Arial" w:eastAsia="Arial" w:hAnsi="Arial"/>
          <w:sz w:val="22"/>
          <w:szCs w:val="22"/>
          <w:color w:val="auto"/>
        </w:rPr>
        <w:t xml:space="preserve">(a) the following items of Property Specific IP listed thereon are hereby deleted from said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220" w:type="dxa"/>
            <w:vAlign w:val="bottom"/>
            <w:tcBorders>
              <w:top w:val="single" w:sz="8" w:color="auto"/>
              <w:right w:val="single" w:sz="8" w:color="auto"/>
            </w:tcBorders>
            <w:shd w:val="clear" w:color="auto" w:fill="D9D9D9"/>
          </w:tcPr>
          <w:p>
            <w:pPr>
              <w:spacing w:after="0"/>
              <w:rPr>
                <w:sz w:val="24"/>
                <w:szCs w:val="24"/>
                <w:color w:val="auto"/>
              </w:rPr>
            </w:pPr>
          </w:p>
        </w:tc>
        <w:tc>
          <w:tcPr>
            <w:tcW w:w="102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90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r>
      <w:tr>
        <w:trPr>
          <w:trHeight w:val="285"/>
        </w:trPr>
        <w:tc>
          <w:tcPr>
            <w:tcW w:w="1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color w:val="auto"/>
              </w:rPr>
              <w:t>Mark</w:t>
            </w:r>
          </w:p>
        </w:tc>
        <w:tc>
          <w:tcPr>
            <w:tcW w:w="12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Jurisdiction</w:t>
            </w:r>
          </w:p>
        </w:tc>
        <w:tc>
          <w:tcPr>
            <w:tcW w:w="10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Brand</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Enterprise</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Property</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Date</w:t>
            </w:r>
          </w:p>
        </w:tc>
        <w:tc>
          <w:tcPr>
            <w:tcW w:w="9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6"/>
              </w:rPr>
              <w:t>Reg.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8"/>
              </w:rPr>
              <w:t>Reg. Date</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Status</w:t>
            </w: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Noodle Village</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22733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3/30/2007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22733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3/30/2007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(logo)</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Studio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15289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7/14/1998</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15289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7/14/1998</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 Tooth</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20,499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Gerties</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Mountain Bar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14,809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(and Logo)</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Buck Wild</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87/663083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10/27/2017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5504950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6/26/2018</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Arcade</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Boardwalk</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86/422551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10/13/2014</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4780684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7/28/2015</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Cupcakes (logo)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Coyote Kate's</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76/067657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6/9/2000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2523523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12/25/2001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Slot Parlor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4"/>
              </w:rPr>
              <w:t>Wild, Wild West</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75/106946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5/13/1996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2837537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5/4/2004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Casino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$10,000</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Bally’s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10,296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Pyramid</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320" w:top="1090" w:right="559" w:bottom="1440" w:gutter="0" w:footer="0" w:header="0"/>
        </w:sectPr>
      </w:pPr>
    </w:p>
    <w:bookmarkStart w:id="166" w:name="page167"/>
    <w:bookmarkEnd w:id="166"/>
    <w:p>
      <w:pPr>
        <w:ind w:left="980"/>
        <w:spacing w:after="0"/>
        <w:rPr>
          <w:sz w:val="20"/>
          <w:szCs w:val="20"/>
          <w:color w:val="auto"/>
        </w:rPr>
      </w:pPr>
      <w:r>
        <w:rPr>
          <w:rFonts w:ascii="Arial" w:cs="Arial" w:eastAsia="Arial" w:hAnsi="Arial"/>
          <w:sz w:val="22"/>
          <w:szCs w:val="22"/>
          <w:color w:val="auto"/>
        </w:rPr>
        <w:t xml:space="preserve">(b) the following items of Property Specific IP are hereby added to said </w:t>
      </w:r>
      <w:r>
        <w:rPr>
          <w:rFonts w:ascii="Arial" w:cs="Arial" w:eastAsia="Arial" w:hAnsi="Arial"/>
          <w:sz w:val="22"/>
          <w:szCs w:val="22"/>
          <w:u w:val="single" w:color="auto"/>
          <w:color w:val="auto"/>
        </w:rPr>
        <w:t>Exhibit H</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54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220" w:type="dxa"/>
            <w:vAlign w:val="bottom"/>
            <w:tcBorders>
              <w:top w:val="single" w:sz="8" w:color="auto"/>
              <w:right w:val="single" w:sz="8" w:color="auto"/>
            </w:tcBorders>
            <w:shd w:val="clear" w:color="auto" w:fill="D9D9D9"/>
          </w:tcPr>
          <w:p>
            <w:pPr>
              <w:spacing w:after="0"/>
              <w:rPr>
                <w:sz w:val="24"/>
                <w:szCs w:val="24"/>
                <w:color w:val="auto"/>
              </w:rPr>
            </w:pPr>
          </w:p>
        </w:tc>
        <w:tc>
          <w:tcPr>
            <w:tcW w:w="102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8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90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c>
          <w:tcPr>
            <w:tcW w:w="1040" w:type="dxa"/>
            <w:vAlign w:val="bottom"/>
            <w:tcBorders>
              <w:top w:val="single" w:sz="8" w:color="auto"/>
              <w:right w:val="single" w:sz="8" w:color="auto"/>
            </w:tcBorders>
            <w:shd w:val="clear" w:color="auto" w:fill="D9D9D9"/>
          </w:tcPr>
          <w:p>
            <w:pPr>
              <w:spacing w:after="0"/>
              <w:rPr>
                <w:sz w:val="24"/>
                <w:szCs w:val="24"/>
                <w:color w:val="auto"/>
              </w:rPr>
            </w:pPr>
          </w:p>
        </w:tc>
      </w:tr>
      <w:tr>
        <w:trPr>
          <w:trHeight w:val="285"/>
        </w:trPr>
        <w:tc>
          <w:tcPr>
            <w:tcW w:w="154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color w:val="auto"/>
              </w:rPr>
              <w:t>Mark</w:t>
            </w:r>
          </w:p>
        </w:tc>
        <w:tc>
          <w:tcPr>
            <w:tcW w:w="12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Jurisdiction</w:t>
            </w:r>
          </w:p>
        </w:tc>
        <w:tc>
          <w:tcPr>
            <w:tcW w:w="10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Brand</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Enterprise</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Property</w:t>
            </w:r>
          </w:p>
        </w:tc>
        <w:tc>
          <w:tcPr>
            <w:tcW w:w="108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App. Date</w:t>
            </w:r>
          </w:p>
        </w:tc>
        <w:tc>
          <w:tcPr>
            <w:tcW w:w="90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6"/>
              </w:rPr>
              <w:t>Reg. No.</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w w:val="98"/>
              </w:rPr>
              <w:t>Reg. Date</w:t>
            </w:r>
          </w:p>
        </w:tc>
        <w:tc>
          <w:tcPr>
            <w:tcW w:w="10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Status</w:t>
            </w: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Gold Tooth</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20,499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12/5/2000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Gerties</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Mountain Bar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14,809</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8/11/1997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(and Logo)</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Buck Wild</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87/663083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10/27/2017</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5504950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6/26/2018</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Arcade</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Boardwalk</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86/422551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10/13/2014</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4780684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7/28/2015</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Cupcakes (logo)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Coyote Kate's</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76/067657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6/9/2000</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2523523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8"/>
              </w:rPr>
              <w:t>12/25/2001</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7"/>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Slot Parlor</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4"/>
              </w:rPr>
              <w:t>Wild, Wild West</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7"/>
              </w:rPr>
              <w:t>United States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75/106946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5/13/1996</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2837537</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5/4/2004</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Casino</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of America</w:t>
            </w: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r>
        <w:trPr>
          <w:trHeight w:val="27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$10,000</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Jersey</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10,296</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2/26/1992</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Registered</w:t>
            </w:r>
          </w:p>
        </w:tc>
      </w:tr>
      <w:tr>
        <w:trPr>
          <w:trHeight w:val="256"/>
        </w:trPr>
        <w:tc>
          <w:tcPr>
            <w:tcW w:w="1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Pyramid</w:t>
            </w:r>
          </w:p>
        </w:tc>
        <w:tc>
          <w:tcPr>
            <w:tcW w:w="122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Atlantic</w:t>
            </w:r>
          </w:p>
        </w:tc>
        <w:tc>
          <w:tcPr>
            <w:tcW w:w="10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85"/>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City</w:t>
            </w: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46" w:lineRule="exact"/>
        <w:rPr>
          <w:sz w:val="20"/>
          <w:szCs w:val="20"/>
          <w:color w:val="auto"/>
        </w:rPr>
      </w:pPr>
    </w:p>
    <w:p>
      <w:pPr>
        <w:jc w:val="both"/>
        <w:ind w:left="980" w:hanging="324"/>
        <w:spacing w:after="0" w:line="252" w:lineRule="auto"/>
        <w:tabs>
          <w:tab w:leader="none" w:pos="958"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Description of Title Policies.</w:t>
      </w:r>
      <w:r>
        <w:rPr>
          <w:rFonts w:ascii="Arial" w:cs="Arial" w:eastAsia="Arial" w:hAnsi="Arial"/>
          <w:sz w:val="21"/>
          <w:szCs w:val="21"/>
          <w:color w:val="auto"/>
        </w:rPr>
        <w:t xml:space="preserve"> The list of Title Policies set forth on </w:t>
      </w:r>
      <w:r>
        <w:rPr>
          <w:rFonts w:ascii="Arial" w:cs="Arial" w:eastAsia="Arial" w:hAnsi="Arial"/>
          <w:sz w:val="21"/>
          <w:szCs w:val="21"/>
          <w:u w:val="single" w:color="auto"/>
          <w:color w:val="auto"/>
        </w:rPr>
        <w:t>Exhibit J</w:t>
      </w:r>
      <w:r>
        <w:rPr>
          <w:rFonts w:ascii="Arial" w:cs="Arial" w:eastAsia="Arial" w:hAnsi="Arial"/>
          <w:sz w:val="21"/>
          <w:szCs w:val="21"/>
          <w:color w:val="auto"/>
        </w:rPr>
        <w:t xml:space="preserve"> annexed to the Lease is hereby amended such that the reference thereon to the Title Policy relating solely to the Existing BAC Facility is hereby amended and shall be deemed to refer only to the portions of such Title Policy (including as to the exceptions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thereto) that pertain to the Wild Wild West Parcel and the Block 488 Parcel.</w:t>
      </w:r>
    </w:p>
    <w:p>
      <w:pPr>
        <w:spacing w:after="0" w:line="173" w:lineRule="exact"/>
        <w:rPr>
          <w:rFonts w:ascii="Arial" w:cs="Arial" w:eastAsia="Arial" w:hAnsi="Arial"/>
          <w:sz w:val="21"/>
          <w:szCs w:val="21"/>
          <w:color w:val="auto"/>
        </w:rPr>
      </w:pPr>
    </w:p>
    <w:p>
      <w:pPr>
        <w:ind w:left="980" w:hanging="324"/>
        <w:spacing w:after="0" w:line="250" w:lineRule="auto"/>
        <w:tabs>
          <w:tab w:leader="none" w:pos="96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Brands</w:t>
      </w:r>
      <w:r>
        <w:rPr>
          <w:rFonts w:ascii="Arial" w:cs="Arial" w:eastAsia="Arial" w:hAnsi="Arial"/>
          <w:sz w:val="22"/>
          <w:szCs w:val="22"/>
          <w:color w:val="auto"/>
        </w:rPr>
        <w:t xml:space="preserve">. The list of Brands set forth on </w:t>
      </w:r>
      <w:r>
        <w:rPr>
          <w:rFonts w:ascii="Arial" w:cs="Arial" w:eastAsia="Arial" w:hAnsi="Arial"/>
          <w:sz w:val="22"/>
          <w:szCs w:val="22"/>
          <w:u w:val="single" w:color="auto"/>
          <w:color w:val="auto"/>
        </w:rPr>
        <w:t>Exhibit M</w:t>
      </w:r>
      <w:r>
        <w:rPr>
          <w:rFonts w:ascii="Arial" w:cs="Arial" w:eastAsia="Arial" w:hAnsi="Arial"/>
          <w:sz w:val="22"/>
          <w:szCs w:val="22"/>
          <w:color w:val="auto"/>
        </w:rPr>
        <w:t xml:space="preserve"> annexed to the Lease is hereby amended such that “Bally’s” is hereby deleted from said </w:t>
      </w:r>
      <w:r>
        <w:rPr>
          <w:rFonts w:ascii="Arial" w:cs="Arial" w:eastAsia="Arial" w:hAnsi="Arial"/>
          <w:sz w:val="22"/>
          <w:szCs w:val="22"/>
          <w:u w:val="single" w:color="auto"/>
          <w:color w:val="auto"/>
        </w:rPr>
        <w:t>Exhibit M</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980" w:hanging="324"/>
        <w:spacing w:after="0" w:line="250" w:lineRule="auto"/>
        <w:tabs>
          <w:tab w:leader="none" w:pos="972"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Managed Facilities IP Trademarks</w:t>
      </w:r>
      <w:r>
        <w:rPr>
          <w:rFonts w:ascii="Arial" w:cs="Arial" w:eastAsia="Arial" w:hAnsi="Arial"/>
          <w:sz w:val="22"/>
          <w:szCs w:val="22"/>
          <w:color w:val="auto"/>
        </w:rPr>
        <w:t xml:space="preserve">. The list of Managed Facilities IP set forth on </w:t>
      </w:r>
      <w:r>
        <w:rPr>
          <w:rFonts w:ascii="Arial" w:cs="Arial" w:eastAsia="Arial" w:hAnsi="Arial"/>
          <w:sz w:val="22"/>
          <w:szCs w:val="22"/>
          <w:u w:val="single" w:color="auto"/>
          <w:color w:val="auto"/>
        </w:rPr>
        <w:t>Exhibit P</w:t>
      </w:r>
      <w:r>
        <w:rPr>
          <w:rFonts w:ascii="Arial" w:cs="Arial" w:eastAsia="Arial" w:hAnsi="Arial"/>
          <w:sz w:val="22"/>
          <w:szCs w:val="22"/>
          <w:color w:val="auto"/>
        </w:rPr>
        <w:t xml:space="preserve"> annexed to the Lease is hereby amended such that “Bally’s Atlantic City” is hereby deleted from said </w:t>
      </w:r>
      <w:r>
        <w:rPr>
          <w:rFonts w:ascii="Arial" w:cs="Arial" w:eastAsia="Arial" w:hAnsi="Arial"/>
          <w:sz w:val="22"/>
          <w:szCs w:val="22"/>
          <w:u w:val="single" w:color="auto"/>
          <w:color w:val="auto"/>
        </w:rPr>
        <w:t>Exhibit P</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980" w:hanging="324"/>
        <w:spacing w:after="0"/>
        <w:tabs>
          <w:tab w:leader="none" w:pos="97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Tenant Entities</w:t>
      </w:r>
      <w:r>
        <w:rPr>
          <w:rFonts w:ascii="Arial" w:cs="Arial" w:eastAsia="Arial" w:hAnsi="Arial"/>
          <w:sz w:val="22"/>
          <w:szCs w:val="22"/>
          <w:color w:val="auto"/>
        </w:rPr>
        <w:t xml:space="preserve">. The list of entities comprising Tenant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annexed to the Lease shall be amended such that Bally’s Park Place LLC shall be deleted from said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and Bally’s Park Place LLC shall no longer be a Tenant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20" w:top="1090" w:right="379" w:bottom="1440" w:gutter="0" w:footer="0" w:header="0"/>
        </w:sectPr>
      </w:pPr>
    </w:p>
    <w:bookmarkStart w:id="167" w:name="page168"/>
    <w:bookmarkEnd w:id="167"/>
    <w:p>
      <w:pPr>
        <w:jc w:val="both"/>
        <w:ind w:left="760" w:right="60" w:hanging="324"/>
        <w:spacing w:after="0" w:line="248" w:lineRule="auto"/>
        <w:tabs>
          <w:tab w:leader="none" w:pos="1075"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xml:space="preserve">. The list of Gaming Licenses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annexed to the Lease is hereby amended such that (a) the Gaming Licenses bearing Unique IDs 294 and 446 relating to the Bally’s Facility are hereby deleted from said </w:t>
      </w:r>
      <w:r>
        <w:rPr>
          <w:rFonts w:ascii="Arial" w:cs="Arial" w:eastAsia="Arial" w:hAnsi="Arial"/>
          <w:sz w:val="22"/>
          <w:szCs w:val="22"/>
          <w:u w:val="single" w:color="auto"/>
          <w:color w:val="auto"/>
        </w:rPr>
        <w:t>Schedule 1</w:t>
      </w:r>
      <w:r>
        <w:rPr>
          <w:rFonts w:ascii="Arial" w:cs="Arial" w:eastAsia="Arial" w:hAnsi="Arial"/>
          <w:sz w:val="22"/>
          <w:szCs w:val="22"/>
          <w:color w:val="auto"/>
        </w:rPr>
        <w:t>, (b) the Gaming License of Boardwalk Regency LLC bearing Unique ID 447 is amended as set forth below and (c) the following additional Gaming License of Boardwalk Regency LLC (not bearing a Unique ID</w:t>
      </w:r>
      <w:r>
        <w:rPr>
          <w:rFonts w:ascii="Arial" w:cs="Arial" w:eastAsia="Arial" w:hAnsi="Arial"/>
          <w:sz w:val="19"/>
          <w:szCs w:val="19"/>
          <w:color w:val="auto"/>
        </w:rPr>
        <w:t>)</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 w:type="dxa"/>
            <w:vAlign w:val="bottom"/>
            <w:tcBorders>
              <w:top w:val="single" w:sz="8" w:color="auto"/>
              <w:left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4"/>
              </w:rPr>
              <w:t>Unique ID</w:t>
            </w:r>
          </w:p>
        </w:tc>
        <w:tc>
          <w:tcPr>
            <w:tcW w:w="320" w:type="dxa"/>
            <w:vAlign w:val="bottom"/>
            <w:tcBorders>
              <w:top w:val="single" w:sz="8" w:color="auto"/>
              <w:bottom w:val="single" w:sz="8" w:color="auto"/>
              <w:right w:val="single" w:sz="8" w:color="auto"/>
            </w:tcBorders>
          </w:tcPr>
          <w:p>
            <w:pPr>
              <w:spacing w:after="0"/>
              <w:rPr>
                <w:sz w:val="19"/>
                <w:szCs w:val="19"/>
                <w:color w:val="auto"/>
              </w:rPr>
            </w:pPr>
          </w:p>
        </w:tc>
        <w:tc>
          <w:tcPr>
            <w:tcW w:w="204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1"/>
              </w:rPr>
              <w:t>Legal Entity Name</w:t>
            </w:r>
          </w:p>
        </w:tc>
        <w:tc>
          <w:tcPr>
            <w:tcW w:w="150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5"/>
              </w:rPr>
              <w:t>License</w:t>
            </w:r>
          </w:p>
        </w:tc>
        <w:tc>
          <w:tcPr>
            <w:tcW w:w="152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5"/>
              </w:rPr>
              <w:t>Type of License</w:t>
            </w:r>
          </w:p>
        </w:tc>
        <w:tc>
          <w:tcPr>
            <w:tcW w:w="172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6"/>
              </w:rPr>
              <w:t>Issuing Agency</w:t>
            </w:r>
          </w:p>
        </w:tc>
        <w:tc>
          <w:tcPr>
            <w:tcW w:w="108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5"/>
              </w:rPr>
              <w:t>State</w:t>
            </w:r>
          </w:p>
        </w:tc>
        <w:tc>
          <w:tcPr>
            <w:tcW w:w="1680" w:type="dxa"/>
            <w:vAlign w:val="bottom"/>
            <w:tcBorders>
              <w:top w:val="single" w:sz="8" w:color="auto"/>
              <w:bottom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7"/>
              </w:rPr>
              <w:t>Description of</w:t>
            </w:r>
          </w:p>
        </w:tc>
        <w:tc>
          <w:tcPr>
            <w:tcW w:w="0" w:type="dxa"/>
            <w:vAlign w:val="bottom"/>
          </w:tcPr>
          <w:p>
            <w:pPr>
              <w:spacing w:after="0"/>
              <w:rPr>
                <w:sz w:val="1"/>
                <w:szCs w:val="1"/>
                <w:color w:val="auto"/>
              </w:rPr>
            </w:pPr>
          </w:p>
        </w:tc>
      </w:tr>
      <w:tr>
        <w:trPr>
          <w:trHeight w:val="324"/>
        </w:trPr>
        <w:tc>
          <w:tcPr>
            <w:tcW w:w="3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Category</w:t>
            </w:r>
          </w:p>
        </w:tc>
        <w:tc>
          <w:tcPr>
            <w:tcW w:w="15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License</w:t>
            </w:r>
          </w:p>
        </w:tc>
        <w:tc>
          <w:tcPr>
            <w:tcW w:w="0" w:type="dxa"/>
            <w:vAlign w:val="bottom"/>
          </w:tcPr>
          <w:p>
            <w:pPr>
              <w:spacing w:after="0"/>
              <w:rPr>
                <w:sz w:val="1"/>
                <w:szCs w:val="1"/>
                <w:color w:val="auto"/>
              </w:rPr>
            </w:pPr>
          </w:p>
        </w:tc>
      </w:tr>
      <w:tr>
        <w:trPr>
          <w:trHeight w:val="276"/>
        </w:trPr>
        <w:tc>
          <w:tcPr>
            <w:tcW w:w="300" w:type="dxa"/>
            <w:vAlign w:val="bottom"/>
            <w:tcBorders>
              <w:lef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Boardwalk Regency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Gaming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Lottery License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State of NJ,</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Lottery Terminals</w:t>
            </w:r>
          </w:p>
        </w:tc>
        <w:tc>
          <w:tcPr>
            <w:tcW w:w="0" w:type="dxa"/>
            <w:vAlign w:val="bottom"/>
          </w:tcPr>
          <w:p>
            <w:pPr>
              <w:spacing w:after="0"/>
              <w:rPr>
                <w:sz w:val="1"/>
                <w:szCs w:val="1"/>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Lottery</w:t>
            </w: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for Caesars</w:t>
            </w:r>
          </w:p>
        </w:tc>
        <w:tc>
          <w:tcPr>
            <w:tcW w:w="0" w:type="dxa"/>
            <w:vAlign w:val="bottom"/>
          </w:tcPr>
          <w:p>
            <w:pPr>
              <w:spacing w:after="0"/>
              <w:rPr>
                <w:sz w:val="1"/>
                <w:szCs w:val="1"/>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Commission</w:t>
            </w: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Atlantic City and</w:t>
            </w:r>
          </w:p>
        </w:tc>
        <w:tc>
          <w:tcPr>
            <w:tcW w:w="0" w:type="dxa"/>
            <w:vAlign w:val="bottom"/>
          </w:tcPr>
          <w:p>
            <w:pPr>
              <w:spacing w:after="0"/>
              <w:rPr>
                <w:sz w:val="1"/>
                <w:szCs w:val="1"/>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Harrah’s Atlantic</w:t>
            </w:r>
          </w:p>
        </w:tc>
        <w:tc>
          <w:tcPr>
            <w:tcW w:w="0" w:type="dxa"/>
            <w:vAlign w:val="bottom"/>
          </w:tcPr>
          <w:p>
            <w:pPr>
              <w:spacing w:after="0"/>
              <w:rPr>
                <w:sz w:val="1"/>
                <w:szCs w:val="1"/>
                <w:color w:val="auto"/>
              </w:rPr>
            </w:pPr>
          </w:p>
        </w:tc>
      </w:tr>
      <w:tr>
        <w:trPr>
          <w:trHeight w:val="285"/>
        </w:trPr>
        <w:tc>
          <w:tcPr>
            <w:tcW w:w="30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City</w:t>
            </w:r>
          </w:p>
        </w:tc>
        <w:tc>
          <w:tcPr>
            <w:tcW w:w="0" w:type="dxa"/>
            <w:vAlign w:val="bottom"/>
          </w:tcPr>
          <w:p>
            <w:pPr>
              <w:spacing w:after="0"/>
              <w:rPr>
                <w:sz w:val="1"/>
                <w:szCs w:val="1"/>
                <w:color w:val="auto"/>
              </w:rPr>
            </w:pPr>
          </w:p>
        </w:tc>
      </w:tr>
      <w:tr>
        <w:trPr>
          <w:trHeight w:val="276"/>
        </w:trPr>
        <w:tc>
          <w:tcPr>
            <w:tcW w:w="1180" w:type="dxa"/>
            <w:vAlign w:val="bottom"/>
            <w:tcBorders>
              <w:left w:val="single" w:sz="8" w:color="auto"/>
            </w:tcBorders>
            <w:gridSpan w:val="2"/>
          </w:tcPr>
          <w:p>
            <w:pPr>
              <w:jc w:val="right"/>
              <w:ind w:right="181"/>
              <w:spacing w:after="0"/>
              <w:rPr>
                <w:sz w:val="20"/>
                <w:szCs w:val="20"/>
                <w:color w:val="auto"/>
              </w:rPr>
            </w:pPr>
            <w:r>
              <w:rPr>
                <w:rFonts w:ascii="Arial" w:cs="Arial" w:eastAsia="Arial" w:hAnsi="Arial"/>
                <w:sz w:val="22"/>
                <w:szCs w:val="22"/>
                <w:color w:val="auto"/>
              </w:rPr>
              <w:t>447</w:t>
            </w:r>
          </w:p>
        </w:tc>
        <w:tc>
          <w:tcPr>
            <w:tcW w:w="32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Boardwalk Regency</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Gaming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Casino License /</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New Jersey Casino</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Caesars Atlantic</w:t>
            </w:r>
          </w:p>
        </w:tc>
        <w:tc>
          <w:tcPr>
            <w:tcW w:w="0" w:type="dxa"/>
            <w:vAlign w:val="bottom"/>
          </w:tcPr>
          <w:p>
            <w:pPr>
              <w:spacing w:after="0"/>
              <w:rPr>
                <w:sz w:val="1"/>
                <w:szCs w:val="1"/>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15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Sports Wagering</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Control</w:t>
            </w:r>
          </w:p>
        </w:tc>
        <w:tc>
          <w:tcPr>
            <w:tcW w:w="10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City</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17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Commission</w:t>
            </w:r>
          </w:p>
        </w:tc>
        <w:tc>
          <w:tcPr>
            <w:tcW w:w="10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00" w:type="dxa"/>
            <w:vAlign w:val="bottom"/>
            <w:tcBorders>
              <w:lef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License</w:t>
            </w:r>
          </w:p>
        </w:tc>
        <w:tc>
          <w:tcPr>
            <w:tcW w:w="172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00" w:type="dxa"/>
            <w:vAlign w:val="bottom"/>
            <w:tcBorders>
              <w:left w:val="single" w:sz="8" w:color="auto"/>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both"/>
        <w:ind w:left="760" w:right="60" w:hanging="324"/>
        <w:spacing w:after="0" w:line="238" w:lineRule="auto"/>
        <w:tabs>
          <w:tab w:leader="none" w:pos="75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Maximum Fixed Rent Term</w:t>
      </w:r>
      <w:r>
        <w:rPr>
          <w:rFonts w:ascii="Arial" w:cs="Arial" w:eastAsia="Arial" w:hAnsi="Arial"/>
          <w:sz w:val="22"/>
          <w:szCs w:val="22"/>
          <w:color w:val="auto"/>
        </w:rPr>
        <w:t xml:space="preserve">. The schedule setting forth the Maximum Fixed Rent Term with respect to each Facility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annexed to the Lease is hereby amended such that the reference to “Bally’s Atlantic City” thereon is deleted (it being understood, for the avoidance of doubt, that the reference to “Caesars Atlantic City” thereon shall be deemed to also include the Retained Facility).</w:t>
      </w:r>
    </w:p>
    <w:p>
      <w:pPr>
        <w:spacing w:after="0" w:line="184" w:lineRule="exact"/>
        <w:rPr>
          <w:rFonts w:ascii="Arial" w:cs="Arial" w:eastAsia="Arial" w:hAnsi="Arial"/>
          <w:sz w:val="22"/>
          <w:szCs w:val="22"/>
          <w:color w:val="auto"/>
        </w:rPr>
      </w:pPr>
    </w:p>
    <w:p>
      <w:pPr>
        <w:jc w:val="both"/>
        <w:ind w:left="760" w:right="60" w:hanging="324"/>
        <w:spacing w:after="0" w:line="236" w:lineRule="auto"/>
        <w:tabs>
          <w:tab w:leader="none" w:pos="76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Specified Subleases</w:t>
      </w:r>
      <w:r>
        <w:rPr>
          <w:rFonts w:ascii="Arial" w:cs="Arial" w:eastAsia="Arial" w:hAnsi="Arial"/>
          <w:sz w:val="22"/>
          <w:szCs w:val="22"/>
          <w:color w:val="auto"/>
        </w:rPr>
        <w:t xml:space="preserve">. The list of Specified Subleases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annexed to the Lease is hereby amended such that (a) the Specified Subleases bearing Contract ID Nos. 8171, 8197, 8167, 14871, 8178, 8208, 8209, 8207 and 8215 and the six (6) additional Specified Subleases pertaining solely to the Bally’s Facility that do not have a Contract ID No. are hereby deleted from said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and (b) the following Sublease is hereby added to said Schedule 4:</w:t>
      </w:r>
    </w:p>
    <w:p>
      <w:pPr>
        <w:spacing w:after="0" w:line="216" w:lineRule="exact"/>
        <w:rPr>
          <w:sz w:val="20"/>
          <w:szCs w:val="20"/>
          <w:color w:val="auto"/>
        </w:rPr>
      </w:pPr>
    </w:p>
    <w:tbl>
      <w:tblPr>
        <w:tblLayout w:type="fixed"/>
        <w:tblInd w:w="430" w:type="dxa"/>
        <w:tblCellMar>
          <w:top w:w="0" w:type="dxa"/>
          <w:left w:w="0" w:type="dxa"/>
          <w:bottom w:w="0" w:type="dxa"/>
          <w:right w:w="0" w:type="dxa"/>
        </w:tblCellMar>
      </w:tblPr>
      <w:tr>
        <w:trPr>
          <w:trHeight w:val="238"/>
        </w:trPr>
        <w:tc>
          <w:tcPr>
            <w:tcW w:w="11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Contract ID</w:t>
            </w:r>
          </w:p>
        </w:tc>
        <w:tc>
          <w:tcPr>
            <w:tcW w:w="12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Debtor(s)</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Property</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Name of</w:t>
            </w:r>
          </w:p>
        </w:tc>
        <w:tc>
          <w:tcPr>
            <w:tcW w:w="15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Counterparty</w:t>
            </w:r>
          </w:p>
        </w:tc>
        <w:tc>
          <w:tcPr>
            <w:tcW w:w="16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Description</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Contract Date</w:t>
            </w:r>
          </w:p>
        </w:tc>
        <w:tc>
          <w:tcPr>
            <w:tcW w:w="166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File Name</w:t>
            </w:r>
          </w:p>
        </w:tc>
      </w:tr>
      <w:tr>
        <w:trPr>
          <w:trHeight w:val="234"/>
        </w:trPr>
        <w:tc>
          <w:tcPr>
            <w:tcW w:w="110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Operation</w:t>
            </w:r>
          </w:p>
        </w:tc>
        <w:tc>
          <w:tcPr>
            <w:tcW w:w="15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223"/>
        </w:trPr>
        <w:tc>
          <w:tcPr>
            <w:tcW w:w="1100" w:type="dxa"/>
            <w:vAlign w:val="bottom"/>
            <w:tcBorders>
              <w:left w:val="single" w:sz="8" w:color="auto"/>
              <w:right w:val="single" w:sz="8" w:color="auto"/>
            </w:tcBorders>
          </w:tcPr>
          <w:p>
            <w:pPr>
              <w:ind w:left="40"/>
              <w:spacing w:after="0" w:line="223" w:lineRule="exact"/>
              <w:rPr>
                <w:sz w:val="20"/>
                <w:szCs w:val="20"/>
                <w:color w:val="auto"/>
              </w:rPr>
            </w:pPr>
            <w:r>
              <w:rPr>
                <w:rFonts w:ascii="Arial" w:cs="Arial" w:eastAsia="Arial" w:hAnsi="Arial"/>
                <w:sz w:val="22"/>
                <w:szCs w:val="22"/>
                <w:color w:val="auto"/>
              </w:rPr>
              <w:t>N/A</w:t>
            </w: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Boardwalk</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Caesars</w:t>
            </w: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Guy's Bar-B-</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GRF Enterprises,</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RESTAURANT</w:t>
            </w:r>
          </w:p>
        </w:tc>
        <w:tc>
          <w:tcPr>
            <w:tcW w:w="12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90"/>
              </w:rPr>
              <w:t>12/22/2015</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BAC Guy Fieri BBQ</w:t>
            </w:r>
          </w:p>
        </w:tc>
      </w:tr>
      <w:tr>
        <w:trPr>
          <w:trHeight w:val="215"/>
        </w:trPr>
        <w:tc>
          <w:tcPr>
            <w:tcW w:w="110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Regency LLC</w:t>
            </w:r>
          </w:p>
        </w:tc>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Atlantic City</w:t>
            </w:r>
          </w:p>
        </w:tc>
        <w:tc>
          <w:tcPr>
            <w:tcW w:w="1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Que Joint</w:t>
            </w: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LICENSE</w:t>
            </w: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Restaurant License</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AGREEMENT</w:t>
            </w:r>
          </w:p>
        </w:tc>
        <w:tc>
          <w:tcPr>
            <w:tcW w:w="12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Agreement Fully</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Executed.pdf</w:t>
            </w:r>
          </w:p>
        </w:tc>
      </w:tr>
      <w:tr>
        <w:trPr>
          <w:trHeight w:val="27"/>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40"/>
          </w:cols>
          <w:pgMar w:left="540" w:top="1104" w:right="319" w:bottom="1440" w:gutter="0" w:footer="0" w:header="0"/>
        </w:sectPr>
      </w:pPr>
    </w:p>
    <w:bookmarkStart w:id="168" w:name="page169"/>
    <w:bookmarkEnd w:id="168"/>
    <w:p>
      <w:pPr>
        <w:ind w:left="980" w:right="60" w:hanging="324"/>
        <w:spacing w:after="0" w:line="250" w:lineRule="auto"/>
        <w:tabs>
          <w:tab w:leader="none" w:pos="967" w:val="left"/>
        </w:tabs>
        <w:numPr>
          <w:ilvl w:val="1"/>
          <w:numId w:val="106"/>
        </w:numPr>
        <w:rPr>
          <w:rFonts w:ascii="Arial" w:cs="Arial" w:eastAsia="Arial" w:hAnsi="Arial"/>
          <w:sz w:val="20"/>
          <w:szCs w:val="20"/>
          <w:color w:val="auto"/>
        </w:rPr>
      </w:pPr>
      <w:r>
        <w:rPr>
          <w:rFonts w:ascii="Arial" w:cs="Arial" w:eastAsia="Arial" w:hAnsi="Arial"/>
          <w:sz w:val="22"/>
          <w:szCs w:val="22"/>
          <w:u w:val="single" w:color="auto"/>
          <w:color w:val="auto"/>
        </w:rPr>
        <w:t>2018 Facility EBITDAR</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annexed to the Lease (setting forth the 2018 Facility EBITDAR) is hereby replaced with the replacement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that is annexed as </w:t>
      </w:r>
      <w:r>
        <w:rPr>
          <w:rFonts w:ascii="Arial" w:cs="Arial" w:eastAsia="Arial" w:hAnsi="Arial"/>
          <w:sz w:val="22"/>
          <w:szCs w:val="22"/>
          <w:u w:val="single" w:color="auto"/>
          <w:color w:val="auto"/>
        </w:rPr>
        <w:t>Schedule C-2</w:t>
      </w:r>
      <w:r>
        <w:rPr>
          <w:rFonts w:ascii="Arial" w:cs="Arial" w:eastAsia="Arial" w:hAnsi="Arial"/>
          <w:sz w:val="22"/>
          <w:szCs w:val="22"/>
          <w:color w:val="auto"/>
        </w:rPr>
        <w:t xml:space="preserve"> hereto.</w:t>
      </w:r>
    </w:p>
    <w:p>
      <w:pPr>
        <w:spacing w:after="0" w:line="188" w:lineRule="exact"/>
        <w:rPr>
          <w:rFonts w:ascii="Arial" w:cs="Arial" w:eastAsia="Arial" w:hAnsi="Arial"/>
          <w:sz w:val="20"/>
          <w:szCs w:val="20"/>
          <w:color w:val="auto"/>
        </w:rPr>
      </w:pPr>
    </w:p>
    <w:p>
      <w:pPr>
        <w:jc w:val="both"/>
        <w:ind w:left="660" w:right="20" w:hanging="328"/>
        <w:spacing w:after="0" w:line="250" w:lineRule="auto"/>
        <w:tabs>
          <w:tab w:leader="none" w:pos="654"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Corrections to Leased Property Legal Descriptions</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attached hereto are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Released Missouri Property</w:t>
      </w:r>
      <w:r>
        <w:rPr>
          <w:rFonts w:ascii="Arial" w:cs="Arial" w:eastAsia="Arial" w:hAnsi="Arial"/>
          <w:sz w:val="22"/>
          <w:szCs w:val="22"/>
          <w:color w:val="auto"/>
        </w:rPr>
        <w:t>”). The Released Missouri Property was released from the Lease prior to the date hereof.</w:t>
      </w:r>
    </w:p>
    <w:p>
      <w:pPr>
        <w:spacing w:after="0" w:line="187" w:lineRule="exact"/>
        <w:rPr>
          <w:rFonts w:ascii="Arial" w:cs="Arial" w:eastAsia="Arial" w:hAnsi="Arial"/>
          <w:sz w:val="22"/>
          <w:szCs w:val="22"/>
          <w:color w:val="auto"/>
        </w:rPr>
      </w:pPr>
    </w:p>
    <w:p>
      <w:pPr>
        <w:ind w:left="660" w:right="20" w:hanging="328"/>
        <w:spacing w:after="0" w:line="343" w:lineRule="auto"/>
        <w:tabs>
          <w:tab w:leader="none" w:pos="63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Correction to Schedule of Permitted Property Sales</w:t>
      </w:r>
      <w:r>
        <w:rPr>
          <w:rFonts w:ascii="Arial" w:cs="Arial" w:eastAsia="Arial" w:hAnsi="Arial"/>
          <w:sz w:val="19"/>
          <w:szCs w:val="19"/>
          <w:color w:val="auto"/>
        </w:rPr>
        <w:t xml:space="preserve">. The list of properties set forth on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annexed to the Lease is hereby amended such that the following properties listed thereon are hereby deleted from said </w:t>
      </w:r>
      <w:r>
        <w:rPr>
          <w:rFonts w:ascii="Arial" w:cs="Arial" w:eastAsia="Arial" w:hAnsi="Arial"/>
          <w:sz w:val="19"/>
          <w:szCs w:val="19"/>
          <w:u w:val="single" w:color="auto"/>
          <w:color w:val="auto"/>
        </w:rPr>
        <w:t>Schedule 7</w:t>
      </w:r>
      <w:r>
        <w:rPr>
          <w:rFonts w:ascii="Arial" w:cs="Arial" w:eastAsia="Arial" w:hAnsi="Arial"/>
          <w:sz w:val="19"/>
          <w:szCs w:val="19"/>
          <w:color w:val="auto"/>
        </w:rPr>
        <w:t>:</w:t>
      </w:r>
    </w:p>
    <w:p>
      <w:pPr>
        <w:spacing w:after="0" w:line="119" w:lineRule="exact"/>
        <w:rPr>
          <w:sz w:val="20"/>
          <w:szCs w:val="20"/>
          <w:color w:val="auto"/>
        </w:rPr>
      </w:pPr>
    </w:p>
    <w:tbl>
      <w:tblPr>
        <w:tblLayout w:type="fixed"/>
        <w:tblInd w:w="810" w:type="dxa"/>
        <w:tblCellMar>
          <w:top w:w="0" w:type="dxa"/>
          <w:left w:w="0" w:type="dxa"/>
          <w:bottom w:w="0" w:type="dxa"/>
          <w:right w:w="0" w:type="dxa"/>
        </w:tblCellMar>
      </w:tblPr>
      <w:tr>
        <w:trPr>
          <w:trHeight w:val="180"/>
        </w:trPr>
        <w:tc>
          <w:tcPr>
            <w:tcW w:w="110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Property</w:t>
            </w:r>
          </w:p>
        </w:tc>
        <w:tc>
          <w:tcPr>
            <w:tcW w:w="1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w w:val="99"/>
              </w:rPr>
              <w:t>Owning Entity</w:t>
            </w:r>
          </w:p>
        </w:tc>
        <w:tc>
          <w:tcPr>
            <w:tcW w:w="10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Area</w:t>
            </w:r>
          </w:p>
        </w:tc>
        <w:tc>
          <w:tcPr>
            <w:tcW w:w="10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Street (# if</w:t>
            </w:r>
          </w:p>
        </w:tc>
        <w:tc>
          <w:tcPr>
            <w:tcW w:w="104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City</w:t>
            </w:r>
          </w:p>
        </w:tc>
        <w:tc>
          <w:tcPr>
            <w:tcW w:w="10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County</w:t>
            </w:r>
          </w:p>
        </w:tc>
        <w:tc>
          <w:tcPr>
            <w:tcW w:w="10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State</w:t>
            </w:r>
          </w:p>
        </w:tc>
        <w:tc>
          <w:tcPr>
            <w:tcW w:w="1040" w:type="dxa"/>
            <w:vAlign w:val="bottom"/>
            <w:tcBorders>
              <w:top w:val="single" w:sz="8" w:color="auto"/>
              <w:right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Zip</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Property ID or</w:t>
            </w:r>
          </w:p>
        </w:tc>
        <w:tc>
          <w:tcPr>
            <w:tcW w:w="10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Legal</w:t>
            </w:r>
          </w:p>
        </w:tc>
      </w:tr>
      <w:tr>
        <w:trPr>
          <w:trHeight w:val="186"/>
        </w:trPr>
        <w:tc>
          <w:tcPr>
            <w:tcW w:w="1100" w:type="dxa"/>
            <w:vAlign w:val="bottom"/>
            <w:tcBorders>
              <w:left w:val="single" w:sz="8" w:color="auto"/>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ind w:left="220"/>
              <w:spacing w:after="0"/>
              <w:rPr>
                <w:sz w:val="20"/>
                <w:szCs w:val="20"/>
                <w:color w:val="auto"/>
              </w:rPr>
            </w:pPr>
            <w:r>
              <w:rPr>
                <w:rFonts w:ascii="Arial" w:cs="Arial" w:eastAsia="Arial" w:hAnsi="Arial"/>
                <w:sz w:val="14"/>
                <w:szCs w:val="14"/>
                <w:b w:val="1"/>
                <w:bCs w:val="1"/>
                <w:color w:val="auto"/>
              </w:rPr>
              <w:t>assigned)</w:t>
            </w: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APN</w:t>
            </w:r>
          </w:p>
        </w:tc>
        <w:tc>
          <w:tcPr>
            <w:tcW w:w="1040" w:type="dxa"/>
            <w:vAlign w:val="bottom"/>
            <w:tcBorders>
              <w:right w:val="single" w:sz="8" w:color="auto"/>
            </w:tcBorders>
          </w:tcPr>
          <w:p>
            <w:pPr>
              <w:spacing w:after="0"/>
              <w:rPr>
                <w:sz w:val="16"/>
                <w:szCs w:val="16"/>
                <w:color w:val="auto"/>
              </w:rPr>
            </w:pPr>
          </w:p>
        </w:tc>
      </w:tr>
      <w:tr>
        <w:trPr>
          <w:trHeight w:val="26"/>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6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formerly</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Miscellaneous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Riverport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13971 Riverport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Maryland Hts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 Louis</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Missouri</w:t>
            </w:r>
          </w:p>
        </w:tc>
        <w:tc>
          <w:tcPr>
            <w:tcW w:w="1040" w:type="dxa"/>
            <w:vAlign w:val="bottom"/>
            <w:tcBorders>
              <w:right w:val="single" w:sz="8" w:color="auto"/>
            </w:tcBorders>
          </w:tcPr>
          <w:p>
            <w:pPr>
              <w:jc w:val="right"/>
              <w:ind w:right="588"/>
              <w:spacing w:after="0"/>
              <w:rPr>
                <w:sz w:val="20"/>
                <w:szCs w:val="20"/>
                <w:color w:val="auto"/>
              </w:rPr>
            </w:pPr>
            <w:r>
              <w:rPr>
                <w:rFonts w:ascii="Arial" w:cs="Arial" w:eastAsia="Arial" w:hAnsi="Arial"/>
                <w:sz w:val="14"/>
                <w:szCs w:val="14"/>
                <w:color w:val="auto"/>
                <w:w w:val="92"/>
              </w:rPr>
              <w:t>63043</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11P540071</w:t>
            </w:r>
          </w:p>
        </w:tc>
        <w:tc>
          <w:tcPr>
            <w:tcW w:w="1040" w:type="dxa"/>
            <w:vAlign w:val="bottom"/>
            <w:tcBorders>
              <w:right w:val="single" w:sz="8" w:color="auto"/>
            </w:tcBorders>
          </w:tcPr>
          <w:p>
            <w:pPr>
              <w:spacing w:after="0"/>
              <w:rPr>
                <w:sz w:val="14"/>
                <w:szCs w:val="14"/>
                <w:color w:val="auto"/>
              </w:rPr>
            </w:pPr>
          </w:p>
        </w:tc>
      </w:tr>
      <w:tr>
        <w:trPr>
          <w:trHeight w:val="16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Harrah’s St.</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Land LLC</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Drive</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8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Louis</w:t>
            </w: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r>
      <w:tr>
        <w:trPr>
          <w:trHeight w:val="26"/>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164"/>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Harrah’s North</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Harrah’s</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7400 NE</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Randolph</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18-218-00-10-</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Tract 2</w:t>
            </w:r>
          </w:p>
        </w:tc>
      </w:tr>
      <w:tr>
        <w:trPr>
          <w:trHeight w:val="162"/>
        </w:trPr>
        <w:tc>
          <w:tcPr>
            <w:tcW w:w="1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Kansas City</w:t>
            </w: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North Kansas</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Birmingham Rd</w:t>
            </w: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001.00</w:t>
            </w:r>
          </w:p>
        </w:tc>
        <w:tc>
          <w:tcPr>
            <w:tcW w:w="1040" w:type="dxa"/>
            <w:vAlign w:val="bottom"/>
            <w:tcBorders>
              <w:right w:val="single" w:sz="8" w:color="auto"/>
            </w:tcBorders>
          </w:tcPr>
          <w:p>
            <w:pPr>
              <w:spacing w:after="0"/>
              <w:rPr>
                <w:sz w:val="14"/>
                <w:szCs w:val="14"/>
                <w:color w:val="auto"/>
              </w:rPr>
            </w:pPr>
          </w:p>
        </w:tc>
      </w:tr>
      <w:tr>
        <w:trPr>
          <w:trHeight w:val="182"/>
        </w:trPr>
        <w:tc>
          <w:tcPr>
            <w:tcW w:w="1100" w:type="dxa"/>
            <w:vAlign w:val="bottom"/>
            <w:tcBorders>
              <w:left w:val="single" w:sz="8" w:color="auto"/>
              <w:right w:val="single" w:sz="8" w:color="auto"/>
            </w:tcBorders>
          </w:tcPr>
          <w:p>
            <w:pPr>
              <w:spacing w:after="0"/>
              <w:rPr>
                <w:sz w:val="15"/>
                <w:szCs w:val="15"/>
                <w:color w:val="auto"/>
              </w:rPr>
            </w:pPr>
          </w:p>
        </w:tc>
        <w:tc>
          <w:tcPr>
            <w:tcW w:w="10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City LLC</w:t>
            </w: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r>
      <w:tr>
        <w:trPr>
          <w:trHeight w:val="26"/>
        </w:trPr>
        <w:tc>
          <w:tcPr>
            <w:tcW w:w="110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20" w:firstLine="656"/>
        <w:spacing w:after="0" w:line="256" w:lineRule="auto"/>
        <w:tabs>
          <w:tab w:leader="none" w:pos="1296"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color w:val="auto"/>
        </w:rPr>
      </w:pPr>
    </w:p>
    <w:p>
      <w:pPr>
        <w:jc w:val="both"/>
        <w:ind w:right="20" w:firstLine="656"/>
        <w:spacing w:after="0" w:line="252" w:lineRule="auto"/>
        <w:tabs>
          <w:tab w:leader="none" w:pos="1296"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color w:val="auto"/>
        </w:rPr>
      </w:pPr>
    </w:p>
    <w:p>
      <w:pPr>
        <w:jc w:val="both"/>
        <w:ind w:right="20" w:firstLine="656"/>
        <w:spacing w:after="0" w:line="256" w:lineRule="auto"/>
        <w:tabs>
          <w:tab w:leader="none" w:pos="1296"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color w:val="auto"/>
        </w:rPr>
      </w:pPr>
    </w:p>
    <w:p>
      <w:pPr>
        <w:ind w:right="20" w:firstLine="656"/>
        <w:spacing w:after="0" w:line="269" w:lineRule="auto"/>
        <w:tabs>
          <w:tab w:leader="none" w:pos="1296"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color w:val="auto"/>
        </w:rPr>
      </w:pPr>
    </w:p>
    <w:p>
      <w:pPr>
        <w:jc w:val="both"/>
        <w:ind w:right="20" w:firstLine="656"/>
        <w:spacing w:after="0" w:line="264" w:lineRule="auto"/>
        <w:tabs>
          <w:tab w:leader="none" w:pos="1296" w:val="left"/>
        </w:tabs>
        <w:numPr>
          <w:ilvl w:val="0"/>
          <w:numId w:val="108"/>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60"/>
          </w:cols>
          <w:pgMar w:left="320" w:top="1090" w:right="319" w:bottom="1440" w:gutter="0" w:footer="0" w:header="0"/>
        </w:sectPr>
      </w:pPr>
    </w:p>
    <w:bookmarkStart w:id="169" w:name="page170"/>
    <w:bookmarkEnd w:id="169"/>
    <w:p>
      <w:pPr>
        <w:jc w:val="both"/>
        <w:spacing w:after="0" w:line="271" w:lineRule="auto"/>
        <w:rPr>
          <w:sz w:val="20"/>
          <w:szCs w:val="20"/>
          <w:color w:val="auto"/>
        </w:rPr>
      </w:pPr>
      <w:r>
        <w:rPr>
          <w:rFonts w:ascii="Arial" w:cs="Arial" w:eastAsia="Arial" w:hAnsi="Arial"/>
          <w:sz w:val="21"/>
          <w:szCs w:val="21"/>
          <w:color w:val="auto"/>
        </w:rPr>
        <w:t>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04" w:right="339" w:bottom="1440" w:gutter="0" w:footer="0" w:header="0"/>
        </w:sectPr>
      </w:pPr>
    </w:p>
    <w:bookmarkStart w:id="170" w:name="page171"/>
    <w:bookmarkEnd w:id="17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METROPOLIS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SOUTHERN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TUNICA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RENO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 PROPERTY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OPERATING PROPERTY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 LAND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GULFPORT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PHILADELPHIA PROPCO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LAUGHLIN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NEW ORLEANS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230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BOSSIER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Louisiana limited liability company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2230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ectPr>
          <w:pgSz w:w="11900" w:h="16838" w:orient="portrait"/>
          <w:cols w:equalWidth="0" w:num="1">
            <w:col w:w="11240"/>
          </w:cols>
          <w:pgMar w:left="320" w:top="1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Seventh Amendment to Regional Lease]</w:t>
      </w:r>
    </w:p>
    <w:p>
      <w:pPr>
        <w:sectPr>
          <w:pgSz w:w="11900" w:h="16838" w:orient="portrait"/>
          <w:cols w:equalWidth="0" w:num="1">
            <w:col w:w="11240"/>
          </w:cols>
          <w:pgMar w:left="320" w:top="1104" w:right="3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22"/>
          <w:szCs w:val="22"/>
          <w:b w:val="1"/>
          <w:bCs w:val="1"/>
          <w:color w:val="auto"/>
        </w:rPr>
        <w:t>TENANT: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SOUTHERN ILLINOIS RIVERBOAT/CASINO CRUISES LLC</w:t>
      </w:r>
      <w:r>
        <w:rPr>
          <w:rFonts w:ascii="Arial" w:cs="Arial" w:eastAsia="Arial" w:hAnsi="Arial"/>
          <w:sz w:val="22"/>
          <w:szCs w:val="22"/>
          <w:color w:val="auto"/>
        </w:rPr>
        <w:t>, an Illinois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RIVERBOAT CASINO, LLC</w:t>
      </w:r>
      <w:r>
        <w:rPr>
          <w:rFonts w:ascii="Arial" w:cs="Arial" w:eastAsia="Arial" w:hAnsi="Arial"/>
          <w:sz w:val="22"/>
          <w:szCs w:val="22"/>
          <w:color w:val="auto"/>
        </w:rPr>
        <w:t>, an Indiana limited liability company,</w:t>
      </w:r>
    </w:p>
    <w:p>
      <w:pPr>
        <w:spacing w:after="0" w:line="4" w:lineRule="exact"/>
        <w:rPr>
          <w:sz w:val="20"/>
          <w:szCs w:val="20"/>
          <w:color w:val="auto"/>
        </w:rPr>
      </w:pPr>
    </w:p>
    <w:p>
      <w:pPr>
        <w:ind w:right="1879"/>
        <w:spacing w:after="0" w:line="243" w:lineRule="auto"/>
        <w:rPr>
          <w:sz w:val="20"/>
          <w:szCs w:val="20"/>
          <w:color w:val="auto"/>
        </w:rPr>
      </w:pPr>
      <w:r>
        <w:rPr>
          <w:rFonts w:ascii="Arial" w:cs="Arial" w:eastAsia="Arial" w:hAnsi="Arial"/>
          <w:sz w:val="22"/>
          <w:szCs w:val="22"/>
          <w:b w:val="1"/>
          <w:bCs w:val="1"/>
          <w:color w:val="auto"/>
        </w:rPr>
        <w:t>ROMAN HOLDING COMPANY OF INDIANA LLC</w:t>
      </w:r>
      <w:r>
        <w:rPr>
          <w:rFonts w:ascii="Arial" w:cs="Arial" w:eastAsia="Arial" w:hAnsi="Arial"/>
          <w:sz w:val="22"/>
          <w:szCs w:val="22"/>
          <w:color w:val="auto"/>
        </w:rPr>
        <w:t>, an Indiana limited liability company,</w:t>
      </w:r>
      <w:r>
        <w:rPr>
          <w:rFonts w:ascii="Arial" w:cs="Arial" w:eastAsia="Arial" w:hAnsi="Arial"/>
          <w:sz w:val="22"/>
          <w:szCs w:val="22"/>
          <w:b w:val="1"/>
          <w:bCs w:val="1"/>
          <w:color w:val="auto"/>
        </w:rPr>
        <w:t xml:space="preserve"> HORSESHOE HAMMOND, LLC</w:t>
      </w:r>
      <w:r>
        <w:rPr>
          <w:rFonts w:ascii="Arial" w:cs="Arial" w:eastAsia="Arial" w:hAnsi="Arial"/>
          <w:sz w:val="22"/>
          <w:szCs w:val="22"/>
          <w:color w:val="auto"/>
        </w:rPr>
        <w:t>, an Indiana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HARRAH’S BOSSIER CITY INVESTMENT COMPANY, L.L.C.</w:t>
      </w:r>
      <w:r>
        <w:rPr>
          <w:rFonts w:ascii="Arial" w:cs="Arial" w:eastAsia="Arial" w:hAnsi="Arial"/>
          <w:sz w:val="21"/>
          <w:szCs w:val="21"/>
          <w:color w:val="auto"/>
        </w:rPr>
        <w:t>, a Louisiana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4" w:lineRule="exact"/>
        <w:rPr>
          <w:sz w:val="20"/>
          <w:szCs w:val="20"/>
          <w:color w:val="auto"/>
        </w:rPr>
      </w:pPr>
    </w:p>
    <w:p>
      <w:pPr>
        <w:ind w:right="1719"/>
        <w:spacing w:after="0" w:line="254" w:lineRule="auto"/>
        <w:rPr>
          <w:sz w:val="20"/>
          <w:szCs w:val="20"/>
          <w:color w:val="auto"/>
        </w:rPr>
      </w:pPr>
      <w:r>
        <w:rPr>
          <w:rFonts w:ascii="Arial" w:cs="Arial" w:eastAsia="Arial" w:hAnsi="Arial"/>
          <w:sz w:val="21"/>
          <w:szCs w:val="21"/>
          <w:b w:val="1"/>
          <w:bCs w:val="1"/>
          <w:color w:val="auto"/>
        </w:rPr>
        <w:t>HARVEYS TAHOE MANAGEMENT COMPANY LLC</w:t>
      </w:r>
      <w:r>
        <w:rPr>
          <w:rFonts w:ascii="Arial" w:cs="Arial" w:eastAsia="Arial" w:hAnsi="Arial"/>
          <w:sz w:val="21"/>
          <w:szCs w:val="21"/>
          <w:color w:val="auto"/>
        </w:rPr>
        <w:t>, a Nevada limited liability company,</w:t>
      </w:r>
      <w:r>
        <w:rPr>
          <w:rFonts w:ascii="Arial" w:cs="Arial" w:eastAsia="Arial" w:hAnsi="Arial"/>
          <w:sz w:val="21"/>
          <w:szCs w:val="21"/>
          <w:b w:val="1"/>
          <w:bCs w:val="1"/>
          <w:color w:val="auto"/>
        </w:rPr>
        <w:t xml:space="preserve"> PLAYERS BLUEGRASS DOWNS LLC</w:t>
      </w:r>
      <w:r>
        <w:rPr>
          <w:rFonts w:ascii="Arial" w:cs="Arial" w:eastAsia="Arial" w:hAnsi="Arial"/>
          <w:sz w:val="21"/>
          <w:szCs w:val="21"/>
          <w:color w:val="auto"/>
        </w:rPr>
        <w:t>, a Kentucky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9926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098" w:right="1440" w:bottom="1440" w:gutter="0" w:footer="0" w:header="0"/>
        </w:sectPr>
      </w:pPr>
    </w:p>
    <w:bookmarkStart w:id="172" w:name="page173"/>
    <w:bookmarkEnd w:id="172"/>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ENTERTAINMENT,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partnership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Nevada limited partnership,</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-17780</wp:posOffset>
            </wp:positionV>
            <wp:extent cx="1855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New Jersey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PARK PLACE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1855470"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1939"/>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440" w:right="1440" w:bottom="1440" w:gutter="0" w:footer="0" w:header="0"/>
        </w:sectPr>
      </w:pPr>
    </w:p>
    <w:bookmarkStart w:id="173" w:name="page174"/>
    <w:bookmarkEnd w:id="173"/>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821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29" w:lineRule="exact"/>
        <w:rPr>
          <w:sz w:val="20"/>
          <w:szCs w:val="20"/>
          <w:color w:val="auto"/>
        </w:rPr>
      </w:pPr>
    </w:p>
    <w:p>
      <w:pPr>
        <w:ind w:left="220" w:right="5019" w:hanging="215"/>
        <w:spacing w:after="0" w:line="263"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1855470"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12"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855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1939"/>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440" w:right="1440"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color w:val="auto"/>
        </w:rPr>
        <w:t>Acknowledged and agreed, solely for the purposes of the penultimate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3601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[Signature Page to Seventh Amendment to Regional Lease]</w:t>
      </w:r>
    </w:p>
    <w:p>
      <w:pPr>
        <w:sectPr>
          <w:pgSz w:w="11900" w:h="16838" w:orient="portrait"/>
          <w:cols w:equalWidth="0" w:num="1">
            <w:col w:w="10139"/>
          </w:cols>
          <w:pgMar w:left="320" w:top="1104"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Seventh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November 18, 2020,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by and between Guarantor and Landlord, and agrees that, except as expressly set forth in Section 2.A.ii.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79"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November 18, 2020.</w:t>
      </w:r>
    </w:p>
    <w:p>
      <w:pPr>
        <w:sectPr>
          <w:pgSz w:w="11900" w:h="16838" w:orient="portrait"/>
          <w:cols w:equalWidth="0" w:num="1">
            <w:col w:w="11240"/>
          </w:cols>
          <w:pgMar w:left="320" w:top="1098"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-10795</wp:posOffset>
            </wp:positionV>
            <wp:extent cx="1855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185547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Name: Edmund L. Quatmann, Jr.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1859"/>
        <w:spacing w:after="0"/>
        <w:rPr>
          <w:sz w:val="20"/>
          <w:szCs w:val="20"/>
          <w:color w:val="auto"/>
        </w:rPr>
      </w:pPr>
      <w:r>
        <w:rPr>
          <w:rFonts w:ascii="Arial" w:cs="Arial" w:eastAsia="Arial" w:hAnsi="Arial"/>
          <w:sz w:val="20"/>
          <w:szCs w:val="20"/>
          <w:color w:val="auto"/>
        </w:rPr>
        <w:t>[Signature Page to Acknowledgment and Agreement of Guarantor]</w:t>
      </w:r>
    </w:p>
    <w:p>
      <w:pPr>
        <w:sectPr>
          <w:pgSz w:w="11900" w:h="16838" w:orient="portrait"/>
          <w:cols w:equalWidth="0" w:num="1">
            <w:col w:w="10139"/>
          </w:cols>
          <w:pgMar w:left="320" w:top="1098" w:right="1440" w:bottom="1440" w:gutter="0" w:footer="0" w:header="0"/>
        </w:sectPr>
      </w:pPr>
    </w:p>
    <w:bookmarkStart w:id="177" w:name="page178"/>
    <w:bookmarkEnd w:id="177"/>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Southern Indiana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Bluegrass Downs Property Owner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104" w:right="1440" w:bottom="1440" w:gutter="0" w:footer="0" w:header="0"/>
        </w:sectPr>
      </w:pPr>
    </w:p>
    <w:bookmarkStart w:id="178" w:name="page179"/>
    <w:bookmarkEnd w:id="178"/>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220" w:lineRule="exact"/>
        <w:rPr>
          <w:sz w:val="20"/>
          <w:szCs w:val="20"/>
          <w:color w:val="auto"/>
        </w:rPr>
      </w:pPr>
    </w:p>
    <w:p>
      <w:pPr>
        <w:ind w:right="1799"/>
        <w:spacing w:after="0" w:line="345"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Caesars Riverboat Casino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Roman Holding Company of Indiana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Bally’s Park Place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Players Bluegrass Downs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140"/>
        <w:spacing w:after="0"/>
        <w:rPr>
          <w:sz w:val="20"/>
          <w:szCs w:val="20"/>
          <w:color w:val="auto"/>
        </w:rPr>
      </w:pPr>
      <w:r>
        <w:rPr>
          <w:rFonts w:ascii="Arial" w:cs="Arial" w:eastAsia="Arial" w:hAnsi="Arial"/>
          <w:sz w:val="22"/>
          <w:szCs w:val="22"/>
          <w:i w:val="1"/>
          <w:iCs w:val="1"/>
          <w:color w:val="auto"/>
        </w:rPr>
        <w:t>Schedule B</w:t>
      </w:r>
    </w:p>
    <w:p>
      <w:pPr>
        <w:sectPr>
          <w:pgSz w:w="11900" w:h="16838" w:orient="portrait"/>
          <w:cols w:equalWidth="0" w:num="1">
            <w:col w:w="10139"/>
          </w:cols>
          <w:pgMar w:left="320" w:top="1104" w:right="1440" w:bottom="1440" w:gutter="0" w:footer="0" w:header="0"/>
        </w:sectPr>
      </w:pPr>
    </w:p>
    <w:bookmarkStart w:id="179" w:name="page180"/>
    <w:bookmarkEnd w:id="179"/>
    <w:p>
      <w:pPr>
        <w:ind w:left="5040"/>
        <w:spacing w:after="0"/>
        <w:rPr>
          <w:sz w:val="20"/>
          <w:szCs w:val="20"/>
          <w:color w:val="auto"/>
        </w:rPr>
      </w:pPr>
      <w:r>
        <w:rPr>
          <w:rFonts w:ascii="Arial" w:cs="Arial" w:eastAsia="Arial" w:hAnsi="Arial"/>
          <w:sz w:val="22"/>
          <w:szCs w:val="22"/>
          <w:u w:val="single" w:color="auto"/>
          <w:color w:val="auto"/>
        </w:rPr>
        <w:t>Schedule C-1</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FACILITIES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86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No.</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Property</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State</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Fee Owner</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Operating Entity</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Horseshoe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Iowa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Horseshoe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HBR Realty Company 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Harveys BR Management</w:t>
            </w: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Company,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Harrah’s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Iowa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Council Bluffs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Harveys Iowa Management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Company LLC</w:t>
            </w:r>
          </w:p>
        </w:tc>
        <w:tc>
          <w:tcPr>
            <w:tcW w:w="0" w:type="dxa"/>
            <w:vAlign w:val="bottom"/>
          </w:tcPr>
          <w:p>
            <w:pPr>
              <w:spacing w:after="0"/>
              <w:rPr>
                <w:sz w:val="1"/>
                <w:szCs w:val="1"/>
                <w:color w:val="auto"/>
              </w:rPr>
            </w:pPr>
          </w:p>
        </w:tc>
      </w:tr>
      <w:tr>
        <w:trPr>
          <w:trHeight w:val="455"/>
        </w:trPr>
        <w:tc>
          <w:tcPr>
            <w:tcW w:w="8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Harrah’s Metropolis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8"/>
              </w:rPr>
              <w:t>Illinois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Harrah's Metropolis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Southern Illinois</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Riverboat/Casino Cruises</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Southern 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Southern 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Riverboat Casino,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(now known as Caesars</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Southern Indiana)</w:t>
            </w: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Roman Holding Company</w:t>
            </w: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of Indiana LLC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Hammond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Indiana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Horseshoe Hammond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Horseshoe Hammond, LLC</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Horseshoe Bossier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Louisiana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Horseshoe Bossier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Entertainment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Prop LLC</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Bossier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Louisiana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Bossier City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Bossier City</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(Louisiana Downs)</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Investment Company,</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8.</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North Kansas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Missouri</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New Harrah's North Kansas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North Kansas City</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City LLC</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9.</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Gulf Coast</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Mississippi</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6"/>
              </w:rPr>
              <w:t>Grand Biloxi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Grand Casinos of Biloxi,</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(formerly known as Grand</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Biloxi Casino Hotel) and</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Casino Computer</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6"/>
              </w:rPr>
              <w:t>Biloxi Land</w:t>
            </w:r>
          </w:p>
        </w:tc>
        <w:tc>
          <w:tcPr>
            <w:tcW w:w="25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Programming,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10.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Horseshoe Tunica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Mississippi and Arkansas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Horseshoe Tunica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Robinson Property Group</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04"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9"/>
          <w:szCs w:val="19"/>
          <w:i w:val="1"/>
          <w:iCs w:val="1"/>
          <w:color w:val="auto"/>
        </w:rPr>
        <w:t>Schedule C-1</w:t>
      </w:r>
    </w:p>
    <w:p>
      <w:pPr>
        <w:sectPr>
          <w:pgSz w:w="11900" w:h="16838" w:orient="portrait"/>
          <w:cols w:equalWidth="0" w:num="1">
            <w:col w:w="11020"/>
          </w:cols>
          <w:pgMar w:left="320" w:top="1104" w:right="559" w:bottom="1440" w:gutter="0" w:footer="0" w:header="0"/>
          <w:type w:val="continuous"/>
        </w:sectPr>
      </w:pPr>
    </w:p>
    <w:bookmarkStart w:id="180" w:name="page181"/>
    <w:bookmarkEnd w:id="180"/>
    <w:tbl>
      <w:tblPr>
        <w:tblLayout w:type="fixed"/>
        <w:tblInd w:w="10" w:type="dxa"/>
        <w:tblCellMar>
          <w:top w:w="0" w:type="dxa"/>
          <w:left w:w="0" w:type="dxa"/>
          <w:bottom w:w="0" w:type="dxa"/>
          <w:right w:w="0" w:type="dxa"/>
        </w:tblCellMar>
      </w:tblPr>
      <w:tr>
        <w:trPr>
          <w:trHeight w:val="289"/>
        </w:trPr>
        <w:tc>
          <w:tcPr>
            <w:tcW w:w="860" w:type="dxa"/>
            <w:vAlign w:val="bottom"/>
            <w:tcBorders>
              <w:top w:val="single" w:sz="8" w:color="auto"/>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11.</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Tunica Roadhouse</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Mississippi</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New Tunica Roadhouse</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Tunica Roadhouse LLC</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Caesars Atlantic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Caesars Atlantic City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Boardwalk Regency LLC</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(includes Wild Wild West</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6"/>
              </w:rPr>
              <w:t>Bally's Atlantic City LLC</w:t>
            </w: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Caesars New Jersey 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and Block 488 Parcel)</w:t>
            </w: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vMerge w:val="continue"/>
          </w:tcPr>
          <w:p>
            <w:pPr>
              <w:spacing w:after="0"/>
              <w:rPr>
                <w:sz w:val="23"/>
                <w:szCs w:val="23"/>
                <w:color w:val="auto"/>
              </w:rPr>
            </w:pPr>
          </w:p>
        </w:tc>
        <w:tc>
          <w:tcPr>
            <w:tcW w:w="25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Harrah’s Lake Tahoe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Harrah's Lake Tahoe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Harveys Tahoe Management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Company LLC</w:t>
            </w:r>
          </w:p>
        </w:tc>
        <w:tc>
          <w:tcPr>
            <w:tcW w:w="0" w:type="dxa"/>
            <w:vAlign w:val="bottom"/>
          </w:tcPr>
          <w:p>
            <w:pPr>
              <w:spacing w:after="0"/>
              <w:rPr>
                <w:sz w:val="1"/>
                <w:szCs w:val="1"/>
                <w:color w:val="auto"/>
              </w:rPr>
            </w:pPr>
          </w:p>
        </w:tc>
      </w:tr>
      <w:tr>
        <w:trPr>
          <w:trHeight w:val="455"/>
        </w:trPr>
        <w:tc>
          <w:tcPr>
            <w:tcW w:w="8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r>
        <w:trPr>
          <w:trHeight w:val="233"/>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Harvey’s Lake Tahoe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Nevada and California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Harvey's Lake Tahoe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Harveys Tahoe Management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Company 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15.</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Reno Billboard Parcel</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Harrah's Reno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Bluegrass Downs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Kentucky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Bluegrass Downs Property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Players Bluegrass Downs</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Owner LLC</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0" w:type="dxa"/>
            <w:vAlign w:val="bottom"/>
          </w:tcPr>
          <w:p>
            <w:pPr>
              <w:spacing w:after="0"/>
              <w:rPr>
                <w:sz w:val="1"/>
                <w:szCs w:val="1"/>
                <w:color w:val="auto"/>
              </w:rPr>
            </w:pP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17.</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Las Vegas Land</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Vegas Development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Hole in the Wall, LLC</w:t>
            </w:r>
          </w:p>
        </w:tc>
        <w:tc>
          <w:tcPr>
            <w:tcW w:w="0" w:type="dxa"/>
            <w:vAlign w:val="bottom"/>
          </w:tcPr>
          <w:p>
            <w:pPr>
              <w:spacing w:after="0"/>
              <w:rPr>
                <w:sz w:val="1"/>
                <w:szCs w:val="1"/>
                <w:color w:val="auto"/>
              </w:rPr>
            </w:pPr>
          </w:p>
        </w:tc>
      </w:tr>
      <w:tr>
        <w:trPr>
          <w:trHeight w:val="274"/>
        </w:trPr>
        <w:tc>
          <w:tcPr>
            <w:tcW w:w="860" w:type="dxa"/>
            <w:vAlign w:val="bottom"/>
            <w:tcBorders>
              <w:left w:val="single" w:sz="8" w:color="auto"/>
              <w:right w:val="single" w:sz="8" w:color="auto"/>
            </w:tcBorders>
          </w:tcPr>
          <w:p>
            <w:pPr>
              <w:spacing w:after="0"/>
              <w:rPr>
                <w:sz w:val="23"/>
                <w:szCs w:val="23"/>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Assemblage Properties</w:t>
            </w: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tcPr>
          <w:p>
            <w:pPr>
              <w:spacing w:after="0"/>
              <w:rPr>
                <w:sz w:val="23"/>
                <w:szCs w:val="23"/>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CEOC, LLC, successor in</w:t>
            </w: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25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c>
          <w:tcPr>
            <w:tcW w:w="0" w:type="dxa"/>
            <w:vAlign w:val="bottom"/>
          </w:tcPr>
          <w:p>
            <w:pPr>
              <w:spacing w:after="0"/>
              <w:rPr>
                <w:sz w:val="1"/>
                <w:szCs w:val="1"/>
                <w:color w:val="auto"/>
              </w:rPr>
            </w:pPr>
          </w:p>
        </w:tc>
      </w:tr>
      <w:tr>
        <w:trPr>
          <w:trHeight w:val="256"/>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c>
          <w:tcPr>
            <w:tcW w:w="0" w:type="dxa"/>
            <w:vAlign w:val="bottom"/>
          </w:tcPr>
          <w:p>
            <w:pPr>
              <w:spacing w:after="0"/>
              <w:rPr>
                <w:sz w:val="1"/>
                <w:szCs w:val="1"/>
                <w:color w:val="auto"/>
              </w:rPr>
            </w:pP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11020"/>
          </w:cols>
          <w:pgMar w:left="320" w:top="1119" w:right="559" w:bottom="1440" w:gutter="0" w:footer="0" w:header="0"/>
        </w:sectPr>
      </w:pPr>
    </w:p>
    <w:bookmarkStart w:id="181" w:name="page182"/>
    <w:bookmarkEnd w:id="181"/>
    <w:tbl>
      <w:tblPr>
        <w:tblLayout w:type="fixed"/>
        <w:tblInd w:w="10" w:type="dxa"/>
        <w:tblCellMar>
          <w:top w:w="0" w:type="dxa"/>
          <w:left w:w="0" w:type="dxa"/>
          <w:bottom w:w="0" w:type="dxa"/>
          <w:right w:w="0" w:type="dxa"/>
        </w:tblCellMar>
      </w:tblPr>
      <w:tr>
        <w:trPr>
          <w:trHeight w:val="289"/>
        </w:trPr>
        <w:tc>
          <w:tcPr>
            <w:tcW w:w="860" w:type="dxa"/>
            <w:vAlign w:val="bottom"/>
            <w:tcBorders>
              <w:top w:val="single" w:sz="8" w:color="auto"/>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18.</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Harrah’s Airplane Hangar</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Vegas Operating Property</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Land Leftover from</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Mississippi</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Propco Gulfport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Gulfport</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21.</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Vacant Land in Splendora,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3"/>
              </w:rPr>
              <w:t>Texas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Miscellaneous Land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9"/>
              </w:rPr>
              <w:t>TX</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22.</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Vacant Land at Turfway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Kentucky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Miscellaneous Land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CEOC, LLC, successor in</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Park</w:t>
            </w: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interest by merger to</w:t>
            </w: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Caesars Entertainment</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Operating Company, Inc.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23.</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Harrah’s Philadelphia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Pennsylvania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Philadelphia Propco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Chester Downs and Marina,</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LLC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24.</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Harrah’s Atlantic City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New Jersey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Harrah’s Atlantic City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Harrah’s Atlantic City</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Operating Company, LLC</w:t>
            </w:r>
          </w:p>
        </w:tc>
      </w:tr>
      <w:tr>
        <w:trPr>
          <w:trHeight w:val="304"/>
        </w:trPr>
        <w:tc>
          <w:tcPr>
            <w:tcW w:w="860" w:type="dxa"/>
            <w:vAlign w:val="bottom"/>
            <w:tcBorders>
              <w:left w:val="single" w:sz="8" w:color="auto"/>
              <w:bottom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25.</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Harrah’s Laughlin</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Nevada</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New Laughlin Owner LLC</w:t>
            </w: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Harrah’s Laughlin, LLC</w:t>
            </w:r>
          </w:p>
        </w:tc>
      </w:tr>
      <w:tr>
        <w:trPr>
          <w:trHeight w:val="276"/>
        </w:trPr>
        <w:tc>
          <w:tcPr>
            <w:tcW w:w="860" w:type="dxa"/>
            <w:vAlign w:val="bottom"/>
            <w:tcBorders>
              <w:left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26.</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Harrah’s New Orleans</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Louisiana</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Harrah’s New Orleans LLC</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Jazz Casino Company,</w:t>
            </w:r>
          </w:p>
        </w:tc>
      </w:tr>
      <w:tr>
        <w:trPr>
          <w:trHeight w:val="285"/>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Schedule C-1</w:t>
      </w:r>
    </w:p>
    <w:p>
      <w:pPr>
        <w:sectPr>
          <w:pgSz w:w="11900" w:h="16838" w:orient="portrait"/>
          <w:cols w:equalWidth="0" w:num="1">
            <w:col w:w="11020"/>
          </w:cols>
          <w:pgMar w:left="320" w:top="1119" w:right="55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u w:val="single" w:color="auto"/>
          <w:color w:val="auto"/>
        </w:rPr>
        <w:t>Schedule C-2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NEW SCHEDULE 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Schedule C-2</w:t>
      </w:r>
    </w:p>
    <w:p>
      <w:pPr>
        <w:sectPr>
          <w:pgSz w:w="11900" w:h="16838" w:orient="portrait"/>
          <w:cols w:equalWidth="0" w:num="1">
            <w:col w:w="9019"/>
          </w:cols>
          <w:pgMar w:left="1440" w:top="1104"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u w:val="single" w:color="auto"/>
          <w:color w:val="auto"/>
        </w:rPr>
        <w:t>Annex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Bally’s Leased Property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Bally’s Park Place Hotel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THE INTERSECTION OF THE SOUTHERLY LINE OF POP LLOYD BOULEVARD (74.00' WIDE) AND THE EASTERLY LINE OF MICHIGAN AVENUE (50.00' WIDE) AND EXTENDING FROM SAID BEGINNING POINT; THENCE</w:t>
      </w:r>
    </w:p>
    <w:p>
      <w:pPr>
        <w:spacing w:after="0" w:line="185" w:lineRule="exact"/>
        <w:rPr>
          <w:sz w:val="20"/>
          <w:szCs w:val="20"/>
          <w:color w:val="auto"/>
        </w:rPr>
      </w:pPr>
    </w:p>
    <w:p>
      <w:pPr>
        <w:ind w:firstLine="8"/>
        <w:spacing w:after="0" w:line="263" w:lineRule="auto"/>
        <w:tabs>
          <w:tab w:leader="none" w:pos="4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NORTH 62° 32' 00" EAST IN AND ALONG THE SOUTHERLY LINE OF POP LLOYD BOULEVARD A DISTANCE OF 402.35'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2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NORTH 27° 28' 00" WEST PARALLEL WITH MICHIGAN AVENUE A DISTANCE OF 84.00' TO THE NORTH LINE OF LOT 4 IN BLOCK 44; THENCE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NORTH 62° 32' 00" EAST A DISTANCE OF 145.60' TO THE WEST LINE OF PARK PLACE (60.00' WIDE); THENCE</w:t>
      </w:r>
    </w:p>
    <w:p>
      <w:pPr>
        <w:spacing w:after="0" w:line="254" w:lineRule="exact"/>
        <w:rPr>
          <w:rFonts w:ascii="Arial" w:cs="Arial" w:eastAsia="Arial" w:hAnsi="Arial"/>
          <w:sz w:val="19"/>
          <w:szCs w:val="19"/>
          <w:color w:val="auto"/>
        </w:rPr>
      </w:pPr>
    </w:p>
    <w:p>
      <w:pPr>
        <w:ind w:right="20" w:firstLine="8"/>
        <w:spacing w:after="0" w:line="263" w:lineRule="auto"/>
        <w:tabs>
          <w:tab w:leader="none" w:pos="55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SOUTH 27° 28' 00" EAST IN AND ALONG SAME A DISTANCE OF 615.31' TO A POINT IN THE CURVED INTERIOR LINE OF PARK; THENCE</w:t>
      </w:r>
    </w:p>
    <w:p>
      <w:pPr>
        <w:spacing w:after="0" w:line="174" w:lineRule="exact"/>
        <w:rPr>
          <w:rFonts w:ascii="Arial" w:cs="Arial" w:eastAsia="Arial" w:hAnsi="Arial"/>
          <w:sz w:val="22"/>
          <w:szCs w:val="22"/>
          <w:color w:val="auto"/>
        </w:rPr>
      </w:pPr>
    </w:p>
    <w:p>
      <w:pPr>
        <w:ind w:right="20" w:firstLine="8"/>
        <w:spacing w:after="0" w:line="287" w:lineRule="auto"/>
        <w:tabs>
          <w:tab w:leader="none" w:pos="44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SOUTHWESTWARDLY IN AND ALONG SAME AND CURVING TO THE LEFT ALONG THE ARC OF A CIRCLE HAVING A RADIUS OF 1679.20' AN ARC DISTANCE OF 20.05' TO A POINT OF TANGENCY IN SAME; THENCE</w:t>
      </w:r>
    </w:p>
    <w:p>
      <w:pPr>
        <w:spacing w:after="0" w:line="151" w:lineRule="exact"/>
        <w:rPr>
          <w:rFonts w:ascii="Arial" w:cs="Arial" w:eastAsia="Arial" w:hAnsi="Arial"/>
          <w:sz w:val="21"/>
          <w:szCs w:val="21"/>
          <w:color w:val="auto"/>
        </w:rPr>
      </w:pPr>
    </w:p>
    <w:p>
      <w:pPr>
        <w:ind w:right="20" w:firstLine="8"/>
        <w:spacing w:after="0" w:line="263" w:lineRule="auto"/>
        <w:tabs>
          <w:tab w:leader="none" w:pos="4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SOUTH 73° 42' 26.6" WEST STILL IN AND ALONG SAME A DISTANCE OF 538.51' TO THE EASTERLY LINE OF MICHIGAN AVENUE; THENCE</w:t>
      </w:r>
    </w:p>
    <w:p>
      <w:pPr>
        <w:spacing w:after="0" w:line="174" w:lineRule="exact"/>
        <w:rPr>
          <w:rFonts w:ascii="Arial" w:cs="Arial" w:eastAsia="Arial" w:hAnsi="Arial"/>
          <w:sz w:val="22"/>
          <w:szCs w:val="22"/>
          <w:color w:val="auto"/>
        </w:rPr>
      </w:pPr>
    </w:p>
    <w:p>
      <w:pPr>
        <w:ind w:firstLine="8"/>
        <w:spacing w:after="0" w:line="263" w:lineRule="auto"/>
        <w:tabs>
          <w:tab w:leader="none" w:pos="51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422.95' TO THE POINT AND PLACE OF BEGINNING.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LESS AND EXCEPT THE FOLLOWING DESCRIBED PARCEL:</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EASTERLY LINE OF MICHIGAN AVENUE (950 FEET WIDE) DISTANT 715.20 FEET AS MEASURED ALONG THE EASTERLY LINE OF MICHIGAN AVENUE FROM THE SOUTHERLY LINE OF PACIFIC AVENUE (60 FEET WIDE) THENCE FROM SAID BEGINNING POINT;</w:t>
      </w:r>
    </w:p>
    <w:p>
      <w:pPr>
        <w:spacing w:after="0" w:line="185" w:lineRule="exact"/>
        <w:rPr>
          <w:sz w:val="20"/>
          <w:szCs w:val="20"/>
          <w:color w:val="auto"/>
        </w:rPr>
      </w:pPr>
    </w:p>
    <w:p>
      <w:pPr>
        <w:ind w:left="380" w:hanging="372"/>
        <w:spacing w:after="0"/>
        <w:tabs>
          <w:tab w:leader="none" w:pos="3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EASTERLY, PARALLEL WITH PACIFIC AVENUE, 59.50 FEET TO A POINT;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SOUTHERLY, PARALLEL WITH MICHIGAN AVENUE, 33.00 FEET TO A DRILL HOLE;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84" w:name="page185"/>
    <w:bookmarkEnd w:id="184"/>
    <w:p>
      <w:pPr>
        <w:ind w:left="380" w:hanging="372"/>
        <w:spacing w:after="0"/>
        <w:tabs>
          <w:tab w:leader="none" w:pos="3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EASTERLY, PARALLEL WITH PACIFIC AVENUE, 76.85 FEET TO A NAIL;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SOUTHERLY, PARALLEL WITH MICHIGAN AVENUE, 21.12 FEET TO A NAIL; THENCE</w:t>
      </w:r>
    </w:p>
    <w:p>
      <w:pPr>
        <w:spacing w:after="0" w:line="219" w:lineRule="exact"/>
        <w:rPr>
          <w:rFonts w:ascii="Arial" w:cs="Arial" w:eastAsia="Arial" w:hAnsi="Arial"/>
          <w:sz w:val="22"/>
          <w:szCs w:val="22"/>
          <w:color w:val="auto"/>
        </w:rPr>
      </w:pPr>
    </w:p>
    <w:p>
      <w:pPr>
        <w:ind w:firstLine="8"/>
        <w:spacing w:after="0" w:line="263" w:lineRule="auto"/>
        <w:tabs>
          <w:tab w:leader="none" w:pos="57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EASTERLY, PARALLEL WITH PACIFIC AVENUE, 66.00 FEET TO A POINT WHICH IS DISTANT 150 FEET WESTERLY OF THE WESTERLY LINE OF OHIO AVENUE (50 FEET WIDE);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37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SOUTHERLY, PARALLEL WITH MICHIGAN AVENUE, 1230.68 FEET TO THE EXTERIOR LINE IN THE ATLANTIC OCEAN ESTABLISHED BY THE RIPARIAN COMMISSIONERS OF NEW JERSEY; THENCE</w:t>
      </w:r>
    </w:p>
    <w:p>
      <w:pPr>
        <w:spacing w:after="0" w:line="174" w:lineRule="exact"/>
        <w:rPr>
          <w:rFonts w:ascii="Arial" w:cs="Arial" w:eastAsia="Arial" w:hAnsi="Arial"/>
          <w:sz w:val="22"/>
          <w:szCs w:val="22"/>
          <w:color w:val="auto"/>
        </w:rPr>
      </w:pPr>
    </w:p>
    <w:p>
      <w:pPr>
        <w:ind w:firstLine="8"/>
        <w:spacing w:after="0" w:line="263" w:lineRule="auto"/>
        <w:tabs>
          <w:tab w:leader="none" w:pos="41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WESTERLY, PARALLEL WITH PACIFIC AVENUE, IN AND ALONG SAID EXTERIOR LINE, 202.35 FEET TO THE EASTERLY LINE OF MICHIGAN AVENUE IF SAME WERE EXTENDED SOUTHERLY;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5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NORTHERLY, IN AND ALONG THE EASTERLY LINE OF MICHIGAN AVENUE, IF EXTENDED, 1284.80 FEET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Together with the beneficial easement rights as set forth in Access and Parking Agreement recorded in VOL 13723 CFN#201412082.</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Together with the beneficial easement rights as set forth in Easement Agreement Recorded in VOL 13724 CFN #2014012083.</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KNOWN AS LOTS 1 &amp; 3 IN BLOCK 45 AND LOT 4 IN BLOCK 44 AS SHOWN ON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Boardwalk Parcel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TRACT, PARCEL AND LOT OF LAND LYING AND BEING SITUATE IN THE CITY OF ATLANTIC CITY, COUNTY OF ATLANTIC, STATE OF NEW JERSEY, BEING MORE PARTICULARLY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EASTERLY LINE OF MICHIGAN AVENUE (50 FEET WIDE) DISTANT 715.20 FEET AS MEASURED ALONG THE EASTERLY LINE OF MICHIGAN AVENUE FROM THE SOUTHERLY LINE OF PACIFIC AVENUE (60 FEET WIDE) THENCE FROM SAID BEGINNING POINT;</w:t>
      </w:r>
    </w:p>
    <w:p>
      <w:pPr>
        <w:spacing w:after="0" w:line="185" w:lineRule="exact"/>
        <w:rPr>
          <w:sz w:val="20"/>
          <w:szCs w:val="20"/>
          <w:color w:val="auto"/>
        </w:rPr>
      </w:pPr>
    </w:p>
    <w:p>
      <w:pPr>
        <w:ind w:firstLine="8"/>
        <w:spacing w:after="0" w:line="263" w:lineRule="auto"/>
        <w:tabs>
          <w:tab w:leader="none" w:pos="50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NORTH 62 DEGREES 32 MINUTES 00 SECONDS EAST, PARALLEL WITH PACIFIC AVENUE, 59.50 FEET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3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SOUTH 27 DEGREES 28 MINUTES 00 SECONDS EAST, PARALLEL WITH MICHIGAN AVENUE, 33.00 FEET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0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NORTH 62 DEGREES 32 MINUTES 00 SECONDS EAST, PARALLEL WITH PACIFIC AVENUE, 76.85 FEET TO A POINT;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85" w:name="page186"/>
    <w:bookmarkEnd w:id="185"/>
    <w:p>
      <w:pPr>
        <w:ind w:firstLine="8"/>
        <w:spacing w:after="0" w:line="263" w:lineRule="auto"/>
        <w:tabs>
          <w:tab w:leader="none" w:pos="43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SOUTH 27 DEGREES 28 MINUTES 00 SECONDS EAST, PARALLEL WITH MICHIGAN AVENUE, 21.12 FEET TO A POINT;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66.00 FEET;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THENCE</w:t>
      </w:r>
    </w:p>
    <w:p>
      <w:pPr>
        <w:spacing w:after="0" w:line="201" w:lineRule="exact"/>
        <w:rPr>
          <w:rFonts w:ascii="Arial" w:cs="Arial" w:eastAsia="Arial" w:hAnsi="Arial"/>
          <w:sz w:val="21"/>
          <w:szCs w:val="21"/>
          <w:color w:val="auto"/>
        </w:rPr>
      </w:pPr>
    </w:p>
    <w:p>
      <w:pPr>
        <w:ind w:left="440" w:hanging="432"/>
        <w:spacing w:after="0"/>
        <w:tabs>
          <w:tab w:leader="none" w:pos="4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SOUTH 27 DEGREES 28 MINUTES 00 SECONDS EAST, PARALLEL WITH MICHIGAN AVENUE, A DISTANCE OF</w:t>
      </w:r>
    </w:p>
    <w:p>
      <w:pPr>
        <w:spacing w:after="0" w:line="55" w:lineRule="exact"/>
        <w:rPr>
          <w:rFonts w:ascii="Arial" w:cs="Arial" w:eastAsia="Arial" w:hAnsi="Arial"/>
          <w:sz w:val="19"/>
          <w:szCs w:val="19"/>
          <w:color w:val="auto"/>
        </w:rPr>
      </w:pPr>
    </w:p>
    <w:p>
      <w:pPr>
        <w:ind w:right="20"/>
        <w:spacing w:after="0" w:line="246" w:lineRule="auto"/>
        <w:rPr>
          <w:rFonts w:ascii="Arial" w:cs="Arial" w:eastAsia="Arial" w:hAnsi="Arial"/>
          <w:sz w:val="19"/>
          <w:szCs w:val="19"/>
          <w:color w:val="auto"/>
        </w:rPr>
      </w:pPr>
      <w:r>
        <w:rPr>
          <w:rFonts w:ascii="Arial" w:cs="Arial" w:eastAsia="Arial" w:hAnsi="Arial"/>
          <w:sz w:val="22"/>
          <w:szCs w:val="22"/>
          <w:color w:val="auto"/>
        </w:rPr>
        <w:t>1230.68 FEET TO A POINT IN THE RIPARIAN COMMISSIONERS LINE 2000 FEET SOUTH OF PACIFIC AVENUE; THENCE</w:t>
      </w:r>
    </w:p>
    <w:p>
      <w:pPr>
        <w:spacing w:after="0" w:line="192" w:lineRule="exact"/>
        <w:rPr>
          <w:rFonts w:ascii="Arial" w:cs="Arial" w:eastAsia="Arial" w:hAnsi="Arial"/>
          <w:sz w:val="19"/>
          <w:szCs w:val="19"/>
          <w:color w:val="auto"/>
        </w:rPr>
      </w:pPr>
    </w:p>
    <w:p>
      <w:pPr>
        <w:ind w:firstLine="8"/>
        <w:spacing w:after="0" w:line="263" w:lineRule="auto"/>
        <w:tabs>
          <w:tab w:leader="none" w:pos="45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SOUTH 62 DEGREES 32 MINUTES 00 SECONDS WEST IN AND ALONG SAME A DISTANCE OF 202.35 FEET TO A POINT IN THE EAST LINE OF MICHIGAN AVENUE IF EXTENDED; THENCE</w:t>
      </w:r>
    </w:p>
    <w:p>
      <w:pPr>
        <w:spacing w:after="0" w:line="174" w:lineRule="exact"/>
        <w:rPr>
          <w:rFonts w:ascii="Arial" w:cs="Arial" w:eastAsia="Arial" w:hAnsi="Arial"/>
          <w:sz w:val="22"/>
          <w:szCs w:val="22"/>
          <w:color w:val="auto"/>
        </w:rPr>
      </w:pPr>
    </w:p>
    <w:p>
      <w:pPr>
        <w:ind w:firstLine="8"/>
        <w:spacing w:after="0" w:line="263" w:lineRule="auto"/>
        <w:tabs>
          <w:tab w:leader="none" w:pos="49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NORTH 27 DEGREES 28 MINUTES 00 SECONDS WEST, IN AND ALONG SAME A DISTANCE OF 1284.80 FEET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Together with the beneficial easement rights as set forth in Access and Parking Agreement recorded in VOL 13723 CFN#201412082.</w:t>
      </w:r>
    </w:p>
    <w:p>
      <w:pPr>
        <w:spacing w:after="0" w:line="175" w:lineRule="exact"/>
        <w:rPr>
          <w:sz w:val="20"/>
          <w:szCs w:val="20"/>
          <w:color w:val="auto"/>
        </w:rPr>
      </w:pPr>
    </w:p>
    <w:p>
      <w:pPr>
        <w:spacing w:after="0" w:line="410" w:lineRule="auto"/>
        <w:rPr>
          <w:sz w:val="20"/>
          <w:szCs w:val="20"/>
          <w:color w:val="auto"/>
        </w:rPr>
      </w:pPr>
      <w:r>
        <w:rPr>
          <w:rFonts w:ascii="Arial" w:cs="Arial" w:eastAsia="Arial" w:hAnsi="Arial"/>
          <w:sz w:val="19"/>
          <w:szCs w:val="19"/>
          <w:color w:val="auto"/>
        </w:rPr>
        <w:t>Together with the beneficial easement rights as set forth in Easement Agreement Recorded in VOL 13724 CFN #2014012083. FOR INFORMATION PURPOSES ONLY: KNOWN AS LOTS 5 IN BLOCK 45 AS SHOWN ON THE ATLANTIC CITY TAX</w:t>
      </w:r>
    </w:p>
    <w:p>
      <w:pPr>
        <w:jc w:val="both"/>
        <w:spacing w:after="0" w:line="246" w:lineRule="auto"/>
        <w:rPr>
          <w:sz w:val="20"/>
          <w:szCs w:val="20"/>
          <w:color w:val="auto"/>
        </w:rPr>
      </w:pPr>
      <w:r>
        <w:rPr>
          <w:rFonts w:ascii="Arial" w:cs="Arial" w:eastAsia="Arial" w:hAnsi="Arial"/>
          <w:sz w:val="22"/>
          <w:szCs w:val="22"/>
          <w:color w:val="auto"/>
        </w:rPr>
        <w:t>MAP. NOTE: Lands lying waterward of the Interior Line of the Public Park are assessed to the City of Atlantic City as Tax Lot 98 Block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Bally’s Park Place Garage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THE INTERSECTION OF THE SOUTHERLY LINE OF PACIFIC AVENUE (60.00' WIDE) AND THE EASTERLY LINE OF MICHIGAN AVENUE (50.00' WIDE) AND EXTENDING FROM SAID BEGINNING POINT; THENCE</w:t>
      </w:r>
    </w:p>
    <w:p>
      <w:pPr>
        <w:spacing w:after="0" w:line="185" w:lineRule="exact"/>
        <w:rPr>
          <w:sz w:val="20"/>
          <w:szCs w:val="20"/>
          <w:color w:val="auto"/>
        </w:rPr>
      </w:pPr>
    </w:p>
    <w:p>
      <w:pPr>
        <w:ind w:left="400" w:hanging="392"/>
        <w:spacing w:after="0"/>
        <w:tabs>
          <w:tab w:leader="none" w:pos="4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NORTH 62° 32' 00" EAST IN AND ALONG THE SOUTHERLY LINE OF PACIFIC AVENUE A DISTANCE OF 352.35'</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WESTERLY LINE OF OHIO AVENUE (50.00' WIDE); THENCE</w:t>
      </w:r>
    </w:p>
    <w:p>
      <w:pPr>
        <w:spacing w:after="0" w:line="201" w:lineRule="exact"/>
        <w:rPr>
          <w:rFonts w:ascii="Arial" w:cs="Arial" w:eastAsia="Arial" w:hAnsi="Arial"/>
          <w:sz w:val="19"/>
          <w:szCs w:val="19"/>
          <w:color w:val="auto"/>
        </w:rPr>
      </w:pPr>
    </w:p>
    <w:p>
      <w:pPr>
        <w:ind w:firstLine="8"/>
        <w:spacing w:after="0" w:line="263" w:lineRule="auto"/>
        <w:tabs>
          <w:tab w:leader="none" w:pos="38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SOUTH 27° 28' 00" EAST IN AND ALONG SAME A DISTANCE OF 360.00' TO A POINT IN THE NORTHERLY LINE OF POP LLOYD BOULEVARD (74.00' WIDE); THENCE</w:t>
      </w:r>
    </w:p>
    <w:p>
      <w:pPr>
        <w:spacing w:after="0" w:line="174" w:lineRule="exact"/>
        <w:rPr>
          <w:rFonts w:ascii="Arial" w:cs="Arial" w:eastAsia="Arial" w:hAnsi="Arial"/>
          <w:sz w:val="22"/>
          <w:szCs w:val="22"/>
          <w:color w:val="auto"/>
        </w:rPr>
      </w:pPr>
    </w:p>
    <w:p>
      <w:pPr>
        <w:ind w:firstLine="8"/>
        <w:spacing w:after="0" w:line="263" w:lineRule="auto"/>
        <w:tabs>
          <w:tab w:leader="none" w:pos="42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SOUTH 62° 32' 00" WEST PARALLEL IN AND ALONG SAME A DISTANCE OF 352.35' TO THE EASTERLY LINE OF MICHIGAN AVENUE; THENCE</w:t>
      </w:r>
    </w:p>
    <w:p>
      <w:pPr>
        <w:spacing w:after="0" w:line="174" w:lineRule="exact"/>
        <w:rPr>
          <w:rFonts w:ascii="Arial" w:cs="Arial" w:eastAsia="Arial" w:hAnsi="Arial"/>
          <w:sz w:val="22"/>
          <w:szCs w:val="22"/>
          <w:color w:val="auto"/>
        </w:rPr>
      </w:pPr>
    </w:p>
    <w:p>
      <w:pPr>
        <w:ind w:firstLine="8"/>
        <w:spacing w:after="0" w:line="263" w:lineRule="auto"/>
        <w:tabs>
          <w:tab w:leader="none" w:pos="51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360.00' TO THE POINT AND PLACE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86" w:name="page187"/>
    <w:bookmarkEnd w:id="186"/>
    <w:p>
      <w:pPr>
        <w:jc w:val="both"/>
        <w:spacing w:after="0" w:line="263" w:lineRule="auto"/>
        <w:rPr>
          <w:sz w:val="20"/>
          <w:szCs w:val="20"/>
          <w:color w:val="auto"/>
        </w:rPr>
      </w:pPr>
      <w:r>
        <w:rPr>
          <w:rFonts w:ascii="Arial" w:cs="Arial" w:eastAsia="Arial" w:hAnsi="Arial"/>
          <w:sz w:val="22"/>
          <w:szCs w:val="22"/>
          <w:color w:val="auto"/>
        </w:rPr>
        <w:t>Together with the beneficial easement rights as set forth in Access and Parking Agreement recorded in VOL 13723 CFN#201412082.</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Together with the beneficial easement rights as set forth in Easement Agreement Recorded in VOL 13724 CFN #2014012083.</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KNOWN AS LOT 1 IN BLOCK 43 AS SHOWN ON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Wild West Casino</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THE INTERSECTION OF THE SOUTHERLY LINE OF PACIFIC AVENUE (60.00' WIDE) AND THE EASTERLY LINE OF ARKANSAS AVENUE (50.00' WIDE) AND EXTENDING FROM SAID BEGINNING POINT; THENCE</w:t>
      </w:r>
    </w:p>
    <w:p>
      <w:pPr>
        <w:spacing w:after="0" w:line="185" w:lineRule="exact"/>
        <w:rPr>
          <w:sz w:val="20"/>
          <w:szCs w:val="20"/>
          <w:color w:val="auto"/>
        </w:rPr>
      </w:pPr>
    </w:p>
    <w:p>
      <w:pPr>
        <w:ind w:left="400" w:hanging="392"/>
        <w:spacing w:after="0"/>
        <w:tabs>
          <w:tab w:leader="none" w:pos="4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NORTH 62° 32' 00" EAST IN AND ALONG THE SOUTHERLY LINE OF PACIFIC AVENUE A DISTANCE OF 350.00'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WESTERLY LINE OF MICHIGAN AVENUE (50.00' WIDE); THENCE</w:t>
      </w:r>
    </w:p>
    <w:p>
      <w:pPr>
        <w:spacing w:after="0" w:line="201" w:lineRule="exact"/>
        <w:rPr>
          <w:rFonts w:ascii="Arial" w:cs="Arial" w:eastAsia="Arial" w:hAnsi="Arial"/>
          <w:sz w:val="19"/>
          <w:szCs w:val="19"/>
          <w:color w:val="auto"/>
        </w:rPr>
      </w:pPr>
    </w:p>
    <w:p>
      <w:pPr>
        <w:ind w:firstLine="8"/>
        <w:spacing w:after="0" w:line="263" w:lineRule="auto"/>
        <w:tabs>
          <w:tab w:leader="none" w:pos="43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SOUTH 27° 28' 00" EAST IN AND ALONG SAME A DISTANCE OF 847.08' TO A POINT IN THE INTERIOR LINE OF PARK; THENCE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SOUTH 73° 42' 27" WEST IN AND ALONG SAME A DISTANCE OF 332.25' TO A POINT OF CURVATURE IN SAME;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THENCE</w:t>
      </w:r>
    </w:p>
    <w:p>
      <w:pPr>
        <w:spacing w:after="0" w:line="201" w:lineRule="exact"/>
        <w:rPr>
          <w:rFonts w:ascii="Arial" w:cs="Arial" w:eastAsia="Arial" w:hAnsi="Arial"/>
          <w:sz w:val="19"/>
          <w:szCs w:val="19"/>
          <w:color w:val="auto"/>
        </w:rPr>
      </w:pPr>
    </w:p>
    <w:p>
      <w:pPr>
        <w:ind w:firstLine="8"/>
        <w:spacing w:after="0" w:line="287" w:lineRule="auto"/>
        <w:tabs>
          <w:tab w:leader="none" w:pos="53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STILL IN AND ALONG SAME AND CURVING TO THE LEFT ALONG THE ARC OF A CIRCLE HAVING A RADIUS OF 1259.09' AN ARC DISTANCE OF 24.86' TO THE EASTERLY LINE OF ARKANSAS AVENUE; THENCE</w:t>
      </w:r>
    </w:p>
    <w:p>
      <w:pPr>
        <w:spacing w:after="0" w:line="151" w:lineRule="exact"/>
        <w:rPr>
          <w:rFonts w:ascii="Arial" w:cs="Arial" w:eastAsia="Arial" w:hAnsi="Arial"/>
          <w:sz w:val="21"/>
          <w:szCs w:val="21"/>
          <w:color w:val="auto"/>
        </w:rPr>
      </w:pPr>
    </w:p>
    <w:p>
      <w:pPr>
        <w:ind w:firstLine="8"/>
        <w:spacing w:after="0" w:line="263" w:lineRule="auto"/>
        <w:tabs>
          <w:tab w:leader="none" w:pos="44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105.00' TO THE SOUTHERLY LINE OF LOT 4.01 IN BLOCK 43; THENCE</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NORTH 62° 32' 00" EAST IN AND ALONG SAME, PARALLEL WITH PACIFIC AVENUE A DISTANCE OF 200.00'</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TO A POINT; THENCE</w:t>
      </w:r>
    </w:p>
    <w:p>
      <w:pPr>
        <w:spacing w:after="0" w:line="201" w:lineRule="exact"/>
        <w:rPr>
          <w:rFonts w:ascii="Arial" w:cs="Arial" w:eastAsia="Arial" w:hAnsi="Arial"/>
          <w:sz w:val="21"/>
          <w:szCs w:val="21"/>
          <w:color w:val="auto"/>
        </w:rPr>
      </w:pPr>
    </w:p>
    <w:p>
      <w:pPr>
        <w:ind w:left="380" w:hanging="372"/>
        <w:spacing w:after="0"/>
        <w:tabs>
          <w:tab w:leader="none" w:pos="3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NORTH 27° 28' 00" WEST PARALLEL WITH ARKANSAS AVENUE A DISTANCE OF 173.19' TO A POINT; THENCE</w:t>
      </w:r>
    </w:p>
    <w:p>
      <w:pPr>
        <w:spacing w:after="0" w:line="254" w:lineRule="exact"/>
        <w:rPr>
          <w:rFonts w:ascii="Arial" w:cs="Arial" w:eastAsia="Arial" w:hAnsi="Arial"/>
          <w:sz w:val="19"/>
          <w:szCs w:val="19"/>
          <w:color w:val="auto"/>
        </w:rPr>
      </w:pPr>
    </w:p>
    <w:p>
      <w:pPr>
        <w:ind w:left="380" w:hanging="372"/>
        <w:spacing w:after="0"/>
        <w:tabs>
          <w:tab w:leader="none" w:pos="3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SOUTH 62° 32' 00" WEST PARALLEL WITH PACIFIC AVENUE A DISTANCE OF 12.50' TO A POINT; THENCE</w:t>
      </w:r>
    </w:p>
    <w:p>
      <w:pPr>
        <w:spacing w:after="0" w:line="231" w:lineRule="exact"/>
        <w:rPr>
          <w:rFonts w:ascii="Arial" w:cs="Arial" w:eastAsia="Arial" w:hAnsi="Arial"/>
          <w:sz w:val="21"/>
          <w:szCs w:val="21"/>
          <w:color w:val="auto"/>
        </w:rPr>
      </w:pPr>
    </w:p>
    <w:p>
      <w:pPr>
        <w:ind w:left="380" w:hanging="372"/>
        <w:spacing w:after="0"/>
        <w:tabs>
          <w:tab w:leader="none" w:pos="3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NORTH 27° 28' 00" WEST PARALLEL WITH ARKANSAS AVENUE A DISTANCE OF 50.00' TO A POINT; THENCE</w:t>
      </w:r>
    </w:p>
    <w:p>
      <w:pPr>
        <w:spacing w:after="0" w:line="231" w:lineRule="exact"/>
        <w:rPr>
          <w:rFonts w:ascii="Arial" w:cs="Arial" w:eastAsia="Arial" w:hAnsi="Arial"/>
          <w:sz w:val="21"/>
          <w:szCs w:val="21"/>
          <w:color w:val="auto"/>
        </w:rPr>
      </w:pPr>
    </w:p>
    <w:p>
      <w:pPr>
        <w:ind w:firstLine="8"/>
        <w:spacing w:after="0" w:line="263" w:lineRule="auto"/>
        <w:tabs>
          <w:tab w:leader="none" w:pos="5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SOUTH 62° 32' 00" WEST PARALLEL WITH PACIFIC AVENUE A DISTANCE OF 187.50' TO THE WESTERLY LINE OF ARKANSAS AVENUE;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87" w:name="page188"/>
    <w:bookmarkEnd w:id="187"/>
    <w:p>
      <w:pPr>
        <w:ind w:firstLine="8"/>
        <w:spacing w:after="0" w:line="263" w:lineRule="auto"/>
        <w:tabs>
          <w:tab w:leader="none" w:pos="59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NORTH 27° 28' 00" WEST IN AND ALONG SAME A DISTANCE OF 450.00' TO THE POINT AND PLACE OF BEGINNING.</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Together with the beneficial easement rights as set forth in Declaration of Cross Easements recorded in Deed Book 6619, page 86.</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KNOWN AS LOT 1 IN BLOCK 42 AS SHOWN ON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Hummock Avenue Parcel</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BEGINNING AT THE SOUTH LINE OF HUMMOCK AVENUE (50.00' WIDE) A DISTANCE OF 252.76' SOUTHWEST OF OHIO AVENUE (50.00' WIDE) AND EXTENDING; THENCE</w:t>
      </w:r>
    </w:p>
    <w:p>
      <w:pPr>
        <w:spacing w:after="0" w:line="175" w:lineRule="exact"/>
        <w:rPr>
          <w:sz w:val="20"/>
          <w:szCs w:val="20"/>
          <w:color w:val="auto"/>
        </w:rPr>
      </w:pPr>
    </w:p>
    <w:p>
      <w:pPr>
        <w:ind w:firstLine="8"/>
        <w:spacing w:after="0" w:line="263" w:lineRule="auto"/>
        <w:tabs>
          <w:tab w:leader="none" w:pos="47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NORTH 62° 32' 00" EAST IN AND ALONG THE SOUTHERLY LINE OF HUMMOCK AVENUE A DISTANCE OF 69.76'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0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SOUTH 27° 28' 00" EAST PARALLEL WITH OHIO AVENUE AND AT RIGHT ANGLES TO HUMMOCK AVENUE A DISTANCE OF 121.00' TO A POINT; THENCE</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SOUTH 62° 32' 00" WEST PARALLEL WITH HUMMOCK AVENUE A DISTANCE OF 3.53' TO A POINT DISTANT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152.00' NORTHEAST OF BACHARACH BOULEVARD; THENCE</w:t>
      </w:r>
    </w:p>
    <w:p>
      <w:pPr>
        <w:spacing w:after="0" w:line="201" w:lineRule="exact"/>
        <w:rPr>
          <w:rFonts w:ascii="Arial" w:cs="Arial" w:eastAsia="Arial" w:hAnsi="Arial"/>
          <w:sz w:val="21"/>
          <w:szCs w:val="21"/>
          <w:color w:val="auto"/>
        </w:rPr>
      </w:pPr>
    </w:p>
    <w:p>
      <w:pPr>
        <w:ind w:firstLine="8"/>
        <w:spacing w:after="0" w:line="263" w:lineRule="auto"/>
        <w:tabs>
          <w:tab w:leader="none" w:pos="47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15.44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0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SOUTH 13° 19' 00" WEST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6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1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NORTH 13° 19' 00" EAST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4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103.50' TO A POINT;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0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NORTH 12° 59' 55" EAST A DISTANCE OF 48.57' TO THE SOUTHERLY LINE OF HUMMOCK AVENUE AND THE POINT AND PLACE OF BEGINNING.</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SUBJECT TO AND TOGETHER WITH THE RIGHT OF INGRESS AND EGRESS WITH OTHERS OVER THE FOLLOWING DESCRIBED RIGHT OF WAY:</w:t>
      </w:r>
    </w:p>
    <w:p>
      <w:pPr>
        <w:sectPr>
          <w:pgSz w:w="11900" w:h="16838" w:orient="portrait"/>
          <w:cols w:equalWidth="0" w:num="1">
            <w:col w:w="11240"/>
          </w:cols>
          <w:pgMar w:left="320" w:top="1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Annex A</w:t>
      </w:r>
    </w:p>
    <w:p>
      <w:pPr>
        <w:sectPr>
          <w:pgSz w:w="11900" w:h="16838" w:orient="portrait"/>
          <w:cols w:equalWidth="0" w:num="1">
            <w:col w:w="11240"/>
          </w:cols>
          <w:pgMar w:left="320" w:top="1104" w:right="339" w:bottom="1440" w:gutter="0" w:footer="0" w:header="0"/>
          <w:type w:val="continuous"/>
        </w:sectPr>
      </w:pPr>
    </w:p>
    <w:bookmarkStart w:id="188" w:name="page189"/>
    <w:bookmarkEnd w:id="188"/>
    <w:p>
      <w:pPr>
        <w:spacing w:after="0" w:line="263" w:lineRule="auto"/>
        <w:rPr>
          <w:sz w:val="20"/>
          <w:szCs w:val="20"/>
          <w:color w:val="auto"/>
        </w:rPr>
      </w:pPr>
      <w:r>
        <w:rPr>
          <w:rFonts w:ascii="Arial" w:cs="Arial" w:eastAsia="Arial" w:hAnsi="Arial"/>
          <w:sz w:val="22"/>
          <w:szCs w:val="22"/>
          <w:color w:val="auto"/>
        </w:rPr>
        <w:t>BEGINNING AT A POINT IN THE NORTHEAST LINE OF BACHARACH BLVD. (70 FEET WIDE) DISTANT 570.5 FEET SOUTHEAST OF ARKANSAS AVENUE (60 FEET WIDE) AND EXTENDING THENCE:</w:t>
      </w:r>
    </w:p>
    <w:p>
      <w:pPr>
        <w:spacing w:after="0" w:line="175"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NORTHEASTWARDLY AT RIGHT ANGLES TO BACHARACH BLVD. 152 FEET; THENCE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SOUTHEASTWARDLY PARALLEL WITH BACHARACH BLVD. 20 FEET; THENCE</w:t>
      </w:r>
    </w:p>
    <w:p>
      <w:pPr>
        <w:spacing w:after="0" w:line="219" w:lineRule="exact"/>
        <w:rPr>
          <w:rFonts w:ascii="Arial" w:cs="Arial" w:eastAsia="Arial" w:hAnsi="Arial"/>
          <w:sz w:val="22"/>
          <w:szCs w:val="22"/>
          <w:color w:val="auto"/>
        </w:rPr>
      </w:pPr>
    </w:p>
    <w:p>
      <w:pPr>
        <w:ind w:right="20" w:firstLine="8"/>
        <w:spacing w:after="0" w:line="263" w:lineRule="auto"/>
        <w:tabs>
          <w:tab w:leader="none" w:pos="46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SOUTHWESTWARDLY AT RIGHT ANGLES TO BACHARACH BLVD 152 FEET TO THE NORTHEAST LINE OF BACHARACH BLVD.; THENCE</w:t>
      </w:r>
    </w:p>
    <w:p>
      <w:pPr>
        <w:spacing w:after="0" w:line="174" w:lineRule="exact"/>
        <w:rPr>
          <w:rFonts w:ascii="Arial" w:cs="Arial" w:eastAsia="Arial" w:hAnsi="Arial"/>
          <w:sz w:val="22"/>
          <w:szCs w:val="22"/>
          <w:color w:val="auto"/>
        </w:rPr>
      </w:pPr>
    </w:p>
    <w:p>
      <w:pPr>
        <w:ind w:firstLine="8"/>
        <w:spacing w:after="0" w:line="263" w:lineRule="auto"/>
        <w:tabs>
          <w:tab w:leader="none" w:pos="62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NORTHWESTWARDLY IN AND ALONG BACHARACH BLVD 20 FEET TO THE POINT AND PLACE OF BEGINNING.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INFORMATION PURPOSES ONLY: BEING KNOWN AS LOTS 20, 21 &amp; 22 IN BLOCK 488 OF THE ATLANTIC CITY TAX MAP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Air Rights Over Michigan Avenue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TRACT I:</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WESTERLY LINE OF MICHIGAN AVENUE (50.00 WIDE), SAID POINT BEING DISTANT 239.00 FEET SOUTH OF THE SOUTHERLY LINE OF PACIFIC AVENUE (60.00 FEET WIDE), AND EXTENDING; THENCE</w:t>
      </w:r>
    </w:p>
    <w:p>
      <w:pPr>
        <w:spacing w:after="0" w:line="185" w:lineRule="exact"/>
        <w:rPr>
          <w:sz w:val="20"/>
          <w:szCs w:val="20"/>
          <w:color w:val="auto"/>
        </w:rPr>
      </w:pPr>
    </w:p>
    <w:p>
      <w:pPr>
        <w:ind w:firstLine="8"/>
        <w:spacing w:after="0" w:line="287" w:lineRule="auto"/>
        <w:tabs>
          <w:tab w:leader="none" w:pos="47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AND CROSSING MICHIGAN AVENUE, A DISTANCE OF 50.00 FEET TO THE EASTERLY LINE OF MICHIGAN AVENUE; THENCE</w:t>
      </w:r>
    </w:p>
    <w:p>
      <w:pPr>
        <w:spacing w:after="0" w:line="151" w:lineRule="exact"/>
        <w:rPr>
          <w:rFonts w:ascii="Arial" w:cs="Arial" w:eastAsia="Arial" w:hAnsi="Arial"/>
          <w:sz w:val="21"/>
          <w:szCs w:val="21"/>
          <w:color w:val="auto"/>
        </w:rPr>
      </w:pPr>
    </w:p>
    <w:p>
      <w:pPr>
        <w:ind w:firstLine="8"/>
        <w:spacing w:after="0" w:line="263" w:lineRule="auto"/>
        <w:tabs>
          <w:tab w:leader="none" w:pos="4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SOUTH 27 DEGREES 28 MINUTES 00 SECONDS EAST IN AND ALONG THE EASTERLY LINE OF MICHIGAN AVENUE A DISTANCE OF 50.00 FEET; THENCE</w:t>
      </w:r>
    </w:p>
    <w:p>
      <w:pPr>
        <w:spacing w:after="0" w:line="174" w:lineRule="exact"/>
        <w:rPr>
          <w:rFonts w:ascii="Arial" w:cs="Arial" w:eastAsia="Arial" w:hAnsi="Arial"/>
          <w:sz w:val="22"/>
          <w:szCs w:val="22"/>
          <w:color w:val="auto"/>
        </w:rPr>
      </w:pPr>
    </w:p>
    <w:p>
      <w:pPr>
        <w:ind w:right="20" w:firstLine="8"/>
        <w:spacing w:after="0" w:line="287" w:lineRule="auto"/>
        <w:tabs>
          <w:tab w:leader="none" w:pos="467" w:val="left"/>
        </w:tabs>
        <w:numPr>
          <w:ilvl w:val="0"/>
          <w:numId w:val="119"/>
        </w:numPr>
        <w:rPr>
          <w:rFonts w:ascii="Arial" w:cs="Arial" w:eastAsia="Arial" w:hAnsi="Arial"/>
          <w:sz w:val="21"/>
          <w:szCs w:val="21"/>
          <w:color w:val="auto"/>
        </w:rPr>
      </w:pPr>
      <w:r>
        <w:rPr>
          <w:rFonts w:ascii="Arial" w:cs="Arial" w:eastAsia="Arial" w:hAnsi="Arial"/>
          <w:sz w:val="21"/>
          <w:szCs w:val="21"/>
          <w:color w:val="auto"/>
        </w:rPr>
        <w:t>SOUTH 62 DEGREES 32 MINUTES 00 SECONDS WEST, PARALLEL WITH PACIFIC AVENUE AND CROSSING MICHIGAN AVENUE A DISTANCE OF 50.00 FEET TO THE WESTERLY LINE OF MICHIGAN AVENUE; THENCE</w:t>
      </w:r>
    </w:p>
    <w:p>
      <w:pPr>
        <w:spacing w:after="0" w:line="151" w:lineRule="exact"/>
        <w:rPr>
          <w:rFonts w:ascii="Arial" w:cs="Arial" w:eastAsia="Arial" w:hAnsi="Arial"/>
          <w:sz w:val="21"/>
          <w:szCs w:val="21"/>
          <w:color w:val="auto"/>
        </w:rPr>
      </w:pPr>
    </w:p>
    <w:p>
      <w:pPr>
        <w:ind w:firstLine="8"/>
        <w:spacing w:after="0" w:line="263" w:lineRule="auto"/>
        <w:tabs>
          <w:tab w:leader="none" w:pos="43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NORTH 27 DEGREES 28 MINUTES 00 SECONDS WEST IN AND ALONG THE WESTERLY LINE OF MICHIGAN AVENUE, A DISTANCE OF 50.00 FEET TO THE POINT AND PLACE OF BEGINNING.</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BEING AN AREA ABOVE THE HORIZONTAL PLACE OF MICHIGAN AVENUE BETWEEN ELEVATION 46.00 FEET AND ELEVATION 46.00 FEET 6 INCHES SAID ELEVATIONS IN REFERENCE TO U.S.C. AND G.S. DATUM</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(ELEVATION 0.00 =MEAN SEA LEVEL)</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FOR INFORMATION ONLY: BEING KNOWN AS KNOWN AS LOT 6 IN BLOCK 42 OF THE ATLANTIC CITY TAX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TRACT II</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BEGINNING AT A POINT IN THE WESTERLY LINE OF MICHIGAN AVENUE (50.00 WIDE) SAID POINT BEING DISTANT 503.17 FEET SOUTH OF THE SOUTHERLY LINE OF PACIFIC AVENUE (60.00 FEET WIDE) AND EXTENDING FROM SAID BEGINNING POINT; THENCE</w:t>
      </w:r>
    </w:p>
    <w:p>
      <w:pPr>
        <w:spacing w:after="0" w:line="185" w:lineRule="exact"/>
        <w:rPr>
          <w:sz w:val="20"/>
          <w:szCs w:val="20"/>
          <w:color w:val="auto"/>
        </w:rPr>
      </w:pPr>
    </w:p>
    <w:p>
      <w:pPr>
        <w:ind w:right="20" w:firstLine="8"/>
        <w:spacing w:after="0" w:line="263" w:lineRule="auto"/>
        <w:tabs>
          <w:tab w:leader="none" w:pos="48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SOUTH 27 DEGREES 28 MINUTES EAST IN AND ALONG THE EASTERLY LINE OF MICHIGAN AVENUE, A DISTANCE OF 27.16 FEET;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1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SOUTH 39 DEGREES 32 MINUTES 00 SECONDS WEST, CROSSING MICHIGAN AVENUE A DISTANCE OF 54.32 FEET TO THE WESTERLY LINE OF MICHIGAN AVENUE;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6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NORTH 27 DEGREES 28 MINUTES WEST IN AND ALONG THE WESTERLY LINE OF MICHIGAN AVENUE, A DISTANCE OF 27.16 FEET; THENCE</w:t>
      </w:r>
    </w:p>
    <w:p>
      <w:pPr>
        <w:spacing w:after="0" w:line="174" w:lineRule="exact"/>
        <w:rPr>
          <w:rFonts w:ascii="Arial" w:cs="Arial" w:eastAsia="Arial" w:hAnsi="Arial"/>
          <w:sz w:val="22"/>
          <w:szCs w:val="22"/>
          <w:color w:val="auto"/>
        </w:rPr>
      </w:pPr>
    </w:p>
    <w:p>
      <w:pPr>
        <w:ind w:firstLine="8"/>
        <w:spacing w:after="0" w:line="263" w:lineRule="auto"/>
        <w:tabs>
          <w:tab w:leader="none" w:pos="42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NORTH 39 DEGREES 32 MINUTES 00 SECONDS EAST, CROSSING MICHIGAN AVENUE A DISTANCE OF 54.32 FEET TO THE EASTERLY LINE OF MICHIGAN AVENUE; THE POINT AND PLACE OF BEGINNING.</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BOTTOM OF THE PROPOSED AIR RIGHTS WILL BE AT AN ELEVATION OF 20.00 N.G.V.D. DATUM (MEAN SEA LEVEL= 0.00) AND THE TOP OF THE AIR RIGHTS WILL BE AT ELEVATION 46.00</w:t>
      </w:r>
    </w:p>
    <w:p>
      <w:pPr>
        <w:spacing w:after="0" w:line="175" w:lineRule="exact"/>
        <w:rPr>
          <w:sz w:val="20"/>
          <w:szCs w:val="20"/>
          <w:color w:val="auto"/>
        </w:rPr>
      </w:pPr>
    </w:p>
    <w:p>
      <w:pPr>
        <w:jc w:val="center"/>
        <w:ind w:right="20"/>
        <w:spacing w:after="0" w:line="448" w:lineRule="auto"/>
        <w:rPr>
          <w:sz w:val="20"/>
          <w:szCs w:val="20"/>
          <w:color w:val="auto"/>
        </w:rPr>
      </w:pPr>
      <w:r>
        <w:rPr>
          <w:rFonts w:ascii="Arial" w:cs="Arial" w:eastAsia="Arial" w:hAnsi="Arial"/>
          <w:sz w:val="22"/>
          <w:szCs w:val="22"/>
          <w:color w:val="auto"/>
        </w:rPr>
        <w:t xml:space="preserve">FOR INFORMATION ONLY: BEING KNOWN AS KNOWN AS LOT 7 IN BLOCK 42 OF THE ATLANTIC CITY TAX MAP </w:t>
      </w:r>
      <w:r>
        <w:rPr>
          <w:rFonts w:ascii="Arial" w:cs="Arial" w:eastAsia="Arial" w:hAnsi="Arial"/>
          <w:sz w:val="22"/>
          <w:szCs w:val="22"/>
          <w:b w:val="1"/>
          <w:bCs w:val="1"/>
          <w:u w:val="single" w:color="auto"/>
          <w:color w:val="auto"/>
        </w:rPr>
        <w:t>Air Rights Over Ohio Avenue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METES AND BOUNDS DESCRIPTION for proposed air rights above Ohio Avenue required in conjunction with the Baily's - Claridge Connection Project, situate in the City of Atlantic City, County of Atlantic and State of New Jersey being bounded and described as follows: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BEGINNING at a point in the easterly line of Ohio Avenue (50' wide), South 27 degrees, 28 minutes, 00 seconds East 350.00' from the southerly line of Pacific Avenue (60' wide), and extending from said beginning point; thence</w:t>
      </w:r>
    </w:p>
    <w:p>
      <w:pPr>
        <w:spacing w:after="0" w:line="175" w:lineRule="exact"/>
        <w:rPr>
          <w:sz w:val="20"/>
          <w:szCs w:val="20"/>
          <w:color w:val="auto"/>
        </w:rPr>
      </w:pPr>
    </w:p>
    <w:p>
      <w:pPr>
        <w:ind w:firstLine="8"/>
        <w:spacing w:after="0" w:line="263" w:lineRule="auto"/>
        <w:tabs>
          <w:tab w:leader="none" w:pos="43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South 27 degrees 28 minutes 00 seconds East in and along the easterly line of Ohio Avenue 10.00’ to the northerly line of Pop Lloyd Boulevard (74’ wide); thence</w:t>
      </w:r>
    </w:p>
    <w:p>
      <w:pPr>
        <w:spacing w:after="0" w:line="174" w:lineRule="exact"/>
        <w:rPr>
          <w:rFonts w:ascii="Arial" w:cs="Arial" w:eastAsia="Arial" w:hAnsi="Arial"/>
          <w:sz w:val="22"/>
          <w:szCs w:val="22"/>
          <w:color w:val="auto"/>
        </w:rPr>
      </w:pPr>
    </w:p>
    <w:p>
      <w:pPr>
        <w:ind w:firstLine="8"/>
        <w:spacing w:after="0" w:line="263" w:lineRule="auto"/>
        <w:tabs>
          <w:tab w:leader="none" w:pos="4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South 62 degrees 32 minutes 00 seconds West in and along same, parallel with Pacific Avenue 50.00’ to the westerly line of Ohio Avenue; thence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North 27 degrees 28 minutes 00 seconds West in and along same, 10.00’ to a point; thence</w:t>
      </w:r>
    </w:p>
    <w:p>
      <w:pPr>
        <w:spacing w:after="0" w:line="219" w:lineRule="exact"/>
        <w:rPr>
          <w:rFonts w:ascii="Arial" w:cs="Arial" w:eastAsia="Arial" w:hAnsi="Arial"/>
          <w:sz w:val="22"/>
          <w:szCs w:val="22"/>
          <w:color w:val="auto"/>
        </w:rPr>
      </w:pPr>
    </w:p>
    <w:p>
      <w:pPr>
        <w:ind w:left="620" w:hanging="612"/>
        <w:spacing w:after="0"/>
        <w:tabs>
          <w:tab w:leader="none" w:pos="62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North 62 degrees 32 minutes 00 seconds East, parallel with Pacific Avenue 50.00 feet to the point and place of</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The above described air rights are located a minimum of 14.00’ above the existing grade elevation of Ohio Avenue.</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INFORMATION ONLY: BEING KNOWN AS KNOWN AS LOT 4.02 IN BLOCK 44 OF THE ATLANTIC CITY TAX MAP</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AIR RIGHTS OVER POP LLOYD BOULEVARD AS SET FORTH IN CITY OF ATLANTIC ORDINANCE NO. 77 OF 1978 AND IN DEED BOOK 3442, PAGE 250.</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INFORMATION ONLY: BEING KNOWN AS KNOWN AS LOT 13 IN BLOCK 43 OF THE ATLANTIC CITY TAX MAP</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BEING ALSO KNOWN AS (REPORTED FOR INFORMATIONAL PURPOSES ONLY):</w:t>
      </w:r>
    </w:p>
    <w:p>
      <w:pPr>
        <w:spacing w:after="0" w:line="220" w:lineRule="exact"/>
        <w:rPr>
          <w:sz w:val="20"/>
          <w:szCs w:val="20"/>
          <w:color w:val="auto"/>
        </w:rPr>
      </w:pPr>
    </w:p>
    <w:p>
      <w:pPr>
        <w:ind w:right="960"/>
        <w:spacing w:after="0" w:line="525" w:lineRule="auto"/>
        <w:rPr>
          <w:sz w:val="20"/>
          <w:szCs w:val="20"/>
          <w:color w:val="auto"/>
        </w:rPr>
      </w:pPr>
      <w:r>
        <w:rPr>
          <w:rFonts w:ascii="Arial" w:cs="Arial" w:eastAsia="Arial" w:hAnsi="Arial"/>
          <w:sz w:val="19"/>
          <w:szCs w:val="19"/>
          <w:color w:val="auto"/>
        </w:rPr>
        <w:t>Block 42, Lot 1 on the official tax map of the CITY OF ATLANTIC CITY, County of Atlantic, State of New Jersey Block 42, Lot 6 on the official tax map of the CITY OF ATLANTIC CITY, County of Atlantic, State of New Jersey Block 42, Lot 7 on the official tax map of the CITY OF ATLANTIC CITY, County of Atlantic, State of New Jersey Block 43, Lot 1 on the official tax map of the CITY OF ATLANTIC CITY, County of Atlantic, State of New Jersey Block 43, Lot 13 on the official tax map of the CITY OF ATLANTIC CITY, County of Atlantic, State of New Jersey Block 44, Lot 4 on the official tax map of the CITY OF ATLANTIC CITY, County of Atlantic, State of New Jersey Block 44, Lot 4.02 on the official tax map of the CITY OF ATLANTIC CITY, County of Atlantic, State of New Jersey Block 45, Lot 1 on the official tax map of the CITY OF ATLANTIC CITY, County of Atlantic, State of New Jersey Block 45, Lot 3 on the official tax map of the CITY OF ATLANTIC CITY, County of Atlantic, State of New Jersey Block 45, Lot 5 on the official tax map of the CITY OF ATLANTIC CITY, County of Atlantic, State of New Jersey Block 488, Lot 23 on the official tax map of the CITY OF ATLANTIC CITY, County of Atlantic, State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Annex A</w:t>
      </w:r>
    </w:p>
    <w:p>
      <w:pPr>
        <w:sectPr>
          <w:pgSz w:w="11900" w:h="16838" w:orient="portrait"/>
          <w:cols w:equalWidth="0" w:num="1">
            <w:col w:w="11240"/>
          </w:cols>
          <w:pgMar w:left="320" w:top="1104"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2"/>
          <w:szCs w:val="22"/>
          <w:u w:val="single" w:color="auto"/>
          <w:color w:val="auto"/>
        </w:rPr>
        <w:t>Annex B-1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Wild Wild West Parcel</w:t>
      </w:r>
    </w:p>
    <w:p>
      <w:pPr>
        <w:spacing w:after="0" w:line="32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BEGINNING at the intersection of the southeast line of Pacific Avenue (60.00’ wide) and the northeast line of Arkansas Avenue (50.00’ wide) and extending from said beginning point; thence</w:t>
      </w:r>
    </w:p>
    <w:p>
      <w:pPr>
        <w:spacing w:after="0" w:line="175" w:lineRule="exact"/>
        <w:rPr>
          <w:sz w:val="20"/>
          <w:szCs w:val="20"/>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North 62° 32’ 00” East in and along the southeast line of Pacific Avenue a distance of 154.00’ to a point in a proposed subdivision line as shown on the below mentioned plan; thence</w:t>
      </w:r>
    </w:p>
    <w:p>
      <w:pPr>
        <w:spacing w:after="0" w:line="161" w:lineRule="exact"/>
        <w:rPr>
          <w:rFonts w:ascii="Arial" w:cs="Arial" w:eastAsia="Arial" w:hAnsi="Arial"/>
          <w:sz w:val="22"/>
          <w:szCs w:val="22"/>
          <w:color w:val="auto"/>
        </w:rPr>
      </w:pPr>
    </w:p>
    <w:p>
      <w:pPr>
        <w:ind w:left="660" w:hanging="652"/>
        <w:spacing w:after="0" w:line="250"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South 27° 28’ 00” East in and said line and parallel with Arkansas Avenue a distance of 288.00’ to a point in a second proposed subdivision line as shown on the below mentioned plan; thence</w:t>
      </w:r>
    </w:p>
    <w:p>
      <w:pPr>
        <w:spacing w:after="0" w:line="188"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North 62° 32’ 00” East in and along said line and parallel with of Pacific Avenue a distance of 196.00’ to a point in the southwest line of Michigan Avenue (50.00’ wide);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South 27° 28’ 00” East in and said line a distance of 559.08’ to a point in the interior line of public park, also being the northwest line of the Boardwalk R.O.W. (60.00’ wide);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South 73° 42’ 27” West in and along said line a distance of 332.25’ to a point of curvature in same; thence</w:t>
      </w:r>
    </w:p>
    <w:p>
      <w:pPr>
        <w:spacing w:after="0" w:line="219"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Southwesterly still along said line and curving to the left along the arc of a circle having a radius of 1259.09’ an arc distance of 24.47’ to the intersection of the aforesaid northeast line of Arkansas Avenue;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North 27° 28’ 00” West in and along said line a distance of 105.00’ to a point in the division line of lot 4.01; thence</w:t>
      </w:r>
    </w:p>
    <w:p>
      <w:pPr>
        <w:spacing w:after="0" w:line="231" w:lineRule="exact"/>
        <w:rPr>
          <w:rFonts w:ascii="Arial" w:cs="Arial" w:eastAsia="Arial" w:hAnsi="Arial"/>
          <w:sz w:val="21"/>
          <w:szCs w:val="21"/>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North 62° 32’ 00” East in and along said line and parallel with of Pacific Avenue a distance of 200.00’ to a common property corner of lot 4.01;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North 27° 28’ 00” West still in and along said division line and parallel with Arkansas a distance of 173.19’ to another common property corner of lot 4.01;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5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South 62° 32’ 00” West still in and along said division line and parallel with Pacific Avenue a distance of 12.50’ to another common property corner of lot 4.01; thence</w:t>
      </w:r>
    </w:p>
    <w:p>
      <w:pPr>
        <w:spacing w:after="0" w:line="174" w:lineRule="exact"/>
        <w:rPr>
          <w:rFonts w:ascii="Arial" w:cs="Arial" w:eastAsia="Arial" w:hAnsi="Arial"/>
          <w:sz w:val="22"/>
          <w:szCs w:val="22"/>
          <w:color w:val="auto"/>
        </w:rPr>
      </w:pPr>
    </w:p>
    <w:p>
      <w:pPr>
        <w:ind w:left="660" w:hanging="652"/>
        <w:spacing w:after="0" w:line="263" w:lineRule="auto"/>
        <w:tabs>
          <w:tab w:leader="none" w:pos="64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North 27° 28’ 00” West still in and along said division line and parallel with Arkansas a distance of 50.00’ to another common property corner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B-1</w:t>
      </w:r>
    </w:p>
    <w:p>
      <w:pPr>
        <w:sectPr>
          <w:pgSz w:w="11900" w:h="16838" w:orient="portrait"/>
          <w:cols w:equalWidth="0" w:num="1">
            <w:col w:w="11240"/>
          </w:cols>
          <w:pgMar w:left="320" w:top="1104" w:right="339" w:bottom="1440" w:gutter="0" w:footer="0" w:header="0"/>
        </w:sectPr>
      </w:pPr>
    </w:p>
    <w:bookmarkStart w:id="192" w:name="page193"/>
    <w:bookmarkEnd w:id="192"/>
    <w:p>
      <w:pPr>
        <w:ind w:left="660" w:right="20" w:hanging="652"/>
        <w:spacing w:after="0" w:line="263" w:lineRule="auto"/>
        <w:tabs>
          <w:tab w:leader="none" w:pos="655"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South 62° 32’ 00” West still in and along said division line and parallel with Pacific Avenue a distance of 187.50’ to a point in the aforesaid northeast line of Arkansas Avenue; thence</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North 27° 28’ 00” West l in and along said line a distance of 450.00’ to the point and place of BEGINNING.</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BEING known as a portion of lot 1, also being depicted as lot 1.05 in block 42 in the City of Atlantic City as shown on the below mentioned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CONTAINING an area of 183,920.08 square feet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legal description was prepared by Daniel J. Ponzio Sr. NJPLS and is composed in accordance with a minor subdivision plan prepared by Arthur W. Ponzio Co. &amp; Associates, Inc. dated 5/5/20 Project #35167</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TOGETHER with the easements appurtenant to such land set forth in that certain Reciprocal Easement Agreement dated as of November 18, 2020, by and between Premier Entertainment AC, LLC and Bally’s Atlantic City LLC and recorded in the Office of the County Clerk of Atlantic County, New Jersey substantially concurrently with the execution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Annex B-1</w:t>
      </w:r>
    </w:p>
    <w:p>
      <w:pPr>
        <w:sectPr>
          <w:pgSz w:w="11900" w:h="16838" w:orient="portrait"/>
          <w:cols w:equalWidth="0" w:num="1">
            <w:col w:w="11240"/>
          </w:cols>
          <w:pgMar w:left="320" w:top="1104"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2"/>
          <w:szCs w:val="22"/>
          <w:u w:val="single" w:color="auto"/>
          <w:color w:val="auto"/>
        </w:rPr>
        <w:t>Annex B-2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Block 488 Parcel</w:t>
      </w:r>
    </w:p>
    <w:p>
      <w:pPr>
        <w:spacing w:after="0" w:line="32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THAT CERTAIN LOT, TRACT, OR PARCEL OF LAND AND PREMISES SITUATE, LYING, AND BEING IN THE CITY OF ATLANTIC CITY, COUNTY OF ATLANTIC, AND STATE OF NEW JERSEY, BOUNDED AND DESCRIBED AS FOLLOWS: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BEGINNING AT THE SOUTH LINE OF HUMMOCK AVENUE (50.00' WIDE) A DISTANCE OF 252.76' SOUTHWEST OF OHIO AVENUE (50.00' WIDE) AND EXTENDING; THENCE</w:t>
      </w:r>
    </w:p>
    <w:p>
      <w:pPr>
        <w:spacing w:after="0" w:line="175" w:lineRule="exact"/>
        <w:rPr>
          <w:sz w:val="20"/>
          <w:szCs w:val="20"/>
          <w:color w:val="auto"/>
        </w:rPr>
      </w:pPr>
    </w:p>
    <w:p>
      <w:pPr>
        <w:ind w:firstLine="8"/>
        <w:spacing w:after="0" w:line="263" w:lineRule="auto"/>
        <w:tabs>
          <w:tab w:leader="none" w:pos="47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NORTH 62° 32' 00" EAST IN AND ALONG THE SOUTHERLY LINE OF HUMMOCK AVENUE A DISTANCE OF 69.76'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0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SOUTH 27° 28' 00" EAST PARALLEL WITH OHIO AVENUE AND AT RIGHT ANGLES TO HUMMOCK AVENUE A DISTANCE OF 121.00' TO A POINT; THENCE</w:t>
      </w:r>
    </w:p>
    <w:p>
      <w:pPr>
        <w:spacing w:after="0" w:line="174" w:lineRule="exact"/>
        <w:rPr>
          <w:rFonts w:ascii="Arial" w:cs="Arial" w:eastAsia="Arial" w:hAnsi="Arial"/>
          <w:sz w:val="22"/>
          <w:szCs w:val="22"/>
          <w:color w:val="auto"/>
        </w:rPr>
      </w:pPr>
    </w:p>
    <w:p>
      <w:pPr>
        <w:ind w:left="440" w:hanging="432"/>
        <w:spacing w:after="0"/>
        <w:tabs>
          <w:tab w:leader="none" w:pos="4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SOUTH 62° 32' 00" WEST PARALLEL WITH HUMMOCK AVENUE A DISTANCE OF 3.53' TO A POINT DISTANT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152.00' NORTHEAST OF BACHARACH BOULEVARD; THENCE</w:t>
      </w:r>
    </w:p>
    <w:p>
      <w:pPr>
        <w:spacing w:after="0" w:line="201" w:lineRule="exact"/>
        <w:rPr>
          <w:rFonts w:ascii="Arial" w:cs="Arial" w:eastAsia="Arial" w:hAnsi="Arial"/>
          <w:sz w:val="21"/>
          <w:szCs w:val="21"/>
          <w:color w:val="auto"/>
        </w:rPr>
      </w:pPr>
    </w:p>
    <w:p>
      <w:pPr>
        <w:ind w:firstLine="8"/>
        <w:spacing w:after="0" w:line="263" w:lineRule="auto"/>
        <w:tabs>
          <w:tab w:leader="none" w:pos="47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15.44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0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SOUTH 13° 19' 00" WEST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6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51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NORTH 13° 19' 00" EAST AT RIGHT ANGLES TO BACHARACH BOULEVARD A DISTANCE OF 76.00' TO A POINT; THENCE</w:t>
      </w:r>
    </w:p>
    <w:p>
      <w:pPr>
        <w:spacing w:after="0" w:line="174" w:lineRule="exact"/>
        <w:rPr>
          <w:rFonts w:ascii="Arial" w:cs="Arial" w:eastAsia="Arial" w:hAnsi="Arial"/>
          <w:sz w:val="22"/>
          <w:szCs w:val="22"/>
          <w:color w:val="auto"/>
        </w:rPr>
      </w:pPr>
    </w:p>
    <w:p>
      <w:pPr>
        <w:ind w:firstLine="8"/>
        <w:spacing w:after="0" w:line="263" w:lineRule="auto"/>
        <w:tabs>
          <w:tab w:leader="none" w:pos="44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NORTH 76° 40' 59" WEST PARALLEL WITH BACHARACH BOULEVARD A DISTANCE OF 103.50' TO A POINT; THENCE</w:t>
      </w:r>
    </w:p>
    <w:p>
      <w:pPr>
        <w:spacing w:after="0" w:line="174" w:lineRule="exact"/>
        <w:rPr>
          <w:rFonts w:ascii="Arial" w:cs="Arial" w:eastAsia="Arial" w:hAnsi="Arial"/>
          <w:sz w:val="22"/>
          <w:szCs w:val="22"/>
          <w:color w:val="auto"/>
        </w:rPr>
      </w:pPr>
    </w:p>
    <w:p>
      <w:pPr>
        <w:ind w:right="20" w:firstLine="8"/>
        <w:spacing w:after="0" w:line="263" w:lineRule="auto"/>
        <w:tabs>
          <w:tab w:leader="none" w:pos="40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NORTH 12° 59' 55" EAST A DISTANCE OF 48.57' TO THE SOUTHERLY LINE OF HUMMOCK AVENUE AND THE POINT AND PLACE OF BEGINNING.</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SUBJECT TO AND TOGETHER WITH THE RIGHT OF INGRESS AND EGRESS WITH OTHERS OVER THE FOLLOWING DESCRIBED RIGHT OF WAY: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BEGINNING AT A POINT IN THE NORTHEAST LINE OF BACHARACH BLVD. (70 FEET WIDE) DISTANT 570.5 FEET SOUTHEAST OF ARKANSAS AVENUE (60 FEET WIDE) AND EXTENDING THENCE:</w:t>
      </w:r>
    </w:p>
    <w:p>
      <w:pPr>
        <w:spacing w:after="0" w:line="175" w:lineRule="exact"/>
        <w:rPr>
          <w:sz w:val="20"/>
          <w:szCs w:val="20"/>
          <w:color w:val="auto"/>
        </w:rPr>
      </w:pPr>
    </w:p>
    <w:p>
      <w:pPr>
        <w:ind w:left="380" w:hanging="372"/>
        <w:spacing w:after="0"/>
        <w:tabs>
          <w:tab w:leader="none" w:pos="38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NORTHEASTWARDLY AT RIGHT ANGLES TO BACHARACH BLVD. 152 FEET; THENCE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1" w:lineRule="exact"/>
        <w:rPr>
          <w:rFonts w:ascii="Arial" w:cs="Arial" w:eastAsia="Arial" w:hAnsi="Arial"/>
          <w:sz w:val="22"/>
          <w:szCs w:val="22"/>
          <w:color w:val="auto"/>
        </w:rPr>
      </w:pPr>
    </w:p>
    <w:p>
      <w:pPr>
        <w:ind w:left="5180"/>
        <w:spacing w:after="0"/>
        <w:rPr>
          <w:rFonts w:ascii="Arial" w:cs="Arial" w:eastAsia="Arial" w:hAnsi="Arial"/>
          <w:sz w:val="22"/>
          <w:szCs w:val="22"/>
          <w:color w:val="auto"/>
        </w:rPr>
      </w:pPr>
      <w:r>
        <w:rPr>
          <w:rFonts w:ascii="Arial" w:cs="Arial" w:eastAsia="Arial" w:hAnsi="Arial"/>
          <w:sz w:val="22"/>
          <w:szCs w:val="22"/>
          <w:i w:val="1"/>
          <w:iCs w:val="1"/>
          <w:color w:val="auto"/>
        </w:rPr>
        <w:t>Annex B-2</w:t>
      </w:r>
    </w:p>
    <w:p>
      <w:pPr>
        <w:sectPr>
          <w:pgSz w:w="11900" w:h="16838" w:orient="portrait"/>
          <w:cols w:equalWidth="0" w:num="1">
            <w:col w:w="11240"/>
          </w:cols>
          <w:pgMar w:left="320" w:top="1104" w:right="339" w:bottom="1440" w:gutter="0" w:footer="0" w:header="0"/>
        </w:sectPr>
      </w:pPr>
    </w:p>
    <w:bookmarkStart w:id="194" w:name="page195"/>
    <w:bookmarkEnd w:id="194"/>
    <w:p>
      <w:pPr>
        <w:ind w:left="380" w:hanging="372"/>
        <w:spacing w:after="0"/>
        <w:tabs>
          <w:tab w:leader="none" w:pos="3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SOUTHEASTWARDLY PARALLEL WITH BACHARACH BLVD. 20 FEET; THENCE</w:t>
      </w:r>
    </w:p>
    <w:p>
      <w:pPr>
        <w:spacing w:after="0" w:line="219" w:lineRule="exact"/>
        <w:rPr>
          <w:rFonts w:ascii="Arial" w:cs="Arial" w:eastAsia="Arial" w:hAnsi="Arial"/>
          <w:sz w:val="22"/>
          <w:szCs w:val="22"/>
          <w:color w:val="auto"/>
        </w:rPr>
      </w:pPr>
    </w:p>
    <w:p>
      <w:pPr>
        <w:ind w:right="20" w:firstLine="8"/>
        <w:spacing w:after="0" w:line="263" w:lineRule="auto"/>
        <w:tabs>
          <w:tab w:leader="none" w:pos="46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SOUTHWESTWARDLY AT RIGHT ANGLES TO BACHARACH BLVD 152 FEET TO THE NORTHEAST LINE OF BACHARACH BLVD.; THENCE</w:t>
      </w:r>
    </w:p>
    <w:p>
      <w:pPr>
        <w:spacing w:after="0" w:line="174" w:lineRule="exact"/>
        <w:rPr>
          <w:rFonts w:ascii="Arial" w:cs="Arial" w:eastAsia="Arial" w:hAnsi="Arial"/>
          <w:sz w:val="22"/>
          <w:szCs w:val="22"/>
          <w:color w:val="auto"/>
        </w:rPr>
      </w:pPr>
    </w:p>
    <w:p>
      <w:pPr>
        <w:ind w:firstLine="8"/>
        <w:spacing w:after="0" w:line="263" w:lineRule="auto"/>
        <w:tabs>
          <w:tab w:leader="none" w:pos="62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NORTHWESTWARDLY IN AND ALONG BACHARACH BLVD 20 FEET TO THE POINT AND PLACE OF BEGINNING.</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INFORMATION PURPOSES ONLY: BEING KNOWN AS LOT 23 IN BLOCK 488 OF THE ATLANTIC CITY TAX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B-2</w:t>
      </w:r>
    </w:p>
    <w:p>
      <w:pPr>
        <w:sectPr>
          <w:pgSz w:w="11900" w:h="16838" w:orient="portrait"/>
          <w:cols w:equalWidth="0" w:num="1">
            <w:col w:w="11240"/>
          </w:cols>
          <w:pgMar w:left="320" w:top="1104"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u w:val="single" w:color="auto"/>
          <w:color w:val="auto"/>
        </w:rPr>
        <w:t>Annex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Released Missouri Property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Vacant Land in Missouri</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PARCEL NO. 1: A parcel of ground being all of Lot 1 of the "Resubdivision Plat of Riverport Tract 7", a subdivision recorded as Daily No. 1065, on June 23, 1994, in Plat Book 327, pages 89 through 92, St. Louis County Recorder’s Office, said parcel being more particularly described as follows: Beginning at the most Southern corner of Lot 1, of said “Resubdivision Plat of Riverport Tract 7”, said corner being in the Northeastern line of a Levee Easement recorded in Book 8351, page 1184, St. Louis County Recorder’s Office; thence North 23 degrees 10 minutes 00 seconds West 1291.20 feet along the Southwestern line of said Lot 1, and along the Northeastern line of said Levee Easement, to an angle point therein; thence North 25 degrees 30 minutes 00 seconds East 250.00 feet along the Northwestern line of said Lot 1, being also the Southeastern line of said Levee Easement, to the most Southwestern corner of a Drainage and Storm Water Easement recorded in Book 8351 page 1187, St. Louis County Recorder’s Office; thence in a generally Northeastwardly direction, along the southeastern line of said Drainage and Storm Water Easement and along the Northwestern line of said Lot 1, the following courses and distances: North 50 degrees 03 minutes 29 seconds East 262.30 feet, North 28 degrees 16 minutes 56 seconds East 222.78 feet to a point of curve; thence Northeastwardly 246.83 feet along a curve to the right having a radius of 230.00 feet, the chord of which bears North 59 degrees 01 minute 32 seconds East 235.15 feet, to a point of tangency, in the Southern line of said Drainage and Storm Water Easement, and the Northern line of said Lot 1; thence North 89 degrees 46 minutes 09 seconds East 464.11 feet along the Southern line of said Drainage and Storm Water Easement, and the Northern line of said Lot 1, to the Northeastern corner of said Lot 1; thence South 23 degrees 10 minutes 00 seconds East 1521.93 feet along the Northeastern line of said Lot 1, being also the Southwestern line of Lot 2 of said “Resubdivision Plat of Riverport Tract 7”, to the most Eastern corner of said Lot 1; thence South 66 degrees 50 minutes 00 seconds West 1273.47 feet along the Southeastern line of said Lot 1, to its most Southern corner and the point of beginning.</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PARCEL NO. 2: Non-Exclusive easements to use all private roadways as set forth in the First Revised and Restated Riverport Project Trust Indenture recorded in Book 8191 page 380, as amended by instruments recorded in Book 8465 page 1068, Book 9013 page 1955, Book 10263 page 1872, Book 10694 page 1881, and Book 11104 page 991, Book 11304 page 1396, Book 11890 page 2353 and Book 15124 page 654 St. Louis County Records.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PARCEL NO. 3: Non-Exclusive easements, according to Infrastructure Easement Agreement recorded on July 22, 1994, in Book 10263 page 1910, St. Louis County Records.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PARCEL NO. 4: Easements (Levee Easement), according to instrument recorded on July 22, 1994, in Book 10263 page 1895 St. Louis County Records.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PARCEL NO. 5: Non-exclusive, perpetual, irrevocable appurtenant easement for vehicle and pedestrian access, ingress and egress as set forth in Book 10263 page 1926 and as amended in the Amended and Restated Roadway Easement Agreement recorded in Book 10694 page 1908.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Harrah’s North Kansas - CEOC</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TRACT 2:</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of Lots 1 through 33, both inclusive, and part of Lots 34 through 44, both inclusive, "PLAN OF RANDOLPH SUBDIVISION OF EXHIBITS "B", "C", "E" AND "F"; Part of Lot 6, Block 38;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C</w:t>
      </w:r>
    </w:p>
    <w:p>
      <w:pPr>
        <w:sectPr>
          <w:pgSz w:w="11900" w:h="16838" w:orient="portrait"/>
          <w:cols w:equalWidth="0" w:num="1">
            <w:col w:w="11240"/>
          </w:cols>
          <w:pgMar w:left="320" w:top="1104" w:right="339" w:bottom="1440" w:gutter="0" w:footer="0" w:header="0"/>
        </w:sectPr>
      </w:pPr>
    </w:p>
    <w:bookmarkStart w:id="196" w:name="page197"/>
    <w:bookmarkEnd w:id="196"/>
    <w:p>
      <w:pPr>
        <w:jc w:val="both"/>
        <w:spacing w:after="0" w:line="250" w:lineRule="auto"/>
        <w:rPr>
          <w:sz w:val="20"/>
          <w:szCs w:val="20"/>
          <w:color w:val="auto"/>
        </w:rPr>
      </w:pPr>
      <w:r>
        <w:rPr>
          <w:rFonts w:ascii="Arial" w:cs="Arial" w:eastAsia="Arial" w:hAnsi="Arial"/>
          <w:sz w:val="20"/>
          <w:szCs w:val="20"/>
          <w:color w:val="auto"/>
        </w:rPr>
        <w:t>Lots 1 through 5, and All of Lot 6, Block 39, "PLAN OF RANDOLPH", both being subdivisions in Randolph, Clay County, Missouri, together with vacated Third Street, vacated Locust Street, and the vacated alleys lying therein, all being more particularly described as follows: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Beginning at the Northeast corner of said Lot 1, "PLAN OF RANDOLPH SUBDIVISION OF EXHIBITS "B", "C", "E", AND "F", said corner being the intersection of the Southerly Right of Way line of the Norfolk &amp; Southern Railroad (formerly Wabash Railroad) and the West Right of Way line of Liberty Street, as both are now established; thence South 0 degrees 44 minutes 54 seconds West along the West Right of Way line of said Liberty Street, a distance of 500.92 feet to the Southeast corner of said Lot 6, Block 39, "PLAN OF RANDOLPH"; thence South 80 degrees 48 minutes 37 seconds West, along the South line of said Lot 6 and the South line of Lot 5 of said Block 39, a distance of 119.97 feet to a point on the Northerly Right of Way line of the Birmingham Drainage District as established by Condemnation Case No. 7087 filed in the Circuit Court of Clay County; thence North 74 degrees 47 minutes 13 seconds West, along said Northerly Right of Way line, a distance of 495.29 feet; thence Northerly continuing along said Northerly Right of Way line of the Birmingham Drainage District, along a curve to the left, having an initial tangent bearing of North 72 degrees 34 minutes 03 seconds West, a radius of 672.93 feet, and a central angle of 1 degree 25 minutes 20 seconds an arc distance of 16.70 feet to a point on the East Right of Way line of Interstate Highway Route No. 435, as condemned by the State of Missouri in Case No. 33895 in the Circuit Court of Clay County, Missouri, as set forth in the Report of Commissioners filed for record December 30, 1966 under Document No. C-7308 in Book 917 at Page 600; thence North 2 degrees 17 minutes 24 seconds East, along said East Right of Way line, a distance of 286.87 feet to a point on the aforesaid Southerly Right of Way line of the Norfolk &amp; Southern Railroad (formerly the Wabash Railroad); thence North 80 degrees 48 minutes 37 seconds East along said Southerly Right of Way line, a distance of 615.36 feet to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C</w:t>
      </w:r>
    </w:p>
    <w:p>
      <w:pPr>
        <w:sectPr>
          <w:pgSz w:w="11900" w:h="16838" w:orient="portrait"/>
          <w:cols w:equalWidth="0" w:num="1">
            <w:col w:w="11240"/>
          </w:cols>
          <w:pgMar w:left="320" w:top="1095" w:right="339" w:bottom="1440" w:gutter="0" w:footer="0" w:header="0"/>
        </w:sectPr>
      </w:pPr>
    </w:p>
    <w:bookmarkStart w:id="197" w:name="page198"/>
    <w:bookmarkEnd w:id="197"/>
    <w:p>
      <w:pPr>
        <w:ind w:left="10120"/>
        <w:spacing w:after="0"/>
        <w:rPr>
          <w:sz w:val="20"/>
          <w:szCs w:val="20"/>
          <w:color w:val="auto"/>
        </w:rPr>
      </w:pPr>
      <w:r>
        <w:rPr>
          <w:rFonts w:ascii="Arial" w:cs="Arial" w:eastAsia="Arial" w:hAnsi="Arial"/>
          <w:sz w:val="19"/>
          <w:szCs w:val="19"/>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LEASE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FOURTH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November 18, 2020, by and among </w:t>
      </w:r>
      <w:r>
        <w:rPr>
          <w:rFonts w:ascii="Arial" w:cs="Arial" w:eastAsia="Arial" w:hAnsi="Arial"/>
          <w:sz w:val="21"/>
          <w:szCs w:val="21"/>
          <w:b w:val="1"/>
          <w:bCs w:val="1"/>
          <w:color w:val="auto"/>
        </w:rPr>
        <w:t>HARRAH’S JOLIET LANDCO LLC</w:t>
      </w:r>
      <w:r>
        <w:rPr>
          <w:rFonts w:ascii="Arial" w:cs="Arial" w:eastAsia="Arial" w:hAnsi="Arial"/>
          <w:sz w:val="21"/>
          <w:szCs w:val="21"/>
          <w:color w:val="auto"/>
        </w:rPr>
        <w:t>, a Delaware limited liability company (together with its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w:t>
      </w:r>
      <w:r>
        <w:rPr>
          <w:rFonts w:ascii="Arial" w:cs="Arial" w:eastAsia="Arial" w:hAnsi="Arial"/>
          <w:sz w:val="21"/>
          <w:szCs w:val="21"/>
          <w:b w:val="1"/>
          <w:bCs w:val="1"/>
          <w:color w:val="auto"/>
        </w:rPr>
        <w:t>DES PLAINES DEVELOPMENT LIMITED PARTNERSHIP</w:t>
      </w:r>
      <w:r>
        <w:rPr>
          <w:rFonts w:ascii="Arial" w:cs="Arial" w:eastAsia="Arial" w:hAnsi="Arial"/>
          <w:sz w:val="21"/>
          <w:szCs w:val="21"/>
          <w:color w:val="auto"/>
        </w:rPr>
        <w:t>, a Delaware limited partnership (together with its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and, solely for the purposes of the last paragraph of Section 1.1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Tenant and, solely for the purposes of the last paragraph of Section 1.1 of the Lease, Propco TRS</w:t>
      </w:r>
      <w:r>
        <w:rPr>
          <w:rFonts w:ascii="Arial" w:cs="Arial" w:eastAsia="Arial" w:hAnsi="Arial"/>
          <w:sz w:val="19"/>
          <w:szCs w:val="19"/>
          <w:b w:val="1"/>
          <w:bCs w:val="1"/>
          <w:color w:val="auto"/>
        </w:rPr>
        <w:t xml:space="preserve"> </w:t>
      </w:r>
      <w:r>
        <w:rPr>
          <w:rFonts w:ascii="Arial" w:cs="Arial" w:eastAsia="Arial" w:hAnsi="Arial"/>
          <w:sz w:val="19"/>
          <w:szCs w:val="19"/>
          <w:color w:val="auto"/>
        </w:rPr>
        <w:t>are parties to that certain Lease (Joliet) dated as of October 6, 2017, as amended by that certain First Amendment to Lease (Joliet), dated as of December 26, 2018, as amended by that certain Omnibus Amendment to Leases, dated as of June 1, 2020, as amended by that certain Second Amendment to Lease (Joliet), dated as of July 20, 2020, as amended by that certain Third Amendment to Lease, dated as of September 30, 2020, and to the extent amended by that certain Amended and Restated Omnibus Amendment to Leases, dated as of October 27, 2020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(i) Bally’s Park Place LLC (“</w:t>
      </w:r>
      <w:r>
        <w:rPr>
          <w:rFonts w:ascii="Arial" w:cs="Arial" w:eastAsia="Arial" w:hAnsi="Arial"/>
          <w:sz w:val="21"/>
          <w:szCs w:val="21"/>
          <w:u w:val="single" w:color="auto"/>
          <w:color w:val="auto"/>
        </w:rPr>
        <w:t>Operator</w:t>
      </w:r>
      <w:r>
        <w:rPr>
          <w:rFonts w:ascii="Arial" w:cs="Arial" w:eastAsia="Arial" w:hAnsi="Arial"/>
          <w:sz w:val="21"/>
          <w:szCs w:val="21"/>
          <w:color w:val="auto"/>
        </w:rPr>
        <w:t>”), as operator, Bally’s Atlantic City LLC, as</w:t>
      </w:r>
      <w:r>
        <w:rPr>
          <w:rFonts w:ascii="Arial" w:cs="Arial" w:eastAsia="Arial" w:hAnsi="Arial"/>
          <w:sz w:val="21"/>
          <w:szCs w:val="21"/>
          <w:b w:val="1"/>
          <w:bCs w:val="1"/>
          <w:color w:val="auto"/>
        </w:rPr>
        <w:t xml:space="preserve"> </w:t>
      </w:r>
      <w:r>
        <w:rPr>
          <w:rFonts w:ascii="Arial" w:cs="Arial" w:eastAsia="Arial" w:hAnsi="Arial"/>
          <w:sz w:val="21"/>
          <w:szCs w:val="21"/>
          <w:color w:val="auto"/>
        </w:rPr>
        <w:t>seller, and Premier Entertainment AC, LLC (as successor by assignment to Twin River Management Group, Inc.) (“</w:t>
      </w:r>
      <w:r>
        <w:rPr>
          <w:rFonts w:ascii="Arial" w:cs="Arial" w:eastAsia="Arial" w:hAnsi="Arial"/>
          <w:sz w:val="21"/>
          <w:szCs w:val="21"/>
          <w:u w:val="single" w:color="auto"/>
          <w:color w:val="auto"/>
        </w:rPr>
        <w:t>Purchaser</w:t>
      </w:r>
      <w:r>
        <w:rPr>
          <w:rFonts w:ascii="Arial" w:cs="Arial" w:eastAsia="Arial" w:hAnsi="Arial"/>
          <w:sz w:val="21"/>
          <w:szCs w:val="21"/>
          <w:color w:val="auto"/>
        </w:rPr>
        <w:t>”), as purchaser, are closing a purchase and sale transaction under that certain Agreement of Sale, dated as of April 24, 2020, with respect to certain real property and (ii) Operator and Purchaser are closing a purchase and sale transaction under that certain Asset Purchase Agreement, dated as of April 24, 2020, with respect to certain casino and related operations and assets, in each case under clauses (i) and (ii), associated with the gaming and entertainment facility known as Bally’s Atlantic City, located in Atlantic City, New Jersey (the “</w:t>
      </w:r>
      <w:r>
        <w:rPr>
          <w:rFonts w:ascii="Arial" w:cs="Arial" w:eastAsia="Arial" w:hAnsi="Arial"/>
          <w:sz w:val="21"/>
          <w:szCs w:val="21"/>
          <w:u w:val="single" w:color="auto"/>
          <w:color w:val="auto"/>
        </w:rPr>
        <w:t>Bally’s Transaction</w:t>
      </w:r>
      <w:r>
        <w:rPr>
          <w:rFonts w:ascii="Arial" w:cs="Arial" w:eastAsia="Arial" w:hAnsi="Arial"/>
          <w:sz w:val="21"/>
          <w:szCs w:val="21"/>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Bally’s Transaction, the parties hereto desire to amend the Lease as set forth herein.</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26" w:lineRule="exact"/>
        <w:rPr>
          <w:sz w:val="20"/>
          <w:szCs w:val="20"/>
          <w:color w:val="auto"/>
        </w:rPr>
      </w:pPr>
    </w:p>
    <w:p>
      <w:pPr>
        <w:ind w:left="980" w:hanging="324"/>
        <w:spacing w:after="0" w:line="263" w:lineRule="auto"/>
        <w:tabs>
          <w:tab w:leader="none" w:pos="96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w:t>
      </w:r>
    </w:p>
    <w:p>
      <w:pPr>
        <w:sectPr>
          <w:pgSz w:w="11900" w:h="16838" w:orient="portrait"/>
          <w:cols w:equalWidth="0" w:num="1">
            <w:col w:w="11240"/>
          </w:cols>
          <w:pgMar w:left="320" w:top="126" w:right="339" w:bottom="1440" w:gutter="0" w:footer="0" w:header="0"/>
        </w:sectPr>
      </w:pPr>
    </w:p>
    <w:bookmarkStart w:id="198" w:name="page199"/>
    <w:bookmarkEnd w:id="198"/>
    <w:p>
      <w:pPr>
        <w:jc w:val="both"/>
        <w:ind w:left="324"/>
        <w:spacing w:after="0" w:line="253" w:lineRule="auto"/>
        <w:rPr>
          <w:sz w:val="20"/>
          <w:szCs w:val="20"/>
          <w:color w:val="auto"/>
        </w:rPr>
      </w:pPr>
      <w:r>
        <w:rPr>
          <w:rFonts w:ascii="Arial" w:cs="Arial" w:eastAsia="Arial" w:hAnsi="Arial"/>
          <w:sz w:val="22"/>
          <w:szCs w:val="22"/>
          <w:color w:val="auto"/>
        </w:rPr>
        <w:t>modified to replace the reference therein to “One Hundred Nineteen Million Three Hundred Thousand and No/100 Dollars ($119,300,000.00)” with a reference to “One Hundred Fourteen Million Five Hundred Thousand and No/100 Dollars ($114,500,000.00)”.</w:t>
      </w:r>
    </w:p>
    <w:p>
      <w:pPr>
        <w:spacing w:after="0" w:line="185" w:lineRule="exact"/>
        <w:rPr>
          <w:sz w:val="20"/>
          <w:szCs w:val="20"/>
          <w:color w:val="auto"/>
        </w:rPr>
      </w:pPr>
    </w:p>
    <w:p>
      <w:pPr>
        <w:jc w:val="both"/>
        <w:ind w:left="324" w:hanging="324"/>
        <w:spacing w:after="0" w:line="292" w:lineRule="auto"/>
        <w:tabs>
          <w:tab w:leader="none" w:pos="32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Annual Minimum Per-Lease B&amp;I Cap Ex Requirement</w:t>
      </w:r>
      <w:r>
        <w:rPr>
          <w:rFonts w:ascii="Arial" w:cs="Arial" w:eastAsia="Arial" w:hAnsi="Arial"/>
          <w:sz w:val="19"/>
          <w:szCs w:val="19"/>
          <w:color w:val="auto"/>
        </w:rPr>
        <w:t>. The Annual Minimum Per-Lease B&amp;I Cap Ex Requirement shall be unchanged by this Amendment. Further, Landlord and Tenant hereby acknowledge, for the avoidance of doubt, that the Net Revenue attributable to the Bally’s Facility (as defined in the Seventh Amendment to the Regional Lease being entered into concurrently with this Amendment) during the period the Bally’s Facility was included in the Regional Lease (i.e., during the period from the “Commencement Date” (as defined in the Regional Lease) until the date of this Amendment) shall be included for purposes of calculating the Capital Expenditures required under Section 10.5(a)(ii) of the Lease (i.e., the Annual Minimum Per-Lease B&amp;I Cap Ex Requirement).</w:t>
      </w:r>
    </w:p>
    <w:p>
      <w:pPr>
        <w:spacing w:after="0" w:line="150" w:lineRule="exact"/>
        <w:rPr>
          <w:rFonts w:ascii="Arial" w:cs="Arial" w:eastAsia="Arial" w:hAnsi="Arial"/>
          <w:sz w:val="19"/>
          <w:szCs w:val="19"/>
          <w:color w:val="auto"/>
        </w:rPr>
      </w:pPr>
    </w:p>
    <w:p>
      <w:pPr>
        <w:jc w:val="both"/>
        <w:ind w:left="324" w:hanging="324"/>
        <w:spacing w:after="0" w:line="265" w:lineRule="auto"/>
        <w:tabs>
          <w:tab w:leader="none" w:pos="312"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Triennial Allocated Minimum Cap Ex Amount B Floor</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Allocated Minimum Cap Ex Amount B Floor” is hereby revised and modified to replace the reference therein to “Three Hundred Twenty-Seven Million Eight Hundred Thousand and No/100 Dollars ($327,800,000.00)” with a reference to “Three Hundred Eleven Million and No/100 Dollars ($311,000,000.00)”.</w:t>
      </w:r>
    </w:p>
    <w:p>
      <w:pPr>
        <w:spacing w:after="0" w:line="175" w:lineRule="exact"/>
        <w:rPr>
          <w:rFonts w:ascii="Arial" w:cs="Arial" w:eastAsia="Arial" w:hAnsi="Arial"/>
          <w:sz w:val="21"/>
          <w:szCs w:val="21"/>
          <w:color w:val="auto"/>
        </w:rPr>
      </w:pPr>
    </w:p>
    <w:p>
      <w:pPr>
        <w:jc w:val="both"/>
        <w:ind w:left="324" w:hanging="324"/>
        <w:spacing w:after="0" w:line="265" w:lineRule="auto"/>
        <w:tabs>
          <w:tab w:leader="none" w:pos="324"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Ninety Million Three Hundred Thousand and No/100 Dollars ($590,300,000.00)” with a reference to “Five Hundred Sixty-Six Million Seven Hundred Thousand and No/100 Dollars ($566,700,000.00)”.</w:t>
      </w:r>
    </w:p>
    <w:p>
      <w:pPr>
        <w:spacing w:after="0" w:line="175" w:lineRule="exact"/>
        <w:rPr>
          <w:rFonts w:ascii="Arial" w:cs="Arial" w:eastAsia="Arial" w:hAnsi="Arial"/>
          <w:sz w:val="21"/>
          <w:szCs w:val="21"/>
          <w:color w:val="auto"/>
        </w:rPr>
      </w:pPr>
    </w:p>
    <w:p>
      <w:pPr>
        <w:jc w:val="both"/>
        <w:ind w:left="324" w:hanging="324"/>
        <w:spacing w:after="0" w:line="265" w:lineRule="auto"/>
        <w:tabs>
          <w:tab w:leader="none" w:pos="312"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“Four Hundred Twenty-One Million Nine Hundred Thousand and No/100 Dollars ($421,900,000.00)” with a reference to “Four Hundred Five Million Two Hundred Thousand and No/100 Dollars ($405,200,000.00)”.</w:t>
      </w:r>
    </w:p>
    <w:p>
      <w:pPr>
        <w:spacing w:after="0" w:line="175" w:lineRule="exact"/>
        <w:rPr>
          <w:rFonts w:ascii="Arial" w:cs="Arial" w:eastAsia="Arial" w:hAnsi="Arial"/>
          <w:sz w:val="21"/>
          <w:szCs w:val="21"/>
          <w:color w:val="auto"/>
        </w:rPr>
      </w:pPr>
    </w:p>
    <w:p>
      <w:pPr>
        <w:ind w:left="324" w:hanging="324"/>
        <w:spacing w:after="0"/>
        <w:tabs>
          <w:tab w:leader="none" w:pos="324"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964" w:hanging="430"/>
        <w:spacing w:after="0" w:line="294" w:lineRule="auto"/>
        <w:tabs>
          <w:tab w:leader="none" w:pos="96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Section 10.5(a)(v)(b) of the Lease is hereby amended to (a) replace the reference therein to “Five Hundred Ninety Million Three Hundred Thousand and No/100 Dollars ($590,300,000.00)” with a reference to “Five Hundred Sixty-Six Million Seven Hundred Thousand and No/100 Dollars ($566,700,000.00)” and (b) replace the reference therein to “One Hundred Ninety-Six Million Seven Hundred Sixty-Six Thousand Six Hundred Sixty-Six and 67/100 Dollars ($196,766,666.67)” with a reference to “One Hundred Eighty-Eight Million Nine Hundred Thousand and No/100 Dollars ($188,900,000.00)”,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104" w:right="339" w:bottom="1440" w:gutter="0" w:footer="0" w:header="0"/>
        </w:sectPr>
      </w:pPr>
    </w:p>
    <w:bookmarkStart w:id="199" w:name="page200"/>
    <w:bookmarkEnd w:id="199"/>
    <w:p>
      <w:pPr>
        <w:jc w:val="both"/>
        <w:ind w:left="1620" w:hanging="490"/>
        <w:spacing w:after="0" w:line="294" w:lineRule="auto"/>
        <w:tabs>
          <w:tab w:leader="none" w:pos="162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Section 10.5(a)(v)(c) of the Lease is hereby amended to (a) replace the reference therein to “Four Hundred Twenty-One Million Nine Hundred Thousand and No/100 Dollars ($421,900,000.00)” with a reference to “Four Hundred Five Million Two Hundred Thousand and No/100 Dollars ($405,200,000.00)” and (b) replace the reference therein to “One Hundred Forty Million Six Hundred Thirty-Three Thousand Three Hundred Thirty-Three and 33/100 Dollars ($140,633,333.33)” with a reference to “One Hundred Thirty-Five Million Sixty-Six Thousand Six Hundred Sixty-Six and 67/100 Dollars ($135,066,666.67)”, and</w:t>
      </w:r>
    </w:p>
    <w:p>
      <w:pPr>
        <w:spacing w:after="0" w:line="149" w:lineRule="exact"/>
        <w:rPr>
          <w:rFonts w:ascii="Arial" w:cs="Arial" w:eastAsia="Arial" w:hAnsi="Arial"/>
          <w:sz w:val="19"/>
          <w:szCs w:val="19"/>
          <w:color w:val="auto"/>
        </w:rPr>
      </w:pPr>
    </w:p>
    <w:p>
      <w:pPr>
        <w:jc w:val="both"/>
        <w:ind w:left="1620" w:hanging="550"/>
        <w:spacing w:after="0" w:line="257" w:lineRule="auto"/>
        <w:tabs>
          <w:tab w:leader="none" w:pos="162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second sentence of Section 10.5(a)(v) of the Lease is hereby amended to (a) replace the reference therein to “Five Hundred Ninety Million Three Hundred Thousand and No/100 Dollars ($590,300,000.00)” with a reference to “Five Hundred Sixty-Six Million Seven Hundred Thousand and No/100 Dollars ($566,700,000.00)”, (b) replace the reference therein to “One Hundred Ninety-Six Million Seven Hundred Sixty-Six Thousand Six Hundred Sixty-Six and 67/100 Dollars ($196,766,666.67)” with a reference to “One Hundred Eighty-Eight Million Nine Hundred Thousand and No/100 Dollars ($188,900,000.00)”, (c) replace the reference therein to “Four Hundred Twenty-One Million Nine Hundred Thousand and No/100 Dollars ($421,900,000.00)” with a reference to “Four Hundred Five Million Two Hundred Thousand and No/100 Dollars ($405,200,000.00)” and (d) replace the reference therein to “One Hundred Forty Million Six Hundred Thirty-Three Thousand Three Hundred Thirty-Three and 33/100 Dollars ($140,633,333.33)” with a reference to “One Hundred Thirty-Five Million Sixty-Six Thousand Six Hundred Sixty-Six and 67/100 Dollars ($135,066,666.67)”.</w:t>
      </w:r>
    </w:p>
    <w:p>
      <w:pPr>
        <w:spacing w:after="0" w:line="190" w:lineRule="exact"/>
        <w:rPr>
          <w:rFonts w:ascii="Arial" w:cs="Arial" w:eastAsia="Arial" w:hAnsi="Arial"/>
          <w:sz w:val="21"/>
          <w:szCs w:val="21"/>
          <w:color w:val="auto"/>
        </w:rPr>
      </w:pPr>
    </w:p>
    <w:p>
      <w:pPr>
        <w:ind w:left="980" w:hanging="324"/>
        <w:spacing w:after="0"/>
        <w:tabs>
          <w:tab w:leader="none" w:pos="98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22.2(ix) Transfer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620" w:hanging="430"/>
        <w:spacing w:after="0" w:line="312" w:lineRule="auto"/>
        <w:tabs>
          <w:tab w:leader="none" w:pos="162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Landlord and Tenant hereby acknowledge and agree that the Bally’s Transaction shall be deemed to be, and treated as, a transfer and sale of the entire “Leased Property” (as defined in the Regional Lease) with respect to a “Facility” (as defined in the Regional Lease) pursuant to Section 22.2(ix) of the Regional Lease.</w:t>
      </w:r>
    </w:p>
    <w:p>
      <w:pPr>
        <w:spacing w:after="0" w:line="133" w:lineRule="exact"/>
        <w:rPr>
          <w:rFonts w:ascii="Arial" w:cs="Arial" w:eastAsia="Arial" w:hAnsi="Arial"/>
          <w:sz w:val="19"/>
          <w:szCs w:val="19"/>
          <w:color w:val="auto"/>
        </w:rPr>
      </w:pPr>
    </w:p>
    <w:p>
      <w:pPr>
        <w:ind w:left="1620" w:hanging="490"/>
        <w:spacing w:after="0" w:line="263" w:lineRule="auto"/>
        <w:tabs>
          <w:tab w:leader="none" w:pos="162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 xml:space="preserve">The 2018 Facility EBITDAR of Regional Tenant for the Bally’s Facility is as set forth on </w:t>
      </w:r>
      <w:r>
        <w:rPr>
          <w:rFonts w:ascii="Arial" w:cs="Arial" w:eastAsia="Arial" w:hAnsi="Arial"/>
          <w:sz w:val="22"/>
          <w:szCs w:val="22"/>
          <w:u w:val="single" w:color="auto"/>
          <w:color w:val="auto"/>
        </w:rPr>
        <w:t>Schedule C-2</w:t>
      </w:r>
      <w:r>
        <w:rPr>
          <w:rFonts w:ascii="Arial" w:cs="Arial" w:eastAsia="Arial" w:hAnsi="Arial"/>
          <w:sz w:val="22"/>
          <w:szCs w:val="22"/>
          <w:color w:val="auto"/>
        </w:rPr>
        <w:t xml:space="preserve"> annexed to the Seventh Amendment to the Regional Lease.</w:t>
      </w:r>
    </w:p>
    <w:p>
      <w:pPr>
        <w:spacing w:after="0" w:line="174" w:lineRule="exact"/>
        <w:rPr>
          <w:rFonts w:ascii="Arial" w:cs="Arial" w:eastAsia="Arial" w:hAnsi="Arial"/>
          <w:sz w:val="22"/>
          <w:szCs w:val="22"/>
          <w:color w:val="auto"/>
        </w:rPr>
      </w:pPr>
    </w:p>
    <w:p>
      <w:pPr>
        <w:jc w:val="both"/>
        <w:ind w:left="1620" w:hanging="550"/>
        <w:spacing w:after="0" w:line="271" w:lineRule="auto"/>
        <w:tabs>
          <w:tab w:leader="none" w:pos="162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The amount of the 2018 EBITDAR Pool shall not be reduced as a result of the Bally’s Facility no longer being a Regional Facility under the Regional Lease, and the removal of the Bally’s Facility from the Regional Lease shall not constitute a L1 Transfer or a L2 Transfer under the Regional Lease.</w:t>
      </w:r>
    </w:p>
    <w:p>
      <w:pPr>
        <w:spacing w:after="0" w:line="161" w:lineRule="exact"/>
        <w:rPr>
          <w:sz w:val="20"/>
          <w:szCs w:val="20"/>
          <w:color w:val="auto"/>
        </w:rPr>
      </w:pPr>
    </w:p>
    <w:p>
      <w:pPr>
        <w:ind w:firstLine="656"/>
        <w:spacing w:after="0" w:line="269" w:lineRule="auto"/>
        <w:tabs>
          <w:tab w:leader="none" w:pos="1296"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04" w:right="339" w:bottom="1440" w:gutter="0" w:footer="0" w:header="0"/>
        </w:sectPr>
      </w:pPr>
    </w:p>
    <w:bookmarkStart w:id="200" w:name="page201"/>
    <w:bookmarkEnd w:id="200"/>
    <w:p>
      <w:pPr>
        <w:spacing w:after="0" w:line="263" w:lineRule="auto"/>
        <w:rPr>
          <w:sz w:val="20"/>
          <w:szCs w:val="20"/>
          <w:color w:val="auto"/>
        </w:rPr>
      </w:pPr>
      <w:r>
        <w:rPr>
          <w:rFonts w:ascii="Arial" w:cs="Arial" w:eastAsia="Arial" w:hAnsi="Arial"/>
          <w:sz w:val="22"/>
          <w:szCs w:val="22"/>
          <w:color w:val="auto"/>
        </w:rPr>
        <w:t>after the date of this Amendment, all references in the Lease to the “Lease” shall be deemed to refer to the Lease as amended by this Amendment.</w:t>
      </w:r>
    </w:p>
    <w:p>
      <w:pPr>
        <w:spacing w:after="0" w:line="169" w:lineRule="exact"/>
        <w:rPr>
          <w:sz w:val="20"/>
          <w:szCs w:val="20"/>
          <w:color w:val="auto"/>
        </w:rPr>
      </w:pPr>
    </w:p>
    <w:p>
      <w:pPr>
        <w:jc w:val="both"/>
        <w:ind w:firstLine="656"/>
        <w:spacing w:after="0" w:line="252" w:lineRule="auto"/>
        <w:tabs>
          <w:tab w:leader="none" w:pos="1296"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Thi</w:t>
      </w:r>
      <w:r>
        <w:rPr>
          <w:rFonts w:ascii="Arial" w:cs="Arial" w:eastAsia="Arial" w:hAnsi="Arial"/>
          <w:sz w:val="22"/>
          <w:szCs w:val="22"/>
          <w:b w:val="1"/>
          <w:bCs w:val="1"/>
          <w:color w:val="auto"/>
        </w:rPr>
        <w:t xml:space="preserve">s </w:t>
      </w:r>
      <w:r>
        <w:rPr>
          <w:rFonts w:ascii="Arial" w:cs="Arial" w:eastAsia="Arial" w:hAnsi="Arial"/>
          <w:sz w:val="22"/>
          <w:szCs w:val="22"/>
          <w:color w:val="auto"/>
        </w:rPr>
        <w:t>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b w:val="1"/>
          <w:bCs w:val="1"/>
          <w:color w:val="auto"/>
        </w:rPr>
      </w:pPr>
    </w:p>
    <w:p>
      <w:pPr>
        <w:jc w:val="both"/>
        <w:ind w:firstLine="656"/>
        <w:spacing w:after="0" w:line="260" w:lineRule="auto"/>
        <w:tabs>
          <w:tab w:leader="none" w:pos="1296" w:val="left"/>
        </w:tabs>
        <w:numPr>
          <w:ilvl w:val="0"/>
          <w:numId w:val="133"/>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04" w:right="339" w:bottom="1440" w:gutter="0" w:footer="0" w:header="0"/>
        </w:sectPr>
      </w:pPr>
    </w:p>
    <w:bookmarkStart w:id="201" w:name="page202"/>
    <w:bookmarkEnd w:id="20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JOLIET LANDCO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9996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David Kieske</w:t>
      </w:r>
    </w:p>
    <w:p>
      <w:pPr>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Fourth Amendment to Joliet Lease]</w:t>
      </w:r>
    </w:p>
    <w:p>
      <w:pPr>
        <w:sectPr>
          <w:pgSz w:w="11900" w:h="16838" w:orient="portrait"/>
          <w:cols w:equalWidth="0" w:num="1">
            <w:col w:w="11220"/>
          </w:cols>
          <w:pgMar w:left="320" w:top="1095" w:right="35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b w:val="1"/>
          <w:bCs w:val="1"/>
          <w:color w:val="auto"/>
        </w:rPr>
        <w:t>TENANT:</w:t>
      </w:r>
    </w:p>
    <w:p>
      <w:pPr>
        <w:spacing w:after="0" w:line="216" w:lineRule="exact"/>
        <w:rPr>
          <w:sz w:val="20"/>
          <w:szCs w:val="20"/>
          <w:color w:val="auto"/>
        </w:rPr>
      </w:pPr>
    </w:p>
    <w:p>
      <w:pPr>
        <w:ind w:right="4839"/>
        <w:spacing w:after="0" w:line="267" w:lineRule="auto"/>
        <w:rPr>
          <w:sz w:val="20"/>
          <w:szCs w:val="20"/>
          <w:color w:val="auto"/>
        </w:rPr>
      </w:pPr>
      <w:r>
        <w:rPr>
          <w:rFonts w:ascii="Arial" w:cs="Arial" w:eastAsia="Arial" w:hAnsi="Arial"/>
          <w:sz w:val="20"/>
          <w:szCs w:val="20"/>
          <w:b w:val="1"/>
          <w:bCs w:val="1"/>
          <w:color w:val="auto"/>
        </w:rPr>
        <w:t xml:space="preserve">DES PLAINES DEVELOPMENT LIMITED PARTNERSHIP, </w:t>
      </w:r>
      <w:r>
        <w:rPr>
          <w:rFonts w:ascii="Arial" w:cs="Arial" w:eastAsia="Arial" w:hAnsi="Arial"/>
          <w:sz w:val="20"/>
          <w:szCs w:val="20"/>
          <w:color w:val="auto"/>
        </w:rPr>
        <w:t>a Delaware limited partnership</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By:</w:t>
        <w:tab/>
        <w:t>Harrah’s Illinois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Nevada limited liability company,</w:t>
      </w:r>
    </w:p>
    <w:p>
      <w:pPr>
        <w:ind w:left="2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762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 Edmund L. Quatmann, Jr.</w:t>
      </w:r>
    </w:p>
    <w:p>
      <w:pPr>
        <w:ind w:left="200"/>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80"/>
        <w:spacing w:after="0"/>
        <w:rPr>
          <w:sz w:val="20"/>
          <w:szCs w:val="20"/>
          <w:color w:val="auto"/>
        </w:rPr>
      </w:pPr>
      <w:r>
        <w:rPr>
          <w:rFonts w:ascii="Arial" w:cs="Arial" w:eastAsia="Arial" w:hAnsi="Arial"/>
          <w:sz w:val="18"/>
          <w:szCs w:val="18"/>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[Signature Page to Fourth Amendment to Joliet Lease]</w:t>
      </w:r>
    </w:p>
    <w:p>
      <w:pPr>
        <w:sectPr>
          <w:pgSz w:w="11900" w:h="16838" w:orient="portrait"/>
          <w:cols w:equalWidth="0" w:num="1">
            <w:col w:w="10139"/>
          </w:cols>
          <w:pgMar w:left="320" w:top="1089" w:right="1440"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Acknowledged and agreed, solely for the purposes of the last paragraph of Section 1.1 of the Lease: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PROPCO TRS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By: /s/ David Kieske__________________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999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 David Kieske</w:t>
      </w:r>
    </w:p>
    <w:p>
      <w:pPr>
        <w:ind w:left="2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351" w:lineRule="exact"/>
        <w:rPr>
          <w:sz w:val="20"/>
          <w:szCs w:val="20"/>
          <w:color w:val="auto"/>
        </w:rPr>
      </w:pPr>
    </w:p>
    <w:p>
      <w:pPr>
        <w:ind w:left="388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[Signature Page to Fourth Amendment to Joliet Lease]</w:t>
      </w:r>
    </w:p>
    <w:p>
      <w:pPr>
        <w:sectPr>
          <w:pgSz w:w="11900" w:h="16838" w:orient="portrait"/>
          <w:cols w:equalWidth="0" w:num="1">
            <w:col w:w="10139"/>
          </w:cols>
          <w:pgMar w:left="320" w:top="1095" w:right="1440"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 xml:space="preserve">CEOC, LLC </w:t>
      </w:r>
      <w:r>
        <w:rPr>
          <w:rFonts w:ascii="Arial" w:cs="Arial" w:eastAsia="Arial" w:hAnsi="Arial"/>
          <w:sz w:val="18"/>
          <w:szCs w:val="18"/>
          <w:color w:val="auto"/>
        </w:rPr>
        <w:t>hereby acknowledges this Amendment and reaffirms its joinder attached to the Lease.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CEOC, LLC,</w:t>
      </w: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762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[Signature Page to Fourth Amendment to Joliet Lease]</w:t>
      </w:r>
    </w:p>
    <w:p>
      <w:pPr>
        <w:sectPr>
          <w:pgSz w:w="11900" w:h="16838" w:orient="portrait"/>
          <w:cols w:equalWidth="0" w:num="1">
            <w:col w:w="10139"/>
          </w:cols>
          <w:pgMar w:left="320" w:top="1089"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20"/>
          <w:szCs w:val="20"/>
          <w:b w:val="1"/>
          <w:bCs w:val="1"/>
          <w:color w:val="auto"/>
        </w:rPr>
        <w:t>ACKNOWLEDGMENT AND AGREEMENT OF GUARANTOR</w:t>
      </w:r>
    </w:p>
    <w:p>
      <w:pPr>
        <w:spacing w:after="0" w:line="33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Fourth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November 18, 2020,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88" w:lineRule="exact"/>
        <w:rPr>
          <w:sz w:val="20"/>
          <w:szCs w:val="20"/>
          <w:color w:val="auto"/>
        </w:rPr>
      </w:pPr>
    </w:p>
    <w:p>
      <w:pPr>
        <w:jc w:val="both"/>
        <w:ind w:firstLine="294"/>
        <w:spacing w:after="0" w:line="260" w:lineRule="auto"/>
        <w:rPr>
          <w:sz w:val="20"/>
          <w:szCs w:val="20"/>
          <w:color w:val="auto"/>
        </w:rPr>
      </w:pPr>
      <w:r>
        <w:rPr>
          <w:rFonts w:ascii="Arial" w:cs="Arial" w:eastAsia="Arial" w:hAnsi="Arial"/>
          <w:sz w:val="20"/>
          <w:szCs w:val="20"/>
          <w:color w:val="auto"/>
        </w:rPr>
        <w:t>IN WITNESS WHEREOF, the undersigned has caused this Acknowledgment and Agreement of Guarantor to be duly executed as of November 18, 2020.</w:t>
      </w:r>
    </w:p>
    <w:p>
      <w:pPr>
        <w:sectPr>
          <w:pgSz w:w="11900" w:h="16838" w:orient="portrait"/>
          <w:cols w:equalWidth="0" w:num="1">
            <w:col w:w="11240"/>
          </w:cols>
          <w:pgMar w:left="320" w:top="1089"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color w:val="auto"/>
        </w:rPr>
        <w:t>CAESARS ENTERTAINMENT, INC.</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By: /s/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63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Edmund L. Quatmann, Jr.</w:t>
      </w:r>
    </w:p>
    <w:p>
      <w:pPr>
        <w:spacing w:after="0"/>
        <w:rPr>
          <w:sz w:val="20"/>
          <w:szCs w:val="20"/>
          <w:color w:val="auto"/>
        </w:rPr>
      </w:pPr>
      <w:r>
        <w:rPr>
          <w:rFonts w:ascii="Arial" w:cs="Arial" w:eastAsia="Arial" w:hAnsi="Arial"/>
          <w:sz w:val="20"/>
          <w:szCs w:val="20"/>
          <w:color w:val="auto"/>
        </w:rPr>
        <w:t>Title: Chief Legal Officer, Executive Vice President and Secretary</w:t>
      </w:r>
    </w:p>
    <w:p>
      <w:pPr>
        <w:spacing w:after="0" w:line="200" w:lineRule="exact"/>
        <w:rPr>
          <w:sz w:val="20"/>
          <w:szCs w:val="20"/>
          <w:color w:val="auto"/>
        </w:rPr>
      </w:pPr>
    </w:p>
    <w:p>
      <w:pPr>
        <w:spacing w:after="0" w:line="399" w:lineRule="exact"/>
        <w:rPr>
          <w:sz w:val="20"/>
          <w:szCs w:val="20"/>
          <w:color w:val="auto"/>
        </w:rPr>
      </w:pPr>
    </w:p>
    <w:p>
      <w:pPr>
        <w:jc w:val="right"/>
        <w:ind w:right="2599"/>
        <w:spacing w:after="0"/>
        <w:rPr>
          <w:sz w:val="20"/>
          <w:szCs w:val="20"/>
          <w:color w:val="auto"/>
        </w:rPr>
      </w:pPr>
      <w:r>
        <w:rPr>
          <w:rFonts w:ascii="Arial" w:cs="Arial" w:eastAsia="Arial" w:hAnsi="Arial"/>
          <w:sz w:val="14"/>
          <w:szCs w:val="14"/>
          <w:i w:val="1"/>
          <w:iCs w:val="1"/>
          <w:color w:val="auto"/>
        </w:rPr>
        <w:t>[Signature Page to Acknowledgment and Agreement of Guarantor]</w:t>
      </w:r>
    </w:p>
    <w:p>
      <w:pPr>
        <w:sectPr>
          <w:pgSz w:w="11900" w:h="16838" w:orient="portrait"/>
          <w:cols w:equalWidth="0" w:num="1">
            <w:col w:w="10139"/>
          </w:cols>
          <w:pgMar w:left="320" w:top="1089"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0" w:type="dxa"/>
            <w:vAlign w:val="bottom"/>
            <w:gridSpan w:val="4"/>
          </w:tcPr>
          <w:p>
            <w:pPr>
              <w:spacing w:after="0"/>
              <w:rPr>
                <w:sz w:val="20"/>
                <w:szCs w:val="20"/>
                <w:color w:val="auto"/>
              </w:rPr>
            </w:pPr>
            <w:r>
              <w:rPr>
                <w:rFonts w:ascii="Arial" w:cs="Arial" w:eastAsia="Arial" w:hAnsi="Arial"/>
                <w:sz w:val="18"/>
                <w:szCs w:val="18"/>
                <w:b w:val="1"/>
                <w:bCs w:val="1"/>
                <w:color w:val="auto"/>
              </w:rPr>
              <w:t>Subsidiaries of VICI Properties Inc.</w:t>
            </w: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83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Entity</w:t>
            </w:r>
          </w:p>
        </w:tc>
        <w:tc>
          <w:tcPr>
            <w:tcW w:w="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Biloxi Hammond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Bluegrass Downs Property Owner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Atlantic City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Caesars Southern Indiana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Cape G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Cascata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Centaur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Chariot Run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Cincinnati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Claudine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Claudine Property Owner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Cleveland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CPLV Property Owner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Grand Bear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Grand Biloxi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Greektown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Atlantic City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Harrah’s Bossier City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Louisiana</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Council Bluffs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Harrah’s Joliet LandCo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Lake Tahoe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Harrah’s Metropolis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New Orleans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Harrah’s Reno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Harvey’s Lake Tahoe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Horseshoe Bossier City Prop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Louisiana</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Horseshoe Council Bluffs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Horseshoe Tunica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Lady Luck C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Laughlin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Margaritaville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Miscellaneous Land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Mountaineer CRR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New Harrah’s North Kansas City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Horseshoe Hammond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80"/>
              <w:spacing w:after="0"/>
              <w:rPr>
                <w:sz w:val="20"/>
                <w:szCs w:val="20"/>
                <w:color w:val="auto"/>
              </w:rPr>
            </w:pPr>
            <w:r>
              <w:rPr>
                <w:rFonts w:ascii="Arial" w:cs="Arial" w:eastAsia="Arial" w:hAnsi="Arial"/>
                <w:sz w:val="18"/>
                <w:szCs w:val="18"/>
                <w:color w:val="auto"/>
              </w:rPr>
              <w:t>New Laughlin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Tunica Roadhouse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Philadelphia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Propco Gulfport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Propco TRS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Rio Secco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Riverview Properties 1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Thistledown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60"/>
              <w:spacing w:after="0"/>
              <w:rPr>
                <w:sz w:val="20"/>
                <w:szCs w:val="20"/>
                <w:color w:val="auto"/>
              </w:rPr>
            </w:pPr>
            <w:r>
              <w:rPr>
                <w:rFonts w:ascii="Arial" w:cs="Arial" w:eastAsia="Arial" w:hAnsi="Arial"/>
                <w:sz w:val="18"/>
                <w:szCs w:val="18"/>
                <w:color w:val="auto"/>
              </w:rPr>
              <w:t>Vegas Development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Vegas Operating Property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tcPr>
          <w:p>
            <w:pPr>
              <w:ind w:left="60"/>
              <w:spacing w:after="0"/>
              <w:rPr>
                <w:sz w:val="20"/>
                <w:szCs w:val="20"/>
                <w:color w:val="auto"/>
              </w:rPr>
            </w:pPr>
            <w:r>
              <w:rPr>
                <w:rFonts w:ascii="Arial" w:cs="Arial" w:eastAsia="Arial" w:hAnsi="Arial"/>
                <w:sz w:val="18"/>
                <w:szCs w:val="18"/>
                <w:color w:val="auto"/>
              </w:rPr>
              <w:t>VICI CP Lendco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Golf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tcPr>
          <w:p>
            <w:pPr>
              <w:ind w:left="60"/>
              <w:spacing w:after="0"/>
              <w:rPr>
                <w:sz w:val="20"/>
                <w:szCs w:val="20"/>
                <w:color w:val="auto"/>
              </w:rPr>
            </w:pPr>
            <w:r>
              <w:rPr>
                <w:rFonts w:ascii="Arial" w:cs="Arial" w:eastAsia="Arial" w:hAnsi="Arial"/>
                <w:sz w:val="18"/>
                <w:szCs w:val="18"/>
                <w:color w:val="auto"/>
              </w:rPr>
              <w:t>VICI Greenfield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Lendco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tcPr>
          <w:p>
            <w:pPr>
              <w:ind w:left="60"/>
              <w:spacing w:after="0"/>
              <w:rPr>
                <w:sz w:val="20"/>
                <w:szCs w:val="20"/>
                <w:color w:val="auto"/>
              </w:rPr>
            </w:pPr>
            <w:r>
              <w:rPr>
                <w:rFonts w:ascii="Arial" w:cs="Arial" w:eastAsia="Arial" w:hAnsi="Arial"/>
                <w:sz w:val="18"/>
                <w:szCs w:val="18"/>
                <w:color w:val="auto"/>
              </w:rPr>
              <w:t>VICI Note Co. Inc.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Properties 1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tcPr>
          <w:p>
            <w:pPr>
              <w:ind w:left="60"/>
              <w:spacing w:after="0"/>
              <w:rPr>
                <w:sz w:val="20"/>
                <w:szCs w:val="20"/>
                <w:color w:val="auto"/>
              </w:rPr>
            </w:pPr>
            <w:r>
              <w:rPr>
                <w:rFonts w:ascii="Arial" w:cs="Arial" w:eastAsia="Arial" w:hAnsi="Arial"/>
                <w:sz w:val="18"/>
                <w:szCs w:val="18"/>
                <w:color w:val="auto"/>
              </w:rPr>
              <w:t>VICI Properties GP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Properties L.P.</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tcPr>
          <w:p>
            <w:pPr>
              <w:ind w:left="60"/>
              <w:spacing w:after="0"/>
              <w:rPr>
                <w:sz w:val="20"/>
                <w:szCs w:val="20"/>
                <w:color w:val="auto"/>
              </w:rPr>
            </w:pPr>
            <w:r>
              <w:rPr>
                <w:rFonts w:ascii="Arial" w:cs="Arial" w:eastAsia="Arial" w:hAnsi="Arial"/>
                <w:sz w:val="18"/>
                <w:szCs w:val="18"/>
                <w:color w:val="auto"/>
              </w:rPr>
              <w:t>VICI Revolving Lendco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WWW Propco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908"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We consent to the incorporation by reference in Registration Statement No. 333-220949 on Form S-8 and Registration Statement No. 333-227641 on Form S-3 of our reports dated February 18, 2021, relating to the consolidated financial statements and financial statement schedules of VICI Properties Inc. and subsidiaries, and the effectiveness of VICI Properties Inc. and subsidiaries’ internal control over financial reporting, appearing in this Annual Report on Form 10-K for the year ended December 31, 2020.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18, 2021</w:t>
      </w:r>
    </w:p>
    <w:p>
      <w:pPr>
        <w:sectPr>
          <w:pgSz w:w="11900" w:h="16838" w:orient="portrait"/>
          <w:cols w:equalWidth="0" w:num="1">
            <w:col w:w="11240"/>
          </w:cols>
          <w:pgMar w:left="320" w:top="886"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18, 2021</w:t>
      </w:r>
    </w:p>
    <w:p>
      <w:pPr>
        <w:spacing w:after="0" w:line="23" w:lineRule="exact"/>
        <w:rPr>
          <w:sz w:val="20"/>
          <w:szCs w:val="20"/>
          <w:color w:val="auto"/>
        </w:rPr>
      </w:pPr>
    </w:p>
    <w:p>
      <w:pPr>
        <w:ind w:left="458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18, 2021</w:t>
      </w:r>
    </w:p>
    <w:p>
      <w:pPr>
        <w:spacing w:after="0" w:line="23" w:lineRule="exact"/>
        <w:rPr>
          <w:sz w:val="20"/>
          <w:szCs w:val="20"/>
          <w:color w:val="auto"/>
        </w:rPr>
      </w:pPr>
    </w:p>
    <w:p>
      <w:pPr>
        <w:ind w:left="458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3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2020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18, 2021</w:t>
      </w:r>
    </w:p>
    <w:p>
      <w:pPr>
        <w:spacing w:after="0" w:line="23" w:lineRule="exact"/>
        <w:rPr>
          <w:sz w:val="20"/>
          <w:szCs w:val="20"/>
          <w:color w:val="auto"/>
        </w:rPr>
      </w:pPr>
    </w:p>
    <w:p>
      <w:pPr>
        <w:ind w:left="458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3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2020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18, 2021</w:t>
      </w:r>
    </w:p>
    <w:p>
      <w:pPr>
        <w:spacing w:after="0" w:line="23" w:lineRule="exact"/>
        <w:rPr>
          <w:sz w:val="20"/>
          <w:szCs w:val="20"/>
          <w:color w:val="auto"/>
        </w:rPr>
      </w:pPr>
    </w:p>
    <w:p>
      <w:pPr>
        <w:ind w:left="458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1)"/>
      <w:numFmt w:val="decimal"/>
      <w:start w:val="1"/>
    </w:lvl>
  </w:abstractNum>
  <w:abstractNum w:abstractNumId="7">
    <w:nsid w:val="168E121F"/>
    <w:multiLevelType w:val="hybridMultilevel"/>
    <w:lvl w:ilvl="0">
      <w:lvlJc w:val="left"/>
      <w:lvlText w:val="(%1)"/>
      <w:numFmt w:val="lowerRoman"/>
      <w:start w:val="1"/>
    </w:lvl>
  </w:abstractNum>
  <w:abstractNum w:abstractNumId="8">
    <w:nsid w:val="1EBA5D23"/>
    <w:multiLevelType w:val="hybridMultilevel"/>
    <w:lvl w:ilvl="0">
      <w:lvlJc w:val="left"/>
      <w:lvlText w:val="(%1)"/>
      <w:numFmt w:val="lowerRoman"/>
      <w:start w:val="2"/>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lvl w:ilvl="1">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1)"/>
      <w:numFmt w:val="decimal"/>
      <w:start w:val="1"/>
    </w:lvl>
  </w:abstractNum>
  <w:abstractNum w:abstractNumId="33">
    <w:nsid w:val="6F6DD9AC"/>
    <w:multiLevelType w:val="hybridMultilevel"/>
    <w:lvl w:ilvl="0">
      <w:lvlJc w:val="left"/>
      <w:lvlText w:val="(%1)"/>
      <w:numFmt w:val="decimal"/>
      <w:start w:val="1"/>
    </w:lvl>
  </w:abstractNum>
  <w:abstractNum w:abstractNumId="34">
    <w:nsid w:val="94211F2"/>
    <w:multiLevelType w:val="hybridMultilevel"/>
    <w:lvl w:ilvl="0">
      <w:lvlJc w:val="left"/>
      <w:lvlText w:val="(%1)"/>
      <w:numFmt w:val="decimal"/>
      <w:start w:val="2"/>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1)"/>
      <w:numFmt w:val="decimal"/>
      <w:start w:val="1"/>
    </w:lvl>
  </w:abstractNum>
  <w:abstractNum w:abstractNumId="41">
    <w:nsid w:val="74DE0EE3"/>
    <w:multiLevelType w:val="hybridMultilevel"/>
    <w:lvl w:ilvl="0">
      <w:lvlJc w:val="left"/>
      <w:lvlText w:val="%1"/>
      <w:numFmt w:val="decimal"/>
      <w:start w:val="104"/>
    </w:lvl>
  </w:abstractNum>
  <w:abstractNum w:abstractNumId="42">
    <w:nsid w:val="68EBC550"/>
    <w:multiLevelType w:val="hybridMultilevel"/>
    <w:lvl w:ilvl="0">
      <w:lvlJc w:val="left"/>
      <w:lvlText w:val="•"/>
      <w:numFmt w:val="bullet"/>
      <w:start w:val="1"/>
    </w:lvl>
    <w:lvl w:ilvl="1">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lvl w:ilvl="1">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1)"/>
      <w:numFmt w:val="decimal"/>
      <w:start w:val="1"/>
    </w:lvl>
  </w:abstractNum>
  <w:abstractNum w:abstractNumId="51">
    <w:nsid w:val="26F324BA"/>
    <w:multiLevelType w:val="hybridMultilevel"/>
    <w:lvl w:ilvl="0">
      <w:lvlJc w:val="left"/>
      <w:lvlText w:val="(%1)"/>
      <w:numFmt w:val="decimal"/>
      <w:start w:val="1"/>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1)"/>
      <w:numFmt w:val="decimal"/>
      <w:start w:val="1"/>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15"/>
    </w:lvl>
  </w:abstractNum>
  <w:abstractNum w:abstractNumId="56">
    <w:nsid w:val="50801EE1"/>
    <w:multiLevelType w:val="hybridMultilevel"/>
    <w:lvl w:ilvl="0">
      <w:lvlJc w:val="left"/>
      <w:lvlText w:val="(%1)"/>
      <w:numFmt w:val="decimal"/>
      <w:start w:val="1"/>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lowerRoman"/>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1)"/>
      <w:numFmt w:val="decimal"/>
      <w:start w:val="1"/>
    </w:lvl>
  </w:abstractNum>
  <w:abstractNum w:abstractNumId="61">
    <w:nsid w:val="6FC75AF8"/>
    <w:multiLevelType w:val="hybridMultilevel"/>
    <w:lvl w:ilvl="0">
      <w:lvlJc w:val="left"/>
      <w:lvlText w:val="(%1)"/>
      <w:numFmt w:val="decimal"/>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lowerRoman"/>
      <w:start w:val="3"/>
    </w:lvl>
  </w:abstractNum>
  <w:abstractNum w:abstractNumId="65">
    <w:nsid w:val="73A1821B"/>
    <w:multiLevelType w:val="hybridMultilevel"/>
    <w:lvl w:ilvl="0">
      <w:lvlJc w:val="left"/>
      <w:lvlText w:val="(%1)"/>
      <w:numFmt w:val="lowerRoman"/>
      <w:start w:val="8"/>
    </w:lvl>
  </w:abstractNum>
  <w:abstractNum w:abstractNumId="66">
    <w:nsid w:val="7DE67713"/>
    <w:multiLevelType w:val="hybridMultilevel"/>
    <w:lvl w:ilvl="0">
      <w:lvlJc w:val="left"/>
      <w:lvlText w:val="(%1)"/>
      <w:numFmt w:val="decimal"/>
      <w:start w:val="1"/>
    </w:lvl>
  </w:abstractNum>
  <w:abstractNum w:abstractNumId="67">
    <w:nsid w:val="555C55B5"/>
    <w:multiLevelType w:val="hybridMultilevel"/>
    <w:lvl w:ilvl="0">
      <w:lvlJc w:val="left"/>
      <w:lvlText w:val="(%1)"/>
      <w:numFmt w:val="decimal"/>
      <w:start w:val="1"/>
    </w:lvl>
  </w:abstractNum>
  <w:abstractNum w:abstractNumId="68">
    <w:nsid w:val="3FA62ACA"/>
    <w:multiLevelType w:val="hybridMultilevel"/>
    <w:lvl w:ilvl="0">
      <w:lvlJc w:val="left"/>
      <w:lvlText w:val="(%1)"/>
      <w:numFmt w:val="decimal"/>
      <w:start w:val="1"/>
    </w:lvl>
  </w:abstractNum>
  <w:abstractNum w:abstractNumId="69">
    <w:nsid w:val="14FCE74E"/>
    <w:multiLevelType w:val="hybridMultilevel"/>
    <w:lvl w:ilvl="0">
      <w:lvlJc w:val="left"/>
      <w:lvlText w:val="(%1)"/>
      <w:numFmt w:val="decimal"/>
      <w:start w:val="1"/>
    </w:lvl>
  </w:abstractNum>
  <w:abstractNum w:abstractNumId="70">
    <w:nsid w:val="6A3DD3E8"/>
    <w:multiLevelType w:val="hybridMultilevel"/>
    <w:lvl w:ilvl="0">
      <w:lvlJc w:val="left"/>
      <w:lvlText w:val="(%1)"/>
      <w:numFmt w:val="decimal"/>
      <w:start w:val="1"/>
    </w:lvl>
  </w:abstractNum>
  <w:abstractNum w:abstractNumId="71">
    <w:nsid w:val="71C91298"/>
    <w:multiLevelType w:val="hybridMultilevel"/>
    <w:lvl w:ilvl="0">
      <w:lvlJc w:val="left"/>
      <w:lvlText w:val="(%1)"/>
      <w:numFmt w:val="decimal"/>
      <w:start w:val="1"/>
    </w:lvl>
  </w:abstractNum>
  <w:abstractNum w:abstractNumId="72">
    <w:nsid w:val="9DAF632"/>
    <w:multiLevelType w:val="hybridMultilevel"/>
    <w:lvl w:ilvl="0">
      <w:lvlJc w:val="left"/>
      <w:lvlText w:val="(%1)"/>
      <w:numFmt w:val="decimal"/>
      <w:start w:val="1"/>
    </w:lvl>
  </w:abstractNum>
  <w:abstractNum w:abstractNumId="73">
    <w:nsid w:val="53299938"/>
    <w:multiLevelType w:val="hybridMultilevel"/>
    <w:lvl w:ilvl="0">
      <w:lvlJc w:val="left"/>
      <w:lvlText w:val="(%1)"/>
      <w:numFmt w:val="decimal"/>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1."/>
      <w:numFmt w:val="decimal"/>
      <w:start w:val="2"/>
    </w:lvl>
  </w:abstractNum>
  <w:abstractNum w:abstractNumId="76">
    <w:nsid w:val="1D545C4D"/>
    <w:multiLevelType w:val="hybridMultilevel"/>
    <w:lvl w:ilvl="0">
      <w:lvlJc w:val="left"/>
      <w:lvlText w:val="%1."/>
      <w:numFmt w:val="decimal"/>
      <w:start w:val="3"/>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1)"/>
      <w:numFmt w:val="lowerLetter"/>
      <w:start w:val="1"/>
    </w:lvl>
  </w:abstractNum>
  <w:abstractNum w:abstractNumId="86">
    <w:nsid w:val="7C58FD05"/>
    <w:multiLevelType w:val="hybridMultilevel"/>
    <w:lvl w:ilvl="0">
      <w:lvlJc w:val="left"/>
      <w:lvlText w:val="(%1)"/>
      <w:numFmt w:val="lowerLetter"/>
      <w:start w:val="3"/>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1">
    <w:nsid w:val="3C5991A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2">
    <w:nsid w:val="4BD8591A"/>
    <w:multiLevelType w:val="hybridMultilevel"/>
    <w:lvl w:ilvl="0">
      <w:lvlJc w:val="left"/>
      <w:lvlText w:val="%1."/>
      <w:numFmt w:val="decimal"/>
      <w:start w:val="7"/>
    </w:lvl>
  </w:abstractNum>
  <w:abstractNum w:abstractNumId="93">
    <w:nsid w:val="78DF6A5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94">
    <w:nsid w:val="39B7AAA2"/>
    <w:multiLevelType w:val="hybridMultilevel"/>
    <w:lvl w:ilvl="0">
      <w:lvlJc w:val="left"/>
      <w:lvlText w:val="%1."/>
      <w:numFmt w:val="upperLetter"/>
      <w:start w:val="2"/>
    </w:lvl>
    <w:lvl w:ilvl="1">
      <w:lvlJc w:val="left"/>
      <w:lvlText w:val="%2."/>
      <w:numFmt w:val="lowerRoman"/>
      <w:start w:val="1"/>
    </w:lvl>
  </w:abstractNum>
  <w:abstractNum w:abstractNumId="95">
    <w:nsid w:val="2B0D8DBE"/>
    <w:multiLevelType w:val="hybridMultilevel"/>
    <w:lvl w:ilvl="0">
      <w:lvlJc w:val="left"/>
      <w:lvlText w:val="%1"/>
      <w:numFmt w:val="upperLetter"/>
      <w:start w:val="1"/>
    </w:lvl>
    <w:lvl w:ilvl="1">
      <w:lvlJc w:val="left"/>
      <w:lvlText w:val="(%2)"/>
      <w:numFmt w:val="lowerRoman"/>
      <w:start w:val="2"/>
    </w:lvl>
  </w:abstractNum>
  <w:abstractNum w:abstractNumId="96">
    <w:nsid w:val="6C80EC70"/>
    <w:multiLevelType w:val="hybridMultilevel"/>
    <w:lvl w:ilvl="0">
      <w:lvlJc w:val="left"/>
      <w:lvlText w:val="%1."/>
      <w:numFmt w:val="upperLetter"/>
      <w:start w:val="5"/>
    </w:lvl>
    <w:lvl w:ilvl="1">
      <w:lvlJc w:val="left"/>
      <w:lvlText w:val="%2"/>
      <w:numFmt w:val="lowerRoman"/>
      <w:start w:val="1"/>
    </w:lvl>
  </w:abstractNum>
  <w:abstractNum w:abstractNumId="97">
    <w:nsid w:val="379E21B5"/>
    <w:multiLevelType w:val="hybridMultilevel"/>
    <w:lvl w:ilvl="0">
      <w:lvlJc w:val="left"/>
      <w:lvlText w:val="%1."/>
      <w:numFmt w:val="upperLetter"/>
      <w:start w:val="6"/>
    </w:lvl>
    <w:lvl w:ilvl="1">
      <w:lvlJc w:val="left"/>
      <w:lvlText w:val="%2."/>
      <w:numFmt w:val="lowerRoman"/>
      <w:start w:val="1"/>
    </w:lvl>
  </w:abstractNum>
  <w:abstractNum w:abstractNumId="98">
    <w:nsid w:val="69E373"/>
    <w:multiLevelType w:val="hybridMultilevel"/>
    <w:lvl w:ilvl="0">
      <w:lvlJc w:val="left"/>
      <w:lvlText w:val="%1"/>
      <w:numFmt w:val="upperLetter"/>
      <w:start w:val="1"/>
    </w:lvl>
    <w:lvl w:ilvl="1">
      <w:lvlJc w:val="left"/>
      <w:lvlText w:val="%2."/>
      <w:numFmt w:val="lowerRoman"/>
      <w:start w:val="3"/>
    </w:lvl>
  </w:abstractNum>
  <w:abstractNum w:abstractNumId="99">
    <w:nsid w:val="2C27173B"/>
    <w:multiLevelType w:val="hybridMultilevel"/>
    <w:lvl w:ilvl="0">
      <w:lvlJc w:val="left"/>
      <w:lvlText w:val="%1."/>
      <w:numFmt w:val="upperLetter"/>
      <w:start w:val="11"/>
    </w:lvl>
    <w:lvl w:ilvl="1">
      <w:lvlJc w:val="left"/>
      <w:lvlText w:val="%2."/>
      <w:numFmt w:val="lowerRoman"/>
      <w:start w:val="1"/>
    </w:lvl>
  </w:abstractNum>
  <w:abstractNum w:abstractNumId="100">
    <w:nsid w:val="4C9B090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7"/>
    </w:lvl>
  </w:abstractNum>
  <w:abstractNum w:abstractNumId="101">
    <w:nsid w:val="6AA7B75C"/>
    <w:multiLevelType w:val="hybridMultilevel"/>
    <w:lvl w:ilvl="0">
      <w:lvlJc w:val="left"/>
      <w:lvlText w:val="%1."/>
      <w:numFmt w:val="upperLetter"/>
      <w:start w:val="12"/>
    </w:lvl>
    <w:lvl w:ilvl="1">
      <w:lvlJc w:val="left"/>
      <w:lvlText w:val="%2."/>
      <w:numFmt w:val="lowerRoman"/>
      <w:start w:val="1"/>
    </w:lvl>
    <w:lvl w:ilvl="2">
      <w:lvlJc w:val="left"/>
      <w:lvlText w:val="%3"/>
      <w:numFmt w:val="lowerRoman"/>
      <w:start w:val="1"/>
    </w:lvl>
  </w:abstractNum>
  <w:abstractNum w:abstractNumId="102">
    <w:nsid w:val="1DF029D3"/>
    <w:multiLevelType w:val="hybridMultilevel"/>
    <w:lvl w:ilvl="0">
      <w:lvlJc w:val="left"/>
      <w:lvlText w:val="%1."/>
      <w:numFmt w:val="lowerRoman"/>
      <w:start w:val="4"/>
    </w:lvl>
  </w:abstractNum>
  <w:abstractNum w:abstractNumId="103">
    <w:nsid w:val="5675FF36"/>
    <w:multiLevelType w:val="hybridMultilevel"/>
    <w:lvl w:ilvl="0">
      <w:lvlJc w:val="left"/>
      <w:lvlText w:val="%1."/>
      <w:numFmt w:val="lowerRoman"/>
      <w:start w:val="8"/>
    </w:lvl>
  </w:abstractNum>
  <w:abstractNum w:abstractNumId="104">
    <w:nsid w:val="3DD15094"/>
    <w:multiLevelType w:val="hybridMultilevel"/>
    <w:lvl w:ilvl="0">
      <w:lvlJc w:val="left"/>
      <w:lvlText w:val="%1."/>
      <w:numFmt w:val="lowerRoman"/>
      <w:start w:val="9"/>
    </w:lvl>
  </w:abstractNum>
  <w:abstractNum w:abstractNumId="105">
    <w:nsid w:val="3DB012B3"/>
    <w:multiLevelType w:val="hybridMultilevel"/>
    <w:lvl w:ilvl="0">
      <w:lvlJc w:val="left"/>
      <w:lvlText w:val="%1"/>
      <w:numFmt w:val="upperLetter"/>
      <w:start w:val="1"/>
    </w:lvl>
    <w:lvl w:ilvl="1">
      <w:lvlJc w:val="left"/>
      <w:lvlText w:val="%2."/>
      <w:numFmt w:val="lowerRoman"/>
      <w:start w:val="11"/>
    </w:lvl>
  </w:abstractNum>
  <w:abstractNum w:abstractNumId="106">
    <w:nsid w:val="2708C9AF"/>
    <w:multiLevelType w:val="hybridMultilevel"/>
    <w:lvl w:ilvl="0">
      <w:lvlJc w:val="left"/>
      <w:lvlText w:val="%1."/>
      <w:numFmt w:val="upperLetter"/>
      <w:start w:val="15"/>
    </w:lvl>
    <w:lvl w:ilvl="1">
      <w:lvlJc w:val="left"/>
      <w:lvlText w:val="%2"/>
      <w:numFmt w:val="lowerRoman"/>
      <w:start w:val="1"/>
    </w:lvl>
  </w:abstractNum>
  <w:abstractNum w:abstractNumId="107">
    <w:nsid w:val="5B25ACE2"/>
    <w:multiLevelType w:val="hybridMultilevel"/>
    <w:lvl w:ilvl="0">
      <w:lvlJc w:val="left"/>
      <w:lvlText w:val="%1."/>
      <w:numFmt w:val="decimal"/>
      <w:start w:val="3"/>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1."/>
      <w:numFmt w:val="decimal"/>
      <w:start w:val="1"/>
    </w:lvl>
  </w:abstractNum>
  <w:abstractNum w:abstractNumId="110">
    <w:nsid w:val="53B0A9E"/>
    <w:multiLevelType w:val="hybridMultilevel"/>
    <w:lvl w:ilvl="0">
      <w:lvlJc w:val="left"/>
      <w:lvlText w:val="%1."/>
      <w:numFmt w:val="decimal"/>
      <w:start w:val="3"/>
    </w:lvl>
  </w:abstractNum>
  <w:abstractNum w:abstractNumId="111">
    <w:nsid w:val="34FD6B4F"/>
    <w:multiLevelType w:val="hybridMultilevel"/>
    <w:lvl w:ilvl="0">
      <w:lvlJc w:val="left"/>
      <w:lvlText w:val="%1."/>
      <w:numFmt w:val="decimal"/>
      <w:start w:val="1"/>
    </w:lvl>
  </w:abstractNum>
  <w:abstractNum w:abstractNumId="112">
    <w:nsid w:val="5915FF32"/>
    <w:multiLevelType w:val="hybridMultilevel"/>
    <w:lvl w:ilvl="0">
      <w:lvlJc w:val="left"/>
      <w:lvlText w:val="%1."/>
      <w:numFmt w:val="decimal"/>
      <w:start w:val="4"/>
    </w:lvl>
  </w:abstractNum>
  <w:abstractNum w:abstractNumId="113">
    <w:nsid w:val="56438D15"/>
    <w:multiLevelType w:val="hybridMultilevel"/>
    <w:lvl w:ilvl="0">
      <w:lvlJc w:val="left"/>
      <w:lvlText w:val="%1."/>
      <w:numFmt w:val="decimal"/>
      <w:start w:val="1"/>
    </w:lvl>
  </w:abstractNum>
  <w:abstractNum w:abstractNumId="114">
    <w:nsid w:val="519E3149"/>
    <w:multiLevelType w:val="hybridMultilevel"/>
    <w:lvl w:ilvl="0">
      <w:lvlJc w:val="left"/>
      <w:lvlText w:val="%1."/>
      <w:numFmt w:val="decimal"/>
      <w:start w:val="1"/>
    </w:lvl>
  </w:abstractNum>
  <w:abstractNum w:abstractNumId="115">
    <w:nsid w:val="2C6E4AFD"/>
    <w:multiLevelType w:val="hybridMultilevel"/>
    <w:lvl w:ilvl="0">
      <w:lvlJc w:val="left"/>
      <w:lvlText w:val="%1."/>
      <w:numFmt w:val="decimal"/>
      <w:start w:val="11"/>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1."/>
      <w:numFmt w:val="decimal"/>
      <w:start w:val="1"/>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decimal"/>
      <w:start w:val="1"/>
    </w:lvl>
  </w:abstractNum>
  <w:abstractNum w:abstractNumId="122">
    <w:nsid w:val="19E21BB2"/>
    <w:multiLevelType w:val="hybridMultilevel"/>
    <w:lvl w:ilvl="0">
      <w:lvlJc w:val="left"/>
      <w:lvlText w:val="(%1)"/>
      <w:numFmt w:val="decimal"/>
      <w:start w:val="12"/>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1"/>
    </w:lvl>
  </w:abstractNum>
  <w:abstractNum w:abstractNumId="125">
    <w:nsid w:val="5399C654"/>
    <w:multiLevelType w:val="hybridMultilevel"/>
    <w:lvl w:ilvl="0">
      <w:lvlJc w:val="left"/>
      <w:lvlText w:val="%1."/>
      <w:numFmt w:val="decimal"/>
      <w:start w:val="2"/>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2"/>
    </w:lvl>
    <w:lvl w:ilvl="1">
      <w:lvlJc w:val="left"/>
      <w:lvlText w:val="%2."/>
      <w:numFmt w:val="lowerRoman"/>
      <w:start w:val="1"/>
    </w:lvl>
  </w:abstractNum>
  <w:abstractNum w:abstractNumId="129">
    <w:nsid w:val="2157F6BC"/>
    <w:multiLevelType w:val="hybridMultilevel"/>
    <w:lvl w:ilvl="0">
      <w:lvlJc w:val="left"/>
      <w:lvlText w:val="%1"/>
      <w:numFmt w:val="lowerLetter"/>
      <w:start w:val="1"/>
    </w:lvl>
    <w:lvl w:ilvl="1">
      <w:lvlJc w:val="left"/>
      <w:lvlText w:val="%2."/>
      <w:numFmt w:val="lowerRoman"/>
      <w:start w:val="2"/>
    </w:lvl>
  </w:abstractNum>
  <w:abstractNum w:abstractNumId="130">
    <w:nsid w:val="704E1DD5"/>
    <w:multiLevelType w:val="hybridMultilevel"/>
    <w:lvl w:ilvl="0">
      <w:lvlJc w:val="left"/>
      <w:lvlText w:val="%1."/>
      <w:numFmt w:val="lowerLetter"/>
      <w:start w:val="7"/>
    </w:lvl>
    <w:lvl w:ilvl="1">
      <w:lvlJc w:val="left"/>
      <w:lvlText w:val="%2."/>
      <w:numFmt w:val="lowerRoman"/>
      <w:start w:val="1"/>
    </w:lvl>
  </w:abstractNum>
  <w:abstractNum w:abstractNumId="131">
    <w:nsid w:val="57D2F10E"/>
    <w:multiLevelType w:val="hybridMultilevel"/>
    <w:lvl w:ilvl="0">
      <w:lvlJc w:val="left"/>
      <w:lvlText w:val="%1."/>
      <w:numFmt w:val="decimal"/>
      <w:start w:val="3"/>
    </w:lvl>
  </w:abstractNum>
  <w:abstractNum w:abstractNumId="132">
    <w:nsid w:val="BFFAE18"/>
    <w:multiLevelType w:val="hybridMultilevel"/>
    <w:lvl w:ilvl="0">
      <w:lvlJc w:val="left"/>
      <w:lvlText w:val="%1."/>
      <w:numFmt w:val="decimal"/>
      <w:start w:val="4"/>
    </w:lvl>
  </w:abstractNum>
  <w:abstractNum w:abstractNumId="133">
    <w:nsid w:val="E3E47A8"/>
    <w:multiLevelType w:val="hybridMultilevel"/>
    <w:lvl w:ilvl="0">
      <w:lvlJc w:val="left"/>
      <w:lvlText w:val="%1."/>
      <w:numFmt w:val="decimal"/>
      <w:start w:val="1"/>
    </w:lvl>
    <w:lvl w:ilvl="1">
      <w:lvlJc w:val="left"/>
      <w:lvlText w:val="%2)"/>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1"/>
    </w:lvl>
  </w:abstractNum>
  <w:abstractNum w:abstractNumId="135">
    <w:nsid w:val="49D0FEAC"/>
    <w:multiLevelType w:val="hybridMultilevel"/>
    <w:lvl w:ilvl="0">
      <w:lvlJc w:val="left"/>
      <w:lvlText w:val="(%1)"/>
      <w:numFmt w:val="lowerRoman"/>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103" Type="http://schemas.openxmlformats.org/officeDocument/2006/relationships/image" Target="media/image83.png"/><Relationship Id="rId117" Type="http://schemas.openxmlformats.org/officeDocument/2006/relationships/image" Target="media/image84.png"/><Relationship Id="rId135"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75" Type="http://schemas.openxmlformats.org/officeDocument/2006/relationships/hyperlink" Target="http://www.sec.gov/Archives/edgar/data/1705696/000170569620000048/vici2019form10-k.htm" TargetMode="External"/><Relationship Id="rId91" Type="http://schemas.openxmlformats.org/officeDocument/2006/relationships/hyperlink" Target="http://www.sec.gov/Archives/edgar/data/1678179/000119312517255745/d428782dex99t3e2.htm" TargetMode="External"/><Relationship Id="rId92" Type="http://schemas.openxmlformats.org/officeDocument/2006/relationships/hyperlink" Target="http://www.sec.gov/Archives/edgar/data/1705696/000119312517307477/d470550dex21.htm" TargetMode="External"/><Relationship Id="rId93" Type="http://schemas.openxmlformats.org/officeDocument/2006/relationships/hyperlink" Target="http://www.sec.gov/Archives/edgar/data/1705696/000119312518216456/d477228dex22.htm" TargetMode="External"/><Relationship Id="rId94" Type="http://schemas.openxmlformats.org/officeDocument/2006/relationships/hyperlink" Target="http://www.sec.gov/Archives/edgar/data/1705696/000119312519254800/d788497dex21.htm" TargetMode="External"/><Relationship Id="rId95" Type="http://schemas.openxmlformats.org/officeDocument/2006/relationships/hyperlink" Target="http://www.sec.gov/Archives/edgar/data/1705696/000119312517307477/d470550dex31.htm" TargetMode="External"/><Relationship Id="rId96" Type="http://schemas.openxmlformats.org/officeDocument/2006/relationships/hyperlink" Target="https://www.sec.gov/Archives/edgar/data/1705696/000170569620000153/vicipropertiesincbylaws.htm" TargetMode="External"/><Relationship Id="rId97" Type="http://schemas.openxmlformats.org/officeDocument/2006/relationships/hyperlink" Target="http://www.sec.gov/Archives/edgar/data/1705696/000170569620000153/vicipropertiesincbylaws.htm" TargetMode="External"/><Relationship Id="rId98" Type="http://schemas.openxmlformats.org/officeDocument/2006/relationships/hyperlink" Target="http://www.sec.gov/Archives/edgar/data/1705696/000170569619000172/vici-20192026noteofferingx.htm" TargetMode="External"/><Relationship Id="rId99" Type="http://schemas.openxmlformats.org/officeDocument/2006/relationships/hyperlink" Target="http://www.sec.gov/Archives/edgar/data/1705696/000170569620000048/a2026notessupplemental.htm" TargetMode="External"/><Relationship Id="rId100" Type="http://schemas.openxmlformats.org/officeDocument/2006/relationships/hyperlink" Target="http://www.sec.gov/Archives/edgar/data/1705696/000170569619000172/vici-20192029noteofferingx.htm" TargetMode="External"/><Relationship Id="rId101" Type="http://schemas.openxmlformats.org/officeDocument/2006/relationships/hyperlink" Target="http://www.sec.gov/Archives/edgar/data/1705696/000170569620000048/a2029notessupplemental.htm" TargetMode="External"/><Relationship Id="rId102" Type="http://schemas.openxmlformats.org/officeDocument/2006/relationships/hyperlink" Target="http://www.sec.gov/Archives/edgar/data/1705696/000170569620000023/notesoffering-2025inde.htm" TargetMode="External"/><Relationship Id="rId104" Type="http://schemas.openxmlformats.org/officeDocument/2006/relationships/hyperlink" Target="http://www.sec.gov/Archives/edgar/data/1705696/000170569620000023/notesoffering-2027inde.htm" TargetMode="External"/><Relationship Id="rId105" Type="http://schemas.openxmlformats.org/officeDocument/2006/relationships/hyperlink" Target="http://www.sec.gov/Archives/edgar/data/1705696/000170569620000023/notesoffering-2030inde.htm" TargetMode="External"/><Relationship Id="rId106" Type="http://schemas.openxmlformats.org/officeDocument/2006/relationships/hyperlink" Target="http://www.sec.gov/Archives/edgar/data/1705696/000170569620000143/exhibit101vegaslease-2.htm" TargetMode="External"/><Relationship Id="rId107" Type="http://schemas.openxmlformats.org/officeDocument/2006/relationships/hyperlink" Target="http://www.sec.gov/Archives/edgar/data/1705696/000170569620000181/exhibit1015-lasvegasle.htm" TargetMode="External"/><Relationship Id="rId108" Type="http://schemas.openxmlformats.org/officeDocument/2006/relationships/hyperlink" Target="http://www.sec.gov/Archives/edgar/data/1705696/000170569620000143/exhibit102regionalleas.htm" TargetMode="External"/><Relationship Id="rId109" Type="http://schemas.openxmlformats.org/officeDocument/2006/relationships/hyperlink" Target="http://www.sec.gov/Archives/edgar/data/1705696/000170569620000181/exhibit1013-regionalle.htm" TargetMode="External"/><Relationship Id="rId110" Type="http://schemas.openxmlformats.org/officeDocument/2006/relationships/hyperlink" Target="http://www.sec.gov/Archives/edgar/data/1705696/000170569620000143/exhibit103jolietlease-.htm" TargetMode="External"/><Relationship Id="rId111" Type="http://schemas.openxmlformats.org/officeDocument/2006/relationships/hyperlink" Target="http://www.sec.gov/Archives/edgar/data/1705696/000170569620000181/exhibit1014-jolietleas.htm" TargetMode="External"/><Relationship Id="rId112" Type="http://schemas.openxmlformats.org/officeDocument/2006/relationships/hyperlink" Target="http://www.sec.gov/Archives/edgar/data/1705696/000119312517307477/d470550dex104.htm" TargetMode="External"/><Relationship Id="rId113" Type="http://schemas.openxmlformats.org/officeDocument/2006/relationships/hyperlink" Target="http://www.sec.gov/Archives/edgar/data/1705696/000170569620000181/exhibit1016-amendedand.htm" TargetMode="External"/><Relationship Id="rId114" Type="http://schemas.openxmlformats.org/officeDocument/2006/relationships/hyperlink" Target="http://www.sec.gov/Archives/edgar/data/1705696/000170569620000143/exhibit1012.htm" TargetMode="External"/><Relationship Id="rId115" Type="http://schemas.openxmlformats.org/officeDocument/2006/relationships/hyperlink" Target="http://www.sec.gov/Archives/edgar/data/1705696/000170569620000143/exhibit104.htm" TargetMode="External"/><Relationship Id="rId116" Type="http://schemas.openxmlformats.org/officeDocument/2006/relationships/hyperlink" Target="http://www.sec.gov/Archives/edgar/data/1705696/000170569620000143/exhibit105.htm" TargetMode="External"/><Relationship Id="rId118" Type="http://schemas.openxmlformats.org/officeDocument/2006/relationships/hyperlink" Target="http://www.sec.gov/Archives/edgar/data/1705696/000170569620000143/exhibit106.htm" TargetMode="External"/><Relationship Id="rId119" Type="http://schemas.openxmlformats.org/officeDocument/2006/relationships/hyperlink" Target="http://www.sec.gov/Archives/edgar/data/1705696/000170569620000143/exhibit107.htm" TargetMode="External"/><Relationship Id="rId120" Type="http://schemas.openxmlformats.org/officeDocument/2006/relationships/hyperlink" Target="http://www.sec.gov/Archives/edgar/data/1705696/000170569620000143/exhibit108.htm" TargetMode="External"/><Relationship Id="rId121" Type="http://schemas.openxmlformats.org/officeDocument/2006/relationships/hyperlink" Target="http://www.sec.gov/Archives/edgar/data/1705696/000170569620000162/secondarput-callrighta.htm" TargetMode="External"/><Relationship Id="rId122" Type="http://schemas.openxmlformats.org/officeDocument/2006/relationships/hyperlink" Target="http://www.sec.gov/Archives/edgar/data/1705696/000170569620000143/exhibit1010.htm" TargetMode="External"/><Relationship Id="rId123" Type="http://schemas.openxmlformats.org/officeDocument/2006/relationships/hyperlink" Target="http://www.sec.gov/Archives/edgar/data/1705696/000170569620000143/exhibit1011.htm" TargetMode="External"/><Relationship Id="rId124" Type="http://schemas.openxmlformats.org/officeDocument/2006/relationships/hyperlink" Target="http://www.sec.gov/Archives/edgar/data/1705696/000119312517307477/d470550dex1012.htm" TargetMode="External"/><Relationship Id="rId125" Type="http://schemas.openxmlformats.org/officeDocument/2006/relationships/hyperlink" Target="http://www.sec.gov/Archives/edgar/data/1705696/000170569619000113/arcreditagreementedgar.htm" TargetMode="External"/><Relationship Id="rId126" Type="http://schemas.openxmlformats.org/officeDocument/2006/relationships/hyperlink" Target="http://www.sec.gov/Archives/edgar/data/1705696/000170569620000020/vici-2020repricingamen.htm" TargetMode="External"/><Relationship Id="rId127" Type="http://schemas.openxmlformats.org/officeDocument/2006/relationships/hyperlink" Target="http://www.sec.gov/Archives/edgar/data/1705696/000119312517307477/d470550dex1023.htm" TargetMode="External"/><Relationship Id="rId128" Type="http://schemas.openxmlformats.org/officeDocument/2006/relationships/hyperlink" Target="http://www.sec.gov/Archives/edgar/data/1705696/000119312517297902/d392523dex1020.htm" TargetMode="External"/><Relationship Id="rId129" Type="http://schemas.openxmlformats.org/officeDocument/2006/relationships/hyperlink" Target="http://www.sec.gov/Archives/edgar/data/1705696/000119312519256140/d808587dex101.htm" TargetMode="External"/><Relationship Id="rId130" Type="http://schemas.openxmlformats.org/officeDocument/2006/relationships/hyperlink" Target="http://www.sec.gov/Archives/edgar/data/1705696/000119312519256140/d808587dex102.htm" TargetMode="External"/><Relationship Id="rId131" Type="http://schemas.openxmlformats.org/officeDocument/2006/relationships/hyperlink" Target="http://www.sec.gov/Archives/edgar/data/1705696/000119312519256140/d808587dex103.htm" TargetMode="External"/><Relationship Id="rId132" Type="http://schemas.openxmlformats.org/officeDocument/2006/relationships/hyperlink" Target="http://www.sec.gov/Archives/edgar/data/1705696/000119312519256140/d808587dex104.htm" TargetMode="External"/><Relationship Id="rId133" Type="http://schemas.openxmlformats.org/officeDocument/2006/relationships/hyperlink" Target="http://www.sec.gov/Archives/edgar/data/1705696/000119312517307477/d470550dex1028.htm" TargetMode="External"/><Relationship Id="rId134" Type="http://schemas.openxmlformats.org/officeDocument/2006/relationships/hyperlink" Target="http://www.sec.gov/Archives/edgar/data/1705696/000170569619000064/exhibit1052amendmentno.htm" TargetMode="External"/><Relationship Id="rId136" Type="http://schemas.openxmlformats.org/officeDocument/2006/relationships/hyperlink" Target="http://www.sec.gov/Archives/edgar/data/1705696/000170569618000015/vici10kexhibit1039.htm" TargetMode="External"/><Relationship Id="rId137" Type="http://schemas.openxmlformats.org/officeDocument/2006/relationships/hyperlink" Target="http://www.sec.gov/Archives/edgar/data/1705696/000170569618000045/exhibit101restricted_stock.htm" TargetMode="External"/><Relationship Id="rId138" Type="http://schemas.openxmlformats.org/officeDocument/2006/relationships/hyperlink" Target="http://www.sec.gov/Archives/edgar/data/1705696/000170569618000045/exhibit102-vici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2021-02-18T15:28:47Z</dcterms:created>
  <dcterms:modified xsi:type="dcterms:W3CDTF">2021-02-18T15:28:47Z</dcterms:modified>
</cp:coreProperties>
</file>